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仿宋" w:hAnsi="仿宋" w:eastAsia="仿宋" w:cs="仿宋"/>
          <w:bCs/>
          <w:color w:val="auto"/>
          <w:kern w:val="0"/>
          <w:sz w:val="44"/>
          <w:szCs w:val="44"/>
          <w:u w:val="none"/>
          <w:lang w:eastAsia="zh-CN"/>
        </w:rPr>
      </w:pPr>
      <w:r>
        <w:rPr>
          <w:rFonts w:hint="eastAsia" w:ascii="仿宋" w:hAnsi="仿宋" w:eastAsia="仿宋" w:cs="仿宋"/>
          <w:bCs/>
          <w:color w:val="auto"/>
          <w:kern w:val="0"/>
          <w:sz w:val="44"/>
          <w:szCs w:val="44"/>
          <w:u w:val="none"/>
          <w:lang w:eastAsia="zh-CN"/>
        </w:rPr>
        <w:t>隆昌市人民医院</w:t>
      </w:r>
    </w:p>
    <w:p>
      <w:pPr>
        <w:widowControl/>
        <w:jc w:val="center"/>
        <w:textAlignment w:val="center"/>
        <w:rPr>
          <w:rFonts w:hint="eastAsia" w:ascii="仿宋" w:hAnsi="仿宋" w:eastAsia="仿宋" w:cs="仿宋"/>
          <w:bCs/>
          <w:color w:val="auto"/>
          <w:kern w:val="0"/>
          <w:sz w:val="44"/>
          <w:szCs w:val="44"/>
          <w:u w:val="none"/>
          <w:lang w:eastAsia="zh-CN"/>
        </w:rPr>
      </w:pPr>
      <w:r>
        <w:rPr>
          <w:rFonts w:hint="eastAsia" w:ascii="仿宋" w:hAnsi="仿宋" w:eastAsia="仿宋" w:cs="仿宋"/>
          <w:bCs/>
          <w:color w:val="auto"/>
          <w:kern w:val="0"/>
          <w:sz w:val="44"/>
          <w:szCs w:val="44"/>
          <w:u w:val="none"/>
          <w:lang w:eastAsia="zh-CN"/>
        </w:rPr>
        <w:t>安全运维服务采购项目</w:t>
      </w:r>
    </w:p>
    <w:p>
      <w:pPr>
        <w:widowControl/>
        <w:jc w:val="center"/>
        <w:textAlignment w:val="center"/>
        <w:rPr>
          <w:rFonts w:hint="eastAsia" w:ascii="仿宋" w:hAnsi="仿宋" w:eastAsia="仿宋" w:cs="仿宋"/>
          <w:bCs/>
          <w:color w:val="auto"/>
          <w:kern w:val="0"/>
          <w:sz w:val="44"/>
          <w:szCs w:val="44"/>
          <w:u w:val="none"/>
          <w:lang w:eastAsia="zh-CN"/>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竞</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选</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件</w:t>
      </w:r>
    </w:p>
    <w:p>
      <w:pPr>
        <w:rPr>
          <w:rFonts w:hint="eastAsia" w:ascii="仿宋" w:hAnsi="仿宋" w:eastAsia="仿宋" w:cs="仿宋"/>
          <w:b/>
          <w:color w:val="000000"/>
          <w:sz w:val="36"/>
          <w:szCs w:val="36"/>
        </w:rPr>
      </w:pPr>
    </w:p>
    <w:p>
      <w:pPr>
        <w:pStyle w:val="4"/>
        <w:rPr>
          <w:rFonts w:hint="eastAsia" w:ascii="仿宋" w:hAnsi="仿宋" w:eastAsia="仿宋" w:cs="仿宋"/>
          <w:b/>
          <w:color w:val="000000"/>
          <w:sz w:val="36"/>
          <w:szCs w:val="36"/>
        </w:rPr>
      </w:pPr>
    </w:p>
    <w:p>
      <w:pPr>
        <w:pStyle w:val="4"/>
        <w:rPr>
          <w:rFonts w:hint="eastAsia" w:ascii="仿宋" w:hAnsi="仿宋" w:eastAsia="仿宋" w:cs="仿宋"/>
          <w:b/>
          <w:color w:val="000000"/>
          <w:sz w:val="36"/>
          <w:szCs w:val="36"/>
        </w:rPr>
      </w:pPr>
    </w:p>
    <w:p>
      <w:pPr>
        <w:jc w:val="center"/>
        <w:rPr>
          <w:rFonts w:hint="eastAsia" w:ascii="仿宋" w:hAnsi="仿宋" w:eastAsia="仿宋" w:cs="仿宋"/>
        </w:rPr>
      </w:pPr>
      <w:r>
        <w:rPr>
          <w:rFonts w:hint="eastAsia" w:ascii="仿宋" w:hAnsi="仿宋" w:eastAsia="仿宋" w:cs="仿宋"/>
          <w:bCs/>
          <w:color w:val="auto"/>
          <w:sz w:val="36"/>
          <w:szCs w:val="36"/>
          <w:lang w:eastAsia="zh-CN"/>
        </w:rPr>
        <w:t>隆昌市</w:t>
      </w:r>
      <w:r>
        <w:rPr>
          <w:rFonts w:hint="eastAsia" w:ascii="仿宋" w:hAnsi="仿宋" w:eastAsia="仿宋" w:cs="仿宋"/>
          <w:bCs/>
          <w:color w:val="000000"/>
          <w:sz w:val="36"/>
          <w:szCs w:val="36"/>
        </w:rPr>
        <w:t>人民医院</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rPr>
          <w:rFonts w:hint="eastAsia"/>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sz w:val="32"/>
          <w:szCs w:val="40"/>
        </w:rPr>
      </w:pPr>
    </w:p>
    <w:p>
      <w:pPr>
        <w:spacing w:line="480" w:lineRule="auto"/>
        <w:jc w:val="center"/>
        <w:rPr>
          <w:rFonts w:hint="eastAsia" w:ascii="仿宋" w:hAnsi="仿宋" w:eastAsia="仿宋" w:cs="仿宋"/>
          <w:b/>
          <w:bCs/>
          <w:sz w:val="36"/>
          <w:szCs w:val="36"/>
        </w:rPr>
      </w:pPr>
      <w:r>
        <w:rPr>
          <w:rFonts w:hint="eastAsia" w:ascii="仿宋" w:hAnsi="仿宋" w:eastAsia="仿宋" w:cs="仿宋"/>
          <w:b/>
          <w:bCs/>
          <w:sz w:val="36"/>
          <w:szCs w:val="36"/>
        </w:rPr>
        <w:t>目  录</w:t>
      </w:r>
    </w:p>
    <w:p>
      <w:pPr>
        <w:pStyle w:val="8"/>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_Toc30888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第一部分 竞选邀请</w:t>
      </w:r>
      <w:r>
        <w:rPr>
          <w:sz w:val="28"/>
          <w:szCs w:val="28"/>
        </w:rPr>
        <w:tab/>
      </w:r>
      <w:r>
        <w:rPr>
          <w:sz w:val="28"/>
          <w:szCs w:val="28"/>
        </w:rPr>
        <w:fldChar w:fldCharType="begin"/>
      </w:r>
      <w:r>
        <w:rPr>
          <w:sz w:val="28"/>
          <w:szCs w:val="28"/>
        </w:rPr>
        <w:instrText xml:space="preserve"> PAGEREF _Toc30888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8"/>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_Toc27866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第二部分 供应商须知</w:t>
      </w:r>
      <w:r>
        <w:rPr>
          <w:sz w:val="28"/>
          <w:szCs w:val="28"/>
        </w:rPr>
        <w:tab/>
      </w:r>
      <w:r>
        <w:rPr>
          <w:sz w:val="28"/>
          <w:szCs w:val="28"/>
        </w:rPr>
        <w:fldChar w:fldCharType="begin"/>
      </w:r>
      <w:r>
        <w:rPr>
          <w:sz w:val="28"/>
          <w:szCs w:val="28"/>
        </w:rPr>
        <w:instrText xml:space="preserve"> PAGEREF _Toc27866 </w:instrText>
      </w:r>
      <w:r>
        <w:rPr>
          <w:sz w:val="28"/>
          <w:szCs w:val="28"/>
        </w:rPr>
        <w:fldChar w:fldCharType="separate"/>
      </w:r>
      <w:r>
        <w:rPr>
          <w:sz w:val="28"/>
          <w:szCs w:val="28"/>
        </w:rPr>
        <w:t>3</w:t>
      </w:r>
      <w:r>
        <w:rPr>
          <w:sz w:val="28"/>
          <w:szCs w:val="28"/>
        </w:rPr>
        <w:fldChar w:fldCharType="end"/>
      </w:r>
      <w:r>
        <w:rPr>
          <w:rFonts w:hint="eastAsia" w:ascii="仿宋" w:hAnsi="仿宋" w:eastAsia="仿宋" w:cs="仿宋"/>
          <w:sz w:val="28"/>
          <w:szCs w:val="28"/>
        </w:rPr>
        <w:fldChar w:fldCharType="end"/>
      </w:r>
    </w:p>
    <w:p>
      <w:pPr>
        <w:pStyle w:val="8"/>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_Toc11090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第三部分 资格要求证明材料</w:t>
      </w:r>
      <w:r>
        <w:rPr>
          <w:sz w:val="28"/>
          <w:szCs w:val="28"/>
        </w:rPr>
        <w:tab/>
      </w:r>
      <w:r>
        <w:rPr>
          <w:sz w:val="28"/>
          <w:szCs w:val="28"/>
        </w:rPr>
        <w:fldChar w:fldCharType="begin"/>
      </w:r>
      <w:r>
        <w:rPr>
          <w:sz w:val="28"/>
          <w:szCs w:val="28"/>
        </w:rPr>
        <w:instrText xml:space="preserve"> PAGEREF _Toc11090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pPr>
        <w:pStyle w:val="8"/>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_Toc27566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第四部分 采购项目技术、服务要求及其他商务要求</w:t>
      </w:r>
      <w:r>
        <w:rPr>
          <w:sz w:val="28"/>
          <w:szCs w:val="28"/>
        </w:rPr>
        <w:tab/>
      </w:r>
      <w:r>
        <w:rPr>
          <w:sz w:val="28"/>
          <w:szCs w:val="28"/>
        </w:rPr>
        <w:fldChar w:fldCharType="begin"/>
      </w:r>
      <w:r>
        <w:rPr>
          <w:sz w:val="28"/>
          <w:szCs w:val="28"/>
        </w:rPr>
        <w:instrText xml:space="preserve"> PAGEREF _Toc27566 </w:instrText>
      </w:r>
      <w:r>
        <w:rPr>
          <w:sz w:val="28"/>
          <w:szCs w:val="28"/>
        </w:rPr>
        <w:fldChar w:fldCharType="separate"/>
      </w:r>
      <w:r>
        <w:rPr>
          <w:sz w:val="28"/>
          <w:szCs w:val="28"/>
        </w:rPr>
        <w:t>9</w:t>
      </w:r>
      <w:r>
        <w:rPr>
          <w:sz w:val="28"/>
          <w:szCs w:val="28"/>
        </w:rPr>
        <w:fldChar w:fldCharType="end"/>
      </w:r>
      <w:r>
        <w:rPr>
          <w:rFonts w:hint="eastAsia" w:ascii="仿宋" w:hAnsi="仿宋" w:eastAsia="仿宋" w:cs="仿宋"/>
          <w:sz w:val="28"/>
          <w:szCs w:val="28"/>
        </w:rPr>
        <w:fldChar w:fldCharType="end"/>
      </w:r>
    </w:p>
    <w:p>
      <w:pPr>
        <w:pStyle w:val="8"/>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_Toc4221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第五部分 评分标准</w:t>
      </w:r>
      <w:r>
        <w:rPr>
          <w:sz w:val="28"/>
          <w:szCs w:val="28"/>
        </w:rPr>
        <w:tab/>
      </w:r>
      <w:r>
        <w:rPr>
          <w:sz w:val="28"/>
          <w:szCs w:val="28"/>
        </w:rPr>
        <w:fldChar w:fldCharType="begin"/>
      </w:r>
      <w:r>
        <w:rPr>
          <w:sz w:val="28"/>
          <w:szCs w:val="28"/>
        </w:rPr>
        <w:instrText xml:space="preserve"> PAGEREF _Toc4221 </w:instrText>
      </w:r>
      <w:r>
        <w:rPr>
          <w:sz w:val="28"/>
          <w:szCs w:val="28"/>
        </w:rPr>
        <w:fldChar w:fldCharType="separate"/>
      </w:r>
      <w:r>
        <w:rPr>
          <w:sz w:val="28"/>
          <w:szCs w:val="28"/>
        </w:rPr>
        <w:t>1</w:t>
      </w:r>
      <w:r>
        <w:rPr>
          <w:rFonts w:hint="eastAsia"/>
          <w:sz w:val="28"/>
          <w:szCs w:val="28"/>
          <w:lang w:val="en-US" w:eastAsia="zh-CN"/>
        </w:rPr>
        <w:t>3</w:t>
      </w:r>
      <w:r>
        <w:rPr>
          <w:sz w:val="28"/>
          <w:szCs w:val="28"/>
        </w:rPr>
        <w:fldChar w:fldCharType="end"/>
      </w:r>
      <w:r>
        <w:rPr>
          <w:rFonts w:hint="eastAsia" w:ascii="仿宋" w:hAnsi="仿宋" w:eastAsia="仿宋" w:cs="仿宋"/>
          <w:sz w:val="28"/>
          <w:szCs w:val="28"/>
        </w:rPr>
        <w:fldChar w:fldCharType="end"/>
      </w:r>
    </w:p>
    <w:p>
      <w:pPr>
        <w:pStyle w:val="8"/>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_Toc9434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第六部分 响应文件格式</w:t>
      </w:r>
      <w:r>
        <w:rPr>
          <w:sz w:val="28"/>
          <w:szCs w:val="28"/>
        </w:rPr>
        <w:tab/>
      </w:r>
      <w:r>
        <w:rPr>
          <w:sz w:val="28"/>
          <w:szCs w:val="28"/>
        </w:rPr>
        <w:fldChar w:fldCharType="begin"/>
      </w:r>
      <w:r>
        <w:rPr>
          <w:sz w:val="28"/>
          <w:szCs w:val="28"/>
        </w:rPr>
        <w:instrText xml:space="preserve"> PAGEREF _Toc9434 </w:instrText>
      </w:r>
      <w:r>
        <w:rPr>
          <w:sz w:val="28"/>
          <w:szCs w:val="28"/>
        </w:rPr>
        <w:fldChar w:fldCharType="separate"/>
      </w:r>
      <w:r>
        <w:rPr>
          <w:sz w:val="28"/>
          <w:szCs w:val="28"/>
        </w:rPr>
        <w:t>1</w:t>
      </w:r>
      <w:r>
        <w:rPr>
          <w:rFonts w:hint="eastAsia"/>
          <w:sz w:val="28"/>
          <w:szCs w:val="28"/>
          <w:lang w:val="en-US" w:eastAsia="zh-CN"/>
        </w:rPr>
        <w:t>4</w:t>
      </w:r>
      <w:r>
        <w:rPr>
          <w:sz w:val="28"/>
          <w:szCs w:val="28"/>
        </w:rPr>
        <w:fldChar w:fldCharType="end"/>
      </w:r>
      <w:r>
        <w:rPr>
          <w:rFonts w:hint="eastAsia" w:ascii="仿宋" w:hAnsi="仿宋" w:eastAsia="仿宋" w:cs="仿宋"/>
          <w:sz w:val="28"/>
          <w:szCs w:val="28"/>
        </w:rPr>
        <w:fldChar w:fldCharType="end"/>
      </w:r>
    </w:p>
    <w:p>
      <w:pPr>
        <w:pStyle w:val="8"/>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_Toc534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第七部分 合同主要条款</w:t>
      </w:r>
      <w:r>
        <w:rPr>
          <w:sz w:val="28"/>
          <w:szCs w:val="28"/>
        </w:rPr>
        <w:tab/>
      </w:r>
      <w:r>
        <w:rPr>
          <w:sz w:val="28"/>
          <w:szCs w:val="28"/>
        </w:rPr>
        <w:fldChar w:fldCharType="begin"/>
      </w:r>
      <w:r>
        <w:rPr>
          <w:sz w:val="28"/>
          <w:szCs w:val="28"/>
        </w:rPr>
        <w:instrText xml:space="preserve"> PAGEREF _Toc534 </w:instrText>
      </w:r>
      <w:r>
        <w:rPr>
          <w:sz w:val="28"/>
          <w:szCs w:val="28"/>
        </w:rPr>
        <w:fldChar w:fldCharType="separate"/>
      </w:r>
      <w:r>
        <w:rPr>
          <w:sz w:val="28"/>
          <w:szCs w:val="28"/>
        </w:rPr>
        <w:t>2</w:t>
      </w:r>
      <w:r>
        <w:rPr>
          <w:rFonts w:hint="eastAsia"/>
          <w:sz w:val="28"/>
          <w:szCs w:val="28"/>
          <w:lang w:val="en-US" w:eastAsia="zh-CN"/>
        </w:rPr>
        <w:t>4</w:t>
      </w:r>
      <w:r>
        <w:rPr>
          <w:sz w:val="28"/>
          <w:szCs w:val="28"/>
        </w:rPr>
        <w:fldChar w:fldCharType="end"/>
      </w:r>
      <w:r>
        <w:rPr>
          <w:rFonts w:hint="eastAsia" w:ascii="仿宋" w:hAnsi="仿宋" w:eastAsia="仿宋" w:cs="仿宋"/>
          <w:sz w:val="28"/>
          <w:szCs w:val="28"/>
        </w:rPr>
        <w:fldChar w:fldCharType="end"/>
      </w:r>
    </w:p>
    <w:p>
      <w:pPr>
        <w:spacing w:line="480" w:lineRule="auto"/>
        <w:rPr>
          <w:rFonts w:hint="eastAsia" w:ascii="仿宋" w:hAnsi="仿宋" w:eastAsia="仿宋" w:cs="仿宋"/>
          <w:szCs w:val="28"/>
        </w:rPr>
      </w:pPr>
      <w:r>
        <w:rPr>
          <w:rFonts w:hint="eastAsia" w:ascii="仿宋" w:hAnsi="仿宋" w:eastAsia="仿宋" w:cs="仿宋"/>
          <w:sz w:val="28"/>
          <w:szCs w:val="28"/>
        </w:rPr>
        <w:fldChar w:fldCharType="end"/>
      </w:r>
    </w:p>
    <w:p>
      <w:pPr>
        <w:pStyle w:val="4"/>
        <w:rPr>
          <w:rFonts w:hint="eastAsia" w:ascii="仿宋" w:hAnsi="仿宋" w:eastAsia="仿宋" w:cs="仿宋"/>
          <w:szCs w:val="28"/>
        </w:rPr>
      </w:pPr>
    </w:p>
    <w:p>
      <w:pPr>
        <w:pStyle w:val="10"/>
        <w:ind w:firstLine="210"/>
        <w:rPr>
          <w:rFonts w:hint="eastAsia" w:ascii="仿宋" w:hAnsi="仿宋" w:eastAsia="仿宋" w:cs="仿宋"/>
          <w:szCs w:val="28"/>
        </w:rPr>
      </w:pPr>
    </w:p>
    <w:p>
      <w:pPr>
        <w:pStyle w:val="10"/>
        <w:ind w:firstLine="210"/>
        <w:rPr>
          <w:rFonts w:hint="eastAsia" w:ascii="仿宋" w:hAnsi="仿宋" w:eastAsia="仿宋" w:cs="仿宋"/>
          <w:szCs w:val="28"/>
        </w:rPr>
      </w:pPr>
    </w:p>
    <w:p>
      <w:pPr>
        <w:pStyle w:val="10"/>
        <w:ind w:firstLine="210"/>
        <w:rPr>
          <w:rFonts w:hint="eastAsia" w:ascii="仿宋" w:hAnsi="仿宋" w:eastAsia="仿宋" w:cs="仿宋"/>
          <w:szCs w:val="28"/>
        </w:rPr>
      </w:pPr>
    </w:p>
    <w:p>
      <w:pPr>
        <w:pStyle w:val="10"/>
        <w:ind w:firstLine="210"/>
        <w:rPr>
          <w:rFonts w:hint="eastAsia" w:ascii="仿宋" w:hAnsi="仿宋" w:eastAsia="仿宋" w:cs="仿宋"/>
          <w:szCs w:val="28"/>
        </w:rPr>
      </w:pPr>
    </w:p>
    <w:p>
      <w:pPr>
        <w:pStyle w:val="10"/>
        <w:ind w:firstLine="210"/>
        <w:rPr>
          <w:rFonts w:hint="eastAsia" w:ascii="仿宋" w:hAnsi="仿宋" w:eastAsia="仿宋" w:cs="仿宋"/>
          <w:szCs w:val="28"/>
        </w:rPr>
      </w:pPr>
    </w:p>
    <w:p>
      <w:pPr>
        <w:spacing w:line="360" w:lineRule="auto"/>
        <w:outlineLvl w:val="0"/>
        <w:rPr>
          <w:rFonts w:hint="eastAsia" w:ascii="仿宋" w:hAnsi="仿宋" w:eastAsia="仿宋" w:cs="仿宋"/>
          <w:b/>
          <w:bCs/>
          <w:sz w:val="28"/>
          <w:szCs w:val="28"/>
        </w:rPr>
        <w:sectPr>
          <w:headerReference r:id="rId3" w:type="default"/>
          <w:footerReference r:id="rId4" w:type="default"/>
          <w:pgSz w:w="11906" w:h="16838"/>
          <w:pgMar w:top="1440" w:right="1803" w:bottom="1440" w:left="1803" w:header="0" w:footer="567" w:gutter="0"/>
          <w:cols w:space="720" w:num="1"/>
          <w:docGrid w:linePitch="312" w:charSpace="0"/>
        </w:sectPr>
      </w:pPr>
    </w:p>
    <w:p>
      <w:pPr>
        <w:numPr>
          <w:ilvl w:val="0"/>
          <w:numId w:val="1"/>
        </w:numPr>
        <w:spacing w:line="360" w:lineRule="auto"/>
        <w:jc w:val="center"/>
        <w:outlineLvl w:val="0"/>
        <w:rPr>
          <w:rFonts w:hint="eastAsia" w:ascii="仿宋" w:hAnsi="仿宋" w:eastAsia="仿宋" w:cs="仿宋"/>
          <w:b/>
          <w:bCs/>
          <w:sz w:val="32"/>
          <w:szCs w:val="32"/>
        </w:rPr>
      </w:pPr>
      <w:bookmarkStart w:id="0" w:name="_Toc30888"/>
      <w:r>
        <w:rPr>
          <w:rFonts w:hint="eastAsia" w:ascii="仿宋" w:hAnsi="仿宋" w:eastAsia="仿宋" w:cs="仿宋"/>
          <w:b/>
          <w:bCs/>
          <w:sz w:val="32"/>
          <w:szCs w:val="32"/>
        </w:rPr>
        <w:t>竞选邀请</w:t>
      </w:r>
      <w:bookmarkEnd w:id="0"/>
    </w:p>
    <w:p>
      <w:pPr>
        <w:widowControl/>
        <w:spacing w:line="360" w:lineRule="auto"/>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lang w:eastAsia="zh-CN"/>
        </w:rPr>
        <w:t>隆昌市</w:t>
      </w:r>
      <w:r>
        <w:rPr>
          <w:rFonts w:hint="eastAsia" w:ascii="仿宋" w:hAnsi="仿宋" w:eastAsia="仿宋" w:cs="仿宋"/>
          <w:sz w:val="28"/>
          <w:szCs w:val="28"/>
        </w:rPr>
        <w:t>人民医院拟对</w:t>
      </w:r>
      <w:r>
        <w:rPr>
          <w:rFonts w:hint="eastAsia" w:ascii="仿宋" w:hAnsi="仿宋" w:eastAsia="仿宋" w:cs="仿宋"/>
          <w:sz w:val="28"/>
          <w:szCs w:val="28"/>
          <w:lang w:eastAsia="zh-CN"/>
        </w:rPr>
        <w:t>“安全运维服务”进行采购。本项目通过在隆昌市人民医</w:t>
      </w:r>
      <w:r>
        <w:rPr>
          <w:rFonts w:hint="eastAsia" w:ascii="仿宋" w:hAnsi="仿宋" w:eastAsia="仿宋" w:cs="仿宋"/>
          <w:sz w:val="28"/>
          <w:szCs w:val="28"/>
        </w:rPr>
        <w:t xml:space="preserve">院官网上发布公告的方式，邀请符合条件的供应商参与本项目的竞选。 </w:t>
      </w:r>
    </w:p>
    <w:p>
      <w:pPr>
        <w:widowControl/>
        <w:spacing w:line="360" w:lineRule="auto"/>
        <w:jc w:val="left"/>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一、项目</w:t>
      </w:r>
      <w:r>
        <w:rPr>
          <w:rFonts w:hint="eastAsia" w:ascii="仿宋" w:hAnsi="仿宋" w:eastAsia="仿宋" w:cs="仿宋"/>
          <w:b/>
          <w:bCs/>
          <w:color w:val="auto"/>
          <w:sz w:val="28"/>
          <w:szCs w:val="28"/>
          <w:highlight w:val="none"/>
          <w:lang w:eastAsia="zh-CN"/>
        </w:rPr>
        <w:t>基本情况</w:t>
      </w:r>
      <w:r>
        <w:rPr>
          <w:rFonts w:hint="eastAsia" w:ascii="仿宋" w:hAnsi="仿宋" w:eastAsia="仿宋" w:cs="仿宋"/>
          <w:b/>
          <w:bCs/>
          <w:color w:val="auto"/>
          <w:sz w:val="28"/>
          <w:szCs w:val="28"/>
          <w:highlight w:val="none"/>
        </w:rPr>
        <w:t>：</w:t>
      </w:r>
    </w:p>
    <w:p>
      <w:pPr>
        <w:widowControl/>
        <w:spacing w:line="360" w:lineRule="auto"/>
        <w:ind w:firstLine="420"/>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（一）采购人：隆昌市</w:t>
      </w:r>
      <w:r>
        <w:rPr>
          <w:rFonts w:hint="eastAsia" w:ascii="仿宋" w:hAnsi="仿宋" w:eastAsia="仿宋" w:cs="仿宋"/>
          <w:color w:val="auto"/>
          <w:sz w:val="28"/>
          <w:szCs w:val="28"/>
          <w:highlight w:val="none"/>
        </w:rPr>
        <w:t>人民医院</w:t>
      </w:r>
    </w:p>
    <w:p>
      <w:pPr>
        <w:widowControl/>
        <w:spacing w:line="360" w:lineRule="auto"/>
        <w:ind w:firstLine="420"/>
        <w:jc w:val="left"/>
        <w:textAlignment w:val="center"/>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（二）</w:t>
      </w:r>
      <w:r>
        <w:rPr>
          <w:rFonts w:hint="eastAsia" w:ascii="仿宋" w:hAnsi="仿宋" w:eastAsia="仿宋" w:cs="仿宋"/>
          <w:b w:val="0"/>
          <w:bCs w:val="0"/>
          <w:color w:val="auto"/>
          <w:sz w:val="28"/>
          <w:szCs w:val="28"/>
          <w:highlight w:val="none"/>
          <w:lang w:eastAsia="zh-CN"/>
        </w:rPr>
        <w:t>采购</w:t>
      </w:r>
      <w:r>
        <w:rPr>
          <w:rFonts w:hint="eastAsia" w:ascii="仿宋" w:hAnsi="仿宋" w:eastAsia="仿宋" w:cs="仿宋"/>
          <w:color w:val="auto"/>
          <w:sz w:val="28"/>
          <w:szCs w:val="28"/>
          <w:highlight w:val="none"/>
          <w:lang w:eastAsia="zh-CN"/>
        </w:rPr>
        <w:t>项目名称：</w:t>
      </w:r>
      <w:r>
        <w:rPr>
          <w:rFonts w:hint="eastAsia" w:ascii="仿宋" w:hAnsi="仿宋" w:eastAsia="仿宋" w:cs="仿宋"/>
          <w:sz w:val="28"/>
          <w:szCs w:val="28"/>
          <w:lang w:eastAsia="zh-CN"/>
        </w:rPr>
        <w:t>安全运维服务</w:t>
      </w:r>
    </w:p>
    <w:p>
      <w:pPr>
        <w:widowControl/>
        <w:spacing w:line="360" w:lineRule="auto"/>
        <w:ind w:firstLine="420"/>
        <w:jc w:val="left"/>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（三）采购最高限价：</w:t>
      </w:r>
      <w:r>
        <w:rPr>
          <w:rFonts w:hint="eastAsia" w:ascii="仿宋" w:hAnsi="仿宋" w:eastAsia="仿宋" w:cs="仿宋"/>
          <w:color w:val="auto"/>
          <w:sz w:val="28"/>
          <w:szCs w:val="28"/>
          <w:highlight w:val="none"/>
          <w:lang w:val="en-US" w:eastAsia="zh-CN"/>
        </w:rPr>
        <w:t>29.6万元</w:t>
      </w:r>
    </w:p>
    <w:p>
      <w:pPr>
        <w:widowControl/>
        <w:spacing w:line="360" w:lineRule="auto"/>
        <w:ind w:firstLine="420"/>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sz w:val="28"/>
          <w:szCs w:val="28"/>
          <w:highlight w:val="none"/>
          <w:lang w:eastAsia="zh-CN"/>
        </w:rPr>
        <w:t>（四）采购项目</w:t>
      </w:r>
      <w:r>
        <w:rPr>
          <w:rFonts w:hint="eastAsia" w:ascii="仿宋" w:hAnsi="仿宋" w:eastAsia="仿宋" w:cs="仿宋"/>
          <w:color w:val="auto"/>
          <w:sz w:val="28"/>
          <w:szCs w:val="28"/>
          <w:highlight w:val="none"/>
        </w:rPr>
        <w:t>具体</w:t>
      </w:r>
      <w:r>
        <w:rPr>
          <w:rFonts w:ascii="仿宋" w:hAnsi="仿宋" w:eastAsia="仿宋" w:cs="仿宋"/>
          <w:color w:val="auto"/>
          <w:sz w:val="28"/>
          <w:szCs w:val="28"/>
          <w:highlight w:val="none"/>
        </w:rPr>
        <w:t>内容</w:t>
      </w:r>
      <w:r>
        <w:rPr>
          <w:rFonts w:hint="eastAsia" w:ascii="仿宋" w:hAnsi="仿宋" w:eastAsia="仿宋" w:cs="仿宋"/>
          <w:color w:val="auto"/>
          <w:sz w:val="28"/>
          <w:szCs w:val="28"/>
          <w:highlight w:val="none"/>
        </w:rPr>
        <w:t>详见本竞选</w:t>
      </w:r>
      <w:r>
        <w:rPr>
          <w:rFonts w:ascii="仿宋" w:hAnsi="仿宋" w:eastAsia="仿宋" w:cs="仿宋"/>
          <w:color w:val="auto"/>
          <w:sz w:val="28"/>
          <w:szCs w:val="28"/>
          <w:highlight w:val="none"/>
        </w:rPr>
        <w:t>文件第四部分</w:t>
      </w:r>
      <w:r>
        <w:rPr>
          <w:rFonts w:hint="eastAsia" w:ascii="仿宋" w:hAnsi="仿宋" w:eastAsia="仿宋" w:cs="仿宋"/>
          <w:color w:val="auto"/>
          <w:sz w:val="28"/>
          <w:szCs w:val="28"/>
          <w:highlight w:val="none"/>
          <w:lang w:eastAsia="zh-CN"/>
        </w:rPr>
        <w:t>。</w:t>
      </w:r>
    </w:p>
    <w:p>
      <w:pPr>
        <w:pStyle w:val="4"/>
        <w:numPr>
          <w:ilvl w:val="0"/>
          <w:numId w:val="2"/>
        </w:num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供应商参加竞选应当具备的资格条件</w:t>
      </w:r>
    </w:p>
    <w:p>
      <w:pPr>
        <w:widowControl/>
        <w:spacing w:line="360" w:lineRule="auto"/>
        <w:ind w:firstLine="42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lang w:val="en-US" w:eastAsia="zh-CN"/>
        </w:rPr>
        <w:t xml:space="preserve">具有独立承担民事责任的能力； </w:t>
      </w:r>
    </w:p>
    <w:p>
      <w:pPr>
        <w:widowControl/>
        <w:spacing w:line="360" w:lineRule="auto"/>
        <w:ind w:firstLine="42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lang w:val="en-US" w:eastAsia="zh-CN"/>
        </w:rPr>
        <w:t xml:space="preserve">具有良好的商业信誉和健全的财务会计制度； </w:t>
      </w:r>
    </w:p>
    <w:p>
      <w:pPr>
        <w:widowControl/>
        <w:spacing w:line="360" w:lineRule="auto"/>
        <w:ind w:firstLine="42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lang w:val="en-US" w:eastAsia="zh-CN"/>
        </w:rPr>
        <w:t xml:space="preserve">具有履行合同所必需的设备和专业技术能力； </w:t>
      </w:r>
    </w:p>
    <w:p>
      <w:pPr>
        <w:widowControl/>
        <w:spacing w:line="360" w:lineRule="auto"/>
        <w:ind w:firstLine="42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lang w:val="en-US" w:eastAsia="zh-CN"/>
        </w:rPr>
        <w:t xml:space="preserve">具有依法缴纳税收和社会保障资金的良好记录； </w:t>
      </w:r>
    </w:p>
    <w:p>
      <w:pPr>
        <w:widowControl/>
        <w:spacing w:line="360" w:lineRule="auto"/>
        <w:ind w:firstLine="42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lang w:val="en-US" w:eastAsia="zh-CN"/>
        </w:rPr>
        <w:t xml:space="preserve">参加本次政府采购活动前三年内，在经营活动中没有重大违法记录； </w:t>
      </w:r>
    </w:p>
    <w:p>
      <w:pPr>
        <w:widowControl/>
        <w:spacing w:line="360" w:lineRule="auto"/>
        <w:ind w:firstLine="42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lang w:val="en-US" w:eastAsia="zh-CN"/>
        </w:rPr>
        <w:t>法律、行政法规规定的其他条件；</w:t>
      </w:r>
    </w:p>
    <w:p>
      <w:pPr>
        <w:widowControl/>
        <w:spacing w:line="360" w:lineRule="auto"/>
        <w:ind w:firstLine="420"/>
        <w:jc w:val="left"/>
        <w:textAlignment w:val="center"/>
        <w:rPr>
          <w:rFonts w:hint="eastAsia" w:ascii="仿宋" w:hAnsi="仿宋" w:eastAsia="仿宋" w:cs="仿宋"/>
          <w:color w:val="auto"/>
          <w:sz w:val="28"/>
          <w:szCs w:val="28"/>
          <w:highlight w:val="none"/>
          <w:lang w:eastAsia="zh-CN"/>
        </w:rPr>
      </w:pPr>
    </w:p>
    <w:p>
      <w:pPr>
        <w:pStyle w:val="4"/>
        <w:numPr>
          <w:ilvl w:val="0"/>
          <w:numId w:val="2"/>
        </w:num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竞选文件的获取</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sz w:val="28"/>
          <w:szCs w:val="28"/>
        </w:rPr>
        <w:t>（一）</w:t>
      </w:r>
      <w:r>
        <w:rPr>
          <w:rFonts w:ascii="仿宋" w:hAnsi="仿宋" w:eastAsia="仿宋" w:cs="仿宋"/>
          <w:b/>
          <w:sz w:val="28"/>
          <w:szCs w:val="28"/>
        </w:rPr>
        <w:t>获取文件的时间期限(即报名时间)</w:t>
      </w:r>
      <w:r>
        <w:rPr>
          <w:rFonts w:ascii="仿宋" w:hAnsi="仿宋" w:eastAsia="仿宋" w:cs="仿宋"/>
          <w:sz w:val="28"/>
          <w:szCs w:val="28"/>
        </w:rPr>
        <w:t>：</w:t>
      </w:r>
      <w:r>
        <w:rPr>
          <w:rFonts w:ascii="仿宋" w:hAnsi="仿宋" w:eastAsia="仿宋" w:cs="仿宋"/>
          <w:color w:val="auto"/>
          <w:sz w:val="28"/>
          <w:szCs w:val="28"/>
        </w:rPr>
        <w:t xml:space="preserve"> </w:t>
      </w:r>
      <w:r>
        <w:rPr>
          <w:rFonts w:ascii="仿宋" w:hAnsi="仿宋" w:eastAsia="仿宋" w:cs="仿宋"/>
          <w:color w:val="000000" w:themeColor="text1"/>
          <w:sz w:val="28"/>
          <w:szCs w:val="28"/>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ascii="仿宋" w:hAnsi="仿宋" w:eastAsia="仿宋" w:cs="仿宋"/>
          <w:color w:val="000000" w:themeColor="text1"/>
          <w:sz w:val="28"/>
          <w:szCs w:val="28"/>
          <w14:textFill>
            <w14:solidFill>
              <w14:schemeClr w14:val="tx1"/>
            </w14:solidFill>
          </w14:textFill>
        </w:rPr>
        <w:t>日至202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ascii="仿宋" w:hAnsi="仿宋" w:eastAsia="仿宋" w:cs="仿宋"/>
          <w:color w:val="000000" w:themeColor="text1"/>
          <w:sz w:val="28"/>
          <w:szCs w:val="28"/>
          <w14:textFill>
            <w14:solidFill>
              <w14:schemeClr w14:val="tx1"/>
            </w14:solidFill>
          </w14:textFill>
        </w:rPr>
        <w:t xml:space="preserve">日 </w:t>
      </w:r>
      <w:r>
        <w:rPr>
          <w:rFonts w:hint="eastAsia" w:ascii="仿宋" w:hAnsi="仿宋" w:eastAsia="仿宋" w:cs="仿宋"/>
          <w:color w:val="000000" w:themeColor="text1"/>
          <w:sz w:val="28"/>
          <w:szCs w:val="28"/>
          <w:lang w:val="en-US" w:eastAsia="zh-CN"/>
          <w14:textFill>
            <w14:solidFill>
              <w14:schemeClr w14:val="tx1"/>
            </w14:solidFill>
          </w14:textFill>
        </w:rPr>
        <w:t>17:00</w:t>
      </w:r>
      <w:r>
        <w:rPr>
          <w:rFonts w:ascii="仿宋" w:hAnsi="仿宋" w:eastAsia="仿宋" w:cs="仿宋"/>
          <w:color w:val="auto"/>
          <w:sz w:val="28"/>
          <w:szCs w:val="28"/>
        </w:rPr>
        <w:t>(节假日除外，逾期不予办理)。</w:t>
      </w:r>
    </w:p>
    <w:p>
      <w:pPr>
        <w:spacing w:line="360" w:lineRule="auto"/>
        <w:ind w:firstLine="560" w:firstLineChars="200"/>
        <w:jc w:val="left"/>
        <w:rPr>
          <w:rFonts w:hint="eastAsia"/>
          <w:color w:val="auto"/>
          <w:highlight w:val="yellow"/>
        </w:rPr>
      </w:pPr>
      <w:r>
        <w:rPr>
          <w:rFonts w:hint="eastAsia" w:ascii="仿宋" w:hAnsi="仿宋" w:eastAsia="仿宋" w:cs="仿宋"/>
          <w:color w:val="auto"/>
          <w:sz w:val="28"/>
          <w:szCs w:val="28"/>
        </w:rPr>
        <w:t>（二）</w:t>
      </w:r>
      <w:r>
        <w:rPr>
          <w:rFonts w:hint="eastAsia" w:ascii="仿宋" w:hAnsi="仿宋" w:eastAsia="仿宋" w:cs="仿宋"/>
          <w:b/>
          <w:color w:val="auto"/>
          <w:sz w:val="28"/>
          <w:szCs w:val="28"/>
        </w:rPr>
        <w:t>竞选文件获取方式：</w:t>
      </w:r>
      <w:r>
        <w:rPr>
          <w:rFonts w:hint="eastAsia" w:ascii="仿宋" w:hAnsi="仿宋" w:eastAsia="仿宋" w:cs="仿宋"/>
          <w:color w:val="auto"/>
          <w:sz w:val="28"/>
          <w:szCs w:val="28"/>
        </w:rPr>
        <w:t>自本项目公告发布之日起，供应商自行进入</w:t>
      </w:r>
      <w:r>
        <w:rPr>
          <w:rFonts w:hint="eastAsia" w:ascii="仿宋" w:hAnsi="仿宋" w:eastAsia="仿宋" w:cs="仿宋"/>
          <w:color w:val="auto"/>
          <w:sz w:val="28"/>
          <w:szCs w:val="28"/>
          <w:lang w:eastAsia="zh-CN"/>
        </w:rPr>
        <w:t>隆昌市</w:t>
      </w:r>
      <w:r>
        <w:rPr>
          <w:rFonts w:hint="eastAsia" w:ascii="仿宋" w:hAnsi="仿宋" w:eastAsia="仿宋" w:cs="仿宋"/>
          <w:color w:val="auto"/>
          <w:sz w:val="28"/>
          <w:szCs w:val="28"/>
        </w:rPr>
        <w:t>人民医院门户网站，</w:t>
      </w:r>
      <w:r>
        <w:rPr>
          <w:rFonts w:hint="eastAsia" w:ascii="仿宋" w:hAnsi="仿宋" w:eastAsia="仿宋" w:cs="仿宋"/>
          <w:color w:val="auto"/>
          <w:sz w:val="28"/>
          <w:szCs w:val="28"/>
          <w:highlight w:val="none"/>
        </w:rPr>
        <w:t>自行下载公告附件中的《报名登记表》，并按相关要求填写信息，</w:t>
      </w:r>
      <w:r>
        <w:rPr>
          <w:rFonts w:ascii="仿宋" w:hAnsi="仿宋" w:eastAsia="仿宋" w:cs="仿宋"/>
          <w:color w:val="auto"/>
          <w:sz w:val="28"/>
          <w:szCs w:val="28"/>
          <w:highlight w:val="none"/>
          <w:u w:val="none"/>
        </w:rPr>
        <w:fldChar w:fldCharType="begin"/>
      </w:r>
      <w:r>
        <w:rPr>
          <w:rFonts w:ascii="仿宋" w:hAnsi="仿宋" w:eastAsia="仿宋" w:cs="仿宋"/>
          <w:color w:val="auto"/>
          <w:sz w:val="28"/>
          <w:szCs w:val="28"/>
          <w:highlight w:val="none"/>
          <w:u w:val="none"/>
        </w:rPr>
        <w:instrText xml:space="preserve"> HYPERLINK "mailto:</w:instrText>
      </w:r>
      <w:r>
        <w:rPr>
          <w:rFonts w:hint="eastAsia" w:ascii="仿宋" w:hAnsi="仿宋" w:eastAsia="仿宋" w:cs="仿宋"/>
          <w:color w:val="auto"/>
          <w:sz w:val="28"/>
          <w:szCs w:val="28"/>
          <w:highlight w:val="none"/>
          <w:u w:val="none"/>
        </w:rPr>
        <w:instrText xml:space="preserve">将报名资料发送njyyjss@163.com</w:instrText>
      </w:r>
      <w:r>
        <w:rPr>
          <w:rFonts w:ascii="仿宋" w:hAnsi="仿宋" w:eastAsia="仿宋" w:cs="仿宋"/>
          <w:color w:val="auto"/>
          <w:sz w:val="28"/>
          <w:szCs w:val="28"/>
          <w:highlight w:val="none"/>
          <w:u w:val="none"/>
        </w:rPr>
        <w:instrText xml:space="preserve">" </w:instrText>
      </w:r>
      <w:r>
        <w:rPr>
          <w:rFonts w:ascii="仿宋" w:hAnsi="仿宋" w:eastAsia="仿宋" w:cs="仿宋"/>
          <w:color w:val="auto"/>
          <w:sz w:val="28"/>
          <w:szCs w:val="28"/>
          <w:highlight w:val="none"/>
          <w:u w:val="none"/>
        </w:rPr>
        <w:fldChar w:fldCharType="separate"/>
      </w:r>
      <w:r>
        <w:rPr>
          <w:rStyle w:val="16"/>
          <w:rFonts w:hint="default" w:ascii="仿宋" w:hAnsi="仿宋" w:eastAsia="仿宋" w:cs="仿宋"/>
          <w:color w:val="auto"/>
          <w:sz w:val="28"/>
          <w:szCs w:val="28"/>
          <w:highlight w:val="none"/>
          <w:u w:val="none"/>
        </w:rPr>
        <w:t>将报名资料发送</w:t>
      </w:r>
      <w:r>
        <w:rPr>
          <w:rFonts w:ascii="仿宋" w:hAnsi="仿宋" w:eastAsia="仿宋" w:cs="仿宋"/>
          <w:color w:val="auto"/>
          <w:sz w:val="28"/>
          <w:szCs w:val="28"/>
          <w:highlight w:val="none"/>
          <w:u w:val="none"/>
        </w:rPr>
        <w:fldChar w:fldCharType="end"/>
      </w:r>
      <w:r>
        <w:rPr>
          <w:rFonts w:hint="eastAsia" w:ascii="仿宋" w:hAnsi="仿宋" w:eastAsia="仿宋" w:cs="仿宋"/>
          <w:color w:val="auto"/>
          <w:sz w:val="28"/>
          <w:szCs w:val="28"/>
          <w:highlight w:val="none"/>
          <w:u w:val="none"/>
          <w:lang w:eastAsia="zh-CN"/>
        </w:rPr>
        <w:t>至</w:t>
      </w:r>
      <w:r>
        <w:rPr>
          <w:rFonts w:hint="eastAsia" w:ascii="仿宋" w:hAnsi="仿宋" w:eastAsia="仿宋" w:cs="仿宋"/>
          <w:sz w:val="28"/>
          <w:szCs w:val="28"/>
          <w:lang w:val="en-US" w:eastAsia="zh-CN"/>
        </w:rPr>
        <w:t>1901158553</w:t>
      </w:r>
      <w:r>
        <w:rPr>
          <w:rFonts w:hint="eastAsia" w:ascii="仿宋" w:hAnsi="仿宋" w:eastAsia="仿宋" w:cs="仿宋"/>
          <w:color w:val="auto"/>
          <w:sz w:val="28"/>
          <w:szCs w:val="28"/>
          <w:highlight w:val="none"/>
          <w:u w:val="none"/>
          <w:lang w:val="en-US" w:eastAsia="zh-CN"/>
        </w:rPr>
        <w:t>@qq.com</w:t>
      </w:r>
      <w:r>
        <w:rPr>
          <w:rFonts w:hint="eastAsia" w:ascii="仿宋" w:hAnsi="仿宋" w:eastAsia="仿宋" w:cs="仿宋"/>
          <w:color w:val="auto"/>
          <w:sz w:val="28"/>
          <w:szCs w:val="28"/>
          <w:highlight w:val="none"/>
        </w:rPr>
        <w:t>。</w:t>
      </w:r>
    </w:p>
    <w:p>
      <w:pPr>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（三）</w:t>
      </w:r>
      <w:r>
        <w:rPr>
          <w:rFonts w:hint="eastAsia" w:ascii="仿宋" w:hAnsi="仿宋" w:eastAsia="仿宋" w:cs="仿宋"/>
          <w:color w:val="auto"/>
          <w:kern w:val="0"/>
          <w:sz w:val="28"/>
          <w:szCs w:val="28"/>
          <w:lang w:bidi="ar"/>
        </w:rPr>
        <w:t>本项目竞选文件无偿获取。</w:t>
      </w:r>
    </w:p>
    <w:p>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w:t>
      </w:r>
      <w:r>
        <w:rPr>
          <w:rFonts w:hint="eastAsia" w:ascii="仿宋" w:hAnsi="仿宋" w:eastAsia="仿宋" w:cs="仿宋"/>
          <w:b/>
          <w:bCs/>
          <w:color w:val="auto"/>
          <w:sz w:val="28"/>
          <w:szCs w:val="28"/>
          <w:highlight w:val="none"/>
          <w:lang w:eastAsia="zh-CN"/>
        </w:rPr>
        <w:t>竞选</w:t>
      </w:r>
      <w:r>
        <w:rPr>
          <w:rFonts w:hint="eastAsia" w:ascii="仿宋" w:hAnsi="仿宋" w:eastAsia="仿宋" w:cs="仿宋"/>
          <w:b/>
          <w:bCs/>
          <w:color w:val="auto"/>
          <w:sz w:val="28"/>
          <w:szCs w:val="28"/>
          <w:highlight w:val="none"/>
        </w:rPr>
        <w:t>地点</w:t>
      </w:r>
      <w:r>
        <w:rPr>
          <w:rFonts w:ascii="仿宋" w:hAnsi="仿宋" w:eastAsia="仿宋" w:cs="仿宋"/>
          <w:b/>
          <w:bCs/>
          <w:color w:val="auto"/>
          <w:sz w:val="28"/>
          <w:szCs w:val="28"/>
          <w:highlight w:val="none"/>
        </w:rPr>
        <w:t>及时间</w:t>
      </w:r>
    </w:p>
    <w:p>
      <w:pPr>
        <w:spacing w:line="360" w:lineRule="auto"/>
        <w:ind w:firstLine="422" w:firstLineChars="150"/>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（一）竞选</w:t>
      </w:r>
      <w:r>
        <w:rPr>
          <w:rFonts w:hint="eastAsia" w:ascii="仿宋" w:hAnsi="仿宋" w:eastAsia="仿宋" w:cs="仿宋"/>
          <w:b/>
          <w:bCs/>
          <w:color w:val="000000" w:themeColor="text1"/>
          <w:sz w:val="28"/>
          <w:szCs w:val="28"/>
          <w:highlight w:val="none"/>
          <w14:textFill>
            <w14:solidFill>
              <w14:schemeClr w14:val="tx1"/>
            </w14:solidFill>
          </w14:textFill>
        </w:rPr>
        <w:t>时间：</w:t>
      </w:r>
      <w:r>
        <w:rPr>
          <w:rFonts w:hint="eastAsia" w:ascii="仿宋" w:hAnsi="仿宋" w:eastAsia="仿宋" w:cs="仿宋"/>
          <w:b w:val="0"/>
          <w:bCs w:val="0"/>
          <w:color w:val="000000" w:themeColor="text1"/>
          <w:sz w:val="28"/>
          <w:szCs w:val="28"/>
          <w:highlight w:val="none"/>
          <w14:textFill>
            <w14:solidFill>
              <w14:schemeClr w14:val="tx1"/>
            </w14:solidFill>
          </w14:textFill>
        </w:rPr>
        <w:t>202</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8"/>
          <w:szCs w:val="28"/>
          <w:highlight w:val="none"/>
          <w14:textFill>
            <w14:solidFill>
              <w14:schemeClr w14:val="tx1"/>
            </w14:solidFill>
          </w14:textFill>
        </w:rPr>
        <w:t>年</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b w:val="0"/>
          <w:bCs w:val="0"/>
          <w:color w:val="000000" w:themeColor="text1"/>
          <w:sz w:val="28"/>
          <w:szCs w:val="28"/>
          <w:highlight w:val="none"/>
          <w14:textFill>
            <w14:solidFill>
              <w14:schemeClr w14:val="tx1"/>
            </w14:solidFill>
          </w14:textFill>
        </w:rPr>
        <w:t>月</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19</w:t>
      </w:r>
      <w:r>
        <w:rPr>
          <w:rFonts w:hint="eastAsia" w:ascii="仿宋" w:hAnsi="仿宋" w:eastAsia="仿宋" w:cs="仿宋"/>
          <w:b w:val="0"/>
          <w:bCs w:val="0"/>
          <w:color w:val="000000" w:themeColor="text1"/>
          <w:sz w:val="28"/>
          <w:szCs w:val="28"/>
          <w:highlight w:val="none"/>
          <w14:textFill>
            <w14:solidFill>
              <w14:schemeClr w14:val="tx1"/>
            </w14:solidFill>
          </w14:textFill>
        </w:rPr>
        <w:t>日</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 xml:space="preserve">10:00 </w:t>
      </w:r>
    </w:p>
    <w:p>
      <w:pPr>
        <w:pStyle w:val="4"/>
        <w:spacing w:line="360" w:lineRule="auto"/>
        <w:ind w:firstLine="42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（二）</w:t>
      </w:r>
      <w:r>
        <w:rPr>
          <w:rFonts w:hint="eastAsia" w:ascii="仿宋" w:hAnsi="仿宋" w:eastAsia="仿宋" w:cs="仿宋"/>
          <w:b/>
          <w:bCs/>
          <w:color w:val="000000" w:themeColor="text1"/>
          <w:sz w:val="28"/>
          <w:szCs w:val="28"/>
          <w:highlight w:val="none"/>
          <w:lang w:eastAsia="zh-CN"/>
          <w14:textFill>
            <w14:solidFill>
              <w14:schemeClr w14:val="tx1"/>
            </w14:solidFill>
          </w14:textFill>
        </w:rPr>
        <w:t>竞选</w:t>
      </w:r>
      <w:r>
        <w:rPr>
          <w:rFonts w:hint="eastAsia" w:ascii="仿宋" w:hAnsi="仿宋" w:eastAsia="仿宋" w:cs="仿宋"/>
          <w:b/>
          <w:color w:val="000000" w:themeColor="text1"/>
          <w:sz w:val="28"/>
          <w:szCs w:val="28"/>
          <w:highlight w:val="none"/>
          <w14:textFill>
            <w14:solidFill>
              <w14:schemeClr w14:val="tx1"/>
            </w14:solidFill>
          </w14:textFill>
        </w:rPr>
        <w:t>地点</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auto"/>
          <w:sz w:val="28"/>
          <w:szCs w:val="28"/>
        </w:rPr>
        <w:t>隆昌市</w:t>
      </w:r>
      <w:r>
        <w:rPr>
          <w:rFonts w:hint="eastAsia" w:ascii="仿宋" w:hAnsi="仿宋" w:eastAsia="仿宋" w:cs="仿宋"/>
          <w:color w:val="auto"/>
          <w:sz w:val="28"/>
          <w:szCs w:val="28"/>
          <w:lang w:eastAsia="zh-CN"/>
        </w:rPr>
        <w:t>人民医院</w:t>
      </w:r>
      <w:r>
        <w:rPr>
          <w:rFonts w:hint="eastAsia" w:ascii="仿宋" w:hAnsi="仿宋" w:eastAsia="仿宋" w:cs="仿宋"/>
          <w:color w:val="auto"/>
          <w:sz w:val="28"/>
          <w:szCs w:val="28"/>
          <w:highlight w:val="none"/>
          <w:lang w:eastAsia="zh-CN"/>
        </w:rPr>
        <w:t>医患沟通室</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450" w:firstLineChars="150"/>
        <w:rPr>
          <w:rFonts w:hint="eastAsia" w:ascii="仿宋" w:hAnsi="仿宋" w:eastAsia="仿宋" w:cs="仿宋"/>
          <w:b/>
          <w:bCs/>
          <w:sz w:val="30"/>
          <w:szCs w:val="30"/>
        </w:rPr>
      </w:pPr>
      <w:r>
        <w:rPr>
          <w:rFonts w:hint="eastAsia" w:ascii="仿宋" w:hAnsi="仿宋" w:eastAsia="仿宋" w:cs="仿宋"/>
          <w:sz w:val="30"/>
          <w:szCs w:val="30"/>
        </w:rPr>
        <w:t>请在规定的时间内将响应文件递交至指定地点，逾期送达或不符合竞选文件相关规定的响应文件恕不接受。本次</w:t>
      </w:r>
      <w:r>
        <w:rPr>
          <w:rFonts w:hint="eastAsia" w:ascii="仿宋" w:hAnsi="仿宋" w:eastAsia="仿宋" w:cs="仿宋"/>
          <w:sz w:val="30"/>
          <w:szCs w:val="30"/>
          <w:lang w:eastAsia="zh-CN"/>
        </w:rPr>
        <w:t>不</w:t>
      </w:r>
      <w:r>
        <w:rPr>
          <w:rFonts w:hint="eastAsia" w:ascii="仿宋" w:hAnsi="仿宋" w:eastAsia="仿宋" w:cs="仿宋"/>
          <w:sz w:val="30"/>
          <w:szCs w:val="30"/>
        </w:rPr>
        <w:t>接受邮寄的响应文件。</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五、联系人及联系电话</w:t>
      </w:r>
    </w:p>
    <w:p>
      <w:pPr>
        <w:tabs>
          <w:tab w:val="left" w:pos="1134"/>
        </w:tabs>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组织部门：设备科</w:t>
      </w:r>
      <w:bookmarkStart w:id="8" w:name="_GoBack"/>
      <w:bookmarkEnd w:id="8"/>
    </w:p>
    <w:p>
      <w:pPr>
        <w:tabs>
          <w:tab w:val="left" w:pos="1134"/>
        </w:tabs>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李老师</w:t>
      </w:r>
    </w:p>
    <w:p>
      <w:pPr>
        <w:tabs>
          <w:tab w:val="left" w:pos="1134"/>
        </w:tabs>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rPr>
        <w:t>联系方式：</w:t>
      </w:r>
      <w:r>
        <w:rPr>
          <w:rFonts w:hint="eastAsia" w:ascii="仿宋" w:hAnsi="仿宋" w:eastAsia="仿宋" w:cs="仿宋"/>
          <w:sz w:val="28"/>
          <w:szCs w:val="28"/>
          <w:highlight w:val="none"/>
          <w:lang w:val="en-US" w:eastAsia="zh-CN"/>
        </w:rPr>
        <w:t>18090315595</w:t>
      </w:r>
    </w:p>
    <w:p>
      <w:pPr>
        <w:tabs>
          <w:tab w:val="left" w:pos="1134"/>
        </w:tabs>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监督部门：</w:t>
      </w:r>
      <w:r>
        <w:rPr>
          <w:rFonts w:hint="eastAsia" w:ascii="仿宋" w:hAnsi="仿宋" w:eastAsia="仿宋" w:cs="仿宋"/>
          <w:sz w:val="28"/>
          <w:szCs w:val="28"/>
          <w:lang w:eastAsia="zh-CN"/>
        </w:rPr>
        <w:t>纪检</w:t>
      </w:r>
      <w:r>
        <w:rPr>
          <w:rFonts w:hint="eastAsia" w:ascii="仿宋" w:hAnsi="仿宋" w:eastAsia="仿宋" w:cs="仿宋"/>
          <w:sz w:val="28"/>
          <w:szCs w:val="28"/>
        </w:rPr>
        <w:t>监察室</w:t>
      </w:r>
    </w:p>
    <w:p>
      <w:pPr>
        <w:tabs>
          <w:tab w:val="left" w:pos="1134"/>
        </w:tabs>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联系方式：0832-</w:t>
      </w:r>
      <w:r>
        <w:rPr>
          <w:rFonts w:hint="eastAsia" w:ascii="仿宋" w:hAnsi="仿宋" w:eastAsia="仿宋" w:cs="仿宋"/>
          <w:sz w:val="28"/>
          <w:szCs w:val="28"/>
          <w:lang w:val="en-US" w:eastAsia="zh-CN"/>
        </w:rPr>
        <w:t>3958030</w:t>
      </w:r>
    </w:p>
    <w:p>
      <w:pPr>
        <w:tabs>
          <w:tab w:val="left" w:pos="1134"/>
        </w:tabs>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rPr>
        <w:t>邮箱：</w:t>
      </w:r>
      <w:r>
        <w:rPr>
          <w:rFonts w:hint="eastAsia" w:ascii="仿宋" w:hAnsi="仿宋" w:eastAsia="仿宋" w:cs="仿宋"/>
          <w:color w:val="auto"/>
          <w:sz w:val="28"/>
          <w:szCs w:val="28"/>
          <w:highlight w:val="none"/>
          <w:u w:val="none"/>
          <w:lang w:val="en-US" w:eastAsia="zh-CN"/>
        </w:rPr>
        <w:t>417965186</w:t>
      </w:r>
      <w:r>
        <w:rPr>
          <w:rFonts w:hint="eastAsia" w:ascii="仿宋" w:hAnsi="仿宋" w:eastAsia="仿宋" w:cs="仿宋"/>
          <w:sz w:val="28"/>
          <w:szCs w:val="28"/>
          <w:highlight w:val="none"/>
          <w:lang w:val="en-US" w:eastAsia="zh-CN"/>
        </w:rPr>
        <w:t>@qq.com</w:t>
      </w:r>
    </w:p>
    <w:p>
      <w:pPr>
        <w:rPr>
          <w:rFonts w:hint="eastAsia" w:ascii="仿宋" w:hAnsi="仿宋" w:eastAsia="仿宋" w:cs="仿宋"/>
        </w:rPr>
      </w:pPr>
    </w:p>
    <w:p>
      <w:pPr>
        <w:pStyle w:val="4"/>
        <w:spacing w:line="240" w:lineRule="atLeast"/>
        <w:jc w:val="left"/>
        <w:rPr>
          <w:rFonts w:hint="eastAsia" w:ascii="仿宋" w:hAnsi="仿宋" w:eastAsia="仿宋" w:cs="仿宋"/>
          <w:b/>
          <w:bCs/>
          <w:color w:val="FF0000"/>
          <w:sz w:val="24"/>
        </w:rPr>
      </w:pPr>
    </w:p>
    <w:p>
      <w:pPr>
        <w:rPr>
          <w:rFonts w:hint="eastAsia" w:ascii="仿宋" w:hAnsi="仿宋" w:eastAsia="仿宋" w:cs="仿宋"/>
          <w:b/>
          <w:bCs/>
          <w:color w:val="FF0000"/>
          <w:sz w:val="24"/>
        </w:rPr>
      </w:pPr>
    </w:p>
    <w:p>
      <w:pPr>
        <w:pStyle w:val="4"/>
        <w:rPr>
          <w:rFonts w:hint="eastAsia" w:ascii="仿宋" w:hAnsi="仿宋" w:eastAsia="仿宋" w:cs="仿宋"/>
          <w:b/>
          <w:bCs/>
          <w:color w:val="FF0000"/>
          <w:sz w:val="24"/>
        </w:rPr>
      </w:pPr>
    </w:p>
    <w:p>
      <w:pPr>
        <w:rPr>
          <w:rFonts w:hint="eastAsia" w:ascii="仿宋" w:hAnsi="仿宋" w:eastAsia="仿宋" w:cs="仿宋"/>
          <w:b/>
          <w:bCs/>
          <w:color w:val="FF0000"/>
          <w:sz w:val="24"/>
        </w:rPr>
      </w:pPr>
    </w:p>
    <w:p>
      <w:pPr>
        <w:rPr>
          <w:rFonts w:hint="eastAsia" w:ascii="仿宋" w:hAnsi="仿宋" w:eastAsia="仿宋" w:cs="仿宋"/>
          <w:b/>
          <w:bCs/>
          <w:color w:val="FF0000"/>
          <w:sz w:val="24"/>
        </w:rPr>
      </w:pPr>
    </w:p>
    <w:p>
      <w:pPr>
        <w:pStyle w:val="2"/>
        <w:rPr>
          <w:rFonts w:hint="eastAsia" w:ascii="仿宋" w:hAnsi="仿宋" w:eastAsia="仿宋" w:cs="仿宋"/>
          <w:b/>
          <w:bCs/>
          <w:color w:val="FF0000"/>
          <w:sz w:val="24"/>
        </w:rPr>
      </w:pPr>
    </w:p>
    <w:p>
      <w:pPr>
        <w:rPr>
          <w:rFonts w:hint="eastAsia"/>
        </w:rPr>
      </w:pPr>
    </w:p>
    <w:p>
      <w:pPr>
        <w:pStyle w:val="4"/>
        <w:rPr>
          <w:rFonts w:hint="eastAsia" w:ascii="仿宋" w:hAnsi="仿宋" w:eastAsia="仿宋" w:cs="仿宋"/>
          <w:b/>
          <w:bCs/>
          <w:color w:val="FF0000"/>
          <w:sz w:val="24"/>
        </w:rPr>
      </w:pPr>
    </w:p>
    <w:p>
      <w:pPr>
        <w:rPr>
          <w:rFonts w:hint="eastAsia" w:ascii="仿宋" w:hAnsi="仿宋" w:eastAsia="仿宋" w:cs="仿宋"/>
          <w:b/>
          <w:bCs/>
          <w:color w:val="FF0000"/>
          <w:sz w:val="24"/>
        </w:rPr>
      </w:pPr>
    </w:p>
    <w:p>
      <w:pPr>
        <w:pStyle w:val="4"/>
        <w:rPr>
          <w:rFonts w:hint="eastAsia" w:ascii="仿宋" w:hAnsi="仿宋" w:eastAsia="仿宋" w:cs="仿宋"/>
          <w:b/>
          <w:bCs/>
          <w:color w:val="FF0000"/>
          <w:sz w:val="24"/>
        </w:rPr>
      </w:pPr>
    </w:p>
    <w:p>
      <w:pPr>
        <w:rPr>
          <w:rFonts w:hint="eastAsia" w:ascii="仿宋" w:hAnsi="仿宋" w:eastAsia="仿宋" w:cs="仿宋"/>
          <w:b/>
          <w:bCs/>
          <w:color w:val="FF0000"/>
          <w:sz w:val="24"/>
        </w:rPr>
      </w:pPr>
    </w:p>
    <w:p>
      <w:pPr>
        <w:pStyle w:val="4"/>
        <w:rPr>
          <w:rFonts w:hint="eastAsia" w:ascii="仿宋" w:hAnsi="仿宋" w:eastAsia="仿宋" w:cs="仿宋"/>
          <w:b/>
          <w:bCs/>
          <w:color w:val="FF0000"/>
          <w:sz w:val="24"/>
        </w:rPr>
      </w:pPr>
    </w:p>
    <w:p>
      <w:pPr>
        <w:rPr>
          <w:rFonts w:hint="eastAsia" w:ascii="仿宋" w:hAnsi="仿宋" w:eastAsia="仿宋" w:cs="仿宋"/>
          <w:b/>
          <w:bCs/>
          <w:color w:val="FF0000"/>
          <w:sz w:val="24"/>
        </w:rPr>
      </w:pPr>
    </w:p>
    <w:p>
      <w:pPr>
        <w:pStyle w:val="4"/>
        <w:rPr>
          <w:rFonts w:hint="eastAsia" w:ascii="仿宋" w:hAnsi="仿宋" w:eastAsia="仿宋" w:cs="仿宋"/>
          <w:b/>
          <w:bCs/>
          <w:color w:val="FF0000"/>
          <w:sz w:val="24"/>
        </w:rPr>
      </w:pPr>
    </w:p>
    <w:p>
      <w:pPr>
        <w:rPr>
          <w:rFonts w:hint="eastAsia" w:ascii="仿宋" w:hAnsi="仿宋" w:eastAsia="仿宋" w:cs="仿宋"/>
          <w:b/>
          <w:bCs/>
          <w:color w:val="FF0000"/>
          <w:sz w:val="24"/>
        </w:rPr>
      </w:pPr>
    </w:p>
    <w:p>
      <w:pPr>
        <w:pStyle w:val="4"/>
        <w:rPr>
          <w:rFonts w:hint="eastAsia" w:ascii="仿宋" w:hAnsi="仿宋" w:eastAsia="仿宋" w:cs="仿宋"/>
          <w:b/>
          <w:bCs/>
          <w:color w:val="FF0000"/>
          <w:sz w:val="24"/>
        </w:rPr>
      </w:pPr>
    </w:p>
    <w:p>
      <w:pPr>
        <w:rPr>
          <w:rFonts w:hint="eastAsia"/>
        </w:rPr>
      </w:pPr>
    </w:p>
    <w:p>
      <w:pPr>
        <w:pStyle w:val="4"/>
        <w:rPr>
          <w:rFonts w:hint="eastAsia"/>
        </w:rPr>
      </w:pPr>
    </w:p>
    <w:p>
      <w:pPr>
        <w:pStyle w:val="4"/>
        <w:rPr>
          <w:rFonts w:ascii="仿宋" w:hAnsi="仿宋" w:eastAsia="仿宋" w:cs="仿宋"/>
          <w:b/>
          <w:bCs/>
          <w:color w:val="FF0000"/>
          <w:sz w:val="24"/>
        </w:rPr>
      </w:pPr>
    </w:p>
    <w:p/>
    <w:p>
      <w:pPr>
        <w:pStyle w:val="4"/>
      </w:pPr>
    </w:p>
    <w:p>
      <w:pPr>
        <w:rPr>
          <w:rFonts w:hint="eastAsia"/>
        </w:rPr>
      </w:pPr>
    </w:p>
    <w:p>
      <w:pPr>
        <w:numPr>
          <w:ilvl w:val="0"/>
          <w:numId w:val="1"/>
        </w:numPr>
        <w:spacing w:line="360" w:lineRule="auto"/>
        <w:jc w:val="center"/>
        <w:outlineLvl w:val="0"/>
        <w:rPr>
          <w:rFonts w:hint="eastAsia" w:ascii="仿宋" w:hAnsi="仿宋" w:eastAsia="仿宋" w:cs="仿宋"/>
          <w:b/>
          <w:bCs/>
          <w:sz w:val="28"/>
          <w:szCs w:val="28"/>
        </w:rPr>
      </w:pPr>
      <w:bookmarkStart w:id="1" w:name="_Toc27866"/>
      <w:r>
        <w:rPr>
          <w:rFonts w:hint="eastAsia" w:ascii="仿宋" w:hAnsi="仿宋" w:eastAsia="仿宋" w:cs="仿宋"/>
          <w:b/>
          <w:bCs/>
          <w:sz w:val="28"/>
          <w:szCs w:val="28"/>
        </w:rPr>
        <w:t>供应商须知</w:t>
      </w:r>
      <w:bookmarkEnd w:id="1"/>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一、适用范围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本竞选文件的最终解释权归</w:t>
      </w:r>
      <w:r>
        <w:rPr>
          <w:rFonts w:hint="eastAsia" w:ascii="仿宋" w:hAnsi="仿宋" w:eastAsia="仿宋" w:cs="仿宋"/>
          <w:color w:val="000000"/>
          <w:kern w:val="0"/>
          <w:sz w:val="28"/>
          <w:szCs w:val="28"/>
          <w:lang w:eastAsia="zh-CN" w:bidi="ar"/>
        </w:rPr>
        <w:t>隆昌市</w:t>
      </w:r>
      <w:r>
        <w:rPr>
          <w:rFonts w:hint="eastAsia" w:ascii="仿宋" w:hAnsi="仿宋" w:eastAsia="仿宋" w:cs="仿宋"/>
          <w:color w:val="000000"/>
          <w:kern w:val="0"/>
          <w:sz w:val="28"/>
          <w:szCs w:val="28"/>
          <w:lang w:bidi="ar"/>
        </w:rPr>
        <w:t xml:space="preserve">人民医院所有。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二、供应商的条件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（一） 符合“竞选邀请”第二条规定的条件；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（二） 按照竞选文件“竞选邀请”中第三条规定获取了竞选文件</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 xml:space="preserve">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三、竞选采购费用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无论竞选采购的结果如何，供应商自行承担所有参加竞选活动有关的全部费用。</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四、响应文件</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（一）响应文件的语言 </w:t>
      </w:r>
    </w:p>
    <w:p>
      <w:pPr>
        <w:widowControl/>
        <w:spacing w:line="360" w:lineRule="auto"/>
        <w:ind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（二）联合体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本项目不接受联合体参与竞选。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（三）响应文件提供的证明材料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1.响应文件的组成： </w:t>
      </w:r>
    </w:p>
    <w:p>
      <w:pPr>
        <w:widowControl/>
        <w:spacing w:line="360" w:lineRule="auto"/>
        <w:ind w:left="420" w:firstLine="420"/>
        <w:jc w:val="left"/>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1.1评分要素索引表</w:t>
      </w:r>
      <w:r>
        <w:rPr>
          <w:rFonts w:hint="eastAsia" w:ascii="仿宋" w:hAnsi="仿宋" w:eastAsia="仿宋" w:cs="仿宋"/>
          <w:color w:val="000000"/>
          <w:kern w:val="0"/>
          <w:sz w:val="28"/>
          <w:szCs w:val="28"/>
          <w:lang w:eastAsia="zh-CN" w:bidi="ar"/>
        </w:rPr>
        <w:t>；</w:t>
      </w:r>
    </w:p>
    <w:p>
      <w:pPr>
        <w:widowControl/>
        <w:spacing w:line="360" w:lineRule="auto"/>
        <w:ind w:left="420" w:firstLine="420"/>
        <w:jc w:val="left"/>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1.2报价单</w:t>
      </w:r>
      <w:r>
        <w:rPr>
          <w:rFonts w:hint="eastAsia" w:ascii="仿宋" w:hAnsi="仿宋" w:eastAsia="仿宋" w:cs="仿宋"/>
          <w:color w:val="000000"/>
          <w:kern w:val="0"/>
          <w:sz w:val="28"/>
          <w:szCs w:val="28"/>
          <w:lang w:eastAsia="zh-CN" w:bidi="ar"/>
        </w:rPr>
        <w:t>；</w:t>
      </w:r>
    </w:p>
    <w:p>
      <w:pPr>
        <w:widowControl/>
        <w:spacing w:line="360" w:lineRule="auto"/>
        <w:ind w:left="420" w:firstLine="420"/>
        <w:jc w:val="left"/>
        <w:rPr>
          <w:rFonts w:hint="eastAsia" w:ascii="仿宋" w:hAnsi="仿宋" w:eastAsia="仿宋" w:cs="仿宋"/>
          <w:sz w:val="28"/>
          <w:szCs w:val="28"/>
          <w:lang w:eastAsia="zh-CN"/>
        </w:rPr>
      </w:pPr>
      <w:r>
        <w:rPr>
          <w:rFonts w:hint="eastAsia" w:ascii="仿宋" w:hAnsi="仿宋" w:eastAsia="仿宋" w:cs="仿宋"/>
          <w:color w:val="000000"/>
          <w:kern w:val="0"/>
          <w:sz w:val="28"/>
          <w:szCs w:val="28"/>
          <w:lang w:bidi="ar"/>
        </w:rPr>
        <w:t>1.3</w:t>
      </w:r>
      <w:r>
        <w:rPr>
          <w:rFonts w:hint="eastAsia" w:ascii="仿宋" w:hAnsi="仿宋" w:eastAsia="仿宋" w:cs="仿宋"/>
          <w:color w:val="000000"/>
          <w:kern w:val="0"/>
          <w:sz w:val="28"/>
          <w:szCs w:val="28"/>
        </w:rPr>
        <w:t>法定代表人委托授权书</w:t>
      </w:r>
      <w:r>
        <w:rPr>
          <w:rFonts w:hint="eastAsia" w:ascii="仿宋" w:hAnsi="仿宋" w:eastAsia="仿宋" w:cs="仿宋"/>
          <w:sz w:val="28"/>
          <w:szCs w:val="28"/>
          <w:lang w:eastAsia="zh-CN"/>
        </w:rPr>
        <w:t>；</w:t>
      </w:r>
    </w:p>
    <w:p>
      <w:pPr>
        <w:widowControl/>
        <w:spacing w:line="360" w:lineRule="auto"/>
        <w:ind w:left="420" w:firstLine="420"/>
        <w:jc w:val="left"/>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1.4委托人身份证复印件</w:t>
      </w:r>
      <w:r>
        <w:rPr>
          <w:rFonts w:hint="eastAsia" w:ascii="仿宋" w:hAnsi="仿宋" w:eastAsia="仿宋" w:cs="仿宋"/>
          <w:color w:val="000000"/>
          <w:kern w:val="0"/>
          <w:sz w:val="28"/>
          <w:szCs w:val="28"/>
          <w:lang w:eastAsia="zh-CN" w:bidi="ar"/>
        </w:rPr>
        <w:t>；</w:t>
      </w:r>
    </w:p>
    <w:p>
      <w:pPr>
        <w:widowControl/>
        <w:spacing w:line="360" w:lineRule="auto"/>
        <w:ind w:firstLine="840" w:firstLineChars="3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1.5</w:t>
      </w:r>
      <w:r>
        <w:rPr>
          <w:rFonts w:hint="eastAsia" w:ascii="仿宋" w:hAnsi="仿宋" w:eastAsia="仿宋" w:cs="仿宋"/>
          <w:color w:val="000000"/>
          <w:kern w:val="0"/>
          <w:sz w:val="28"/>
          <w:szCs w:val="28"/>
          <w:lang w:val="en-US" w:eastAsia="zh-CN" w:bidi="ar"/>
        </w:rPr>
        <w:t>承诺函；</w:t>
      </w:r>
    </w:p>
    <w:p>
      <w:pPr>
        <w:widowControl/>
        <w:spacing w:line="360" w:lineRule="auto"/>
        <w:ind w:left="420" w:firstLine="420"/>
        <w:jc w:val="left"/>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val="en-US" w:eastAsia="zh-CN" w:bidi="ar"/>
        </w:rPr>
        <w:t>1.6</w:t>
      </w:r>
      <w:r>
        <w:rPr>
          <w:rFonts w:hint="eastAsia" w:ascii="仿宋" w:hAnsi="仿宋" w:eastAsia="仿宋" w:cs="仿宋"/>
          <w:color w:val="000000"/>
          <w:kern w:val="0"/>
          <w:sz w:val="28"/>
          <w:szCs w:val="28"/>
          <w:lang w:bidi="ar"/>
        </w:rPr>
        <w:t>供应商资格条件及其他特殊资格要求证明材料</w:t>
      </w:r>
      <w:r>
        <w:rPr>
          <w:rFonts w:hint="eastAsia" w:ascii="仿宋" w:hAnsi="仿宋" w:eastAsia="仿宋" w:cs="仿宋"/>
          <w:color w:val="000000"/>
          <w:kern w:val="0"/>
          <w:sz w:val="28"/>
          <w:szCs w:val="28"/>
          <w:lang w:eastAsia="zh-CN" w:bidi="ar"/>
        </w:rPr>
        <w:t>；</w:t>
      </w:r>
    </w:p>
    <w:p>
      <w:pPr>
        <w:widowControl/>
        <w:spacing w:line="360" w:lineRule="auto"/>
        <w:ind w:left="420" w:firstLine="42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1.7技术响应文件及佐证材料；</w:t>
      </w:r>
    </w:p>
    <w:p>
      <w:pPr>
        <w:widowControl/>
        <w:spacing w:line="360" w:lineRule="auto"/>
        <w:ind w:left="420" w:firstLine="420"/>
        <w:jc w:val="left"/>
        <w:rPr>
          <w:rFonts w:hint="eastAsia"/>
          <w:lang w:eastAsia="zh-CN"/>
        </w:rPr>
      </w:pPr>
      <w:r>
        <w:rPr>
          <w:rFonts w:hint="eastAsia" w:ascii="仿宋" w:hAnsi="仿宋" w:eastAsia="仿宋" w:cs="仿宋"/>
          <w:color w:val="000000"/>
          <w:kern w:val="0"/>
          <w:sz w:val="28"/>
          <w:szCs w:val="28"/>
          <w:lang w:val="en-US" w:eastAsia="zh-CN" w:bidi="ar"/>
        </w:rPr>
        <w:t>1.8</w:t>
      </w:r>
      <w:r>
        <w:rPr>
          <w:rFonts w:hint="eastAsia" w:ascii="仿宋" w:hAnsi="仿宋" w:eastAsia="仿宋" w:cs="仿宋"/>
          <w:color w:val="000000"/>
          <w:kern w:val="0"/>
          <w:sz w:val="28"/>
          <w:szCs w:val="28"/>
          <w:lang w:bidi="ar"/>
        </w:rPr>
        <w:t>商务响应文件</w:t>
      </w:r>
      <w:r>
        <w:rPr>
          <w:rFonts w:hint="eastAsia" w:ascii="仿宋" w:hAnsi="仿宋" w:eastAsia="仿宋" w:cs="仿宋"/>
          <w:color w:val="000000"/>
          <w:kern w:val="0"/>
          <w:sz w:val="28"/>
          <w:szCs w:val="28"/>
          <w:lang w:eastAsia="zh-CN" w:bidi="ar"/>
        </w:rPr>
        <w:t>；</w:t>
      </w:r>
    </w:p>
    <w:p>
      <w:pPr>
        <w:widowControl/>
        <w:spacing w:line="360" w:lineRule="auto"/>
        <w:ind w:left="420" w:firstLine="420"/>
        <w:jc w:val="left"/>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val="en-US" w:eastAsia="zh-CN" w:bidi="ar"/>
        </w:rPr>
        <w:t>9</w:t>
      </w:r>
      <w:r>
        <w:rPr>
          <w:rFonts w:hint="eastAsia" w:ascii="仿宋" w:hAnsi="仿宋" w:eastAsia="仿宋" w:cs="仿宋"/>
          <w:color w:val="000000"/>
          <w:kern w:val="0"/>
          <w:sz w:val="28"/>
          <w:szCs w:val="28"/>
          <w:lang w:bidi="ar"/>
        </w:rPr>
        <w:t>实施及服务方案</w:t>
      </w:r>
      <w:r>
        <w:rPr>
          <w:rFonts w:hint="eastAsia" w:ascii="仿宋" w:hAnsi="仿宋" w:eastAsia="仿宋" w:cs="仿宋"/>
          <w:color w:val="000000"/>
          <w:kern w:val="0"/>
          <w:sz w:val="28"/>
          <w:szCs w:val="28"/>
          <w:lang w:eastAsia="zh-CN" w:bidi="ar"/>
        </w:rPr>
        <w:t>；</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val="en-US" w:eastAsia="zh-CN" w:bidi="ar"/>
        </w:rPr>
        <w:t>10</w:t>
      </w:r>
      <w:r>
        <w:rPr>
          <w:rFonts w:hint="eastAsia" w:ascii="仿宋" w:hAnsi="仿宋" w:eastAsia="仿宋" w:cs="仿宋"/>
          <w:color w:val="000000"/>
          <w:kern w:val="0"/>
          <w:sz w:val="28"/>
          <w:szCs w:val="28"/>
          <w:lang w:bidi="ar"/>
        </w:rPr>
        <w:t xml:space="preserve">对应综合评分表具体要求提供能够提供的相关承诺或证明材料如未提供也不影响供应商响应文件的有效性）； </w:t>
      </w:r>
    </w:p>
    <w:p>
      <w:pPr>
        <w:widowControl/>
        <w:spacing w:line="360" w:lineRule="auto"/>
        <w:ind w:left="420" w:firstLine="420"/>
        <w:jc w:val="left"/>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val="en-US" w:eastAsia="zh-CN" w:bidi="ar"/>
        </w:rPr>
        <w:t>11</w:t>
      </w:r>
      <w:r>
        <w:rPr>
          <w:rFonts w:hint="eastAsia" w:ascii="仿宋" w:hAnsi="仿宋" w:eastAsia="仿宋" w:cs="仿宋"/>
          <w:color w:val="000000"/>
          <w:kern w:val="0"/>
          <w:sz w:val="28"/>
          <w:szCs w:val="28"/>
          <w:lang w:bidi="ar"/>
        </w:rPr>
        <w:t>其他有利于采购人或者供应商认为需要提供的文件和资料（如未提供也不影响供应商响应文件的有效性）</w:t>
      </w:r>
      <w:r>
        <w:rPr>
          <w:rFonts w:hint="eastAsia" w:ascii="仿宋" w:hAnsi="仿宋" w:eastAsia="仿宋" w:cs="仿宋"/>
          <w:color w:val="000000"/>
          <w:kern w:val="0"/>
          <w:sz w:val="28"/>
          <w:szCs w:val="28"/>
          <w:lang w:eastAsia="zh-CN" w:bidi="ar"/>
        </w:rPr>
        <w:t>；</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注：1、响应文件所需提供的全部证明材料内容均须有效</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 xml:space="preserve">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auto"/>
          <w:kern w:val="0"/>
          <w:sz w:val="28"/>
          <w:szCs w:val="28"/>
          <w:highlight w:val="yellow"/>
          <w:lang w:bidi="ar"/>
        </w:rPr>
        <w:t>2、以上每页资料必须逐页加盖公司鲜章并加盖骑缝章。</w:t>
      </w:r>
      <w:r>
        <w:rPr>
          <w:rFonts w:hint="eastAsia" w:ascii="仿宋" w:hAnsi="仿宋" w:eastAsia="仿宋" w:cs="仿宋"/>
          <w:color w:val="FF0000"/>
          <w:kern w:val="0"/>
          <w:sz w:val="28"/>
          <w:szCs w:val="28"/>
          <w:highlight w:val="yellow"/>
          <w:lang w:bidi="ar"/>
        </w:rPr>
        <w:t xml:space="preserve">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（四）响应文件编制、签署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响应文件一式 3 份（其中正本 1 份、副本 2 份）,响应文件封面上标注“正本”、 “副本”字样，注明项目、项目名称和供应商名称。</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供应商应在仔细阅读竞选方案内容的基础上编制针对本项目的响应文件。格式要求见第六部分内容，对于没有格式要求的响应文件由供应商自行编写。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若正本与副本内容出现差异时，则以正本为准；副本可用正本的复印件。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响应文件正本必须使用不褪色、不变质的墨水书写或打印,并在规定签章处逐一签字和加盖公章，其响应单位加盖公章应为鲜章，签署、盖章和内容应完整、有效，</w:t>
      </w:r>
      <w:r>
        <w:rPr>
          <w:rFonts w:hint="eastAsia" w:ascii="仿宋" w:hAnsi="仿宋" w:eastAsia="仿宋" w:cs="仿宋"/>
          <w:b/>
          <w:bCs/>
          <w:color w:val="000000"/>
          <w:kern w:val="0"/>
          <w:sz w:val="28"/>
          <w:szCs w:val="28"/>
          <w:lang w:bidi="ar"/>
        </w:rPr>
        <w:t>未按要求加盖公章、骑缝章视为无效响应。</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响应文件应统一使用 A4 幅面纸印制，逐页编目编码以方便评审小组查阅。 </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（五）响应文件的密封和标注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供应商应将其响应文件用密封袋密封，并在封口处加盖单位公章</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 xml:space="preserve">若不满足以上要求，将有可能拒收其响应文件。 </w:t>
      </w:r>
    </w:p>
    <w:p>
      <w:pPr>
        <w:widowControl/>
        <w:spacing w:line="360" w:lineRule="auto"/>
        <w:jc w:val="left"/>
        <w:rPr>
          <w:rFonts w:hint="eastAsia" w:ascii="仿宋" w:hAnsi="仿宋" w:eastAsia="仿宋" w:cs="仿宋"/>
          <w:sz w:val="28"/>
          <w:szCs w:val="28"/>
          <w:lang w:eastAsia="zh-CN"/>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在密封袋封面上注明项目名称、供应商名称、及“响应文件”字样</w:t>
      </w:r>
      <w:r>
        <w:rPr>
          <w:rFonts w:hint="eastAsia" w:ascii="仿宋" w:hAnsi="仿宋" w:eastAsia="仿宋" w:cs="仿宋"/>
          <w:color w:val="000000"/>
          <w:kern w:val="0"/>
          <w:sz w:val="28"/>
          <w:szCs w:val="28"/>
          <w:lang w:eastAsia="zh-CN" w:bidi="ar"/>
        </w:rPr>
        <w:t>。</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如果未按前款规定密封和标记，采购人对响应文件的误投或提前拆封不负责任。对由此造成提前开封的响应文件，采购人将予以拒绝，并退回供应商。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（六）响应文件的递交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1.供应商应在递交响应文件截止时间前将响应文件送达指定地点</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 xml:space="preserve">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2.超过截止时间送达的或未按要求密封的响应文件将不予接收。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（七）评审 </w:t>
      </w:r>
    </w:p>
    <w:p>
      <w:pPr>
        <w:widowControl/>
        <w:spacing w:line="360" w:lineRule="auto"/>
        <w:ind w:firstLine="420"/>
        <w:jc w:val="left"/>
        <w:rPr>
          <w:rFonts w:hint="eastAsia" w:ascii="仿宋" w:hAnsi="仿宋" w:eastAsia="仿宋" w:cs="仿宋"/>
          <w:sz w:val="28"/>
          <w:szCs w:val="28"/>
          <w:highlight w:val="yellow"/>
        </w:rPr>
      </w:pPr>
      <w:r>
        <w:rPr>
          <w:rFonts w:hint="eastAsia" w:ascii="仿宋" w:hAnsi="仿宋" w:eastAsia="仿宋" w:cs="仿宋"/>
          <w:color w:val="000000"/>
          <w:kern w:val="0"/>
          <w:sz w:val="28"/>
          <w:szCs w:val="28"/>
          <w:lang w:bidi="ar"/>
        </w:rPr>
        <w:t>1.本项目评审方法为：综合评分法。</w:t>
      </w:r>
      <w:r>
        <w:rPr>
          <w:rFonts w:hint="eastAsia" w:ascii="仿宋" w:hAnsi="仿宋" w:eastAsia="仿宋" w:cs="仿宋"/>
          <w:color w:val="000000"/>
          <w:kern w:val="0"/>
          <w:sz w:val="28"/>
          <w:szCs w:val="28"/>
          <w:highlight w:val="yellow"/>
          <w:lang w:bidi="ar"/>
        </w:rPr>
        <w:t>综合评分法是指响应文件满足竞选文件全部资格、技术要求且评分最高的供应商为中选候选人的评审方法</w:t>
      </w:r>
      <w:r>
        <w:rPr>
          <w:rFonts w:hint="eastAsia" w:ascii="仿宋" w:hAnsi="仿宋" w:eastAsia="仿宋" w:cs="仿宋"/>
          <w:color w:val="000000"/>
          <w:kern w:val="0"/>
          <w:sz w:val="28"/>
          <w:szCs w:val="28"/>
          <w:highlight w:val="yellow"/>
          <w:lang w:eastAsia="zh-CN" w:bidi="ar"/>
        </w:rPr>
        <w:t>；</w:t>
      </w:r>
      <w:r>
        <w:rPr>
          <w:rFonts w:hint="eastAsia" w:ascii="仿宋" w:hAnsi="仿宋" w:eastAsia="仿宋" w:cs="仿宋"/>
          <w:color w:val="000000"/>
          <w:kern w:val="0"/>
          <w:sz w:val="28"/>
          <w:szCs w:val="28"/>
          <w:highlight w:val="yellow"/>
          <w:lang w:bidi="ar"/>
        </w:rPr>
        <w:t xml:space="preserve">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lang w:eastAsia="zh-CN" w:bidi="ar"/>
        </w:rPr>
        <w:t>隆昌市人民</w:t>
      </w:r>
      <w:r>
        <w:rPr>
          <w:rFonts w:hint="eastAsia" w:ascii="仿宋" w:hAnsi="仿宋" w:eastAsia="仿宋" w:cs="仿宋"/>
          <w:color w:val="000000"/>
          <w:kern w:val="0"/>
          <w:sz w:val="28"/>
          <w:szCs w:val="28"/>
          <w:lang w:bidi="ar"/>
        </w:rPr>
        <w:t xml:space="preserve">医院对未中选原因不作任何解释，且提交的所有响应文件均不退回。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（八）评定程序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 接收响应文件 </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2.评审小组对响应文件进行初步资格审查，初审不合格的按照无效响应文件处理，初审具体内容如下：</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2.1响应文件未按照响应文件编制要求编制；</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2.2响应文件中的资料未加盖供应商单位的公章；</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2.3响应文件中法定代表人、委托代理人未签字；</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2.4报价若高于最高限价；</w:t>
      </w:r>
    </w:p>
    <w:p>
      <w:pPr>
        <w:tabs>
          <w:tab w:val="left" w:pos="1134"/>
        </w:tabs>
        <w:spacing w:line="360" w:lineRule="auto"/>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2.5本竞选文件第三部分要求提供的资格要求证明材料。</w:t>
      </w:r>
    </w:p>
    <w:p>
      <w:pPr>
        <w:tabs>
          <w:tab w:val="left" w:pos="1134"/>
        </w:tabs>
        <w:spacing w:line="360" w:lineRule="auto"/>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3.第二</w:t>
      </w:r>
      <w:r>
        <w:rPr>
          <w:rFonts w:ascii="仿宋" w:hAnsi="仿宋" w:eastAsia="仿宋" w:cs="仿宋"/>
          <w:color w:val="000000"/>
          <w:kern w:val="0"/>
          <w:sz w:val="28"/>
          <w:szCs w:val="28"/>
          <w:lang w:bidi="ar"/>
        </w:rPr>
        <w:t>轮</w:t>
      </w:r>
      <w:r>
        <w:rPr>
          <w:rFonts w:hint="eastAsia" w:ascii="仿宋" w:hAnsi="仿宋" w:eastAsia="仿宋" w:cs="仿宋"/>
          <w:color w:val="000000"/>
          <w:kern w:val="0"/>
          <w:sz w:val="28"/>
          <w:szCs w:val="28"/>
          <w:lang w:bidi="ar"/>
        </w:rPr>
        <w:t>报价</w:t>
      </w:r>
    </w:p>
    <w:p>
      <w:pPr>
        <w:tabs>
          <w:tab w:val="left" w:pos="1134"/>
        </w:tabs>
        <w:spacing w:line="360" w:lineRule="auto"/>
        <w:ind w:firstLine="560" w:firstLineChars="200"/>
        <w:jc w:val="left"/>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通过</w:t>
      </w:r>
      <w:r>
        <w:rPr>
          <w:rFonts w:ascii="仿宋" w:hAnsi="仿宋" w:eastAsia="仿宋" w:cs="仿宋"/>
          <w:color w:val="000000"/>
          <w:kern w:val="0"/>
          <w:sz w:val="28"/>
          <w:szCs w:val="28"/>
          <w:lang w:bidi="ar"/>
        </w:rPr>
        <w:t>初步</w:t>
      </w:r>
      <w:r>
        <w:rPr>
          <w:rFonts w:hint="eastAsia" w:ascii="仿宋" w:hAnsi="仿宋" w:eastAsia="仿宋" w:cs="仿宋"/>
          <w:color w:val="000000"/>
          <w:kern w:val="0"/>
          <w:sz w:val="28"/>
          <w:szCs w:val="28"/>
          <w:lang w:bidi="ar"/>
        </w:rPr>
        <w:t>审查</w:t>
      </w:r>
      <w:r>
        <w:rPr>
          <w:rFonts w:ascii="仿宋" w:hAnsi="仿宋" w:eastAsia="仿宋" w:cs="仿宋"/>
          <w:color w:val="000000"/>
          <w:kern w:val="0"/>
          <w:sz w:val="28"/>
          <w:szCs w:val="28"/>
          <w:lang w:bidi="ar"/>
        </w:rPr>
        <w:t>的供应商</w:t>
      </w:r>
      <w:r>
        <w:rPr>
          <w:rFonts w:hint="eastAsia" w:ascii="仿宋" w:hAnsi="仿宋" w:eastAsia="仿宋" w:cs="仿宋"/>
          <w:color w:val="000000"/>
          <w:kern w:val="0"/>
          <w:sz w:val="28"/>
          <w:szCs w:val="28"/>
          <w:lang w:bidi="ar"/>
        </w:rPr>
        <w:t>，在</w:t>
      </w:r>
      <w:r>
        <w:rPr>
          <w:rFonts w:ascii="仿宋" w:hAnsi="仿宋" w:eastAsia="仿宋" w:cs="仿宋"/>
          <w:color w:val="000000"/>
          <w:kern w:val="0"/>
          <w:sz w:val="28"/>
          <w:szCs w:val="28"/>
          <w:lang w:bidi="ar"/>
        </w:rPr>
        <w:t>规定的</w:t>
      </w:r>
      <w:r>
        <w:rPr>
          <w:rFonts w:hint="eastAsia" w:ascii="仿宋" w:hAnsi="仿宋" w:eastAsia="仿宋" w:cs="仿宋"/>
          <w:color w:val="000000"/>
          <w:kern w:val="0"/>
          <w:sz w:val="28"/>
          <w:szCs w:val="28"/>
          <w:lang w:bidi="ar"/>
        </w:rPr>
        <w:t>时间</w:t>
      </w:r>
      <w:r>
        <w:rPr>
          <w:rFonts w:ascii="仿宋" w:hAnsi="仿宋" w:eastAsia="仿宋" w:cs="仿宋"/>
          <w:color w:val="000000"/>
          <w:kern w:val="0"/>
          <w:sz w:val="28"/>
          <w:szCs w:val="28"/>
          <w:lang w:bidi="ar"/>
        </w:rPr>
        <w:t>内</w:t>
      </w:r>
      <w:r>
        <w:rPr>
          <w:rFonts w:hint="eastAsia" w:ascii="仿宋" w:hAnsi="仿宋" w:eastAsia="仿宋" w:cs="仿宋"/>
          <w:color w:val="000000"/>
          <w:kern w:val="0"/>
          <w:sz w:val="28"/>
          <w:szCs w:val="28"/>
          <w:lang w:bidi="ar"/>
        </w:rPr>
        <w:t>进行</w:t>
      </w:r>
      <w:r>
        <w:rPr>
          <w:rFonts w:ascii="仿宋" w:hAnsi="仿宋" w:eastAsia="仿宋" w:cs="仿宋"/>
          <w:color w:val="000000"/>
          <w:kern w:val="0"/>
          <w:sz w:val="28"/>
          <w:szCs w:val="28"/>
          <w:lang w:bidi="ar"/>
        </w:rPr>
        <w:t>第二</w:t>
      </w:r>
      <w:r>
        <w:rPr>
          <w:rFonts w:hint="eastAsia" w:ascii="仿宋" w:hAnsi="仿宋" w:eastAsia="仿宋" w:cs="仿宋"/>
          <w:color w:val="000000"/>
          <w:kern w:val="0"/>
          <w:sz w:val="28"/>
          <w:szCs w:val="28"/>
          <w:lang w:bidi="ar"/>
        </w:rPr>
        <w:t>轮报价</w:t>
      </w:r>
      <w:r>
        <w:rPr>
          <w:rFonts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供应商</w:t>
      </w:r>
      <w:r>
        <w:rPr>
          <w:rFonts w:ascii="仿宋" w:hAnsi="仿宋" w:eastAsia="仿宋" w:cs="仿宋"/>
          <w:color w:val="000000"/>
          <w:kern w:val="0"/>
          <w:sz w:val="28"/>
          <w:szCs w:val="28"/>
          <w:lang w:bidi="ar"/>
        </w:rPr>
        <w:t>在未提高</w:t>
      </w:r>
      <w:r>
        <w:rPr>
          <w:rFonts w:hint="eastAsia" w:ascii="仿宋" w:hAnsi="仿宋" w:eastAsia="仿宋" w:cs="仿宋"/>
          <w:color w:val="000000"/>
          <w:kern w:val="0"/>
          <w:sz w:val="28"/>
          <w:szCs w:val="28"/>
          <w:lang w:bidi="ar"/>
        </w:rPr>
        <w:t>响应</w:t>
      </w:r>
      <w:r>
        <w:rPr>
          <w:rFonts w:ascii="仿宋" w:hAnsi="仿宋" w:eastAsia="仿宋" w:cs="仿宋"/>
          <w:color w:val="000000"/>
          <w:kern w:val="0"/>
          <w:sz w:val="28"/>
          <w:szCs w:val="28"/>
          <w:lang w:bidi="ar"/>
        </w:rPr>
        <w:t>文件中</w:t>
      </w:r>
      <w:r>
        <w:rPr>
          <w:rFonts w:hint="eastAsia" w:ascii="仿宋" w:hAnsi="仿宋" w:eastAsia="仿宋" w:cs="仿宋"/>
          <w:color w:val="000000"/>
          <w:kern w:val="0"/>
          <w:sz w:val="28"/>
          <w:szCs w:val="28"/>
          <w:lang w:bidi="ar"/>
        </w:rPr>
        <w:t>承诺</w:t>
      </w:r>
      <w:r>
        <w:rPr>
          <w:rFonts w:ascii="仿宋" w:hAnsi="仿宋" w:eastAsia="仿宋" w:cs="仿宋"/>
          <w:color w:val="000000"/>
          <w:kern w:val="0"/>
          <w:sz w:val="28"/>
          <w:szCs w:val="28"/>
          <w:lang w:bidi="ar"/>
        </w:rPr>
        <w:t>的产品</w:t>
      </w:r>
      <w:r>
        <w:rPr>
          <w:rFonts w:hint="eastAsia" w:ascii="仿宋" w:hAnsi="仿宋" w:eastAsia="仿宋" w:cs="仿宋"/>
          <w:color w:val="000000"/>
          <w:kern w:val="0"/>
          <w:sz w:val="28"/>
          <w:szCs w:val="28"/>
          <w:lang w:bidi="ar"/>
        </w:rPr>
        <w:t>及</w:t>
      </w:r>
      <w:r>
        <w:rPr>
          <w:rFonts w:ascii="仿宋" w:hAnsi="仿宋" w:eastAsia="仿宋" w:cs="仿宋"/>
          <w:color w:val="000000"/>
          <w:kern w:val="0"/>
          <w:sz w:val="28"/>
          <w:szCs w:val="28"/>
          <w:lang w:bidi="ar"/>
        </w:rPr>
        <w:t>其服务质量下，</w:t>
      </w:r>
      <w:r>
        <w:rPr>
          <w:rFonts w:hint="eastAsia" w:ascii="仿宋" w:hAnsi="仿宋" w:eastAsia="仿宋" w:cs="仿宋"/>
          <w:color w:val="000000"/>
          <w:kern w:val="0"/>
          <w:sz w:val="28"/>
          <w:szCs w:val="28"/>
          <w:lang w:bidi="ar"/>
        </w:rPr>
        <w:t>其</w:t>
      </w:r>
      <w:r>
        <w:rPr>
          <w:rFonts w:ascii="仿宋" w:hAnsi="仿宋" w:eastAsia="仿宋" w:cs="仿宋"/>
          <w:color w:val="000000"/>
          <w:kern w:val="0"/>
          <w:sz w:val="28"/>
          <w:szCs w:val="28"/>
          <w:lang w:bidi="ar"/>
        </w:rPr>
        <w:t>最后报价不得高于</w:t>
      </w:r>
      <w:r>
        <w:rPr>
          <w:rFonts w:hint="eastAsia" w:ascii="仿宋" w:hAnsi="仿宋" w:eastAsia="仿宋" w:cs="仿宋"/>
          <w:color w:val="000000"/>
          <w:kern w:val="0"/>
          <w:sz w:val="28"/>
          <w:szCs w:val="28"/>
          <w:lang w:bidi="ar"/>
        </w:rPr>
        <w:t>对</w:t>
      </w:r>
      <w:r>
        <w:rPr>
          <w:rFonts w:ascii="仿宋" w:hAnsi="仿宋" w:eastAsia="仿宋" w:cs="仿宋"/>
          <w:color w:val="000000"/>
          <w:kern w:val="0"/>
          <w:sz w:val="28"/>
          <w:szCs w:val="28"/>
          <w:lang w:bidi="ar"/>
        </w:rPr>
        <w:t>该项目之前的报价</w:t>
      </w:r>
      <w:r>
        <w:rPr>
          <w:rFonts w:hint="eastAsia" w:ascii="仿宋" w:hAnsi="仿宋" w:eastAsia="仿宋" w:cs="仿宋"/>
          <w:color w:val="000000"/>
          <w:kern w:val="0"/>
          <w:sz w:val="28"/>
          <w:szCs w:val="28"/>
          <w:lang w:bidi="ar"/>
        </w:rPr>
        <w:t>，</w:t>
      </w:r>
      <w:r>
        <w:rPr>
          <w:rFonts w:ascii="仿宋" w:hAnsi="仿宋" w:eastAsia="仿宋" w:cs="仿宋"/>
          <w:color w:val="000000"/>
          <w:kern w:val="0"/>
          <w:sz w:val="28"/>
          <w:szCs w:val="28"/>
          <w:lang w:bidi="ar"/>
        </w:rPr>
        <w:t>否则，</w:t>
      </w:r>
      <w:r>
        <w:rPr>
          <w:rFonts w:hint="eastAsia" w:ascii="仿宋" w:hAnsi="仿宋" w:eastAsia="仿宋" w:cs="仿宋"/>
          <w:color w:val="000000"/>
          <w:kern w:val="0"/>
          <w:sz w:val="28"/>
          <w:szCs w:val="28"/>
          <w:lang w:bidi="ar"/>
        </w:rPr>
        <w:t>将视为</w:t>
      </w:r>
      <w:r>
        <w:rPr>
          <w:rFonts w:ascii="仿宋" w:hAnsi="仿宋" w:eastAsia="仿宋" w:cs="仿宋"/>
          <w:color w:val="000000"/>
          <w:kern w:val="0"/>
          <w:sz w:val="28"/>
          <w:szCs w:val="28"/>
          <w:lang w:bidi="ar"/>
        </w:rPr>
        <w:t>无效响应</w:t>
      </w:r>
      <w:r>
        <w:rPr>
          <w:rFonts w:hint="eastAsia" w:ascii="仿宋" w:hAnsi="仿宋" w:eastAsia="仿宋" w:cs="仿宋"/>
          <w:color w:val="000000"/>
          <w:kern w:val="0"/>
          <w:sz w:val="28"/>
          <w:szCs w:val="28"/>
          <w:lang w:bidi="ar"/>
        </w:rPr>
        <w:t>，不</w:t>
      </w:r>
      <w:r>
        <w:rPr>
          <w:rFonts w:ascii="仿宋" w:hAnsi="仿宋" w:eastAsia="仿宋" w:cs="仿宋"/>
          <w:color w:val="000000"/>
          <w:kern w:val="0"/>
          <w:sz w:val="28"/>
          <w:szCs w:val="28"/>
          <w:lang w:bidi="ar"/>
        </w:rPr>
        <w:t>允许进入综合评分环节</w:t>
      </w:r>
      <w:r>
        <w:rPr>
          <w:rFonts w:hint="eastAsia" w:ascii="仿宋" w:hAnsi="仿宋" w:eastAsia="仿宋" w:cs="仿宋"/>
          <w:color w:val="000000"/>
          <w:kern w:val="0"/>
          <w:sz w:val="28"/>
          <w:szCs w:val="28"/>
          <w:lang w:eastAsia="zh-CN" w:bidi="ar"/>
        </w:rPr>
        <w:t>；</w:t>
      </w:r>
    </w:p>
    <w:p>
      <w:pPr>
        <w:tabs>
          <w:tab w:val="left" w:pos="1134"/>
        </w:tabs>
        <w:spacing w:line="360" w:lineRule="auto"/>
        <w:ind w:firstLine="560" w:firstLineChars="200"/>
        <w:jc w:val="left"/>
        <w:rPr>
          <w:rFonts w:hint="eastAsia" w:ascii="仿宋" w:hAnsi="仿宋" w:eastAsia="仿宋" w:cs="仿宋"/>
          <w:color w:val="000000"/>
          <w:kern w:val="0"/>
          <w:sz w:val="28"/>
          <w:szCs w:val="28"/>
          <w:lang w:eastAsia="zh-CN" w:bidi="ar"/>
        </w:rPr>
      </w:pPr>
      <w:r>
        <w:rPr>
          <w:rFonts w:ascii="仿宋" w:hAnsi="仿宋" w:eastAsia="仿宋" w:cs="仿宋"/>
          <w:color w:val="000000"/>
          <w:kern w:val="0"/>
          <w:sz w:val="28"/>
          <w:szCs w:val="28"/>
          <w:lang w:bidi="ar"/>
        </w:rPr>
        <w:t>4</w:t>
      </w:r>
      <w:r>
        <w:rPr>
          <w:rFonts w:hint="eastAsia" w:ascii="仿宋" w:hAnsi="仿宋" w:eastAsia="仿宋" w:cs="仿宋"/>
          <w:color w:val="000000"/>
          <w:kern w:val="0"/>
          <w:sz w:val="28"/>
          <w:szCs w:val="28"/>
          <w:lang w:bidi="ar"/>
        </w:rPr>
        <w:t>.针对通过初步审查的供应商，评审小组按照第五部分规定的评审办法综合进行打分，并计算综合得分，评审小组根据综合得分情况，由高到低进行排序，</w:t>
      </w:r>
      <w:r>
        <w:rPr>
          <w:rFonts w:hint="eastAsia" w:ascii="仿宋" w:hAnsi="仿宋" w:eastAsia="仿宋" w:cs="仿宋"/>
          <w:color w:val="000000"/>
          <w:kern w:val="0"/>
          <w:sz w:val="28"/>
          <w:szCs w:val="28"/>
          <w:highlight w:val="yellow"/>
          <w:lang w:bidi="ar"/>
        </w:rPr>
        <w:t>评分最高的供应商为中选候选人</w:t>
      </w:r>
      <w:r>
        <w:rPr>
          <w:rFonts w:hint="eastAsia" w:ascii="仿宋" w:hAnsi="仿宋" w:eastAsia="仿宋" w:cs="仿宋"/>
          <w:color w:val="000000"/>
          <w:kern w:val="0"/>
          <w:sz w:val="28"/>
          <w:szCs w:val="28"/>
          <w:lang w:bidi="ar"/>
        </w:rPr>
        <w:t>。综合得分相同的，按报价由低到高顺序排列。得分且报价相同的，按服务方案得分高低顺序排列。得分、报价和服务方案得分均相同的，由采购人自行确定</w:t>
      </w:r>
      <w:r>
        <w:rPr>
          <w:rFonts w:hint="eastAsia" w:ascii="仿宋" w:hAnsi="仿宋" w:eastAsia="仿宋" w:cs="仿宋"/>
          <w:color w:val="000000"/>
          <w:kern w:val="0"/>
          <w:sz w:val="28"/>
          <w:szCs w:val="28"/>
          <w:lang w:eastAsia="zh-CN" w:bidi="ar"/>
        </w:rPr>
        <w:t>；</w:t>
      </w:r>
    </w:p>
    <w:p>
      <w:pPr>
        <w:pStyle w:val="4"/>
        <w:spacing w:line="360" w:lineRule="auto"/>
        <w:ind w:firstLine="560" w:firstLineChars="200"/>
        <w:rPr>
          <w:rFonts w:hint="eastAsia" w:ascii="仿宋" w:hAnsi="仿宋" w:eastAsia="仿宋" w:cs="仿宋"/>
          <w:color w:val="000000"/>
          <w:kern w:val="0"/>
          <w:sz w:val="28"/>
          <w:szCs w:val="28"/>
          <w:highlight w:val="yellow"/>
          <w:lang w:eastAsia="zh-CN" w:bidi="ar"/>
        </w:rPr>
      </w:pPr>
      <w:r>
        <w:rPr>
          <w:rFonts w:ascii="仿宋" w:hAnsi="仿宋" w:eastAsia="仿宋" w:cs="仿宋"/>
          <w:color w:val="000000"/>
          <w:kern w:val="0"/>
          <w:sz w:val="28"/>
          <w:szCs w:val="28"/>
          <w:lang w:bidi="ar"/>
        </w:rPr>
        <w:t>5</w:t>
      </w:r>
      <w:r>
        <w:rPr>
          <w:rFonts w:hint="eastAsia" w:ascii="仿宋" w:hAnsi="仿宋" w:eastAsia="仿宋" w:cs="仿宋"/>
          <w:color w:val="000000"/>
          <w:kern w:val="0"/>
          <w:sz w:val="28"/>
          <w:szCs w:val="28"/>
          <w:lang w:bidi="ar"/>
        </w:rPr>
        <w:t>.</w:t>
      </w:r>
      <w:r>
        <w:rPr>
          <w:rFonts w:hint="eastAsia"/>
        </w:rPr>
        <w:t xml:space="preserve"> </w:t>
      </w:r>
      <w:r>
        <w:rPr>
          <w:rFonts w:hint="eastAsia" w:ascii="仿宋" w:hAnsi="仿宋" w:eastAsia="仿宋" w:cs="仿宋"/>
          <w:color w:val="000000"/>
          <w:kern w:val="0"/>
          <w:sz w:val="28"/>
          <w:szCs w:val="28"/>
          <w:highlight w:val="yellow"/>
          <w:lang w:bidi="ar"/>
        </w:rPr>
        <w:t>在采购过程中符合要求的供应商或者报价未超过采购预算的供应商不足3家的</w:t>
      </w:r>
      <w:r>
        <w:rPr>
          <w:rFonts w:ascii="仿宋" w:hAnsi="仿宋" w:eastAsia="仿宋" w:cs="仿宋"/>
          <w:color w:val="000000"/>
          <w:kern w:val="0"/>
          <w:sz w:val="28"/>
          <w:szCs w:val="28"/>
          <w:highlight w:val="yellow"/>
          <w:lang w:bidi="ar"/>
        </w:rPr>
        <w:t>，</w:t>
      </w:r>
      <w:r>
        <w:rPr>
          <w:rFonts w:hint="eastAsia" w:ascii="仿宋" w:hAnsi="仿宋" w:eastAsia="仿宋" w:cs="仿宋"/>
          <w:color w:val="000000"/>
          <w:kern w:val="0"/>
          <w:sz w:val="28"/>
          <w:szCs w:val="28"/>
          <w:highlight w:val="yellow"/>
          <w:lang w:val="en-US" w:eastAsia="zh-CN" w:bidi="ar"/>
        </w:rPr>
        <w:t>该项目应</w:t>
      </w:r>
      <w:r>
        <w:rPr>
          <w:rFonts w:hint="eastAsia" w:ascii="仿宋" w:hAnsi="仿宋" w:eastAsia="仿宋" w:cs="仿宋"/>
          <w:color w:val="000000"/>
          <w:kern w:val="0"/>
          <w:sz w:val="28"/>
          <w:szCs w:val="28"/>
          <w:highlight w:val="yellow"/>
          <w:lang w:val="en-US" w:eastAsia="zh-Hans" w:bidi="ar"/>
        </w:rPr>
        <w:t>再进行第二次公告采购</w:t>
      </w:r>
      <w:r>
        <w:rPr>
          <w:rFonts w:hint="eastAsia" w:ascii="仿宋" w:hAnsi="仿宋" w:eastAsia="仿宋" w:cs="仿宋"/>
          <w:color w:val="000000"/>
          <w:kern w:val="0"/>
          <w:sz w:val="28"/>
          <w:szCs w:val="28"/>
          <w:highlight w:val="yellow"/>
          <w:lang w:eastAsia="zh-CN" w:bidi="ar"/>
        </w:rPr>
        <w:t>；</w:t>
      </w:r>
    </w:p>
    <w:p>
      <w:pPr>
        <w:widowControl/>
        <w:spacing w:line="360" w:lineRule="auto"/>
        <w:ind w:firstLine="560" w:firstLineChars="200"/>
        <w:jc w:val="left"/>
        <w:rPr>
          <w:rFonts w:hint="eastAsia" w:ascii="仿宋" w:hAnsi="仿宋" w:eastAsia="仿宋" w:cs="仿宋"/>
          <w:color w:val="000000"/>
          <w:kern w:val="0"/>
          <w:sz w:val="28"/>
          <w:szCs w:val="28"/>
          <w:lang w:eastAsia="zh-CN" w:bidi="ar"/>
        </w:rPr>
      </w:pPr>
      <w:r>
        <w:rPr>
          <w:rFonts w:ascii="仿宋" w:hAnsi="仿宋" w:eastAsia="仿宋" w:cs="仿宋"/>
          <w:color w:val="000000"/>
          <w:kern w:val="0"/>
          <w:sz w:val="28"/>
          <w:szCs w:val="28"/>
          <w:lang w:bidi="ar"/>
        </w:rPr>
        <w:t>6</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eastAsia="zh-CN" w:bidi="ar"/>
        </w:rPr>
        <w:t>隆昌市人民</w:t>
      </w:r>
      <w:r>
        <w:rPr>
          <w:rFonts w:hint="eastAsia" w:ascii="仿宋" w:hAnsi="仿宋" w:eastAsia="仿宋" w:cs="仿宋"/>
          <w:color w:val="000000"/>
          <w:kern w:val="0"/>
          <w:sz w:val="28"/>
          <w:szCs w:val="28"/>
          <w:lang w:bidi="ar"/>
        </w:rPr>
        <w:t>医院将向中选供应商发出中选通知书，中选供应商</w:t>
      </w:r>
      <w:r>
        <w:rPr>
          <w:rFonts w:hint="eastAsia" w:ascii="仿宋" w:hAnsi="仿宋" w:eastAsia="仿宋" w:cs="仿宋"/>
          <w:color w:val="000000"/>
          <w:kern w:val="0"/>
          <w:sz w:val="28"/>
          <w:szCs w:val="28"/>
          <w:lang w:eastAsia="zh-CN" w:bidi="ar"/>
        </w:rPr>
        <w:t>凭</w:t>
      </w:r>
      <w:r>
        <w:rPr>
          <w:rFonts w:hint="eastAsia" w:ascii="仿宋" w:hAnsi="仿宋" w:eastAsia="仿宋" w:cs="仿宋"/>
          <w:color w:val="000000"/>
          <w:kern w:val="0"/>
          <w:sz w:val="28"/>
          <w:szCs w:val="28"/>
          <w:lang w:bidi="ar"/>
        </w:rPr>
        <w:t>中选</w:t>
      </w:r>
      <w:r>
        <w:rPr>
          <w:rFonts w:hint="eastAsia" w:ascii="仿宋" w:hAnsi="仿宋" w:eastAsia="仿宋" w:cs="仿宋"/>
          <w:color w:val="000000"/>
          <w:kern w:val="0"/>
          <w:sz w:val="28"/>
          <w:szCs w:val="28"/>
          <w:lang w:eastAsia="zh-CN" w:bidi="ar"/>
        </w:rPr>
        <w:t>通知书到医院签订相应的合同；</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w:t>
      </w:r>
      <w:r>
        <w:rPr>
          <w:rFonts w:hint="eastAsia" w:ascii="仿宋" w:hAnsi="仿宋" w:eastAsia="仿宋" w:cs="仿宋"/>
          <w:color w:val="000000"/>
          <w:kern w:val="0"/>
          <w:sz w:val="28"/>
          <w:szCs w:val="28"/>
          <w:lang w:bidi="ar"/>
        </w:rPr>
        <w:t xml:space="preserve">.在评审过程中，供应商响应文件实质性符合竞选文件要求的前提下，评审小组对响应文件中含义不明确、同类问题表述不一致或者有明显文字和计算错误的内容，应当以书面形式要求供应商作出必要的书面澄清、说明或者更正，并给予供应商必要的反馈时间。 </w:t>
      </w:r>
    </w:p>
    <w:p>
      <w:pPr>
        <w:spacing w:line="360" w:lineRule="auto"/>
        <w:rPr>
          <w:rFonts w:hint="eastAsia" w:ascii="仿宋" w:hAnsi="仿宋" w:eastAsia="仿宋" w:cs="仿宋"/>
          <w:sz w:val="28"/>
          <w:szCs w:val="28"/>
        </w:rPr>
        <w:sectPr>
          <w:footerReference r:id="rId5" w:type="default"/>
          <w:pgSz w:w="11906" w:h="16838"/>
          <w:pgMar w:top="1440" w:right="1803" w:bottom="1440" w:left="1803" w:header="0" w:footer="567" w:gutter="0"/>
          <w:pgNumType w:start="1"/>
          <w:cols w:space="720" w:num="1"/>
          <w:docGrid w:linePitch="312" w:charSpace="0"/>
        </w:sectPr>
      </w:pPr>
    </w:p>
    <w:p>
      <w:pPr>
        <w:numPr>
          <w:ilvl w:val="0"/>
          <w:numId w:val="1"/>
        </w:numPr>
        <w:spacing w:line="360" w:lineRule="auto"/>
        <w:jc w:val="center"/>
        <w:outlineLvl w:val="0"/>
        <w:rPr>
          <w:rFonts w:hint="eastAsia" w:ascii="仿宋" w:hAnsi="仿宋" w:eastAsia="仿宋" w:cs="仿宋"/>
          <w:b/>
          <w:bCs/>
          <w:sz w:val="28"/>
          <w:szCs w:val="28"/>
        </w:rPr>
      </w:pPr>
      <w:bookmarkStart w:id="2" w:name="_Toc11090"/>
      <w:r>
        <w:rPr>
          <w:rFonts w:hint="eastAsia" w:ascii="仿宋" w:hAnsi="仿宋" w:eastAsia="仿宋" w:cs="仿宋"/>
          <w:b/>
          <w:bCs/>
          <w:sz w:val="28"/>
          <w:szCs w:val="28"/>
        </w:rPr>
        <w:t>资格要求证明材料</w:t>
      </w:r>
      <w:bookmarkEnd w:id="2"/>
    </w:p>
    <w:p>
      <w:pPr>
        <w:numPr>
          <w:ilvl w:val="0"/>
          <w:numId w:val="3"/>
        </w:numPr>
        <w:tabs>
          <w:tab w:val="left" w:pos="1134"/>
        </w:tabs>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供应商参加竞选应当具备</w:t>
      </w:r>
      <w:r>
        <w:rPr>
          <w:rFonts w:hint="eastAsia" w:ascii="仿宋" w:hAnsi="仿宋" w:eastAsia="仿宋" w:cs="仿宋"/>
          <w:b/>
          <w:bCs/>
          <w:sz w:val="28"/>
          <w:szCs w:val="28"/>
          <w:lang w:eastAsia="zh-CN"/>
        </w:rPr>
        <w:t>以下</w:t>
      </w:r>
      <w:r>
        <w:rPr>
          <w:rFonts w:hint="eastAsia" w:ascii="仿宋" w:hAnsi="仿宋" w:eastAsia="仿宋" w:cs="仿宋"/>
          <w:b/>
          <w:bCs/>
          <w:sz w:val="28"/>
          <w:szCs w:val="28"/>
        </w:rPr>
        <w:t>资格条件</w:t>
      </w:r>
      <w:r>
        <w:rPr>
          <w:rFonts w:hint="eastAsia" w:ascii="仿宋" w:hAnsi="仿宋" w:eastAsia="仿宋" w:cs="仿宋"/>
          <w:b/>
          <w:bCs/>
          <w:sz w:val="28"/>
          <w:szCs w:val="28"/>
          <w:lang w:eastAsia="zh-CN"/>
        </w:rPr>
        <w:t>并提供承诺函</w:t>
      </w:r>
      <w:r>
        <w:rPr>
          <w:rFonts w:hint="eastAsia" w:ascii="仿宋" w:hAnsi="仿宋" w:eastAsia="仿宋" w:cs="仿宋"/>
          <w:sz w:val="28"/>
          <w:szCs w:val="28"/>
        </w:rPr>
        <w:t>：</w:t>
      </w:r>
    </w:p>
    <w:p>
      <w:pPr>
        <w:tabs>
          <w:tab w:val="left" w:pos="1134"/>
        </w:tabs>
        <w:spacing w:line="360" w:lineRule="auto"/>
        <w:jc w:val="left"/>
        <w:rPr>
          <w:rFonts w:hint="eastAsia" w:ascii="仿宋" w:hAnsi="仿宋" w:eastAsia="仿宋" w:cs="仿宋"/>
          <w:sz w:val="28"/>
          <w:szCs w:val="28"/>
        </w:rPr>
      </w:pPr>
      <w:r>
        <w:rPr>
          <w:rFonts w:hint="eastAsia" w:ascii="仿宋" w:hAnsi="仿宋" w:eastAsia="仿宋" w:cs="仿宋"/>
          <w:sz w:val="28"/>
          <w:szCs w:val="28"/>
        </w:rPr>
        <w:t>（一）在中华人民共和国境内注册，具有独立法人资格；</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（三）具备履行合同所必需的设备和专业技术能力；</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（四）参加采购活动前三年内，在经营活动中没有重大违法记录；</w:t>
      </w:r>
    </w:p>
    <w:p>
      <w:pPr>
        <w:pStyle w:val="4"/>
        <w:spacing w:line="360" w:lineRule="auto"/>
        <w:rPr>
          <w:rFonts w:hint="eastAsia" w:ascii="仿宋" w:hAnsi="仿宋" w:eastAsia="仿宋" w:cs="仿宋"/>
          <w:sz w:val="28"/>
          <w:szCs w:val="28"/>
        </w:rPr>
      </w:pPr>
      <w:r>
        <w:rPr>
          <w:rFonts w:hint="eastAsia" w:ascii="仿宋" w:hAnsi="仿宋" w:eastAsia="仿宋" w:cs="仿宋"/>
          <w:sz w:val="28"/>
          <w:szCs w:val="28"/>
        </w:rPr>
        <w:t>（五）本项目规定的其他要求：</w:t>
      </w:r>
    </w:p>
    <w:p>
      <w:pPr>
        <w:numPr>
          <w:ilvl w:val="0"/>
          <w:numId w:val="0"/>
        </w:numPr>
        <w:tabs>
          <w:tab w:val="left" w:pos="1134"/>
        </w:tabs>
        <w:spacing w:line="360" w:lineRule="auto"/>
        <w:ind w:left="840" w:leftChars="0"/>
        <w:jc w:val="left"/>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rPr>
      </w:pPr>
    </w:p>
    <w:p>
      <w:pPr>
        <w:pStyle w:val="4"/>
        <w:jc w:val="left"/>
        <w:rPr>
          <w:rFonts w:hint="default" w:eastAsia="仿宋"/>
          <w:lang w:val="en-US" w:eastAsia="zh-CN"/>
        </w:rPr>
      </w:pPr>
      <w:r>
        <w:rPr>
          <w:rFonts w:hint="eastAsia" w:ascii="仿宋" w:hAnsi="仿宋" w:eastAsia="仿宋" w:cs="仿宋"/>
          <w:sz w:val="28"/>
          <w:szCs w:val="28"/>
          <w:lang w:val="en-US" w:eastAsia="zh-CN"/>
        </w:rPr>
        <w:t xml:space="preserve">      </w:t>
      </w:r>
    </w:p>
    <w:p>
      <w:pPr>
        <w:spacing w:line="360" w:lineRule="auto"/>
        <w:jc w:val="center"/>
        <w:rPr>
          <w:rFonts w:ascii="仿宋" w:hAnsi="仿宋" w:eastAsia="仿宋" w:cs="仿宋"/>
          <w:b/>
          <w:bCs/>
          <w:sz w:val="28"/>
          <w:szCs w:val="28"/>
        </w:rPr>
      </w:pPr>
    </w:p>
    <w:p>
      <w:pPr>
        <w:pStyle w:val="4"/>
        <w:rPr>
          <w:rFonts w:ascii="仿宋" w:hAnsi="仿宋" w:eastAsia="仿宋" w:cs="仿宋"/>
          <w:b/>
          <w:bCs/>
          <w:sz w:val="28"/>
          <w:szCs w:val="28"/>
        </w:rPr>
      </w:pPr>
    </w:p>
    <w:p>
      <w:pPr>
        <w:rPr>
          <w:rFonts w:ascii="仿宋" w:hAnsi="仿宋" w:eastAsia="仿宋" w:cs="仿宋"/>
          <w:b/>
          <w:bCs/>
          <w:sz w:val="28"/>
          <w:szCs w:val="28"/>
        </w:rPr>
      </w:pPr>
    </w:p>
    <w:p>
      <w:pPr>
        <w:pStyle w:val="4"/>
        <w:rPr>
          <w:rFonts w:ascii="仿宋" w:hAnsi="仿宋" w:eastAsia="仿宋" w:cs="仿宋"/>
          <w:b/>
          <w:bCs/>
          <w:sz w:val="28"/>
          <w:szCs w:val="28"/>
        </w:rPr>
      </w:pPr>
    </w:p>
    <w:p>
      <w:pPr>
        <w:rPr>
          <w:rFonts w:ascii="仿宋" w:hAnsi="仿宋" w:eastAsia="仿宋" w:cs="仿宋"/>
          <w:b/>
          <w:bCs/>
          <w:sz w:val="28"/>
          <w:szCs w:val="28"/>
        </w:rPr>
      </w:pPr>
    </w:p>
    <w:p>
      <w:pPr>
        <w:pStyle w:val="4"/>
      </w:pPr>
    </w:p>
    <w:p>
      <w:pPr>
        <w:pStyle w:val="4"/>
      </w:pPr>
    </w:p>
    <w:p/>
    <w:p>
      <w:pPr>
        <w:pStyle w:val="4"/>
      </w:pPr>
    </w:p>
    <w:p/>
    <w:p>
      <w:pPr>
        <w:pStyle w:val="4"/>
      </w:pPr>
    </w:p>
    <w:p/>
    <w:p>
      <w:pPr>
        <w:pStyle w:val="4"/>
      </w:pPr>
    </w:p>
    <w:p/>
    <w:p>
      <w:pPr>
        <w:pStyle w:val="4"/>
      </w:pPr>
    </w:p>
    <w:p/>
    <w:p>
      <w:pPr>
        <w:pStyle w:val="4"/>
      </w:pPr>
    </w:p>
    <w:p/>
    <w:p>
      <w:pPr>
        <w:pStyle w:val="4"/>
      </w:pPr>
    </w:p>
    <w:p/>
    <w:p>
      <w:pPr>
        <w:pStyle w:val="4"/>
        <w:rPr>
          <w:rFonts w:hint="eastAsia" w:ascii="仿宋" w:hAnsi="仿宋" w:eastAsia="仿宋" w:cs="仿宋"/>
        </w:rPr>
      </w:pPr>
    </w:p>
    <w:p>
      <w:pPr>
        <w:numPr>
          <w:ilvl w:val="0"/>
          <w:numId w:val="1"/>
        </w:numPr>
        <w:spacing w:line="360" w:lineRule="auto"/>
        <w:jc w:val="center"/>
        <w:outlineLvl w:val="0"/>
        <w:rPr>
          <w:rFonts w:hint="eastAsia" w:ascii="仿宋" w:hAnsi="仿宋" w:eastAsia="仿宋" w:cs="仿宋"/>
          <w:sz w:val="28"/>
          <w:szCs w:val="28"/>
        </w:rPr>
      </w:pPr>
      <w:bookmarkStart w:id="3" w:name="_Toc16114"/>
      <w:bookmarkStart w:id="4" w:name="_Toc27566"/>
      <w:r>
        <w:rPr>
          <w:rFonts w:hint="eastAsia" w:ascii="仿宋" w:hAnsi="仿宋" w:eastAsia="仿宋" w:cs="仿宋"/>
          <w:b/>
          <w:bCs/>
          <w:sz w:val="28"/>
          <w:szCs w:val="28"/>
        </w:rPr>
        <w:t>采购项目技术、服务要求及其他商务要求</w:t>
      </w:r>
      <w:bookmarkEnd w:id="3"/>
      <w:bookmarkEnd w:id="4"/>
    </w:p>
    <w:tbl>
      <w:tblPr>
        <w:tblStyle w:val="12"/>
        <w:tblW w:w="5000" w:type="pct"/>
        <w:jc w:val="center"/>
        <w:tblLayout w:type="fixed"/>
        <w:tblCellMar>
          <w:top w:w="0" w:type="dxa"/>
          <w:left w:w="108" w:type="dxa"/>
          <w:bottom w:w="0" w:type="dxa"/>
          <w:right w:w="108" w:type="dxa"/>
        </w:tblCellMar>
      </w:tblPr>
      <w:tblGrid>
        <w:gridCol w:w="687"/>
        <w:gridCol w:w="612"/>
        <w:gridCol w:w="745"/>
        <w:gridCol w:w="5529"/>
        <w:gridCol w:w="687"/>
        <w:gridCol w:w="687"/>
      </w:tblGrid>
      <w:tr>
        <w:tblPrEx>
          <w:tblCellMar>
            <w:top w:w="0" w:type="dxa"/>
            <w:left w:w="108" w:type="dxa"/>
            <w:bottom w:w="0" w:type="dxa"/>
            <w:right w:w="108" w:type="dxa"/>
          </w:tblCellMar>
        </w:tblPrEx>
        <w:trPr>
          <w:trHeight w:val="360" w:hRule="atLeast"/>
          <w:jc w:val="center"/>
        </w:trPr>
        <w:tc>
          <w:tcPr>
            <w:tcW w:w="384" w:type="pct"/>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noWrap/>
            <w:vAlign w:val="center"/>
          </w:tcPr>
          <w:p>
            <w:pPr>
              <w:widowControl/>
              <w:adjustRightInd/>
              <w:snapToGrid/>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交付阶段</w:t>
            </w:r>
          </w:p>
        </w:tc>
        <w:tc>
          <w:tcPr>
            <w:tcW w:w="3848" w:type="pct"/>
            <w:gridSpan w:val="3"/>
            <w:tcBorders>
              <w:top w:val="single" w:color="auto" w:sz="4" w:space="0"/>
              <w:left w:val="nil"/>
              <w:bottom w:val="single" w:color="auto" w:sz="4" w:space="0"/>
              <w:right w:val="single" w:color="000000" w:sz="4" w:space="0"/>
            </w:tcBorders>
            <w:shd w:val="clear" w:color="auto" w:fill="D8D8D8" w:themeFill="background1" w:themeFillShade="D9"/>
            <w:noWrap/>
            <w:vAlign w:val="center"/>
          </w:tcPr>
          <w:p>
            <w:pPr>
              <w:widowControl/>
              <w:adjustRightInd/>
              <w:snapToGrid/>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交付内容</w:t>
            </w:r>
          </w:p>
        </w:tc>
        <w:tc>
          <w:tcPr>
            <w:tcW w:w="383" w:type="pct"/>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noWrap/>
            <w:vAlign w:val="center"/>
          </w:tcPr>
          <w:p>
            <w:pPr>
              <w:widowControl/>
              <w:adjustRightInd/>
              <w:snapToGrid/>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交付方式</w:t>
            </w:r>
          </w:p>
        </w:tc>
        <w:tc>
          <w:tcPr>
            <w:tcW w:w="383" w:type="pct"/>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noWrap/>
            <w:vAlign w:val="center"/>
          </w:tcPr>
          <w:p>
            <w:pPr>
              <w:widowControl/>
              <w:adjustRightInd/>
              <w:snapToGrid/>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交付频次</w:t>
            </w:r>
          </w:p>
        </w:tc>
      </w:tr>
      <w:tr>
        <w:tblPrEx>
          <w:tblCellMar>
            <w:top w:w="0" w:type="dxa"/>
            <w:left w:w="108" w:type="dxa"/>
            <w:bottom w:w="0" w:type="dxa"/>
            <w:right w:w="108" w:type="dxa"/>
          </w:tblCellMar>
        </w:tblPrEx>
        <w:trPr>
          <w:trHeight w:val="444" w:hRule="atLeast"/>
          <w:jc w:val="center"/>
        </w:trPr>
        <w:tc>
          <w:tcPr>
            <w:tcW w:w="384"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tcBorders>
              <w:top w:val="nil"/>
              <w:left w:val="nil"/>
              <w:bottom w:val="single" w:color="auto" w:sz="4" w:space="0"/>
              <w:right w:val="single" w:color="auto" w:sz="4" w:space="0"/>
            </w:tcBorders>
            <w:shd w:val="clear" w:color="auto" w:fill="D8D8D8" w:themeFill="background1" w:themeFillShade="D9"/>
            <w:noWrap/>
            <w:vAlign w:val="center"/>
          </w:tcPr>
          <w:p>
            <w:pPr>
              <w:widowControl/>
              <w:adjustRightInd/>
              <w:snapToGrid/>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交付项</w:t>
            </w:r>
          </w:p>
        </w:tc>
        <w:tc>
          <w:tcPr>
            <w:tcW w:w="416" w:type="pct"/>
            <w:tcBorders>
              <w:top w:val="nil"/>
              <w:left w:val="nil"/>
              <w:bottom w:val="single" w:color="auto" w:sz="4" w:space="0"/>
              <w:right w:val="single" w:color="auto" w:sz="4" w:space="0"/>
            </w:tcBorders>
            <w:shd w:val="clear" w:color="auto" w:fill="D8D8D8" w:themeFill="background1" w:themeFillShade="D9"/>
            <w:noWrap/>
            <w:vAlign w:val="center"/>
          </w:tcPr>
          <w:p>
            <w:pPr>
              <w:widowControl/>
              <w:adjustRightInd/>
              <w:snapToGrid/>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交付细项</w:t>
            </w:r>
          </w:p>
        </w:tc>
        <w:tc>
          <w:tcPr>
            <w:tcW w:w="3090" w:type="pct"/>
            <w:tcBorders>
              <w:top w:val="nil"/>
              <w:left w:val="nil"/>
              <w:bottom w:val="single" w:color="auto" w:sz="4" w:space="0"/>
              <w:right w:val="single" w:color="auto" w:sz="4" w:space="0"/>
            </w:tcBorders>
            <w:shd w:val="clear" w:color="auto" w:fill="D8D8D8" w:themeFill="background1" w:themeFillShade="D9"/>
            <w:noWrap/>
            <w:vAlign w:val="center"/>
          </w:tcPr>
          <w:p>
            <w:pPr>
              <w:widowControl/>
              <w:adjustRightInd/>
              <w:snapToGrid/>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交付描述</w:t>
            </w:r>
          </w:p>
        </w:tc>
        <w:tc>
          <w:tcPr>
            <w:tcW w:w="383"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83" w:type="pct"/>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运营成熟度评估</w:t>
            </w:r>
          </w:p>
        </w:tc>
        <w:tc>
          <w:tcPr>
            <w:tcW w:w="34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资产识别与梳理</w:t>
            </w:r>
          </w:p>
        </w:tc>
        <w:tc>
          <w:tcPr>
            <w:tcW w:w="416" w:type="pct"/>
            <w:tcBorders>
              <w:top w:val="nil"/>
              <w:left w:val="nil"/>
              <w:bottom w:val="nil"/>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资产信息梳理与管理</w:t>
            </w:r>
          </w:p>
        </w:tc>
        <w:tc>
          <w:tcPr>
            <w:tcW w:w="3090" w:type="pct"/>
            <w:tcBorders>
              <w:top w:val="nil"/>
              <w:left w:val="nil"/>
              <w:bottom w:val="nil"/>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合安全工具发现的资产信息，首次进行服务范围内资产的全面梳理（梳理的信息包含支撑业务系统运转的操作系统、数据库、中间件、应用系统的版本，类型，IP地址；应用开放协议和端口；应用系统管理方式、资产的重要性以及网络拓扑），并将信息录入到安全运营平台中进行管理；当资产发生变更时，安全专家对变更信息进行确认与更新。</w:t>
            </w:r>
          </w:p>
        </w:tc>
        <w:tc>
          <w:tcPr>
            <w:tcW w:w="38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安全运营组件</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1次/年</w:t>
            </w:r>
          </w:p>
        </w:tc>
      </w:tr>
      <w:tr>
        <w:tblPrEx>
          <w:tblCellMar>
            <w:top w:w="0" w:type="dxa"/>
            <w:left w:w="108" w:type="dxa"/>
            <w:bottom w:w="0" w:type="dxa"/>
            <w:right w:w="108" w:type="dxa"/>
          </w:tblCellMar>
        </w:tblPrEx>
        <w:trPr>
          <w:trHeight w:val="1392"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tcBorders>
              <w:top w:val="single" w:color="auto" w:sz="4" w:space="0"/>
              <w:left w:val="nil"/>
              <w:bottom w:val="nil"/>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资产发现与识别</w:t>
            </w:r>
          </w:p>
        </w:tc>
        <w:tc>
          <w:tcPr>
            <w:tcW w:w="3090" w:type="pct"/>
            <w:tcBorders>
              <w:top w:val="single" w:color="auto" w:sz="4" w:space="0"/>
              <w:left w:val="nil"/>
              <w:bottom w:val="nil"/>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借助安全工具对用户资产进行全面发现和深度识别，并在后续服务过程中触发资产变更等相关服务流程，确保安全运营中心中资产信息的准确性和全面性。</w:t>
            </w:r>
          </w:p>
        </w:tc>
        <w:tc>
          <w:tcPr>
            <w:tcW w:w="38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安全现状评估</w:t>
            </w:r>
          </w:p>
        </w:tc>
        <w:tc>
          <w:tcPr>
            <w:tcW w:w="41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脆弱性评估</w:t>
            </w:r>
          </w:p>
        </w:tc>
        <w:tc>
          <w:tcPr>
            <w:tcW w:w="3090" w:type="pct"/>
            <w:tcBorders>
              <w:top w:val="single" w:color="auto" w:sz="4" w:space="0"/>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线配置核查：检查支撑信息化业务的主机操作系统、数据库、中间件的基线配置情况，确保达到相应的安全防护要求。检查项包含但不限于帐号和口令管理、认证、授权策略、网络与服务、进程和启动、文件系统权限、访问控制等配置情况</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弱口令扫描：实现信息化资产不同应用弱口令猜解检测，如：telnet、ssh、mysql、tomcat</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SMB、Mssql、Mysql、Oracle、smtp、VNC、ftp、等</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044"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系统与Web漏洞扫描：对操作系统、数据库、常见应用/协议、Web通用漏洞与常规漏洞进行漏洞扫描。</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病毒类事件评估</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挖矿病毒事件分析：安服专家分析是否感染了挖矿病毒/木马；是否处于挖矿状态；根据已发生的漏洞攻击行为分析判断是否存在以植入挖矿木马为目的的漏洞攻击等</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勒索病毒事件分析：安服专家分析判断主机是否感染了勒索病毒；是否已感染勒索病毒文件；根据已发生的漏洞攻击行为分析判断否存在勒索病毒攻击等。</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noWrap/>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蠕虫病毒事件：安服专家确认文件是否被感染，定位失陷的代码并进行修复</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044"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tcBorders>
              <w:top w:val="nil"/>
              <w:left w:val="nil"/>
              <w:bottom w:val="nil"/>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攻击行为评估</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Webshell上传行为、Web系统目录遍历攻击行为、SQL注入攻击行为、信息泄露攻击行为、针对漏洞利用攻击行为</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口令暴力破解攻击行为、僵尸网络攻击行为、系统命令注入攻击行为及僵尸网络攻击行为进行分析评估，判断攻击行为是否成功以及业务风险点。</w:t>
            </w:r>
          </w:p>
        </w:tc>
        <w:tc>
          <w:tcPr>
            <w:tcW w:w="38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失陷类事件评估</w:t>
            </w:r>
          </w:p>
        </w:tc>
        <w:tc>
          <w:tcPr>
            <w:tcW w:w="3090" w:type="pct"/>
            <w:tcBorders>
              <w:top w:val="nil"/>
              <w:left w:val="nil"/>
              <w:bottom w:val="single" w:color="auto" w:sz="4" w:space="0"/>
              <w:right w:val="single" w:color="auto" w:sz="4" w:space="0"/>
            </w:tcBorders>
            <w:shd w:val="clear" w:color="auto" w:fill="auto"/>
            <w:noWrap/>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潜伏威胁分析：安全专家分析内网主机的非法外联威胁行为，判断是否存在潜伏威胁，并给出解决建议。含：对外攻击、APT C&amp;C通道、隐藏外联通道等外联威胁行为。</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失陷主机分析：安全专家对失陷主机进行分析研判（如后门脚本类事件），并给出修复建议。</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运营能力评估</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安全调查</w:t>
            </w:r>
          </w:p>
        </w:tc>
        <w:tc>
          <w:tcPr>
            <w:tcW w:w="3090" w:type="pct"/>
            <w:tcBorders>
              <w:top w:val="nil"/>
              <w:left w:val="nil"/>
              <w:bottom w:val="single" w:color="auto" w:sz="4" w:space="0"/>
              <w:right w:val="single" w:color="auto" w:sz="4" w:space="0"/>
            </w:tcBorders>
            <w:shd w:val="clear" w:color="auto" w:fill="auto"/>
            <w:vAlign w:val="bottom"/>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采用线上调查问卷的方式，调研用户是否具备资产管理、漏洞管理、威胁监测技术、风险评估、应急预案等方面的信息安全措施。</w:t>
            </w:r>
          </w:p>
        </w:tc>
        <w:tc>
          <w:tcPr>
            <w:tcW w:w="38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2次/年</w:t>
            </w:r>
          </w:p>
        </w:tc>
      </w:tr>
      <w:tr>
        <w:tblPrEx>
          <w:tblCellMar>
            <w:top w:w="0" w:type="dxa"/>
            <w:left w:w="108" w:type="dxa"/>
            <w:bottom w:w="0" w:type="dxa"/>
            <w:right w:w="108" w:type="dxa"/>
          </w:tblCellMar>
        </w:tblPrEx>
        <w:trPr>
          <w:trHeight w:val="1044"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安全运营能力成熟度评估</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用线下访谈的方式，对用户信息安全措施进行调研评估。内容包含管理策略、资产管理、漏洞管理、威胁监测、威胁情报、风险评估、应急预案管理、安全事件管理。并根据调研的内容输出安全运营能力成熟度。</w:t>
            </w:r>
          </w:p>
        </w:tc>
        <w:tc>
          <w:tcPr>
            <w:tcW w:w="38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tcBorders>
              <w:top w:val="nil"/>
              <w:left w:val="nil"/>
              <w:bottom w:val="single" w:color="auto" w:sz="4" w:space="0"/>
              <w:right w:val="single" w:color="auto" w:sz="4" w:space="0"/>
            </w:tcBorders>
            <w:shd w:val="clear" w:color="auto" w:fill="auto"/>
            <w:vAlign w:val="bottom"/>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安全运营能力成熟度解读</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结合评估出的安全运营能力成熟度以及客户业务，提供安全能力差距分析报告解读。</w:t>
            </w:r>
          </w:p>
        </w:tc>
        <w:tc>
          <w:tcPr>
            <w:tcW w:w="38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问题处置</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脆弱性问题处置</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针对病毒类事件。安全专家提供病毒处置工具并主导查杀10个实例。若超过10个实例，安全专家固化出实际可行的措施，确保用户可进行查杀病毒。</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1次/年</w:t>
            </w: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病毒类事件处置</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针对内网脆弱性，安全专家分析研判后提供实际佐证材料，并给出修复建议。</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入侵攻击行为处置</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针对分析研判确认的入侵行为，安全专家给出策略调整建议。</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7"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失陷类事件处置</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针对勒索、挖矿类事件。安全专家主导处置工作，并提供最大程度溯源服务（如涉及到重装业务系统，提供重装指导）；安全专家定位恶意文件路径并提供查杀指导（</w:t>
            </w:r>
            <w:r>
              <w:rPr>
                <w:rFonts w:hint="eastAsia" w:ascii="宋体" w:hAnsi="宋体" w:cs="宋体"/>
                <w:color w:val="000000"/>
                <w:kern w:val="0"/>
                <w:sz w:val="18"/>
                <w:szCs w:val="18"/>
                <w:lang w:eastAsia="zh-CN"/>
              </w:rPr>
              <w:t>在医院</w:t>
            </w:r>
            <w:r>
              <w:rPr>
                <w:rFonts w:hint="eastAsia" w:ascii="宋体" w:hAnsi="宋体" w:eastAsia="宋体" w:cs="宋体"/>
                <w:color w:val="000000"/>
                <w:kern w:val="0"/>
                <w:sz w:val="18"/>
                <w:szCs w:val="18"/>
              </w:rPr>
              <w:t>授权情况下，可由</w:t>
            </w:r>
            <w:r>
              <w:rPr>
                <w:rFonts w:hint="eastAsia" w:ascii="宋体" w:hAnsi="宋体" w:cs="宋体"/>
                <w:color w:val="000000"/>
                <w:kern w:val="0"/>
                <w:sz w:val="18"/>
                <w:szCs w:val="18"/>
                <w:lang w:eastAsia="zh-CN"/>
              </w:rPr>
              <w:t>安全专家</w:t>
            </w:r>
            <w:r>
              <w:rPr>
                <w:rFonts w:hint="eastAsia" w:ascii="宋体" w:hAnsi="宋体" w:eastAsia="宋体" w:cs="宋体"/>
                <w:color w:val="000000"/>
                <w:kern w:val="0"/>
                <w:sz w:val="18"/>
                <w:szCs w:val="18"/>
              </w:rPr>
              <w:t>直接操作）；并分析有无异常进程与服务，发现异常进行通告（</w:t>
            </w:r>
            <w:r>
              <w:rPr>
                <w:rFonts w:hint="eastAsia" w:ascii="宋体" w:hAnsi="宋体" w:cs="宋体"/>
                <w:color w:val="000000"/>
                <w:kern w:val="0"/>
                <w:sz w:val="18"/>
                <w:szCs w:val="18"/>
                <w:lang w:eastAsia="zh-CN"/>
              </w:rPr>
              <w:t>在医院</w:t>
            </w:r>
            <w:r>
              <w:rPr>
                <w:rFonts w:hint="eastAsia" w:ascii="宋体" w:hAnsi="宋体" w:eastAsia="宋体" w:cs="宋体"/>
                <w:color w:val="000000"/>
                <w:kern w:val="0"/>
                <w:sz w:val="18"/>
                <w:szCs w:val="18"/>
              </w:rPr>
              <w:t>授权情况下，可由</w:t>
            </w:r>
            <w:r>
              <w:rPr>
                <w:rFonts w:hint="eastAsia" w:ascii="宋体" w:hAnsi="宋体" w:cs="宋体"/>
                <w:color w:val="000000"/>
                <w:kern w:val="0"/>
                <w:sz w:val="18"/>
                <w:szCs w:val="18"/>
                <w:lang w:eastAsia="zh-CN"/>
              </w:rPr>
              <w:t>安全专家</w:t>
            </w:r>
            <w:r>
              <w:rPr>
                <w:rFonts w:hint="eastAsia" w:ascii="宋体" w:hAnsi="宋体" w:eastAsia="宋体" w:cs="宋体"/>
                <w:color w:val="000000"/>
                <w:kern w:val="0"/>
                <w:sz w:val="18"/>
                <w:szCs w:val="18"/>
              </w:rPr>
              <w:t>直接对异常情况</w:t>
            </w:r>
            <w:r>
              <w:rPr>
                <w:rFonts w:hint="eastAsia" w:ascii="宋体" w:hAnsi="宋体" w:cs="宋体"/>
                <w:color w:val="000000"/>
                <w:kern w:val="0"/>
                <w:sz w:val="18"/>
                <w:szCs w:val="18"/>
                <w:lang w:eastAsia="zh-CN"/>
              </w:rPr>
              <w:t>并</w:t>
            </w:r>
            <w:r>
              <w:rPr>
                <w:rFonts w:hint="eastAsia" w:ascii="宋体" w:hAnsi="宋体" w:eastAsia="宋体" w:cs="宋体"/>
                <w:color w:val="000000"/>
                <w:kern w:val="0"/>
                <w:sz w:val="18"/>
                <w:szCs w:val="18"/>
              </w:rPr>
              <w:t>进行操作）。</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针对后门脚本类事件。安全专家主导处置工作，提供专杀工具对感染服务器进行全面后门脚本查杀，并提供最大程度溯源服务。</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392" w:hRule="atLeast"/>
          <w:jc w:val="center"/>
        </w:trPr>
        <w:tc>
          <w:tcPr>
            <w:tcW w:w="384"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针对隐藏通信通道、可疑外发行为。安全专家提供实际佐证材料，并给出修复建议，提供最大范围的溯源服务。配合定位异常进程以及恶意文件，并提供查杀建议（</w:t>
            </w:r>
            <w:r>
              <w:rPr>
                <w:rFonts w:hint="eastAsia" w:ascii="宋体" w:hAnsi="宋体" w:cs="宋体"/>
                <w:color w:val="000000"/>
                <w:kern w:val="0"/>
                <w:sz w:val="18"/>
                <w:szCs w:val="18"/>
                <w:lang w:eastAsia="zh-CN"/>
              </w:rPr>
              <w:t>在医院</w:t>
            </w:r>
            <w:r>
              <w:rPr>
                <w:rFonts w:hint="eastAsia" w:ascii="宋体" w:hAnsi="宋体" w:eastAsia="宋体" w:cs="宋体"/>
                <w:color w:val="000000"/>
                <w:kern w:val="0"/>
                <w:sz w:val="18"/>
                <w:szCs w:val="18"/>
              </w:rPr>
              <w:t>授权情况下，</w:t>
            </w:r>
            <w:r>
              <w:rPr>
                <w:rFonts w:hint="eastAsia" w:ascii="宋体" w:hAnsi="宋体" w:cs="宋体"/>
                <w:color w:val="000000"/>
                <w:kern w:val="0"/>
                <w:sz w:val="18"/>
                <w:szCs w:val="18"/>
                <w:lang w:eastAsia="zh-CN"/>
              </w:rPr>
              <w:t>安全专家</w:t>
            </w:r>
            <w:r>
              <w:rPr>
                <w:rFonts w:hint="eastAsia" w:ascii="宋体" w:hAnsi="宋体" w:eastAsia="宋体" w:cs="宋体"/>
                <w:color w:val="000000"/>
                <w:kern w:val="0"/>
                <w:sz w:val="18"/>
                <w:szCs w:val="18"/>
              </w:rPr>
              <w:t>开展查杀工作。默认主导查杀10个实例，若超过10个实例，固化出实际可行的措施，确保用户可进行查杀病毒。）</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044" w:hRule="atLeast"/>
          <w:jc w:val="center"/>
        </w:trPr>
        <w:tc>
          <w:tcPr>
            <w:tcW w:w="38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持续有效运营</w:t>
            </w:r>
          </w:p>
        </w:tc>
        <w:tc>
          <w:tcPr>
            <w:tcW w:w="34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漏洞管理</w:t>
            </w: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漏洞分析与管理</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漏洞扫描与验证：每月针对服务范围内的资产的系统漏洞和Web漏洞进行全量扫描，并针对发现的漏洞进行验证，验证漏洞在已有的安全体系发生的风险及分析发生后可造成的危害。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每日针对变更的资产执行增量扫描，并针对发现的漏洞进行验证。</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7*24H/年</w:t>
            </w: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漏洞落地性处置建议：对漏洞进行分类并书写漏洞分类处置方案，并通过工单系统跟踪修复情况。</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漏洞修复优先级排序与通告：基于漏洞扫描结果、资产重要性及漏洞的威胁情报，对漏洞进行重要性排序，确定修复的优先级；并将最终结果通告给用户</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漏洞复测与状态追踪：对修复的漏洞进行复测，关闭正常修复的漏洞的工单。制定漏洞闭环服务报告，并向</w:t>
            </w:r>
            <w:r>
              <w:rPr>
                <w:rFonts w:hint="eastAsia" w:ascii="宋体" w:hAnsi="宋体" w:cs="宋体"/>
                <w:color w:val="000000"/>
                <w:kern w:val="0"/>
                <w:sz w:val="18"/>
                <w:szCs w:val="18"/>
                <w:lang w:eastAsia="zh-CN"/>
              </w:rPr>
              <w:t>信息管理部门</w:t>
            </w:r>
            <w:r>
              <w:rPr>
                <w:rFonts w:hint="eastAsia" w:ascii="宋体" w:hAnsi="宋体" w:eastAsia="宋体" w:cs="宋体"/>
                <w:color w:val="000000"/>
                <w:kern w:val="0"/>
                <w:sz w:val="18"/>
                <w:szCs w:val="18"/>
              </w:rPr>
              <w:t>进行汇报</w:t>
            </w:r>
            <w:r>
              <w:rPr>
                <w:rFonts w:hint="eastAsia" w:ascii="宋体" w:hAnsi="宋体" w:cs="宋体"/>
                <w:color w:val="000000"/>
                <w:kern w:val="0"/>
                <w:sz w:val="18"/>
                <w:szCs w:val="18"/>
                <w:lang w:eastAsia="zh-CN"/>
              </w:rPr>
              <w:t>。</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392"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tcBorders>
              <w:top w:val="nil"/>
              <w:left w:val="nil"/>
              <w:bottom w:val="single" w:color="auto" w:sz="4" w:space="0"/>
              <w:right w:val="nil"/>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弱口令分析与管理</w:t>
            </w:r>
          </w:p>
        </w:tc>
        <w:tc>
          <w:tcPr>
            <w:tcW w:w="3090" w:type="pct"/>
            <w:tcBorders>
              <w:top w:val="nil"/>
              <w:left w:val="single" w:color="auto" w:sz="4" w:space="0"/>
              <w:bottom w:val="single" w:color="auto" w:sz="4" w:space="0"/>
              <w:right w:val="nil"/>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实现信息化资产不同应用弱口令猜解检测，如：telnet、ssh、mysql、tomcat</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SMB、Mssql、Mysql、Oracle、smtp、VNC、ftp等。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针对不同行业提供行业密码字典，有针对性的进行内网弱口令检测。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并将检测发现的问题通过工单系统跟踪修复状态。</w:t>
            </w:r>
          </w:p>
        </w:tc>
        <w:tc>
          <w:tcPr>
            <w:tcW w:w="383"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最新漏洞预警与响应（可选）</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资产指纹信息梳理：梳理信息化资产详情（含操作系统、中间件、数据库、应用框架，开发语言等指纹信息）并将梳理的信息录入安全运营平台。</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最新漏洞预警与排查：实时抓取互联网最新漏洞与详细资产信息进行匹配，对最新漏洞进行预警与排查。预警信息中包含最新漏洞信息、影响资产范围。</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最新漏洞处置指导：一旦确认漏洞影响范围后，安全专家提供专业的处置建议，处置建议包含两部分，补丁方案以及临时规避措施。</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最新漏洞复测与状态跟踪：由安全专家对该最新漏洞建立状态追踪机制；跟踪修复状态，遗留情况。</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漏洞协助处置（可选）</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处置方案验证：根据漏洞处置方案，在</w:t>
            </w:r>
            <w:r>
              <w:rPr>
                <w:rFonts w:hint="eastAsia" w:ascii="宋体" w:hAnsi="宋体" w:cs="宋体"/>
                <w:color w:val="000000"/>
                <w:kern w:val="0"/>
                <w:sz w:val="18"/>
                <w:szCs w:val="18"/>
                <w:lang w:eastAsia="zh-CN"/>
              </w:rPr>
              <w:t>医院</w:t>
            </w:r>
            <w:r>
              <w:rPr>
                <w:rFonts w:hint="eastAsia" w:ascii="宋体" w:hAnsi="宋体" w:eastAsia="宋体" w:cs="宋体"/>
                <w:color w:val="000000"/>
                <w:kern w:val="0"/>
                <w:sz w:val="18"/>
                <w:szCs w:val="18"/>
              </w:rPr>
              <w:t>提供的测试环境中开展漏洞处置方案验证工作，观察处置方案对测试环境产生的影响，并提供最优修复方案建议。</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制定处置方案：根据用户实际业务场景需求，制定最适合的漏洞处置方案。</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漏洞处置实施：在</w:t>
            </w:r>
            <w:r>
              <w:rPr>
                <w:rFonts w:hint="eastAsia" w:ascii="宋体" w:hAnsi="宋体" w:cs="宋体"/>
                <w:color w:val="000000"/>
                <w:kern w:val="0"/>
                <w:sz w:val="18"/>
                <w:szCs w:val="18"/>
                <w:lang w:eastAsia="zh-CN"/>
              </w:rPr>
              <w:t>医院</w:t>
            </w:r>
            <w:r>
              <w:rPr>
                <w:rFonts w:hint="eastAsia" w:ascii="宋体" w:hAnsi="宋体" w:eastAsia="宋体" w:cs="宋体"/>
                <w:color w:val="000000"/>
                <w:kern w:val="0"/>
                <w:sz w:val="18"/>
                <w:szCs w:val="18"/>
              </w:rPr>
              <w:t>授权下，对漏洞进行处置工作，并验证漏洞是否依然存在以及配合验证业务影响面。</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21"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威胁管理</w:t>
            </w:r>
          </w:p>
        </w:tc>
        <w:tc>
          <w:tcPr>
            <w:tcW w:w="416"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威胁分析与通告</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合大数据分析、人工智能、云端专家提供安全事件发现服务：依托于安全防护组件、检测响应组件和安全平台，将海量安全数据脱敏，包括漏洞信息、共享威胁情报、异常流量、攻击日志、病毒日志等数据，经由大数据处理平台结合人工智能和云端安全专家使用多种数据分析算法模型进行数据归因关联分析，实时监测网络安全状态,发现各类安全事件，并自动生成工单</w:t>
            </w:r>
            <w:r>
              <w:rPr>
                <w:rFonts w:hint="eastAsia" w:ascii="宋体" w:hAnsi="宋体" w:cs="宋体"/>
                <w:color w:val="000000"/>
                <w:kern w:val="0"/>
                <w:sz w:val="18"/>
                <w:szCs w:val="18"/>
                <w:lang w:eastAsia="zh-CN"/>
              </w:rPr>
              <w:t>。</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实时监测网络安全状态，对病毒事件自动化生成工单,及时进行分析与预警。病毒类型包含勒索型、流行病毒、挖矿型、蠕虫型、外发DOS型、C&amp;C访问型、文件感染型、木马型。</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实时监测网络安全状态，对攻击事件自动化生成工单,及时进行分析与预警。攻击事件包含境外黑客攻击事件、高级黑客攻击事件、持续攻击事件。</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安全专家针对每一类威胁，进行深度分析验证，分析判断是否存在其他可疑主机，将深度关联分析的结果通过邮件、微信等方式告知用户</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23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流行威胁通告与排查</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结合威胁情报，安全专家排查是否对用户资产造成威胁并通知用户，协助及时进行安全加固</w:t>
            </w:r>
          </w:p>
        </w:tc>
        <w:tc>
          <w:tcPr>
            <w:tcW w:w="38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044"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主动分析与响应</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每月主动分析攻击类的安全事件：通过攻击日志分析，发现持续性攻击，立即采取行动实时对抗，当</w:t>
            </w:r>
            <w:r>
              <w:rPr>
                <w:rFonts w:hint="eastAsia" w:ascii="宋体" w:hAnsi="宋体" w:cs="宋体"/>
                <w:color w:val="000000"/>
                <w:kern w:val="0"/>
                <w:sz w:val="18"/>
                <w:szCs w:val="18"/>
                <w:lang w:eastAsia="zh-CN"/>
              </w:rPr>
              <w:t>医院</w:t>
            </w:r>
            <w:r>
              <w:rPr>
                <w:rFonts w:hint="eastAsia" w:ascii="宋体" w:hAnsi="宋体" w:eastAsia="宋体" w:cs="宋体"/>
                <w:color w:val="000000"/>
                <w:kern w:val="0"/>
                <w:sz w:val="18"/>
                <w:szCs w:val="18"/>
              </w:rPr>
              <w:t>无防御措施时，提供攻击类安全事件的处置建议。</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每月主动分析病毒类的安全事件：安全专家提供病毒处置工具，并针对服务范围内的业务资产使用病毒处置工具进行病毒查杀，对于服务范围外的业务资产，安全专家协助</w:t>
            </w:r>
            <w:r>
              <w:rPr>
                <w:rFonts w:hint="eastAsia" w:ascii="宋体" w:hAnsi="宋体" w:cs="宋体"/>
                <w:color w:val="000000"/>
                <w:kern w:val="0"/>
                <w:sz w:val="18"/>
                <w:szCs w:val="18"/>
                <w:lang w:eastAsia="zh-CN"/>
              </w:rPr>
              <w:t>医院信息管理部门</w:t>
            </w:r>
            <w:r>
              <w:rPr>
                <w:rFonts w:hint="eastAsia" w:ascii="宋体" w:hAnsi="宋体" w:eastAsia="宋体" w:cs="宋体"/>
                <w:color w:val="000000"/>
                <w:kern w:val="0"/>
                <w:sz w:val="18"/>
                <w:szCs w:val="18"/>
              </w:rPr>
              <w:t>查杀病毒；</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每月主动分析漏洞利用类的安全事件并验证该漏洞是否利用成功，提供工具协助处置；</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每月主动分析失陷类的安全事件并协助用户处置，并提供溯源服务</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策略管理</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策略调配：新增资产、业务变更策略调优服务，业务变更时策略随业务变化而同步更新</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策略定期管理：安全专家每月对安全组件上的安全策略进行统一管理工作，确保安全组件上的安全策略始终处于最优水平，针对威胁能起到最好的防护效果。</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策略调整：安全专家根据安全事件分析的结果以及处置方式，按需对安全组件上的安全策略进行调整工作。</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持续攻击对抗</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通过攻击日志分析，发现持续性攻击，立即采取行动实时对抗。</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25"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bottom"/>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通过全网大数据分析，发现有境外黑客或高级黑客正在攻击，立即采取行动封锁黑客行为。</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事件管理</w:t>
            </w: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事件分析与处置</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对用户上报的安全事件进行及时响应。</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bottom"/>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针对分析得到的勒索病毒、挖矿病毒、篡改事件、webshell、僵尸网络等安全事件，通过工具和方法对恶意文件、代码进行根除，帮助客户快速恢复业务，消除或减轻影响。</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bottom"/>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实时针对异常流量分析、攻击日志和病毒日志分析，经过海量数据脱敏、聚合发现安全事件。</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应急响应</w:t>
            </w:r>
          </w:p>
        </w:tc>
        <w:tc>
          <w:tcPr>
            <w:tcW w:w="3090" w:type="pct"/>
            <w:tcBorders>
              <w:top w:val="nil"/>
              <w:left w:val="nil"/>
              <w:bottom w:val="single" w:color="auto" w:sz="4" w:space="0"/>
              <w:right w:val="single" w:color="auto" w:sz="4" w:space="0"/>
            </w:tcBorders>
            <w:shd w:val="clear" w:color="auto" w:fill="auto"/>
            <w:vAlign w:val="bottom"/>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入侵影响抑制：通过事件检测分析，提供抑制手段，降低入侵影响，协助快速恢复业务。</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bottom"/>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入侵威胁清除：排查攻击路径，恶意文件清除。</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bottom"/>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入侵原因分析：还原攻击路径，分析入侵事件原因。</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bottom"/>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加固建议指导：结合现有安全防御体系，指导用户进行安全加固、提供整改建议、防止再次入侵。</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运营可视</w:t>
            </w:r>
          </w:p>
        </w:tc>
        <w:tc>
          <w:tcPr>
            <w:tcW w:w="416"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安全运营可视化</w:t>
            </w: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通过安全运营平台，随时查看业务资产安全状态。</w:t>
            </w:r>
          </w:p>
        </w:tc>
        <w:tc>
          <w:tcPr>
            <w:tcW w:w="38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安全专家+安全运营组件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在线展示所有事件监测结果、防御过程和防御结果。</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090" w:type="pct"/>
            <w:tcBorders>
              <w:top w:val="nil"/>
              <w:left w:val="nil"/>
              <w:bottom w:val="single" w:color="auto" w:sz="4" w:space="0"/>
              <w:right w:val="single" w:color="auto" w:sz="4" w:space="0"/>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在线展示所有服务内容、流程和事件处理进展。</w:t>
            </w:r>
          </w:p>
        </w:tc>
        <w:tc>
          <w:tcPr>
            <w:tcW w:w="383" w:type="pct"/>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416" w:type="pct"/>
            <w:tcBorders>
              <w:top w:val="nil"/>
              <w:left w:val="nil"/>
              <w:bottom w:val="single" w:color="auto" w:sz="4" w:space="0"/>
              <w:right w:val="nil"/>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定期安全运营汇报</w:t>
            </w:r>
          </w:p>
        </w:tc>
        <w:tc>
          <w:tcPr>
            <w:tcW w:w="3090" w:type="pct"/>
            <w:tcBorders>
              <w:top w:val="nil"/>
              <w:left w:val="single" w:color="auto" w:sz="4" w:space="0"/>
              <w:bottom w:val="single" w:color="auto" w:sz="4" w:space="0"/>
              <w:right w:val="nil"/>
            </w:tcBorders>
            <w:shd w:val="clear" w:color="auto" w:fill="auto"/>
            <w:vAlign w:val="center"/>
          </w:tcPr>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定期总结阶段性安全运营情况发送给用户，并向用户总结汇报。</w:t>
            </w:r>
          </w:p>
        </w:tc>
        <w:tc>
          <w:tcPr>
            <w:tcW w:w="383"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安全专家</w:t>
            </w:r>
          </w:p>
        </w:tc>
        <w:tc>
          <w:tcPr>
            <w:tcW w:w="383"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280" w:hRule="atLeast"/>
          <w:jc w:val="center"/>
        </w:trPr>
        <w:tc>
          <w:tcPr>
            <w:tcW w:w="384" w:type="pct"/>
            <w:vMerge w:val="restart"/>
            <w:tcBorders>
              <w:top w:val="nil"/>
              <w:left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营运组件</w:t>
            </w:r>
          </w:p>
        </w:tc>
        <w:tc>
          <w:tcPr>
            <w:tcW w:w="341" w:type="pct"/>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日志收集及策略处置</w:t>
            </w:r>
          </w:p>
        </w:tc>
        <w:tc>
          <w:tcPr>
            <w:tcW w:w="416" w:type="pct"/>
            <w:tcBorders>
              <w:top w:val="nil"/>
              <w:left w:val="nil"/>
              <w:bottom w:val="single" w:color="auto" w:sz="4" w:space="0"/>
              <w:right w:val="nil"/>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出口防火墙</w:t>
            </w:r>
          </w:p>
        </w:tc>
        <w:tc>
          <w:tcPr>
            <w:tcW w:w="3090" w:type="pct"/>
            <w:tcBorders>
              <w:top w:val="nil"/>
              <w:left w:val="single" w:color="auto" w:sz="4" w:space="0"/>
              <w:bottom w:val="single" w:color="auto" w:sz="4" w:space="0"/>
              <w:right w:val="nil"/>
            </w:tcBorders>
            <w:shd w:val="clear" w:color="auto" w:fill="auto"/>
          </w:tcPr>
          <w:p>
            <w:pPr>
              <w:numPr>
                <w:ilvl w:val="0"/>
                <w:numId w:val="4"/>
              </w:numPr>
              <w:spacing w:line="360" w:lineRule="auto"/>
              <w:ind w:left="425" w:leftChars="0" w:hanging="425" w:firstLineChars="0"/>
              <w:rPr>
                <w:rFonts w:hint="eastAsia" w:ascii="宋体" w:hAnsi="宋体" w:eastAsia="宋体" w:cs="宋体"/>
                <w:sz w:val="18"/>
                <w:szCs w:val="18"/>
              </w:rPr>
            </w:pPr>
            <w:r>
              <w:rPr>
                <w:rFonts w:hint="default" w:ascii="Wingdings" w:hAnsi="Wingdings" w:eastAsia="楷体" w:cs="宋体"/>
                <w:kern w:val="2"/>
                <w:sz w:val="24"/>
                <w:szCs w:val="24"/>
                <w:lang w:val="en-US" w:eastAsia="zh-CN" w:bidi="ar-SA"/>
              </w:rPr>
              <w:t>★</w:t>
            </w:r>
            <w:r>
              <w:rPr>
                <w:rFonts w:hint="eastAsia" w:ascii="宋体" w:hAnsi="宋体" w:eastAsia="宋体" w:cs="宋体"/>
                <w:sz w:val="18"/>
                <w:szCs w:val="18"/>
              </w:rPr>
              <w:t>网络层吞吐量≥20G，应用层吞吐量≥9G，全威胁吞吐量≥1G，并发连接数≥200万，HTTP新建连接数≥9万，内存大小≥8G，硬盘容量≥128G SSD，接口≥8个千兆电口，≥4个千兆光口SFP+，≥2个万兆光口。</w:t>
            </w:r>
          </w:p>
          <w:p>
            <w:pPr>
              <w:numPr>
                <w:ilvl w:val="0"/>
                <w:numId w:val="4"/>
              </w:numPr>
              <w:spacing w:line="360" w:lineRule="auto"/>
              <w:ind w:left="425" w:leftChars="0" w:hanging="425" w:firstLineChars="0"/>
              <w:rPr>
                <w:rFonts w:hint="eastAsia" w:ascii="宋体" w:hAnsi="宋体" w:eastAsia="宋体" w:cs="宋体"/>
                <w:sz w:val="18"/>
                <w:szCs w:val="18"/>
              </w:rPr>
            </w:pPr>
            <w:r>
              <w:rPr>
                <w:rFonts w:hint="default" w:ascii="Wingdings" w:hAnsi="Wingdings" w:eastAsia="楷体" w:cs="宋体"/>
                <w:kern w:val="2"/>
                <w:sz w:val="24"/>
                <w:szCs w:val="24"/>
                <w:lang w:val="en-US" w:eastAsia="zh-CN" w:bidi="ar-SA"/>
              </w:rPr>
              <w:t>★</w:t>
            </w:r>
            <w:r>
              <w:rPr>
                <w:rFonts w:hint="eastAsia" w:ascii="宋体" w:hAnsi="宋体" w:eastAsia="宋体" w:cs="宋体"/>
                <w:sz w:val="18"/>
                <w:szCs w:val="18"/>
              </w:rPr>
              <w:t>产品支持僵尸主机检测功能，产品预定义特征库超过110万种，可识别主机的异常外联行为；（提供功能截图并加盖投标人公章）</w:t>
            </w:r>
          </w:p>
          <w:p>
            <w:pPr>
              <w:numPr>
                <w:ilvl w:val="0"/>
                <w:numId w:val="4"/>
              </w:numPr>
              <w:spacing w:line="360"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产品支持安全策略有效性分析功能，分析内容至少包括策略冗余分析、策略匹配分析、风险端口风险等内容，提供安全策略优化建议；</w:t>
            </w:r>
          </w:p>
          <w:p>
            <w:pPr>
              <w:numPr>
                <w:ilvl w:val="0"/>
                <w:numId w:val="4"/>
              </w:numPr>
              <w:spacing w:line="360"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产品支持管理员双因素认证功能，用户通过用户名/密码和Key等不同方式登陆产品管理界面；</w:t>
            </w:r>
          </w:p>
          <w:p>
            <w:pPr>
              <w:numPr>
                <w:ilvl w:val="0"/>
                <w:numId w:val="4"/>
              </w:numPr>
              <w:spacing w:line="360"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产品支持文件目录防护功能，通过对用户账号进行认证，对网站内容的修改行为进行合法性控制；</w:t>
            </w:r>
          </w:p>
          <w:p>
            <w:pPr>
              <w:numPr>
                <w:ilvl w:val="0"/>
                <w:numId w:val="4"/>
              </w:numPr>
              <w:spacing w:line="360" w:lineRule="auto"/>
              <w:ind w:left="425" w:leftChars="0" w:hanging="425" w:firstLineChars="0"/>
              <w:rPr>
                <w:rFonts w:hint="eastAsia" w:ascii="宋体" w:hAnsi="宋体" w:eastAsia="宋体" w:cs="宋体"/>
                <w:sz w:val="18"/>
                <w:szCs w:val="18"/>
              </w:rPr>
            </w:pPr>
            <w:r>
              <w:rPr>
                <w:rFonts w:hint="default" w:ascii="Wingdings" w:hAnsi="Wingdings" w:eastAsia="楷体" w:cs="宋体"/>
                <w:kern w:val="2"/>
                <w:sz w:val="24"/>
                <w:szCs w:val="24"/>
                <w:lang w:val="en-US" w:eastAsia="zh-CN" w:bidi="ar-SA"/>
              </w:rPr>
              <w:t>★</w:t>
            </w:r>
            <w:r>
              <w:rPr>
                <w:rFonts w:hint="eastAsia" w:ascii="宋体" w:hAnsi="宋体" w:eastAsia="宋体" w:cs="宋体"/>
                <w:sz w:val="18"/>
                <w:szCs w:val="18"/>
              </w:rPr>
              <w:t>产品支持对请求报文头的X-Forward-For字段检测，并对非法源IP进行日志记录和联动封锁；（提供功能截图并加盖投标人公章）</w:t>
            </w:r>
          </w:p>
          <w:p>
            <w:pPr>
              <w:numPr>
                <w:ilvl w:val="0"/>
                <w:numId w:val="4"/>
              </w:numPr>
              <w:spacing w:line="360"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产品支持三权分立功能，根据管理员权限分为安全管理员、审计员、系统管理员三种角色；</w:t>
            </w:r>
          </w:p>
          <w:p>
            <w:pPr>
              <w:numPr>
                <w:ilvl w:val="0"/>
                <w:numId w:val="4"/>
              </w:numPr>
              <w:spacing w:line="360" w:lineRule="auto"/>
              <w:ind w:left="425" w:leftChars="0" w:hanging="425" w:firstLineChars="0"/>
              <w:rPr>
                <w:rFonts w:hint="eastAsia" w:ascii="宋体" w:hAnsi="宋体" w:eastAsia="宋体" w:cs="宋体"/>
                <w:sz w:val="18"/>
                <w:szCs w:val="18"/>
              </w:rPr>
            </w:pPr>
            <w:r>
              <w:rPr>
                <w:rFonts w:hint="default" w:ascii="Wingdings" w:hAnsi="Wingdings" w:eastAsia="楷体" w:cs="宋体"/>
                <w:kern w:val="2"/>
                <w:sz w:val="24"/>
                <w:szCs w:val="24"/>
                <w:lang w:val="en-US" w:eastAsia="zh-CN" w:bidi="ar-SA"/>
              </w:rPr>
              <w:t>★</w:t>
            </w:r>
            <w:r>
              <w:rPr>
                <w:rFonts w:hint="eastAsia" w:ascii="宋体" w:hAnsi="宋体" w:eastAsia="宋体" w:cs="宋体"/>
                <w:sz w:val="18"/>
                <w:szCs w:val="18"/>
              </w:rPr>
              <w:t>要求所投产品具备IT产品信息安全认证证书EAL4增强级，提供有效证书复印件；（提供相关证明材料并加盖投标人公章）</w:t>
            </w:r>
          </w:p>
          <w:p>
            <w:pPr>
              <w:numPr>
                <w:ilvl w:val="0"/>
                <w:numId w:val="4"/>
              </w:numPr>
              <w:spacing w:line="360"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产品预定义漏洞特征数量超过10800种，支持在产品漏洞特征库中以漏洞名称、漏洞ID、漏洞CVE标识、危险等级和漏洞描述等条件快速查询特定漏洞特征信息，支持用户自定义IPS规则。</w:t>
            </w:r>
          </w:p>
          <w:p>
            <w:pPr>
              <w:numPr>
                <w:ilvl w:val="0"/>
                <w:numId w:val="4"/>
              </w:numPr>
              <w:spacing w:line="360" w:lineRule="auto"/>
              <w:ind w:left="425" w:leftChars="0" w:hanging="425" w:firstLineChars="0"/>
              <w:rPr>
                <w:rFonts w:hint="eastAsia" w:ascii="宋体" w:hAnsi="宋体" w:eastAsia="宋体" w:cs="宋体"/>
                <w:sz w:val="18"/>
                <w:szCs w:val="18"/>
              </w:rPr>
            </w:pPr>
            <w:r>
              <w:rPr>
                <w:rFonts w:hint="default" w:ascii="Wingdings" w:hAnsi="Wingdings" w:eastAsia="楷体" w:cs="宋体"/>
                <w:kern w:val="2"/>
                <w:sz w:val="24"/>
                <w:szCs w:val="24"/>
                <w:lang w:val="en-US" w:eastAsia="zh-CN" w:bidi="ar-SA"/>
              </w:rPr>
              <w:t>★</w:t>
            </w:r>
            <w:r>
              <w:rPr>
                <w:rFonts w:hint="eastAsia" w:ascii="宋体" w:hAnsi="宋体" w:eastAsia="宋体" w:cs="宋体"/>
                <w:sz w:val="18"/>
                <w:szCs w:val="18"/>
              </w:rPr>
              <w:t>设备支持服务器漏洞防扫描功能，并对攻击者源IP进行日志记录和查看被测设备封锁攻击者IP列表中是否有IP地址；（提供第三方权威机构出具的相关功能检测报告，报告包含首页、功能页以及尾页）</w:t>
            </w:r>
          </w:p>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default" w:ascii="Wingdings" w:hAnsi="Wingdings" w:eastAsia="楷体" w:cs="宋体"/>
                <w:kern w:val="2"/>
                <w:sz w:val="24"/>
                <w:szCs w:val="24"/>
                <w:lang w:val="en-US" w:eastAsia="zh-CN" w:bidi="ar-SA"/>
              </w:rPr>
              <w:t>★</w:t>
            </w:r>
            <w:r>
              <w:rPr>
                <w:rFonts w:hint="eastAsia" w:ascii="宋体" w:hAnsi="宋体" w:eastAsia="宋体" w:cs="宋体"/>
                <w:sz w:val="18"/>
                <w:szCs w:val="18"/>
              </w:rPr>
              <w:t>为防止攻击者通过Cookie对服务器发起攻击有，设备需支持Cookie攻击防护功能，并对通过Cookie发起攻击的日志进行记录；（提供第三方权威机构出具的相关功能检测报告，报告包含首页、功能页以及尾页）</w:t>
            </w:r>
          </w:p>
        </w:tc>
        <w:tc>
          <w:tcPr>
            <w:tcW w:w="383"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设备交付</w:t>
            </w:r>
          </w:p>
        </w:tc>
        <w:tc>
          <w:tcPr>
            <w:tcW w:w="383" w:type="pct"/>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384" w:type="pct"/>
            <w:vMerge w:val="continue"/>
            <w:tcBorders>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p>
        </w:tc>
        <w:tc>
          <w:tcPr>
            <w:tcW w:w="341" w:type="pct"/>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服务器</w:t>
            </w:r>
            <w:r>
              <w:rPr>
                <w:rFonts w:hint="eastAsia" w:ascii="宋体" w:hAnsi="宋体" w:cs="宋体"/>
                <w:b/>
                <w:bCs/>
                <w:color w:val="000000"/>
                <w:kern w:val="0"/>
                <w:sz w:val="18"/>
                <w:szCs w:val="18"/>
                <w:lang w:eastAsia="zh-CN"/>
              </w:rPr>
              <w:t>端</w:t>
            </w:r>
            <w:r>
              <w:rPr>
                <w:rFonts w:hint="eastAsia" w:ascii="宋体" w:hAnsi="宋体" w:eastAsia="宋体" w:cs="宋体"/>
                <w:b/>
                <w:bCs/>
                <w:color w:val="000000"/>
                <w:kern w:val="0"/>
                <w:sz w:val="18"/>
                <w:szCs w:val="18"/>
              </w:rPr>
              <w:t>查杀</w:t>
            </w:r>
          </w:p>
        </w:tc>
        <w:tc>
          <w:tcPr>
            <w:tcW w:w="416" w:type="pct"/>
            <w:tcBorders>
              <w:top w:val="nil"/>
              <w:left w:val="nil"/>
              <w:bottom w:val="single" w:color="auto" w:sz="4" w:space="0"/>
              <w:right w:val="nil"/>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EDR</w:t>
            </w:r>
          </w:p>
        </w:tc>
        <w:tc>
          <w:tcPr>
            <w:tcW w:w="3090" w:type="pct"/>
            <w:tcBorders>
              <w:top w:val="nil"/>
              <w:left w:val="single" w:color="auto" w:sz="4" w:space="0"/>
              <w:bottom w:val="single" w:color="auto" w:sz="4" w:space="0"/>
              <w:right w:val="nil"/>
            </w:tcBorders>
            <w:shd w:val="clear" w:color="auto" w:fill="auto"/>
            <w:vAlign w:val="center"/>
          </w:tcPr>
          <w:p>
            <w:pPr>
              <w:numPr>
                <w:ilvl w:val="0"/>
                <w:numId w:val="4"/>
              </w:numPr>
              <w:spacing w:line="360" w:lineRule="auto"/>
              <w:ind w:left="425" w:leftChars="0" w:hanging="425" w:firstLineChars="0"/>
              <w:rPr>
                <w:rFonts w:hint="eastAsia" w:ascii="宋体" w:hAnsi="宋体" w:eastAsia="宋体" w:cs="宋体"/>
                <w:sz w:val="18"/>
                <w:szCs w:val="18"/>
              </w:rPr>
            </w:pPr>
            <w:r>
              <w:rPr>
                <w:rFonts w:hint="default" w:ascii="Wingdings" w:hAnsi="Wingdings" w:eastAsia="楷体" w:cs="宋体"/>
                <w:kern w:val="2"/>
                <w:sz w:val="24"/>
                <w:szCs w:val="24"/>
                <w:lang w:val="en-US" w:eastAsia="zh-CN" w:bidi="ar-SA"/>
              </w:rPr>
              <w:t>★</w:t>
            </w:r>
            <w:r>
              <w:rPr>
                <w:rFonts w:hint="eastAsia" w:ascii="宋体" w:hAnsi="宋体" w:eastAsia="宋体" w:cs="宋体"/>
                <w:sz w:val="18"/>
                <w:szCs w:val="18"/>
              </w:rPr>
              <w:t>为简化终端管理，要求设备支持自动收集终端资产状况，</w:t>
            </w:r>
            <w:r>
              <w:rPr>
                <w:rFonts w:hint="eastAsia" w:ascii="宋体" w:hAnsi="宋体" w:eastAsia="宋体" w:cs="宋体"/>
                <w:color w:val="C00000"/>
                <w:sz w:val="18"/>
                <w:szCs w:val="18"/>
              </w:rPr>
              <w:t>本次需服务器端20套</w:t>
            </w:r>
            <w:r>
              <w:rPr>
                <w:rFonts w:hint="eastAsia" w:ascii="宋体" w:hAnsi="宋体" w:eastAsia="宋体" w:cs="宋体"/>
                <w:sz w:val="18"/>
                <w:szCs w:val="18"/>
              </w:rPr>
              <w:t>；</w:t>
            </w:r>
          </w:p>
          <w:p>
            <w:pPr>
              <w:numPr>
                <w:ilvl w:val="0"/>
                <w:numId w:val="4"/>
              </w:numPr>
              <w:spacing w:line="360" w:lineRule="auto"/>
              <w:ind w:left="425" w:leftChars="0" w:hanging="425" w:firstLineChars="0"/>
              <w:rPr>
                <w:rFonts w:hint="eastAsia" w:ascii="宋体" w:hAnsi="宋体" w:eastAsia="宋体" w:cs="宋体"/>
                <w:sz w:val="18"/>
                <w:szCs w:val="18"/>
              </w:rPr>
            </w:pPr>
            <w:r>
              <w:rPr>
                <w:rFonts w:hint="default" w:ascii="Wingdings" w:hAnsi="Wingdings" w:eastAsia="楷体" w:cs="宋体"/>
                <w:kern w:val="2"/>
                <w:sz w:val="24"/>
                <w:szCs w:val="24"/>
                <w:lang w:val="en-US" w:eastAsia="zh-CN" w:bidi="ar-SA"/>
              </w:rPr>
              <w:t>★</w:t>
            </w:r>
            <w:r>
              <w:rPr>
                <w:rFonts w:hint="eastAsia" w:ascii="宋体" w:hAnsi="宋体" w:eastAsia="宋体" w:cs="宋体"/>
                <w:sz w:val="18"/>
                <w:szCs w:val="18"/>
              </w:rPr>
              <w:t>构建全网文件信誉库，当一台终端发现某一病毒文件，全网可进行感知并进行针对性查杀，支持处置病毒时选择是否在其它终端上同步处置；（提供功能截图并加盖投标人公章）；</w:t>
            </w:r>
          </w:p>
          <w:p>
            <w:pPr>
              <w:numPr>
                <w:ilvl w:val="0"/>
                <w:numId w:val="4"/>
              </w:numPr>
              <w:spacing w:line="360"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采用B/S架构的管理控制中心，具备终端安全可视，终端统一管理，统一威胁处置，统一漏洞修复，威胁响应处置，日志记录与查询等功能；</w:t>
            </w:r>
          </w:p>
          <w:p>
            <w:pPr>
              <w:numPr>
                <w:ilvl w:val="0"/>
                <w:numId w:val="4"/>
              </w:numPr>
              <w:spacing w:line="360"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基于勒索病毒攻击过程，建立多维度立体防护机制，提供事前入侵防御-事中反加密-事后检测响应的完整防护体系，展示勒索病毒处置情况，对勒索病毒及变种实现专门有效防御；</w:t>
            </w:r>
          </w:p>
          <w:p>
            <w:pPr>
              <w:numPr>
                <w:ilvl w:val="0"/>
                <w:numId w:val="4"/>
              </w:numPr>
              <w:spacing w:line="360" w:lineRule="auto"/>
              <w:ind w:left="425" w:leftChars="0" w:hanging="425" w:firstLineChars="0"/>
              <w:rPr>
                <w:rFonts w:hint="eastAsia" w:ascii="宋体" w:hAnsi="宋体" w:eastAsia="宋体" w:cs="宋体"/>
                <w:sz w:val="18"/>
                <w:szCs w:val="18"/>
              </w:rPr>
            </w:pPr>
            <w:r>
              <w:rPr>
                <w:rFonts w:hint="default" w:ascii="Wingdings" w:hAnsi="Wingdings" w:eastAsia="楷体" w:cs="宋体"/>
                <w:kern w:val="2"/>
                <w:sz w:val="24"/>
                <w:szCs w:val="24"/>
                <w:lang w:val="en-US" w:eastAsia="zh-CN" w:bidi="ar-SA"/>
              </w:rPr>
              <w:t>★</w:t>
            </w:r>
            <w:r>
              <w:rPr>
                <w:rFonts w:hint="eastAsia" w:ascii="宋体" w:hAnsi="宋体" w:eastAsia="宋体" w:cs="宋体"/>
                <w:sz w:val="18"/>
                <w:szCs w:val="18"/>
              </w:rPr>
              <w:t xml:space="preserve">支持用户直接对勒索病毒的家族名、病毒名、加密文件后缀名执行链接查询，可通过直接上传加密文件的方式确定勒索病毒类型，如果能解密可以提供必要的解密工具；（提供功能截图并加盖投标人公章） </w:t>
            </w:r>
          </w:p>
          <w:p>
            <w:pPr>
              <w:numPr>
                <w:ilvl w:val="0"/>
                <w:numId w:val="4"/>
              </w:numPr>
              <w:spacing w:line="360" w:lineRule="auto"/>
              <w:ind w:left="425" w:leftChars="0" w:hanging="425" w:firstLineChars="0"/>
              <w:rPr>
                <w:rFonts w:hint="eastAsia" w:ascii="宋体" w:hAnsi="宋体" w:eastAsia="宋体" w:cs="宋体"/>
                <w:sz w:val="18"/>
                <w:szCs w:val="18"/>
              </w:rPr>
            </w:pPr>
            <w:r>
              <w:rPr>
                <w:rFonts w:hint="default" w:ascii="Wingdings" w:hAnsi="Wingdings" w:eastAsia="楷体" w:cs="宋体"/>
                <w:kern w:val="2"/>
                <w:sz w:val="24"/>
                <w:szCs w:val="24"/>
                <w:lang w:val="en-US" w:eastAsia="zh-CN" w:bidi="ar-SA"/>
              </w:rPr>
              <w:t>★</w:t>
            </w:r>
            <w:r>
              <w:rPr>
                <w:rFonts w:hint="eastAsia" w:ascii="宋体" w:hAnsi="宋体" w:eastAsia="宋体" w:cs="宋体"/>
                <w:sz w:val="18"/>
                <w:szCs w:val="18"/>
              </w:rPr>
              <w:t xml:space="preserve">提供勒索病毒整体防护体系入口，直观展示最近七天勒索病毒防护效果，包括已处置的勒索病毒数量、已阻止的勒索病毒行为次数、已阻止的未知进程操作次数、已阻止的暴力破解攻击次数；（提供功能截图并加盖投标人公章） </w:t>
            </w:r>
          </w:p>
          <w:p>
            <w:pPr>
              <w:numPr>
                <w:ilvl w:val="0"/>
                <w:numId w:val="4"/>
              </w:numPr>
              <w:spacing w:line="360"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支持配置不同的权限角色，支持超级管理员、普通管理员（管理）、审计管理员（查看）三种权限，并配置可管辖的终端范围，支持管理员账号限制IP登录；支持管理员账号采用用户名密码和USBKey双因素认证。</w:t>
            </w:r>
          </w:p>
          <w:p>
            <w:pPr>
              <w:numPr>
                <w:ilvl w:val="0"/>
                <w:numId w:val="4"/>
              </w:numPr>
              <w:spacing w:line="360"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具备高兼容性，在识别到终端存在非适配的第三方软件时可使用兼容模式进行安装，灵活调整agent策略，提供流畅的终端体验。</w:t>
            </w:r>
          </w:p>
          <w:p>
            <w:pPr>
              <w:numPr>
                <w:ilvl w:val="0"/>
                <w:numId w:val="4"/>
              </w:numPr>
              <w:spacing w:line="360" w:lineRule="auto"/>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支持根据统计周期、终端名称、IP地址，补丁信息和漏洞等级等多维度的入侵检测日志，杀毒扫描日志，微隔离日志，合规检测日志，管理员操作日志，运维日志，联动日志等的日志查询和检测；</w:t>
            </w:r>
          </w:p>
          <w:p>
            <w:pPr>
              <w:widowControl/>
              <w:numPr>
                <w:ilvl w:val="0"/>
                <w:numId w:val="4"/>
              </w:numPr>
              <w:adjustRightInd/>
              <w:snapToGrid/>
              <w:spacing w:line="360" w:lineRule="auto"/>
              <w:ind w:left="425" w:leftChars="0" w:hanging="425" w:firstLineChars="0"/>
              <w:rPr>
                <w:rFonts w:hint="eastAsia" w:ascii="宋体" w:hAnsi="宋体" w:eastAsia="宋体" w:cs="宋体"/>
                <w:color w:val="000000"/>
                <w:kern w:val="0"/>
                <w:sz w:val="18"/>
                <w:szCs w:val="18"/>
              </w:rPr>
            </w:pPr>
            <w:r>
              <w:rPr>
                <w:rFonts w:hint="eastAsia" w:ascii="宋体" w:hAnsi="宋体" w:eastAsia="宋体" w:cs="宋体"/>
                <w:sz w:val="18"/>
                <w:szCs w:val="18"/>
              </w:rPr>
              <w:t>一键式操作对指定终端/终端组进行合规性检查，包括身份鉴别、访问控制、安全审计、剩余信息保护、入侵防范、恶意代码防范，对不合规的检查项提供设置建议，并可视化展示终端的基线合规检查结果；</w:t>
            </w:r>
          </w:p>
        </w:tc>
        <w:tc>
          <w:tcPr>
            <w:tcW w:w="383"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软件交付</w:t>
            </w:r>
          </w:p>
        </w:tc>
        <w:tc>
          <w:tcPr>
            <w:tcW w:w="383" w:type="pct"/>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rPr>
                <w:rFonts w:hint="eastAsia" w:ascii="宋体" w:hAnsi="宋体" w:eastAsia="宋体" w:cs="宋体"/>
                <w:color w:val="000000"/>
                <w:kern w:val="0"/>
                <w:sz w:val="18"/>
                <w:szCs w:val="18"/>
              </w:rPr>
            </w:pPr>
          </w:p>
        </w:tc>
      </w:tr>
    </w:tbl>
    <w:p>
      <w:pPr>
        <w:pStyle w:val="2"/>
        <w:rPr>
          <w:rFonts w:hint="eastAsia"/>
        </w:rPr>
      </w:pP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商务要求</w:t>
      </w:r>
    </w:p>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1.交货期为合同签订后10天内，具体交货时间可由双方在合同中约定，“交货时间”指所有货物运抵现场安装调试完毕后交付用户验收的日期；</w:t>
      </w:r>
    </w:p>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2.交货地点：隆昌市人民医院或采购合同中约定的指定地点；</w:t>
      </w:r>
    </w:p>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3.免费送货到指定科室、安装、调试，并试运行；</w:t>
      </w:r>
    </w:p>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4.质保期为不低于验收合格后6个月；</w:t>
      </w:r>
    </w:p>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5.质保期内出现质量问题，中选供应商在接到通知后应在不超过30分钟内响应并提供电话技术支持，电话技术支持未能使设备恢复正常运转，维修人员应在不超过8 小时内响应到场，并在随后不超过12小时内完成维修或者更换，并承担修理调换的费用；</w:t>
      </w:r>
    </w:p>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6.参选供应商需提供售后服务承诺函；</w:t>
      </w:r>
    </w:p>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7.中选供应商须指派专人负责与采购人联系售后服务事宜；</w:t>
      </w:r>
    </w:p>
    <w:p>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sectPr>
          <w:pgSz w:w="11906" w:h="16838"/>
          <w:pgMar w:top="1440" w:right="1531" w:bottom="1440" w:left="1644" w:header="0" w:footer="567" w:gutter="0"/>
          <w:cols w:space="720" w:num="1"/>
          <w:docGrid w:linePitch="312" w:charSpace="0"/>
        </w:sectPr>
      </w:pPr>
      <w:r>
        <w:rPr>
          <w:rFonts w:hint="eastAsia" w:ascii="宋体" w:hAnsi="宋体" w:eastAsia="宋体" w:cs="宋体"/>
          <w:kern w:val="2"/>
          <w:sz w:val="21"/>
          <w:szCs w:val="21"/>
          <w:lang w:val="en-US" w:eastAsia="zh-CN" w:bidi="ar-SA"/>
        </w:rPr>
        <w:t>8.</w:t>
      </w:r>
      <w:r>
        <w:rPr>
          <w:rFonts w:hint="eastAsia" w:ascii="宋体" w:hAnsi="宋体" w:eastAsia="宋体" w:cs="宋体"/>
          <w:sz w:val="21"/>
          <w:szCs w:val="21"/>
        </w:rPr>
        <w:t>结算时间和结算方式：</w:t>
      </w:r>
      <w:r>
        <w:rPr>
          <w:rFonts w:hint="eastAsia" w:ascii="宋体" w:hAnsi="宋体" w:eastAsia="宋体" w:cs="宋体"/>
          <w:sz w:val="21"/>
          <w:szCs w:val="21"/>
          <w:lang w:eastAsia="zh-CN"/>
        </w:rPr>
        <w:t>按</w:t>
      </w:r>
      <w:r>
        <w:rPr>
          <w:rFonts w:hint="eastAsia" w:ascii="宋体" w:hAnsi="宋体" w:eastAsia="宋体" w:cs="宋体"/>
          <w:kern w:val="2"/>
          <w:sz w:val="21"/>
          <w:szCs w:val="21"/>
          <w:lang w:val="en-US" w:eastAsia="zh-CN" w:bidi="ar-SA"/>
        </w:rPr>
        <w:t>中选供应商与医院签订的合同执行。</w:t>
      </w:r>
    </w:p>
    <w:p>
      <w:pPr>
        <w:pStyle w:val="4"/>
        <w:rPr>
          <w:rFonts w:hint="eastAsia"/>
        </w:rPr>
      </w:pPr>
    </w:p>
    <w:p>
      <w:pPr>
        <w:numPr>
          <w:ilvl w:val="0"/>
          <w:numId w:val="1"/>
        </w:numPr>
        <w:spacing w:line="360" w:lineRule="auto"/>
        <w:jc w:val="center"/>
        <w:outlineLvl w:val="0"/>
        <w:rPr>
          <w:rFonts w:hint="eastAsia" w:ascii="仿宋" w:hAnsi="仿宋" w:eastAsia="仿宋" w:cs="仿宋"/>
          <w:b/>
          <w:bCs/>
          <w:sz w:val="28"/>
          <w:szCs w:val="28"/>
        </w:rPr>
      </w:pPr>
      <w:bookmarkStart w:id="5" w:name="_Toc4221"/>
      <w:r>
        <w:rPr>
          <w:rFonts w:hint="eastAsia" w:ascii="仿宋" w:hAnsi="仿宋" w:eastAsia="仿宋" w:cs="仿宋"/>
          <w:b/>
          <w:bCs/>
          <w:sz w:val="28"/>
          <w:szCs w:val="28"/>
        </w:rPr>
        <w:t>评分标准</w:t>
      </w:r>
      <w:bookmarkEnd w:id="5"/>
    </w:p>
    <w:tbl>
      <w:tblPr>
        <w:tblStyle w:val="12"/>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02"/>
        <w:gridCol w:w="989"/>
        <w:gridCol w:w="6038"/>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07" w:type="dxa"/>
            <w:noWrap w:val="0"/>
            <w:vAlign w:val="center"/>
          </w:tcPr>
          <w:p>
            <w:pPr>
              <w:rPr>
                <w:rFonts w:hint="eastAsia" w:ascii="仿宋" w:hAnsi="仿宋" w:eastAsia="仿宋" w:cs="仿宋"/>
                <w:b/>
                <w:bCs/>
                <w:sz w:val="24"/>
              </w:rPr>
            </w:pPr>
            <w:r>
              <w:rPr>
                <w:rFonts w:hint="eastAsia" w:ascii="仿宋" w:hAnsi="仿宋" w:eastAsia="仿宋" w:cs="仿宋"/>
                <w:b/>
                <w:bCs/>
                <w:sz w:val="24"/>
              </w:rPr>
              <w:t>序号</w:t>
            </w:r>
          </w:p>
        </w:tc>
        <w:tc>
          <w:tcPr>
            <w:tcW w:w="1202" w:type="dxa"/>
            <w:noWrap w:val="0"/>
            <w:vAlign w:val="center"/>
          </w:tcPr>
          <w:p>
            <w:pPr>
              <w:rPr>
                <w:rFonts w:hint="eastAsia" w:ascii="仿宋" w:hAnsi="仿宋" w:eastAsia="仿宋" w:cs="仿宋"/>
                <w:b/>
                <w:bCs/>
                <w:sz w:val="24"/>
              </w:rPr>
            </w:pPr>
            <w:r>
              <w:rPr>
                <w:rFonts w:hint="eastAsia" w:ascii="仿宋" w:hAnsi="仿宋" w:eastAsia="仿宋" w:cs="仿宋"/>
                <w:b/>
                <w:bCs/>
                <w:sz w:val="24"/>
              </w:rPr>
              <w:t>评分因素及权重</w:t>
            </w:r>
          </w:p>
        </w:tc>
        <w:tc>
          <w:tcPr>
            <w:tcW w:w="989" w:type="dxa"/>
            <w:noWrap w:val="0"/>
            <w:vAlign w:val="center"/>
          </w:tcPr>
          <w:p>
            <w:pPr>
              <w:ind w:firstLine="241" w:firstLineChars="100"/>
              <w:rPr>
                <w:rFonts w:hint="eastAsia" w:ascii="仿宋" w:hAnsi="仿宋" w:eastAsia="仿宋" w:cs="仿宋"/>
                <w:b/>
                <w:bCs/>
                <w:sz w:val="24"/>
              </w:rPr>
            </w:pPr>
            <w:r>
              <w:rPr>
                <w:rFonts w:hint="eastAsia" w:ascii="仿宋" w:hAnsi="仿宋" w:eastAsia="仿宋" w:cs="仿宋"/>
                <w:b/>
                <w:bCs/>
                <w:sz w:val="24"/>
              </w:rPr>
              <w:t>分值</w:t>
            </w:r>
          </w:p>
        </w:tc>
        <w:tc>
          <w:tcPr>
            <w:tcW w:w="6038" w:type="dxa"/>
            <w:noWrap w:val="0"/>
            <w:vAlign w:val="center"/>
          </w:tcPr>
          <w:p>
            <w:pPr>
              <w:ind w:firstLine="241" w:firstLineChars="100"/>
              <w:jc w:val="center"/>
              <w:rPr>
                <w:rFonts w:hint="eastAsia" w:ascii="仿宋" w:hAnsi="仿宋" w:eastAsia="仿宋" w:cs="仿宋"/>
                <w:b/>
                <w:bCs/>
                <w:sz w:val="24"/>
              </w:rPr>
            </w:pPr>
            <w:r>
              <w:rPr>
                <w:rFonts w:hint="eastAsia" w:ascii="仿宋" w:hAnsi="仿宋" w:eastAsia="仿宋" w:cs="仿宋"/>
                <w:b/>
                <w:bCs/>
                <w:sz w:val="24"/>
              </w:rPr>
              <w:t>评分标准</w:t>
            </w:r>
          </w:p>
        </w:tc>
        <w:tc>
          <w:tcPr>
            <w:tcW w:w="1782" w:type="dxa"/>
            <w:noWrap w:val="0"/>
            <w:vAlign w:val="center"/>
          </w:tcPr>
          <w:p>
            <w:pPr>
              <w:ind w:firstLine="241" w:firstLineChars="100"/>
              <w:jc w:val="center"/>
              <w:rPr>
                <w:rFonts w:hint="eastAsia"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607" w:type="dxa"/>
            <w:noWrap w:val="0"/>
            <w:vAlign w:val="center"/>
          </w:tcPr>
          <w:p>
            <w:pPr>
              <w:rPr>
                <w:rFonts w:hint="eastAsia" w:ascii="仿宋" w:hAnsi="仿宋" w:eastAsia="仿宋" w:cs="仿宋"/>
                <w:sz w:val="24"/>
              </w:rPr>
            </w:pPr>
            <w:r>
              <w:rPr>
                <w:rFonts w:hint="eastAsia" w:ascii="仿宋" w:hAnsi="仿宋" w:eastAsia="仿宋" w:cs="仿宋"/>
                <w:sz w:val="24"/>
              </w:rPr>
              <w:t>1</w:t>
            </w:r>
          </w:p>
        </w:tc>
        <w:tc>
          <w:tcPr>
            <w:tcW w:w="1202" w:type="dxa"/>
            <w:noWrap w:val="0"/>
            <w:vAlign w:val="center"/>
          </w:tcPr>
          <w:p>
            <w:pPr>
              <w:rPr>
                <w:rFonts w:hint="eastAsia" w:ascii="仿宋" w:hAnsi="仿宋" w:eastAsia="仿宋" w:cs="仿宋"/>
                <w:sz w:val="24"/>
              </w:rPr>
            </w:pPr>
            <w:r>
              <w:rPr>
                <w:rFonts w:hint="eastAsia" w:ascii="仿宋" w:hAnsi="仿宋" w:eastAsia="仿宋" w:cs="仿宋"/>
                <w:sz w:val="24"/>
              </w:rPr>
              <w:t>报价</w:t>
            </w:r>
            <w:r>
              <w:rPr>
                <w:rFonts w:hint="eastAsia" w:ascii="仿宋" w:hAnsi="仿宋" w:eastAsia="仿宋" w:cs="仿宋"/>
                <w:sz w:val="24"/>
                <w:lang w:val="en-US" w:eastAsia="zh-CN"/>
              </w:rPr>
              <w:t>40</w:t>
            </w:r>
            <w:r>
              <w:rPr>
                <w:rFonts w:hint="eastAsia" w:ascii="仿宋" w:hAnsi="仿宋" w:eastAsia="仿宋" w:cs="仿宋"/>
                <w:sz w:val="24"/>
              </w:rPr>
              <w:t>%</w:t>
            </w:r>
          </w:p>
        </w:tc>
        <w:tc>
          <w:tcPr>
            <w:tcW w:w="989" w:type="dxa"/>
            <w:noWrap w:val="0"/>
            <w:vAlign w:val="center"/>
          </w:tcPr>
          <w:p>
            <w:pPr>
              <w:ind w:firstLine="240" w:firstLineChars="100"/>
              <w:jc w:val="center"/>
              <w:rPr>
                <w:rFonts w:hint="eastAsia" w:ascii="仿宋" w:hAnsi="仿宋" w:eastAsia="仿宋" w:cs="仿宋"/>
                <w:sz w:val="24"/>
              </w:rPr>
            </w:pPr>
            <w:r>
              <w:rPr>
                <w:rFonts w:hint="eastAsia" w:ascii="仿宋" w:hAnsi="仿宋" w:eastAsia="仿宋" w:cs="仿宋"/>
                <w:sz w:val="24"/>
                <w:lang w:val="en-US" w:eastAsia="zh-CN"/>
              </w:rPr>
              <w:t>40</w:t>
            </w:r>
            <w:r>
              <w:rPr>
                <w:rFonts w:hint="eastAsia" w:ascii="仿宋" w:hAnsi="仿宋" w:eastAsia="仿宋" w:cs="仿宋"/>
                <w:sz w:val="24"/>
              </w:rPr>
              <w:t>分</w:t>
            </w:r>
          </w:p>
        </w:tc>
        <w:tc>
          <w:tcPr>
            <w:tcW w:w="6038" w:type="dxa"/>
            <w:noWrap w:val="0"/>
            <w:vAlign w:val="center"/>
          </w:tcPr>
          <w:p>
            <w:pPr>
              <w:ind w:firstLine="240" w:firstLineChars="100"/>
              <w:jc w:val="left"/>
              <w:rPr>
                <w:rFonts w:hint="eastAsia" w:ascii="仿宋" w:hAnsi="仿宋" w:eastAsia="仿宋" w:cs="仿宋"/>
                <w:sz w:val="24"/>
              </w:rPr>
            </w:pPr>
            <w:r>
              <w:rPr>
                <w:rFonts w:hint="eastAsia" w:ascii="仿宋" w:hAnsi="仿宋" w:eastAsia="仿宋" w:cs="仿宋"/>
                <w:sz w:val="24"/>
              </w:rPr>
              <w:t>以本次有效的最低报价为基准价，报价得分=（基准价/最后报价）*</w:t>
            </w:r>
            <w:r>
              <w:rPr>
                <w:rFonts w:hint="eastAsia" w:ascii="仿宋" w:hAnsi="仿宋" w:eastAsia="仿宋" w:cs="仿宋"/>
                <w:sz w:val="24"/>
                <w:lang w:val="en-US" w:eastAsia="zh-CN"/>
              </w:rPr>
              <w:t>40</w:t>
            </w:r>
            <w:r>
              <w:rPr>
                <w:rFonts w:hint="eastAsia" w:ascii="仿宋" w:hAnsi="仿宋" w:eastAsia="仿宋" w:cs="仿宋"/>
                <w:sz w:val="24"/>
              </w:rPr>
              <w:t>*100%</w:t>
            </w:r>
          </w:p>
        </w:tc>
        <w:tc>
          <w:tcPr>
            <w:tcW w:w="1782" w:type="dxa"/>
            <w:noWrap w:val="0"/>
            <w:vAlign w:val="center"/>
          </w:tcPr>
          <w:p>
            <w:pPr>
              <w:jc w:val="both"/>
              <w:rPr>
                <w:rFonts w:hint="eastAsia" w:ascii="仿宋" w:hAnsi="仿宋" w:eastAsia="仿宋" w:cs="仿宋"/>
                <w:sz w:val="24"/>
                <w:lang w:val="en-US" w:eastAsia="zh-CN"/>
              </w:rPr>
            </w:pPr>
            <w:r>
              <w:rPr>
                <w:rFonts w:hint="eastAsia" w:ascii="仿宋" w:hAnsi="仿宋" w:eastAsia="仿宋" w:cs="仿宋"/>
                <w:sz w:val="24"/>
              </w:rPr>
              <w:t>报价过低</w:t>
            </w:r>
            <w:r>
              <w:rPr>
                <w:rFonts w:hint="eastAsia" w:ascii="仿宋" w:hAnsi="仿宋" w:eastAsia="仿宋" w:cs="仿宋"/>
                <w:sz w:val="24"/>
                <w:lang w:eastAsia="zh-CN"/>
              </w:rPr>
              <w:t>的将参照《政府采购货物和服务招标投标管理办法》(财政部令第87号)第六十条规定执行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5" w:hRule="atLeast"/>
          <w:jc w:val="center"/>
        </w:trPr>
        <w:tc>
          <w:tcPr>
            <w:tcW w:w="607" w:type="dxa"/>
            <w:noWrap w:val="0"/>
            <w:vAlign w:val="center"/>
          </w:tcPr>
          <w:p>
            <w:pPr>
              <w:rPr>
                <w:rFonts w:hint="eastAsia" w:ascii="仿宋" w:hAnsi="仿宋" w:eastAsia="仿宋" w:cs="仿宋"/>
                <w:sz w:val="24"/>
              </w:rPr>
            </w:pPr>
            <w:r>
              <w:rPr>
                <w:rFonts w:hint="eastAsia" w:ascii="仿宋" w:hAnsi="仿宋" w:eastAsia="仿宋" w:cs="仿宋"/>
                <w:sz w:val="24"/>
              </w:rPr>
              <w:t>2</w:t>
            </w:r>
          </w:p>
        </w:tc>
        <w:tc>
          <w:tcPr>
            <w:tcW w:w="1202" w:type="dxa"/>
            <w:noWrap w:val="0"/>
            <w:vAlign w:val="center"/>
          </w:tcPr>
          <w:p>
            <w:pPr>
              <w:rPr>
                <w:rFonts w:hint="eastAsia" w:ascii="仿宋" w:hAnsi="仿宋" w:eastAsia="仿宋" w:cs="仿宋"/>
                <w:sz w:val="24"/>
              </w:rPr>
            </w:pPr>
            <w:r>
              <w:rPr>
                <w:rFonts w:hint="eastAsia" w:ascii="仿宋" w:hAnsi="仿宋" w:eastAsia="仿宋" w:cs="仿宋"/>
                <w:kern w:val="0"/>
                <w:sz w:val="24"/>
              </w:rPr>
              <w:t>技术指标和配置</w:t>
            </w:r>
            <w:r>
              <w:rPr>
                <w:rFonts w:hint="eastAsia" w:ascii="仿宋" w:hAnsi="仿宋" w:eastAsia="仿宋" w:cs="仿宋"/>
                <w:kern w:val="0"/>
                <w:sz w:val="24"/>
                <w:lang w:val="en-US" w:eastAsia="zh-CN"/>
              </w:rPr>
              <w:t>46</w:t>
            </w:r>
            <w:r>
              <w:rPr>
                <w:rFonts w:hint="eastAsia" w:ascii="仿宋" w:hAnsi="仿宋" w:eastAsia="仿宋" w:cs="仿宋"/>
                <w:kern w:val="0"/>
                <w:sz w:val="24"/>
              </w:rPr>
              <w:t>%</w:t>
            </w:r>
          </w:p>
        </w:tc>
        <w:tc>
          <w:tcPr>
            <w:tcW w:w="989" w:type="dxa"/>
            <w:noWrap w:val="0"/>
            <w:vAlign w:val="center"/>
          </w:tcPr>
          <w:p>
            <w:pPr>
              <w:ind w:firstLine="240" w:firstLineChars="100"/>
              <w:jc w:val="center"/>
              <w:rPr>
                <w:rFonts w:hint="eastAsia" w:ascii="仿宋" w:hAnsi="仿宋" w:eastAsia="仿宋" w:cs="仿宋"/>
                <w:sz w:val="24"/>
              </w:rPr>
            </w:pPr>
            <w:r>
              <w:rPr>
                <w:rFonts w:hint="eastAsia" w:ascii="仿宋" w:hAnsi="仿宋" w:eastAsia="仿宋" w:cs="仿宋"/>
                <w:sz w:val="24"/>
                <w:lang w:val="en-US" w:eastAsia="zh-CN"/>
              </w:rPr>
              <w:t>46</w:t>
            </w:r>
            <w:r>
              <w:rPr>
                <w:rFonts w:hint="eastAsia" w:ascii="仿宋" w:hAnsi="仿宋" w:eastAsia="仿宋" w:cs="仿宋"/>
                <w:sz w:val="24"/>
              </w:rPr>
              <w:t>分</w:t>
            </w:r>
          </w:p>
        </w:tc>
        <w:tc>
          <w:tcPr>
            <w:tcW w:w="6038" w:type="dxa"/>
            <w:noWrap w:val="0"/>
            <w:vAlign w:val="center"/>
          </w:tcPr>
          <w:p>
            <w:pPr>
              <w:ind w:firstLine="240" w:firstLineChars="100"/>
              <w:jc w:val="left"/>
              <w:rPr>
                <w:rFonts w:hint="default" w:ascii="仿宋" w:hAnsi="仿宋" w:eastAsia="仿宋" w:cs="仿宋"/>
                <w:sz w:val="24"/>
                <w:lang w:val="en-US" w:eastAsia="zh-CN"/>
              </w:rPr>
            </w:pPr>
            <w:r>
              <w:rPr>
                <w:rFonts w:hint="eastAsia" w:ascii="仿宋" w:hAnsi="仿宋" w:eastAsia="仿宋" w:cs="仿宋"/>
                <w:sz w:val="24"/>
              </w:rPr>
              <w:t>完全符合文件技术要求没有负偏离得</w:t>
            </w:r>
            <w:r>
              <w:rPr>
                <w:rFonts w:hint="eastAsia" w:ascii="仿宋" w:hAnsi="仿宋" w:eastAsia="仿宋" w:cs="仿宋"/>
                <w:sz w:val="24"/>
                <w:lang w:val="en-US" w:eastAsia="zh-CN"/>
              </w:rPr>
              <w:t>46</w:t>
            </w:r>
            <w:r>
              <w:rPr>
                <w:rFonts w:hint="eastAsia" w:ascii="仿宋" w:hAnsi="仿宋" w:eastAsia="仿宋" w:cs="仿宋"/>
                <w:sz w:val="24"/>
              </w:rPr>
              <w:t>分；低于文件要求，负偏离一项</w:t>
            </w:r>
            <w:r>
              <w:rPr>
                <w:rFonts w:hint="eastAsia" w:ascii="仿宋" w:hAnsi="仿宋" w:eastAsia="仿宋" w:cs="仿宋"/>
                <w:sz w:val="24"/>
                <w:lang w:eastAsia="zh-CN"/>
              </w:rPr>
              <w:t>扣</w:t>
            </w:r>
            <w:r>
              <w:rPr>
                <w:rFonts w:hint="eastAsia" w:ascii="仿宋" w:hAnsi="仿宋" w:eastAsia="仿宋" w:cs="仿宋"/>
                <w:sz w:val="24"/>
                <w:lang w:val="en-US" w:eastAsia="zh-CN"/>
              </w:rPr>
              <w:t>1</w:t>
            </w:r>
            <w:r>
              <w:rPr>
                <w:rFonts w:hint="eastAsia" w:ascii="仿宋" w:hAnsi="仿宋" w:eastAsia="仿宋" w:cs="仿宋"/>
                <w:sz w:val="24"/>
              </w:rPr>
              <w:t>分，扣完为止。</w:t>
            </w:r>
            <w:r>
              <w:rPr>
                <w:rFonts w:hint="eastAsia" w:ascii="仿宋" w:hAnsi="仿宋" w:eastAsia="仿宋" w:cs="仿宋"/>
                <w:sz w:val="24"/>
                <w:lang w:eastAsia="zh-CN"/>
              </w:rPr>
              <w:t>如有</w:t>
            </w:r>
            <w:r>
              <w:rPr>
                <w:rFonts w:hint="default" w:ascii="Wingdings" w:hAnsi="Wingdings" w:eastAsia="楷体" w:cs="宋体"/>
                <w:kern w:val="2"/>
                <w:sz w:val="24"/>
                <w:szCs w:val="24"/>
                <w:lang w:val="en-US" w:eastAsia="zh-CN" w:bidi="ar-SA"/>
              </w:rPr>
              <w:t>★</w:t>
            </w:r>
            <w:r>
              <w:rPr>
                <w:rFonts w:hint="eastAsia" w:ascii="宋体" w:hAnsi="宋体"/>
                <w:color w:val="auto"/>
                <w:sz w:val="24"/>
                <w:lang w:eastAsia="zh-CN"/>
              </w:rPr>
              <w:t>参数，一条</w:t>
            </w:r>
            <w:r>
              <w:rPr>
                <w:rFonts w:hint="default" w:ascii="Wingdings" w:hAnsi="Wingdings" w:eastAsia="楷体" w:cs="宋体"/>
                <w:kern w:val="2"/>
                <w:sz w:val="24"/>
                <w:szCs w:val="24"/>
                <w:lang w:val="en-US" w:eastAsia="zh-CN" w:bidi="ar-SA"/>
              </w:rPr>
              <w:t>★</w:t>
            </w:r>
            <w:r>
              <w:rPr>
                <w:rFonts w:hint="eastAsia" w:ascii="宋体" w:hAnsi="宋体"/>
                <w:color w:val="auto"/>
                <w:sz w:val="24"/>
                <w:lang w:eastAsia="zh-CN"/>
              </w:rPr>
              <w:t>参数不满足扣</w:t>
            </w:r>
            <w:r>
              <w:rPr>
                <w:rFonts w:hint="eastAsia" w:ascii="宋体" w:hAnsi="宋体"/>
                <w:color w:val="auto"/>
                <w:sz w:val="24"/>
                <w:lang w:val="en-US" w:eastAsia="zh-CN"/>
              </w:rPr>
              <w:t>2分</w:t>
            </w:r>
          </w:p>
        </w:tc>
        <w:tc>
          <w:tcPr>
            <w:tcW w:w="1782" w:type="dxa"/>
            <w:noWrap w:val="0"/>
            <w:vAlign w:val="center"/>
          </w:tcPr>
          <w:p>
            <w:pPr>
              <w:ind w:firstLine="240" w:firstLineChars="100"/>
              <w:jc w:val="center"/>
              <w:rPr>
                <w:rFonts w:hint="eastAsia" w:ascii="仿宋" w:hAnsi="仿宋" w:eastAsia="仿宋" w:cs="仿宋"/>
                <w:sz w:val="24"/>
              </w:rPr>
            </w:pPr>
            <w:r>
              <w:rPr>
                <w:rFonts w:hint="eastAsia" w:ascii="仿宋" w:hAnsi="仿宋" w:eastAsia="仿宋" w:cs="仿宋"/>
                <w:sz w:val="24"/>
              </w:rPr>
              <w:t>参数须提供生产厂家证明文件或第三方机构出具的证明资料作为支撑（参数内有具体要求以参数内要求为准）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607" w:type="dxa"/>
            <w:noWrap w:val="0"/>
            <w:vAlign w:val="center"/>
          </w:tcPr>
          <w:p>
            <w:pPr>
              <w:ind w:firstLine="240" w:firstLineChars="100"/>
              <w:jc w:val="left"/>
              <w:rPr>
                <w:rFonts w:hint="eastAsia" w:ascii="仿宋" w:hAnsi="仿宋" w:eastAsia="仿宋" w:cs="仿宋"/>
                <w:sz w:val="24"/>
              </w:rPr>
            </w:pPr>
            <w:r>
              <w:rPr>
                <w:rFonts w:hint="eastAsia" w:ascii="仿宋" w:hAnsi="仿宋" w:eastAsia="仿宋" w:cs="仿宋"/>
                <w:sz w:val="24"/>
              </w:rPr>
              <w:t>3</w:t>
            </w:r>
          </w:p>
        </w:tc>
        <w:tc>
          <w:tcPr>
            <w:tcW w:w="1202" w:type="dxa"/>
            <w:noWrap w:val="0"/>
            <w:vAlign w:val="center"/>
          </w:tcPr>
          <w:p>
            <w:pPr>
              <w:ind w:firstLine="240" w:firstLineChars="100"/>
              <w:jc w:val="left"/>
              <w:rPr>
                <w:rFonts w:hint="eastAsia" w:ascii="仿宋" w:hAnsi="仿宋" w:eastAsia="仿宋" w:cs="仿宋"/>
                <w:sz w:val="24"/>
                <w:lang w:val="en-US" w:eastAsia="zh-CN"/>
              </w:rPr>
            </w:pPr>
            <w:r>
              <w:rPr>
                <w:rFonts w:hint="eastAsia" w:ascii="仿宋" w:hAnsi="仿宋" w:eastAsia="仿宋" w:cs="仿宋"/>
                <w:sz w:val="24"/>
                <w:lang w:val="en-US"/>
              </w:rPr>
              <w:t>售后服务</w:t>
            </w:r>
            <w:r>
              <w:rPr>
                <w:rFonts w:hint="eastAsia" w:ascii="仿宋" w:hAnsi="仿宋" w:eastAsia="仿宋" w:cs="仿宋"/>
                <w:sz w:val="24"/>
                <w:lang w:val="en-US" w:eastAsia="zh-CN"/>
              </w:rPr>
              <w:t>14</w:t>
            </w:r>
            <w:r>
              <w:rPr>
                <w:rFonts w:hint="eastAsia" w:ascii="仿宋" w:hAnsi="仿宋" w:eastAsia="仿宋" w:cs="仿宋"/>
                <w:sz w:val="24"/>
                <w:lang w:val="en-US"/>
              </w:rPr>
              <w:t>%</w:t>
            </w:r>
          </w:p>
        </w:tc>
        <w:tc>
          <w:tcPr>
            <w:tcW w:w="989" w:type="dxa"/>
            <w:noWrap w:val="0"/>
            <w:vAlign w:val="center"/>
          </w:tcPr>
          <w:p>
            <w:pPr>
              <w:ind w:firstLine="240" w:firstLineChars="100"/>
              <w:jc w:val="left"/>
              <w:rPr>
                <w:rFonts w:hint="eastAsia" w:ascii="仿宋" w:hAnsi="仿宋" w:eastAsia="仿宋" w:cs="仿宋"/>
                <w:sz w:val="24"/>
                <w:lang w:val="en-US" w:eastAsia="zh-CN"/>
              </w:rPr>
            </w:pPr>
            <w:r>
              <w:rPr>
                <w:rFonts w:hint="eastAsia" w:ascii="仿宋" w:hAnsi="仿宋" w:eastAsia="仿宋" w:cs="仿宋"/>
                <w:sz w:val="24"/>
                <w:lang w:val="en-US" w:eastAsia="zh-CN"/>
              </w:rPr>
              <w:t>14</w:t>
            </w:r>
            <w:r>
              <w:rPr>
                <w:rFonts w:hint="eastAsia" w:ascii="仿宋" w:hAnsi="仿宋" w:eastAsia="仿宋" w:cs="仿宋"/>
                <w:sz w:val="24"/>
                <w:lang w:val="en-US"/>
              </w:rPr>
              <w:t>分</w:t>
            </w:r>
          </w:p>
        </w:tc>
        <w:tc>
          <w:tcPr>
            <w:tcW w:w="6038" w:type="dxa"/>
            <w:noWrap w:val="0"/>
            <w:vAlign w:val="center"/>
          </w:tcPr>
          <w:p>
            <w:pPr>
              <w:ind w:firstLine="240" w:firstLineChars="100"/>
              <w:jc w:val="left"/>
              <w:rPr>
                <w:rFonts w:hint="eastAsia" w:ascii="仿宋" w:hAnsi="仿宋" w:eastAsia="仿宋" w:cs="仿宋"/>
                <w:sz w:val="24"/>
              </w:rPr>
            </w:pPr>
            <w:r>
              <w:rPr>
                <w:rFonts w:hint="eastAsia" w:ascii="仿宋" w:hAnsi="仿宋" w:eastAsia="仿宋" w:cs="仿宋"/>
                <w:sz w:val="24"/>
              </w:rPr>
              <w:t>提供针对本项目的售后服务方案，内容至少包括服务承诺、产品质量问题无条件退货、</w:t>
            </w:r>
            <w:r>
              <w:rPr>
                <w:rFonts w:hint="eastAsia" w:ascii="仿宋" w:hAnsi="仿宋" w:eastAsia="仿宋" w:cs="仿宋"/>
                <w:sz w:val="24"/>
                <w:lang w:eastAsia="zh-CN"/>
              </w:rPr>
              <w:t>响应时间及时性</w:t>
            </w:r>
            <w:r>
              <w:rPr>
                <w:rFonts w:hint="eastAsia" w:ascii="仿宋" w:hAnsi="仿宋" w:eastAsia="仿宋" w:cs="仿宋"/>
                <w:sz w:val="24"/>
              </w:rPr>
              <w:t>、备件（易耗品）供应方案、服务人员配备、应急措施、质保外服务措施等，以上内容完整，且符合本项目需求的得</w:t>
            </w:r>
            <w:r>
              <w:rPr>
                <w:rFonts w:hint="eastAsia" w:ascii="仿宋" w:hAnsi="仿宋" w:eastAsia="仿宋" w:cs="仿宋"/>
                <w:sz w:val="24"/>
                <w:lang w:val="en-US" w:eastAsia="zh-CN"/>
              </w:rPr>
              <w:t>14</w:t>
            </w:r>
            <w:r>
              <w:rPr>
                <w:rFonts w:hint="eastAsia" w:ascii="仿宋" w:hAnsi="仿宋" w:eastAsia="仿宋" w:cs="仿宋"/>
                <w:sz w:val="24"/>
              </w:rPr>
              <w:t>分，每有一部分缺项或每有一部分有缺陷不合理或每有一部分不利于本项目实施的扣</w:t>
            </w:r>
            <w:r>
              <w:rPr>
                <w:rFonts w:hint="eastAsia" w:ascii="仿宋" w:hAnsi="仿宋" w:eastAsia="仿宋" w:cs="仿宋"/>
                <w:sz w:val="24"/>
                <w:lang w:val="en-US" w:eastAsia="zh-CN"/>
              </w:rPr>
              <w:t>2</w:t>
            </w:r>
            <w:r>
              <w:rPr>
                <w:rFonts w:hint="eastAsia" w:ascii="仿宋" w:hAnsi="仿宋" w:eastAsia="仿宋" w:cs="仿宋"/>
                <w:sz w:val="24"/>
              </w:rPr>
              <w:t>分，扣完为止。</w:t>
            </w:r>
          </w:p>
          <w:p>
            <w:pPr>
              <w:ind w:firstLine="240" w:firstLineChars="100"/>
              <w:jc w:val="left"/>
              <w:rPr>
                <w:rFonts w:hint="eastAsia" w:ascii="仿宋" w:hAnsi="仿宋" w:eastAsia="仿宋" w:cs="仿宋"/>
                <w:sz w:val="24"/>
                <w:lang w:val="en-US" w:eastAsia="zh-CN"/>
              </w:rPr>
            </w:pPr>
          </w:p>
        </w:tc>
        <w:tc>
          <w:tcPr>
            <w:tcW w:w="1782" w:type="dxa"/>
            <w:noWrap w:val="0"/>
            <w:vAlign w:val="center"/>
          </w:tcPr>
          <w:p>
            <w:pPr>
              <w:rPr>
                <w:rFonts w:hint="eastAsia" w:ascii="仿宋" w:hAnsi="仿宋" w:eastAsia="仿宋" w:cs="仿宋"/>
                <w:kern w:val="0"/>
                <w:sz w:val="24"/>
                <w:lang w:eastAsia="zh-CN"/>
              </w:rPr>
            </w:pPr>
          </w:p>
        </w:tc>
      </w:tr>
    </w:tbl>
    <w:p>
      <w:pPr>
        <w:pStyle w:val="10"/>
        <w:ind w:firstLine="211"/>
        <w:rPr>
          <w:rFonts w:hint="eastAsia"/>
          <w:b/>
          <w:bCs/>
        </w:rPr>
      </w:pPr>
    </w:p>
    <w:p>
      <w:pPr>
        <w:rPr>
          <w:rFonts w:hint="eastAsia"/>
          <w:b/>
          <w:bCs/>
        </w:rPr>
      </w:pPr>
    </w:p>
    <w:p>
      <w:pPr>
        <w:pStyle w:val="4"/>
        <w:rPr>
          <w:rFonts w:hint="eastAsia"/>
          <w:b/>
          <w:bCs/>
        </w:rPr>
      </w:pPr>
    </w:p>
    <w:p>
      <w:pPr>
        <w:rPr>
          <w:rFonts w:hint="eastAsia"/>
        </w:rPr>
      </w:pPr>
    </w:p>
    <w:p>
      <w:pPr>
        <w:pStyle w:val="18"/>
      </w:pPr>
    </w:p>
    <w:p>
      <w:pPr>
        <w:rPr>
          <w:rFonts w:hint="eastAsia"/>
          <w:lang w:val="en-US" w:eastAsia="zh-CN"/>
        </w:rPr>
      </w:pPr>
    </w:p>
    <w:p>
      <w:pPr>
        <w:numPr>
          <w:ilvl w:val="0"/>
          <w:numId w:val="1"/>
        </w:numPr>
        <w:spacing w:line="360" w:lineRule="auto"/>
        <w:jc w:val="center"/>
        <w:outlineLvl w:val="0"/>
        <w:rPr>
          <w:rFonts w:hint="eastAsia" w:ascii="仿宋" w:hAnsi="仿宋" w:eastAsia="仿宋" w:cs="仿宋"/>
          <w:b/>
          <w:bCs/>
          <w:sz w:val="28"/>
          <w:szCs w:val="28"/>
        </w:rPr>
      </w:pPr>
      <w:bookmarkStart w:id="6" w:name="_Toc9434"/>
      <w:r>
        <w:rPr>
          <w:rFonts w:hint="eastAsia" w:ascii="仿宋" w:hAnsi="仿宋" w:eastAsia="仿宋" w:cs="仿宋"/>
          <w:b/>
          <w:bCs/>
          <w:sz w:val="28"/>
          <w:szCs w:val="28"/>
        </w:rPr>
        <w:t>响应文件格式</w:t>
      </w:r>
      <w:bookmarkEnd w:id="6"/>
    </w:p>
    <w:p>
      <w:pPr>
        <w:widowControl/>
        <w:spacing w:line="360" w:lineRule="auto"/>
        <w:ind w:firstLine="480" w:firstLineChars="200"/>
        <w:rPr>
          <w:rFonts w:hint="eastAsia" w:ascii="仿宋" w:hAnsi="仿宋" w:eastAsia="仿宋" w:cs="仿宋"/>
          <w:sz w:val="24"/>
        </w:rPr>
      </w:pPr>
    </w:p>
    <w:p>
      <w:pPr>
        <w:widowControl/>
        <w:spacing w:line="360" w:lineRule="auto"/>
        <w:rPr>
          <w:rFonts w:hint="eastAsia" w:ascii="仿宋" w:hAnsi="仿宋" w:eastAsia="仿宋" w:cs="仿宋"/>
          <w:sz w:val="24"/>
        </w:rPr>
      </w:pPr>
      <w:r>
        <w:rPr>
          <w:rFonts w:hint="eastAsia" w:ascii="仿宋" w:hAnsi="仿宋" w:eastAsia="仿宋" w:cs="仿宋"/>
          <w:sz w:val="24"/>
        </w:rPr>
        <w:t>一、本部分所制响应文件格式均</w:t>
      </w:r>
      <w:r>
        <w:rPr>
          <w:rFonts w:hint="eastAsia" w:ascii="仿宋" w:hAnsi="仿宋" w:eastAsia="仿宋" w:cs="仿宋"/>
          <w:b/>
          <w:bCs/>
          <w:sz w:val="24"/>
        </w:rPr>
        <w:t>具有实质性要求</w:t>
      </w:r>
      <w:r>
        <w:rPr>
          <w:rFonts w:hint="eastAsia" w:ascii="仿宋" w:hAnsi="仿宋" w:eastAsia="仿宋" w:cs="仿宋"/>
          <w:sz w:val="24"/>
        </w:rPr>
        <w:t>，供应商响应文件相关资料和本部分所制格式不一致的，评审小组将以未按照响应文件编制要求编制予以无效竞选处理。</w:t>
      </w:r>
    </w:p>
    <w:p>
      <w:pPr>
        <w:widowControl/>
        <w:spacing w:line="360" w:lineRule="auto"/>
        <w:rPr>
          <w:rFonts w:hint="eastAsia" w:ascii="仿宋" w:hAnsi="仿宋" w:eastAsia="仿宋" w:cs="仿宋"/>
          <w:sz w:val="24"/>
        </w:rPr>
      </w:pPr>
      <w:r>
        <w:rPr>
          <w:rFonts w:hint="eastAsia" w:ascii="仿宋" w:hAnsi="仿宋" w:eastAsia="仿宋" w:cs="仿宋"/>
          <w:sz w:val="24"/>
        </w:rPr>
        <w:t>二、本章所制响应文件格式有关表格中的备注栏，由供应商根据自身竞选情况作解释性说明，不作为必填项。</w:t>
      </w: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rPr>
      </w:pPr>
      <w:r>
        <w:rPr>
          <w:rFonts w:hint="eastAsia" w:ascii="仿宋" w:hAnsi="仿宋" w:eastAsia="仿宋" w:cs="仿宋"/>
          <w:sz w:val="24"/>
          <w:szCs w:val="24"/>
        </w:rPr>
        <w:t>注：供应商响应</w:t>
      </w:r>
      <w:r>
        <w:rPr>
          <w:rFonts w:hint="eastAsia" w:ascii="仿宋" w:hAnsi="仿宋" w:eastAsia="仿宋" w:cs="仿宋"/>
          <w:color w:val="000000"/>
          <w:sz w:val="24"/>
          <w:szCs w:val="24"/>
          <w:lang w:bidi="ar"/>
        </w:rPr>
        <w:t>文件的编制、签署、密封和标注，</w:t>
      </w:r>
      <w:r>
        <w:rPr>
          <w:rFonts w:hint="eastAsia" w:ascii="仿宋" w:hAnsi="仿宋" w:eastAsia="仿宋" w:cs="仿宋"/>
          <w:b w:val="0"/>
          <w:bCs w:val="0"/>
          <w:sz w:val="24"/>
          <w:szCs w:val="24"/>
        </w:rPr>
        <w:t>具体要求详见本竞选文件第二部分</w:t>
      </w:r>
      <w:r>
        <w:rPr>
          <w:rFonts w:hint="eastAsia" w:ascii="仿宋" w:hAnsi="仿宋" w:eastAsia="仿宋" w:cs="仿宋"/>
          <w:b w:val="0"/>
          <w:bCs w:val="0"/>
          <w:color w:val="000000"/>
          <w:sz w:val="24"/>
          <w:szCs w:val="24"/>
          <w:lang w:bidi="ar"/>
        </w:rPr>
        <w:t>5.5 响应文件编制、签署和6、响应文件的密封和标注</w:t>
      </w:r>
      <w:r>
        <w:rPr>
          <w:rFonts w:hint="eastAsia" w:ascii="仿宋" w:hAnsi="仿宋" w:eastAsia="仿宋" w:cs="仿宋"/>
          <w:color w:val="000000"/>
          <w:sz w:val="24"/>
          <w:szCs w:val="24"/>
          <w:lang w:bidi="ar"/>
        </w:rPr>
        <w:t>，</w:t>
      </w:r>
      <w:r>
        <w:rPr>
          <w:rFonts w:hint="eastAsia" w:ascii="仿宋" w:hAnsi="仿宋" w:eastAsia="仿宋" w:cs="仿宋"/>
          <w:b w:val="0"/>
          <w:bCs w:val="0"/>
          <w:sz w:val="24"/>
          <w:szCs w:val="24"/>
        </w:rPr>
        <w:t>未按要求密封文件、加盖公章、骑缝章视为无效响应。</w:t>
      </w:r>
    </w:p>
    <w:p>
      <w:pPr>
        <w:pStyle w:val="19"/>
        <w:widowControl w:val="0"/>
        <w:numPr>
          <w:ilvl w:val="0"/>
          <w:numId w:val="2"/>
        </w:numPr>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r>
        <w:rPr>
          <w:rFonts w:hint="eastAsia" w:ascii="仿宋" w:hAnsi="仿宋" w:eastAsia="仿宋" w:cs="仿宋"/>
          <w:b w:val="0"/>
          <w:bCs w:val="0"/>
          <w:sz w:val="24"/>
          <w:szCs w:val="24"/>
          <w:highlight w:val="yellow"/>
        </w:rPr>
        <w:t>请单独准备三份报价</w:t>
      </w:r>
      <w:r>
        <w:rPr>
          <w:rFonts w:hint="eastAsia" w:ascii="仿宋" w:hAnsi="仿宋" w:eastAsia="仿宋" w:cs="仿宋"/>
          <w:b w:val="0"/>
          <w:bCs w:val="0"/>
          <w:color w:val="000000"/>
          <w:sz w:val="24"/>
          <w:szCs w:val="24"/>
          <w:highlight w:val="yellow"/>
          <w:lang w:bidi="ar"/>
        </w:rPr>
        <w:t>单。</w:t>
      </w: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bidi="ar"/>
        </w:rPr>
      </w:pPr>
    </w:p>
    <w:p>
      <w:pPr>
        <w:pStyle w:val="20"/>
        <w:outlineLvl w:val="1"/>
        <w:rPr>
          <w:rFonts w:hint="eastAsia" w:ascii="仿宋" w:hAnsi="仿宋" w:eastAsia="仿宋" w:cs="仿宋"/>
          <w:b/>
          <w:bCs/>
          <w:sz w:val="44"/>
          <w:szCs w:val="44"/>
        </w:rPr>
      </w:pPr>
    </w:p>
    <w:p>
      <w:pPr>
        <w:pStyle w:val="20"/>
        <w:outlineLvl w:val="1"/>
        <w:rPr>
          <w:rFonts w:hint="eastAsia" w:ascii="仿宋" w:hAnsi="仿宋" w:eastAsia="仿宋" w:cs="仿宋"/>
          <w:b/>
          <w:bCs/>
          <w:sz w:val="44"/>
          <w:szCs w:val="44"/>
        </w:rPr>
      </w:pPr>
      <w:r>
        <w:rPr>
          <w:rFonts w:hint="eastAsia" w:ascii="仿宋" w:hAnsi="仿宋" w:eastAsia="仿宋" w:cs="仿宋"/>
          <w:b/>
          <w:bCs/>
          <w:sz w:val="44"/>
          <w:szCs w:val="44"/>
        </w:rPr>
        <w:t>响应文件封面格式：</w:t>
      </w:r>
    </w:p>
    <w:p>
      <w:pPr>
        <w:pStyle w:val="20"/>
        <w:rPr>
          <w:rFonts w:hint="eastAsia" w:ascii="仿宋" w:hAnsi="仿宋" w:eastAsia="仿宋" w:cs="仿宋"/>
          <w:b/>
          <w:color w:val="000000"/>
          <w:sz w:val="24"/>
        </w:rPr>
      </w:pPr>
    </w:p>
    <w:p>
      <w:pPr>
        <w:pStyle w:val="20"/>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XXXX采购项目</w:t>
      </w:r>
    </w:p>
    <w:p>
      <w:pPr>
        <w:pStyle w:val="20"/>
        <w:jc w:val="center"/>
        <w:rPr>
          <w:rFonts w:hint="eastAsia" w:ascii="仿宋" w:hAnsi="仿宋" w:eastAsia="仿宋" w:cs="仿宋"/>
          <w:b/>
          <w:color w:val="000000"/>
          <w:sz w:val="44"/>
          <w:szCs w:val="44"/>
        </w:rPr>
      </w:pPr>
    </w:p>
    <w:p>
      <w:pPr>
        <w:pStyle w:val="20"/>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响</w:t>
      </w:r>
    </w:p>
    <w:p>
      <w:pPr>
        <w:pStyle w:val="20"/>
        <w:jc w:val="center"/>
        <w:rPr>
          <w:rFonts w:hint="eastAsia" w:ascii="仿宋" w:hAnsi="仿宋" w:eastAsia="仿宋" w:cs="仿宋"/>
          <w:b/>
          <w:color w:val="000000"/>
          <w:sz w:val="72"/>
          <w:szCs w:val="72"/>
        </w:rPr>
      </w:pPr>
    </w:p>
    <w:p>
      <w:pPr>
        <w:pStyle w:val="20"/>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应</w:t>
      </w:r>
    </w:p>
    <w:p>
      <w:pPr>
        <w:pStyle w:val="20"/>
        <w:jc w:val="center"/>
        <w:rPr>
          <w:rFonts w:hint="eastAsia" w:ascii="仿宋" w:hAnsi="仿宋" w:eastAsia="仿宋" w:cs="仿宋"/>
          <w:b/>
          <w:color w:val="000000"/>
          <w:sz w:val="72"/>
          <w:szCs w:val="72"/>
        </w:rPr>
      </w:pPr>
    </w:p>
    <w:p>
      <w:pPr>
        <w:pStyle w:val="20"/>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pStyle w:val="20"/>
        <w:jc w:val="center"/>
        <w:rPr>
          <w:rFonts w:hint="eastAsia" w:ascii="仿宋" w:hAnsi="仿宋" w:eastAsia="仿宋" w:cs="仿宋"/>
          <w:b/>
          <w:color w:val="000000"/>
          <w:sz w:val="72"/>
          <w:szCs w:val="72"/>
        </w:rPr>
      </w:pPr>
    </w:p>
    <w:p>
      <w:pPr>
        <w:pStyle w:val="20"/>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件</w:t>
      </w:r>
    </w:p>
    <w:p>
      <w:pPr>
        <w:pStyle w:val="20"/>
        <w:jc w:val="center"/>
        <w:rPr>
          <w:rFonts w:hint="eastAsia" w:ascii="仿宋" w:hAnsi="仿宋" w:eastAsia="仿宋" w:cs="仿宋"/>
          <w:sz w:val="24"/>
        </w:rPr>
      </w:pPr>
    </w:p>
    <w:p>
      <w:pPr>
        <w:pStyle w:val="20"/>
        <w:ind w:firstLine="1285" w:firstLineChars="400"/>
        <w:rPr>
          <w:rFonts w:hint="eastAsia" w:ascii="仿宋" w:hAnsi="仿宋" w:eastAsia="仿宋" w:cs="仿宋"/>
          <w:sz w:val="32"/>
          <w:szCs w:val="32"/>
        </w:rPr>
      </w:pPr>
      <w:r>
        <w:rPr>
          <w:rFonts w:hint="eastAsia" w:ascii="仿宋" w:hAnsi="仿宋" w:eastAsia="仿宋" w:cs="仿宋"/>
          <w:b/>
          <w:bCs/>
          <w:sz w:val="32"/>
          <w:szCs w:val="32"/>
        </w:rPr>
        <w:t>供应商（加盖公章）：</w:t>
      </w:r>
      <w:r>
        <w:rPr>
          <w:rFonts w:hint="eastAsia" w:ascii="仿宋" w:hAnsi="仿宋" w:eastAsia="仿宋" w:cs="仿宋"/>
          <w:sz w:val="32"/>
          <w:szCs w:val="32"/>
        </w:rPr>
        <w:t>XXXX</w:t>
      </w:r>
    </w:p>
    <w:p>
      <w:pPr>
        <w:pStyle w:val="20"/>
        <w:ind w:firstLine="1285" w:firstLineChars="400"/>
        <w:rPr>
          <w:rFonts w:hint="eastAsia" w:ascii="仿宋" w:hAnsi="仿宋" w:eastAsia="仿宋" w:cs="仿宋"/>
          <w:sz w:val="32"/>
          <w:szCs w:val="32"/>
        </w:rPr>
      </w:pPr>
      <w:r>
        <w:rPr>
          <w:rFonts w:hint="eastAsia" w:ascii="仿宋" w:hAnsi="仿宋" w:eastAsia="仿宋" w:cs="仿宋"/>
          <w:b/>
          <w:bCs/>
          <w:sz w:val="32"/>
          <w:szCs w:val="32"/>
        </w:rPr>
        <w:t>法定代表人或其委托代理人签字：</w:t>
      </w:r>
      <w:r>
        <w:rPr>
          <w:rFonts w:hint="eastAsia" w:ascii="仿宋" w:hAnsi="仿宋" w:eastAsia="仿宋" w:cs="仿宋"/>
          <w:sz w:val="32"/>
          <w:szCs w:val="32"/>
        </w:rPr>
        <w:t>XXXX</w:t>
      </w:r>
    </w:p>
    <w:p>
      <w:pPr>
        <w:pStyle w:val="20"/>
        <w:ind w:firstLine="1285" w:firstLineChars="400"/>
        <w:rPr>
          <w:rFonts w:hint="eastAsia" w:ascii="仿宋" w:hAnsi="仿宋" w:eastAsia="仿宋" w:cs="仿宋"/>
          <w:b/>
          <w:bCs/>
          <w:sz w:val="32"/>
          <w:szCs w:val="32"/>
        </w:rPr>
      </w:pPr>
      <w:r>
        <w:rPr>
          <w:rFonts w:hint="eastAsia" w:ascii="仿宋" w:hAnsi="仿宋" w:eastAsia="仿宋" w:cs="仿宋"/>
          <w:b/>
          <w:bCs/>
          <w:sz w:val="32"/>
          <w:szCs w:val="32"/>
        </w:rPr>
        <w:t>联系人及联系方式：</w:t>
      </w:r>
      <w:r>
        <w:rPr>
          <w:rFonts w:hint="eastAsia" w:ascii="仿宋" w:hAnsi="仿宋" w:eastAsia="仿宋" w:cs="仿宋"/>
          <w:sz w:val="32"/>
          <w:szCs w:val="32"/>
        </w:rPr>
        <w:t>XXXX</w:t>
      </w:r>
    </w:p>
    <w:p>
      <w:pPr>
        <w:tabs>
          <w:tab w:val="left" w:pos="7665"/>
        </w:tabs>
        <w:spacing w:line="360" w:lineRule="auto"/>
        <w:jc w:val="right"/>
        <w:rPr>
          <w:rFonts w:hint="eastAsia" w:ascii="仿宋" w:hAnsi="仿宋" w:eastAsia="仿宋" w:cs="仿宋"/>
          <w:color w:val="000000"/>
          <w:sz w:val="32"/>
          <w:szCs w:val="32"/>
        </w:rPr>
      </w:pPr>
    </w:p>
    <w:p>
      <w:pPr>
        <w:spacing w:line="360" w:lineRule="auto"/>
        <w:jc w:val="center"/>
        <w:rPr>
          <w:rFonts w:hint="eastAsia" w:ascii="仿宋" w:hAnsi="仿宋" w:eastAsia="仿宋" w:cs="仿宋"/>
          <w:b/>
          <w:bCs/>
          <w:color w:val="000000"/>
          <w:sz w:val="32"/>
          <w:szCs w:val="32"/>
        </w:rPr>
        <w:sectPr>
          <w:pgSz w:w="11906" w:h="16838"/>
          <w:pgMar w:top="1440" w:right="1803" w:bottom="1440" w:left="1803" w:header="851" w:footer="992" w:gutter="0"/>
          <w:cols w:space="720" w:num="1"/>
          <w:docGrid w:type="lines" w:linePitch="321" w:charSpace="0"/>
        </w:sectPr>
      </w:pPr>
      <w:r>
        <w:rPr>
          <w:rFonts w:hint="eastAsia" w:ascii="仿宋" w:hAnsi="仿宋" w:eastAsia="仿宋" w:cs="仿宋"/>
          <w:b/>
          <w:bCs/>
          <w:i/>
          <w:iCs/>
          <w:color w:val="000000"/>
          <w:sz w:val="32"/>
          <w:szCs w:val="32"/>
          <w:u w:val="single"/>
        </w:rPr>
        <w:t>_____</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日</w:t>
      </w:r>
    </w:p>
    <w:p>
      <w:pPr>
        <w:pStyle w:val="4"/>
        <w:rPr>
          <w:rFonts w:hint="eastAsia" w:ascii="仿宋" w:hAnsi="仿宋" w:eastAsia="仿宋" w:cs="仿宋"/>
          <w:b/>
          <w:sz w:val="22"/>
          <w:szCs w:val="22"/>
        </w:rPr>
      </w:pPr>
      <w:r>
        <w:rPr>
          <w:rFonts w:hint="eastAsia" w:ascii="仿宋" w:hAnsi="仿宋" w:eastAsia="仿宋" w:cs="仿宋"/>
          <w:b/>
          <w:bCs/>
          <w:sz w:val="36"/>
          <w:szCs w:val="36"/>
        </w:rPr>
        <w:t>响应文件内容格式：</w:t>
      </w:r>
    </w:p>
    <w:p>
      <w:pPr>
        <w:pStyle w:val="4"/>
        <w:jc w:val="center"/>
        <w:outlineLvl w:val="1"/>
        <w:rPr>
          <w:rFonts w:hint="eastAsia" w:ascii="仿宋" w:hAnsi="仿宋" w:eastAsia="仿宋" w:cs="仿宋"/>
          <w:b/>
          <w:sz w:val="32"/>
          <w:szCs w:val="32"/>
        </w:rPr>
      </w:pPr>
      <w:r>
        <w:rPr>
          <w:rFonts w:hint="eastAsia" w:ascii="仿宋" w:hAnsi="仿宋" w:eastAsia="仿宋" w:cs="仿宋"/>
          <w:b/>
          <w:color w:val="000000"/>
          <w:kern w:val="0"/>
          <w:sz w:val="32"/>
          <w:szCs w:val="32"/>
        </w:rPr>
        <w:t>一、评分要素索引表</w:t>
      </w:r>
    </w:p>
    <w:tbl>
      <w:tblPr>
        <w:tblStyle w:val="12"/>
        <w:tblpPr w:leftFromText="180" w:rightFromText="180" w:vertAnchor="text" w:horzAnchor="margin" w:tblpXSpec="center" w:tblpY="198"/>
        <w:tblOverlap w:val="never"/>
        <w:tblW w:w="9914" w:type="dxa"/>
        <w:tblInd w:w="-5" w:type="dxa"/>
        <w:tblLayout w:type="fixed"/>
        <w:tblCellMar>
          <w:top w:w="0" w:type="dxa"/>
          <w:left w:w="0" w:type="dxa"/>
          <w:bottom w:w="0" w:type="dxa"/>
          <w:right w:w="0" w:type="dxa"/>
        </w:tblCellMar>
      </w:tblPr>
      <w:tblGrid>
        <w:gridCol w:w="667"/>
        <w:gridCol w:w="960"/>
        <w:gridCol w:w="6435"/>
        <w:gridCol w:w="1852"/>
      </w:tblGrid>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审查</w:t>
            </w:r>
          </w:p>
        </w:tc>
        <w:tc>
          <w:tcPr>
            <w:tcW w:w="6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响应文件</w:t>
            </w:r>
          </w:p>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页码范围</w:t>
            </w: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1</w:t>
            </w:r>
          </w:p>
        </w:tc>
        <w:tc>
          <w:tcPr>
            <w:tcW w:w="9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资格</w:t>
            </w:r>
          </w:p>
        </w:tc>
        <w:tc>
          <w:tcPr>
            <w:tcW w:w="6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w:t>
            </w:r>
          </w:p>
        </w:tc>
        <w:tc>
          <w:tcPr>
            <w:tcW w:w="96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3</w:t>
            </w:r>
          </w:p>
        </w:tc>
        <w:tc>
          <w:tcPr>
            <w:tcW w:w="96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委托人身份证复印件</w:t>
            </w:r>
          </w:p>
        </w:tc>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96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9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技术</w:t>
            </w:r>
          </w:p>
        </w:tc>
        <w:tc>
          <w:tcPr>
            <w:tcW w:w="6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技术响应文件及佐证材料</w:t>
            </w:r>
          </w:p>
        </w:tc>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商务</w:t>
            </w:r>
          </w:p>
        </w:tc>
        <w:tc>
          <w:tcPr>
            <w:tcW w:w="6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服务</w:t>
            </w:r>
          </w:p>
        </w:tc>
        <w:tc>
          <w:tcPr>
            <w:tcW w:w="6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8"/>
                <w:szCs w:val="28"/>
              </w:rPr>
            </w:pPr>
          </w:p>
        </w:tc>
      </w:tr>
    </w:tbl>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spacing w:line="360" w:lineRule="auto"/>
        <w:rPr>
          <w:rFonts w:hint="eastAsia" w:ascii="仿宋" w:hAnsi="仿宋" w:eastAsia="仿宋" w:cs="仿宋"/>
          <w:bCs/>
          <w:sz w:val="44"/>
          <w:szCs w:val="44"/>
        </w:rPr>
        <w:sectPr>
          <w:pgSz w:w="11906" w:h="16838"/>
          <w:pgMar w:top="1440" w:right="1803" w:bottom="1440" w:left="1803" w:header="851" w:footer="992" w:gutter="0"/>
          <w:cols w:space="720" w:num="1"/>
          <w:docGrid w:type="lines" w:linePitch="327" w:charSpace="0"/>
        </w:sectPr>
      </w:pPr>
    </w:p>
    <w:p>
      <w:pPr>
        <w:jc w:val="center"/>
        <w:rPr>
          <w:rFonts w:ascii="宋体" w:hAnsi="宋体"/>
          <w:b/>
          <w:color w:val="000000"/>
          <w:kern w:val="0"/>
          <w:sz w:val="32"/>
          <w:szCs w:val="32"/>
        </w:rPr>
      </w:pPr>
      <w:r>
        <w:rPr>
          <w:rFonts w:hint="eastAsia" w:ascii="仿宋" w:hAnsi="仿宋" w:eastAsia="仿宋" w:cs="仿宋"/>
          <w:b/>
          <w:color w:val="000000"/>
          <w:kern w:val="0"/>
          <w:sz w:val="32"/>
          <w:szCs w:val="32"/>
        </w:rPr>
        <w:t>二、</w:t>
      </w:r>
      <w:r>
        <w:rPr>
          <w:rFonts w:hint="eastAsia" w:ascii="宋体" w:hAnsi="宋体"/>
          <w:b/>
          <w:color w:val="000000"/>
          <w:kern w:val="0"/>
          <w:sz w:val="32"/>
          <w:szCs w:val="32"/>
        </w:rPr>
        <w:t>竞选</w:t>
      </w:r>
      <w:r>
        <w:rPr>
          <w:rFonts w:ascii="宋体" w:hAnsi="宋体"/>
          <w:b/>
          <w:color w:val="000000"/>
          <w:kern w:val="0"/>
          <w:sz w:val="32"/>
          <w:szCs w:val="32"/>
        </w:rPr>
        <w:t>项目报价表</w:t>
      </w:r>
    </w:p>
    <w:p>
      <w:pPr>
        <w:pStyle w:val="4"/>
        <w:ind w:firstLine="360" w:firstLineChars="150"/>
        <w:jc w:val="left"/>
        <w:outlineLvl w:val="1"/>
        <w:rPr>
          <w:rFonts w:ascii="仿宋" w:hAnsi="仿宋" w:eastAsia="仿宋" w:cs="仿宋"/>
          <w:sz w:val="24"/>
        </w:rPr>
      </w:pPr>
      <w:r>
        <w:rPr>
          <w:rFonts w:hint="eastAsia" w:ascii="仿宋" w:hAnsi="仿宋" w:eastAsia="仿宋" w:cs="仿宋"/>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12"/>
        <w:tblpPr w:leftFromText="180" w:rightFromText="180" w:vertAnchor="text" w:horzAnchor="page" w:tblpX="565" w:tblpY="289"/>
        <w:tblOverlap w:val="never"/>
        <w:tblW w:w="14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062"/>
        <w:gridCol w:w="1675"/>
        <w:gridCol w:w="1050"/>
        <w:gridCol w:w="963"/>
        <w:gridCol w:w="1025"/>
        <w:gridCol w:w="1137"/>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988" w:type="dxa"/>
            <w:noWrap w:val="0"/>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产品名称</w:t>
            </w:r>
          </w:p>
        </w:tc>
        <w:tc>
          <w:tcPr>
            <w:tcW w:w="1062" w:type="dxa"/>
            <w:noWrap w:val="0"/>
            <w:vAlign w:val="center"/>
          </w:tcPr>
          <w:p>
            <w:pPr>
              <w:spacing w:line="400" w:lineRule="exact"/>
              <w:jc w:val="center"/>
              <w:rPr>
                <w:rFonts w:hint="eastAsia" w:ascii="仿宋" w:hAnsi="仿宋" w:eastAsia="仿宋"/>
                <w:b/>
                <w:color w:val="000000"/>
                <w:kern w:val="0"/>
                <w:sz w:val="24"/>
                <w:lang w:val="en-US" w:eastAsia="zh-CN"/>
              </w:rPr>
            </w:pPr>
            <w:r>
              <w:rPr>
                <w:rFonts w:hint="eastAsia" w:ascii="仿宋" w:hAnsi="仿宋" w:eastAsia="仿宋"/>
                <w:b/>
                <w:color w:val="000000"/>
                <w:kern w:val="0"/>
                <w:sz w:val="24"/>
                <w:lang w:eastAsia="zh-CN"/>
              </w:rPr>
              <w:t>所</w:t>
            </w:r>
            <w:r>
              <w:rPr>
                <w:rFonts w:hint="eastAsia" w:ascii="仿宋" w:hAnsi="仿宋" w:eastAsia="仿宋"/>
                <w:b/>
                <w:color w:val="000000"/>
                <w:kern w:val="0"/>
                <w:sz w:val="24"/>
                <w:lang w:val="en-US" w:eastAsia="zh-CN"/>
              </w:rPr>
              <w:t xml:space="preserve"> </w:t>
            </w:r>
            <w:r>
              <w:rPr>
                <w:rFonts w:hint="eastAsia" w:ascii="仿宋" w:hAnsi="仿宋" w:eastAsia="仿宋"/>
                <w:b/>
                <w:color w:val="000000"/>
                <w:kern w:val="0"/>
                <w:sz w:val="24"/>
                <w:lang w:eastAsia="zh-CN"/>
              </w:rPr>
              <w:t>属类别及编号</w:t>
            </w:r>
          </w:p>
        </w:tc>
        <w:tc>
          <w:tcPr>
            <w:tcW w:w="1675" w:type="dxa"/>
            <w:noWrap w:val="0"/>
            <w:vAlign w:val="center"/>
          </w:tcPr>
          <w:p>
            <w:pPr>
              <w:spacing w:line="400" w:lineRule="exact"/>
              <w:jc w:val="center"/>
              <w:rPr>
                <w:rFonts w:hint="eastAsia" w:ascii="仿宋" w:hAnsi="仿宋" w:eastAsia="仿宋"/>
                <w:b/>
                <w:color w:val="000000"/>
                <w:kern w:val="0"/>
                <w:sz w:val="24"/>
              </w:rPr>
            </w:pPr>
            <w:r>
              <w:rPr>
                <w:rFonts w:hint="eastAsia" w:ascii="仿宋" w:hAnsi="仿宋" w:eastAsia="仿宋"/>
                <w:b/>
                <w:color w:val="000000"/>
                <w:kern w:val="0"/>
                <w:sz w:val="24"/>
              </w:rPr>
              <w:t>生产</w:t>
            </w:r>
            <w:r>
              <w:rPr>
                <w:rFonts w:ascii="仿宋" w:hAnsi="仿宋" w:eastAsia="仿宋"/>
                <w:b/>
                <w:color w:val="000000"/>
                <w:kern w:val="0"/>
                <w:sz w:val="24"/>
              </w:rPr>
              <w:t>厂家</w:t>
            </w:r>
          </w:p>
        </w:tc>
        <w:tc>
          <w:tcPr>
            <w:tcW w:w="1050" w:type="dxa"/>
            <w:noWrap w:val="0"/>
            <w:vAlign w:val="center"/>
          </w:tcPr>
          <w:p>
            <w:pPr>
              <w:spacing w:line="400" w:lineRule="exact"/>
              <w:jc w:val="center"/>
              <w:rPr>
                <w:rFonts w:hint="eastAsia" w:ascii="仿宋" w:hAnsi="仿宋" w:eastAsia="仿宋"/>
                <w:b/>
                <w:color w:val="000000"/>
                <w:kern w:val="0"/>
                <w:sz w:val="24"/>
                <w:szCs w:val="20"/>
              </w:rPr>
            </w:pPr>
            <w:r>
              <w:rPr>
                <w:rFonts w:hint="eastAsia" w:ascii="仿宋" w:hAnsi="仿宋" w:eastAsia="仿宋"/>
                <w:b/>
                <w:color w:val="000000"/>
                <w:kern w:val="0"/>
                <w:sz w:val="24"/>
                <w:szCs w:val="20"/>
              </w:rPr>
              <w:t>规</w:t>
            </w:r>
            <w:r>
              <w:rPr>
                <w:rFonts w:hint="eastAsia" w:ascii="仿宋" w:hAnsi="仿宋" w:eastAsia="仿宋"/>
                <w:b/>
                <w:color w:val="000000"/>
                <w:kern w:val="0"/>
                <w:sz w:val="24"/>
                <w:szCs w:val="20"/>
                <w:lang w:val="en-US" w:eastAsia="zh-CN"/>
              </w:rPr>
              <w:t xml:space="preserve"> </w:t>
            </w:r>
            <w:r>
              <w:rPr>
                <w:rFonts w:hint="eastAsia" w:ascii="仿宋" w:hAnsi="仿宋" w:eastAsia="仿宋"/>
                <w:b/>
                <w:color w:val="000000"/>
                <w:kern w:val="0"/>
                <w:sz w:val="24"/>
                <w:szCs w:val="20"/>
              </w:rPr>
              <w:t>格</w:t>
            </w:r>
          </w:p>
          <w:p>
            <w:pPr>
              <w:spacing w:line="400" w:lineRule="exact"/>
              <w:jc w:val="center"/>
              <w:rPr>
                <w:rFonts w:ascii="仿宋" w:hAnsi="仿宋" w:eastAsia="仿宋"/>
                <w:b/>
                <w:color w:val="000000"/>
                <w:kern w:val="0"/>
                <w:sz w:val="24"/>
                <w:szCs w:val="20"/>
              </w:rPr>
            </w:pPr>
            <w:r>
              <w:rPr>
                <w:rFonts w:hint="eastAsia" w:ascii="仿宋" w:hAnsi="仿宋" w:eastAsia="仿宋"/>
                <w:b/>
                <w:color w:val="000000"/>
                <w:kern w:val="0"/>
                <w:sz w:val="24"/>
                <w:szCs w:val="20"/>
              </w:rPr>
              <w:t>型</w:t>
            </w:r>
            <w:r>
              <w:rPr>
                <w:rFonts w:hint="eastAsia" w:ascii="仿宋" w:hAnsi="仿宋" w:eastAsia="仿宋"/>
                <w:b/>
                <w:color w:val="000000"/>
                <w:kern w:val="0"/>
                <w:sz w:val="24"/>
                <w:szCs w:val="20"/>
                <w:lang w:val="en-US" w:eastAsia="zh-CN"/>
              </w:rPr>
              <w:t xml:space="preserve"> </w:t>
            </w:r>
            <w:r>
              <w:rPr>
                <w:rFonts w:hint="eastAsia" w:ascii="仿宋" w:hAnsi="仿宋" w:eastAsia="仿宋"/>
                <w:b/>
                <w:color w:val="000000"/>
                <w:kern w:val="0"/>
                <w:sz w:val="24"/>
                <w:szCs w:val="20"/>
              </w:rPr>
              <w:t>号</w:t>
            </w:r>
          </w:p>
        </w:tc>
        <w:tc>
          <w:tcPr>
            <w:tcW w:w="963" w:type="dxa"/>
            <w:noWrap w:val="0"/>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竞 选</w:t>
            </w:r>
          </w:p>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单 价</w:t>
            </w:r>
          </w:p>
        </w:tc>
        <w:tc>
          <w:tcPr>
            <w:tcW w:w="1025" w:type="dxa"/>
            <w:noWrap w:val="0"/>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竞 选</w:t>
            </w:r>
          </w:p>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数 量</w:t>
            </w:r>
          </w:p>
        </w:tc>
        <w:tc>
          <w:tcPr>
            <w:tcW w:w="1137" w:type="dxa"/>
            <w:noWrap w:val="0"/>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竞 选</w:t>
            </w:r>
          </w:p>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金 额</w:t>
            </w:r>
          </w:p>
        </w:tc>
        <w:tc>
          <w:tcPr>
            <w:tcW w:w="4388" w:type="dxa"/>
            <w:noWrap w:val="0"/>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第二轮报价</w:t>
            </w:r>
            <w:r>
              <w:rPr>
                <w:rFonts w:hint="eastAsia" w:ascii="仿宋" w:hAnsi="仿宋" w:eastAsia="仿宋"/>
                <w:b/>
                <w:color w:val="FF0000"/>
                <w:kern w:val="0"/>
                <w:sz w:val="24"/>
              </w:rPr>
              <w:t>（此竖列请勿提前填写，为竞选当天宣读第一轮报价后现场填写）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88" w:type="dxa"/>
            <w:noWrap w:val="0"/>
            <w:vAlign w:val="top"/>
          </w:tcPr>
          <w:p>
            <w:pPr>
              <w:spacing w:line="400" w:lineRule="exact"/>
              <w:jc w:val="center"/>
              <w:rPr>
                <w:rFonts w:ascii="仿宋" w:hAnsi="仿宋" w:eastAsia="仿宋"/>
                <w:b/>
                <w:color w:val="000000"/>
                <w:kern w:val="0"/>
                <w:sz w:val="44"/>
                <w:szCs w:val="20"/>
              </w:rPr>
            </w:pPr>
          </w:p>
        </w:tc>
        <w:tc>
          <w:tcPr>
            <w:tcW w:w="1062" w:type="dxa"/>
            <w:noWrap w:val="0"/>
            <w:vAlign w:val="center"/>
          </w:tcPr>
          <w:p>
            <w:pPr>
              <w:spacing w:line="400" w:lineRule="exact"/>
              <w:jc w:val="center"/>
              <w:rPr>
                <w:rFonts w:ascii="仿宋" w:hAnsi="仿宋" w:eastAsia="仿宋"/>
                <w:b/>
                <w:color w:val="000000"/>
                <w:kern w:val="0"/>
                <w:sz w:val="28"/>
                <w:szCs w:val="20"/>
              </w:rPr>
            </w:pPr>
          </w:p>
        </w:tc>
        <w:tc>
          <w:tcPr>
            <w:tcW w:w="1675" w:type="dxa"/>
            <w:noWrap w:val="0"/>
            <w:vAlign w:val="center"/>
          </w:tcPr>
          <w:p>
            <w:pPr>
              <w:spacing w:line="400" w:lineRule="exact"/>
              <w:jc w:val="center"/>
              <w:rPr>
                <w:rFonts w:ascii="仿宋" w:hAnsi="仿宋" w:eastAsia="仿宋"/>
                <w:b/>
                <w:color w:val="000000"/>
                <w:kern w:val="0"/>
                <w:sz w:val="28"/>
                <w:szCs w:val="20"/>
              </w:rPr>
            </w:pPr>
          </w:p>
        </w:tc>
        <w:tc>
          <w:tcPr>
            <w:tcW w:w="1050" w:type="dxa"/>
            <w:noWrap w:val="0"/>
            <w:vAlign w:val="center"/>
          </w:tcPr>
          <w:p>
            <w:pPr>
              <w:spacing w:line="400" w:lineRule="exact"/>
              <w:jc w:val="center"/>
              <w:rPr>
                <w:rFonts w:ascii="仿宋" w:hAnsi="仿宋" w:eastAsia="仿宋"/>
                <w:b/>
                <w:color w:val="000000"/>
                <w:kern w:val="0"/>
                <w:sz w:val="28"/>
                <w:szCs w:val="20"/>
              </w:rPr>
            </w:pPr>
          </w:p>
        </w:tc>
        <w:tc>
          <w:tcPr>
            <w:tcW w:w="963" w:type="dxa"/>
            <w:noWrap w:val="0"/>
            <w:vAlign w:val="center"/>
          </w:tcPr>
          <w:p>
            <w:pPr>
              <w:spacing w:line="400" w:lineRule="exact"/>
              <w:jc w:val="center"/>
              <w:rPr>
                <w:rFonts w:ascii="仿宋" w:hAnsi="仿宋" w:eastAsia="仿宋"/>
                <w:b/>
                <w:color w:val="000000"/>
                <w:kern w:val="0"/>
                <w:sz w:val="28"/>
                <w:szCs w:val="20"/>
              </w:rPr>
            </w:pPr>
          </w:p>
        </w:tc>
        <w:tc>
          <w:tcPr>
            <w:tcW w:w="1025" w:type="dxa"/>
            <w:noWrap w:val="0"/>
            <w:vAlign w:val="center"/>
          </w:tcPr>
          <w:p>
            <w:pPr>
              <w:spacing w:line="400" w:lineRule="exact"/>
              <w:jc w:val="center"/>
              <w:rPr>
                <w:rFonts w:ascii="仿宋" w:hAnsi="仿宋" w:eastAsia="仿宋"/>
                <w:b/>
                <w:color w:val="000000"/>
                <w:kern w:val="0"/>
                <w:sz w:val="28"/>
                <w:szCs w:val="20"/>
              </w:rPr>
            </w:pPr>
          </w:p>
        </w:tc>
        <w:tc>
          <w:tcPr>
            <w:tcW w:w="1137" w:type="dxa"/>
            <w:noWrap w:val="0"/>
            <w:vAlign w:val="center"/>
          </w:tcPr>
          <w:p>
            <w:pPr>
              <w:spacing w:line="400" w:lineRule="exact"/>
              <w:jc w:val="center"/>
              <w:rPr>
                <w:rFonts w:ascii="仿宋" w:hAnsi="仿宋" w:eastAsia="仿宋"/>
                <w:b/>
                <w:color w:val="000000"/>
                <w:kern w:val="0"/>
                <w:sz w:val="28"/>
                <w:szCs w:val="20"/>
              </w:rPr>
            </w:pPr>
          </w:p>
        </w:tc>
        <w:tc>
          <w:tcPr>
            <w:tcW w:w="4388" w:type="dxa"/>
            <w:noWrap w:val="0"/>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88" w:type="dxa"/>
            <w:noWrap w:val="0"/>
            <w:vAlign w:val="top"/>
          </w:tcPr>
          <w:p>
            <w:pPr>
              <w:spacing w:line="400" w:lineRule="exact"/>
              <w:jc w:val="center"/>
              <w:rPr>
                <w:rFonts w:ascii="仿宋" w:hAnsi="仿宋" w:eastAsia="仿宋"/>
                <w:b/>
                <w:color w:val="000000"/>
                <w:kern w:val="0"/>
                <w:sz w:val="44"/>
                <w:szCs w:val="20"/>
              </w:rPr>
            </w:pPr>
          </w:p>
        </w:tc>
        <w:tc>
          <w:tcPr>
            <w:tcW w:w="1062" w:type="dxa"/>
            <w:noWrap w:val="0"/>
            <w:vAlign w:val="center"/>
          </w:tcPr>
          <w:p>
            <w:pPr>
              <w:spacing w:line="400" w:lineRule="exact"/>
              <w:jc w:val="center"/>
              <w:rPr>
                <w:rFonts w:ascii="仿宋" w:hAnsi="仿宋" w:eastAsia="仿宋"/>
                <w:b/>
                <w:color w:val="000000"/>
                <w:kern w:val="0"/>
                <w:sz w:val="28"/>
                <w:szCs w:val="20"/>
              </w:rPr>
            </w:pPr>
          </w:p>
        </w:tc>
        <w:tc>
          <w:tcPr>
            <w:tcW w:w="1675" w:type="dxa"/>
            <w:noWrap w:val="0"/>
            <w:vAlign w:val="center"/>
          </w:tcPr>
          <w:p>
            <w:pPr>
              <w:spacing w:line="400" w:lineRule="exact"/>
              <w:jc w:val="center"/>
              <w:rPr>
                <w:rFonts w:ascii="仿宋" w:hAnsi="仿宋" w:eastAsia="仿宋"/>
                <w:b/>
                <w:color w:val="000000"/>
                <w:kern w:val="0"/>
                <w:sz w:val="28"/>
                <w:szCs w:val="20"/>
              </w:rPr>
            </w:pPr>
          </w:p>
        </w:tc>
        <w:tc>
          <w:tcPr>
            <w:tcW w:w="1050" w:type="dxa"/>
            <w:noWrap w:val="0"/>
            <w:vAlign w:val="center"/>
          </w:tcPr>
          <w:p>
            <w:pPr>
              <w:spacing w:line="400" w:lineRule="exact"/>
              <w:jc w:val="center"/>
              <w:rPr>
                <w:rFonts w:ascii="仿宋" w:hAnsi="仿宋" w:eastAsia="仿宋"/>
                <w:b/>
                <w:color w:val="000000"/>
                <w:kern w:val="0"/>
                <w:sz w:val="28"/>
                <w:szCs w:val="20"/>
              </w:rPr>
            </w:pPr>
          </w:p>
        </w:tc>
        <w:tc>
          <w:tcPr>
            <w:tcW w:w="963" w:type="dxa"/>
            <w:noWrap w:val="0"/>
            <w:vAlign w:val="center"/>
          </w:tcPr>
          <w:p>
            <w:pPr>
              <w:spacing w:line="400" w:lineRule="exact"/>
              <w:jc w:val="center"/>
              <w:rPr>
                <w:rFonts w:ascii="仿宋" w:hAnsi="仿宋" w:eastAsia="仿宋"/>
                <w:b/>
                <w:color w:val="000000"/>
                <w:kern w:val="0"/>
                <w:sz w:val="28"/>
                <w:szCs w:val="20"/>
              </w:rPr>
            </w:pPr>
          </w:p>
        </w:tc>
        <w:tc>
          <w:tcPr>
            <w:tcW w:w="1025" w:type="dxa"/>
            <w:noWrap w:val="0"/>
            <w:vAlign w:val="center"/>
          </w:tcPr>
          <w:p>
            <w:pPr>
              <w:spacing w:line="400" w:lineRule="exact"/>
              <w:jc w:val="center"/>
              <w:rPr>
                <w:rFonts w:ascii="仿宋" w:hAnsi="仿宋" w:eastAsia="仿宋"/>
                <w:b/>
                <w:color w:val="000000"/>
                <w:kern w:val="0"/>
                <w:sz w:val="28"/>
                <w:szCs w:val="20"/>
              </w:rPr>
            </w:pPr>
          </w:p>
        </w:tc>
        <w:tc>
          <w:tcPr>
            <w:tcW w:w="1137" w:type="dxa"/>
            <w:noWrap w:val="0"/>
            <w:vAlign w:val="center"/>
          </w:tcPr>
          <w:p>
            <w:pPr>
              <w:spacing w:line="400" w:lineRule="exact"/>
              <w:jc w:val="center"/>
              <w:rPr>
                <w:rFonts w:ascii="仿宋" w:hAnsi="仿宋" w:eastAsia="仿宋"/>
                <w:b/>
                <w:color w:val="000000"/>
                <w:kern w:val="0"/>
                <w:sz w:val="28"/>
                <w:szCs w:val="20"/>
              </w:rPr>
            </w:pPr>
          </w:p>
        </w:tc>
        <w:tc>
          <w:tcPr>
            <w:tcW w:w="4388" w:type="dxa"/>
            <w:noWrap w:val="0"/>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88" w:type="dxa"/>
            <w:noWrap w:val="0"/>
            <w:vAlign w:val="top"/>
          </w:tcPr>
          <w:p>
            <w:pPr>
              <w:spacing w:line="400" w:lineRule="exact"/>
              <w:jc w:val="center"/>
              <w:rPr>
                <w:rFonts w:ascii="仿宋" w:hAnsi="仿宋" w:eastAsia="仿宋"/>
                <w:b/>
                <w:color w:val="000000"/>
                <w:kern w:val="0"/>
                <w:sz w:val="44"/>
                <w:szCs w:val="20"/>
              </w:rPr>
            </w:pPr>
          </w:p>
        </w:tc>
        <w:tc>
          <w:tcPr>
            <w:tcW w:w="1062" w:type="dxa"/>
            <w:noWrap w:val="0"/>
            <w:vAlign w:val="center"/>
          </w:tcPr>
          <w:p>
            <w:pPr>
              <w:spacing w:line="400" w:lineRule="exact"/>
              <w:jc w:val="center"/>
              <w:rPr>
                <w:rFonts w:ascii="仿宋" w:hAnsi="仿宋" w:eastAsia="仿宋"/>
                <w:b/>
                <w:color w:val="000000"/>
                <w:kern w:val="0"/>
                <w:sz w:val="28"/>
                <w:szCs w:val="20"/>
              </w:rPr>
            </w:pPr>
          </w:p>
        </w:tc>
        <w:tc>
          <w:tcPr>
            <w:tcW w:w="1675" w:type="dxa"/>
            <w:noWrap w:val="0"/>
            <w:vAlign w:val="center"/>
          </w:tcPr>
          <w:p>
            <w:pPr>
              <w:spacing w:line="400" w:lineRule="exact"/>
              <w:jc w:val="center"/>
              <w:rPr>
                <w:rFonts w:ascii="仿宋" w:hAnsi="仿宋" w:eastAsia="仿宋"/>
                <w:b/>
                <w:color w:val="000000"/>
                <w:kern w:val="0"/>
                <w:sz w:val="28"/>
                <w:szCs w:val="20"/>
              </w:rPr>
            </w:pPr>
          </w:p>
        </w:tc>
        <w:tc>
          <w:tcPr>
            <w:tcW w:w="1050" w:type="dxa"/>
            <w:noWrap w:val="0"/>
            <w:vAlign w:val="center"/>
          </w:tcPr>
          <w:p>
            <w:pPr>
              <w:spacing w:line="400" w:lineRule="exact"/>
              <w:jc w:val="center"/>
              <w:rPr>
                <w:rFonts w:ascii="仿宋" w:hAnsi="仿宋" w:eastAsia="仿宋"/>
                <w:b/>
                <w:color w:val="000000"/>
                <w:kern w:val="0"/>
                <w:sz w:val="28"/>
                <w:szCs w:val="20"/>
              </w:rPr>
            </w:pPr>
          </w:p>
        </w:tc>
        <w:tc>
          <w:tcPr>
            <w:tcW w:w="963" w:type="dxa"/>
            <w:noWrap w:val="0"/>
            <w:vAlign w:val="center"/>
          </w:tcPr>
          <w:p>
            <w:pPr>
              <w:spacing w:line="400" w:lineRule="exact"/>
              <w:jc w:val="center"/>
              <w:rPr>
                <w:rFonts w:ascii="仿宋" w:hAnsi="仿宋" w:eastAsia="仿宋"/>
                <w:b/>
                <w:color w:val="000000"/>
                <w:kern w:val="0"/>
                <w:sz w:val="28"/>
                <w:szCs w:val="20"/>
              </w:rPr>
            </w:pPr>
          </w:p>
        </w:tc>
        <w:tc>
          <w:tcPr>
            <w:tcW w:w="1025" w:type="dxa"/>
            <w:noWrap w:val="0"/>
            <w:vAlign w:val="center"/>
          </w:tcPr>
          <w:p>
            <w:pPr>
              <w:spacing w:line="400" w:lineRule="exact"/>
              <w:jc w:val="center"/>
              <w:rPr>
                <w:rFonts w:ascii="仿宋" w:hAnsi="仿宋" w:eastAsia="仿宋"/>
                <w:b/>
                <w:color w:val="000000"/>
                <w:kern w:val="0"/>
                <w:sz w:val="28"/>
                <w:szCs w:val="20"/>
              </w:rPr>
            </w:pPr>
          </w:p>
        </w:tc>
        <w:tc>
          <w:tcPr>
            <w:tcW w:w="1137" w:type="dxa"/>
            <w:noWrap w:val="0"/>
            <w:vAlign w:val="center"/>
          </w:tcPr>
          <w:p>
            <w:pPr>
              <w:spacing w:line="400" w:lineRule="exact"/>
              <w:jc w:val="center"/>
              <w:rPr>
                <w:rFonts w:ascii="仿宋" w:hAnsi="仿宋" w:eastAsia="仿宋"/>
                <w:b/>
                <w:color w:val="000000"/>
                <w:kern w:val="0"/>
                <w:sz w:val="28"/>
                <w:szCs w:val="20"/>
              </w:rPr>
            </w:pPr>
          </w:p>
        </w:tc>
        <w:tc>
          <w:tcPr>
            <w:tcW w:w="4388" w:type="dxa"/>
            <w:noWrap w:val="0"/>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88" w:type="dxa"/>
            <w:noWrap w:val="0"/>
            <w:vAlign w:val="top"/>
          </w:tcPr>
          <w:p>
            <w:pPr>
              <w:spacing w:line="400" w:lineRule="exact"/>
              <w:jc w:val="center"/>
              <w:rPr>
                <w:rFonts w:ascii="仿宋" w:hAnsi="仿宋" w:eastAsia="仿宋"/>
                <w:b/>
                <w:color w:val="000000"/>
                <w:kern w:val="0"/>
                <w:sz w:val="44"/>
                <w:szCs w:val="20"/>
              </w:rPr>
            </w:pPr>
          </w:p>
        </w:tc>
        <w:tc>
          <w:tcPr>
            <w:tcW w:w="1062" w:type="dxa"/>
            <w:noWrap w:val="0"/>
            <w:vAlign w:val="center"/>
          </w:tcPr>
          <w:p>
            <w:pPr>
              <w:spacing w:line="400" w:lineRule="exact"/>
              <w:jc w:val="center"/>
              <w:rPr>
                <w:rFonts w:ascii="仿宋" w:hAnsi="仿宋" w:eastAsia="仿宋"/>
                <w:b/>
                <w:color w:val="000000"/>
                <w:kern w:val="0"/>
                <w:sz w:val="28"/>
                <w:szCs w:val="20"/>
              </w:rPr>
            </w:pPr>
          </w:p>
        </w:tc>
        <w:tc>
          <w:tcPr>
            <w:tcW w:w="1675" w:type="dxa"/>
            <w:noWrap w:val="0"/>
            <w:vAlign w:val="center"/>
          </w:tcPr>
          <w:p>
            <w:pPr>
              <w:spacing w:line="400" w:lineRule="exact"/>
              <w:jc w:val="center"/>
              <w:rPr>
                <w:rFonts w:ascii="仿宋" w:hAnsi="仿宋" w:eastAsia="仿宋"/>
                <w:b/>
                <w:color w:val="000000"/>
                <w:kern w:val="0"/>
                <w:sz w:val="28"/>
                <w:szCs w:val="20"/>
              </w:rPr>
            </w:pPr>
          </w:p>
        </w:tc>
        <w:tc>
          <w:tcPr>
            <w:tcW w:w="1050" w:type="dxa"/>
            <w:noWrap w:val="0"/>
            <w:vAlign w:val="center"/>
          </w:tcPr>
          <w:p>
            <w:pPr>
              <w:spacing w:line="400" w:lineRule="exact"/>
              <w:jc w:val="center"/>
              <w:rPr>
                <w:rFonts w:ascii="仿宋" w:hAnsi="仿宋" w:eastAsia="仿宋"/>
                <w:b/>
                <w:color w:val="000000"/>
                <w:kern w:val="0"/>
                <w:sz w:val="28"/>
                <w:szCs w:val="20"/>
              </w:rPr>
            </w:pPr>
          </w:p>
        </w:tc>
        <w:tc>
          <w:tcPr>
            <w:tcW w:w="963" w:type="dxa"/>
            <w:noWrap w:val="0"/>
            <w:vAlign w:val="center"/>
          </w:tcPr>
          <w:p>
            <w:pPr>
              <w:spacing w:line="400" w:lineRule="exact"/>
              <w:jc w:val="center"/>
              <w:rPr>
                <w:rFonts w:ascii="仿宋" w:hAnsi="仿宋" w:eastAsia="仿宋"/>
                <w:b/>
                <w:color w:val="000000"/>
                <w:kern w:val="0"/>
                <w:sz w:val="28"/>
                <w:szCs w:val="20"/>
              </w:rPr>
            </w:pPr>
          </w:p>
        </w:tc>
        <w:tc>
          <w:tcPr>
            <w:tcW w:w="1025" w:type="dxa"/>
            <w:noWrap w:val="0"/>
            <w:vAlign w:val="center"/>
          </w:tcPr>
          <w:p>
            <w:pPr>
              <w:spacing w:line="400" w:lineRule="exact"/>
              <w:jc w:val="center"/>
              <w:rPr>
                <w:rFonts w:ascii="仿宋" w:hAnsi="仿宋" w:eastAsia="仿宋"/>
                <w:b/>
                <w:color w:val="000000"/>
                <w:kern w:val="0"/>
                <w:sz w:val="28"/>
                <w:szCs w:val="20"/>
              </w:rPr>
            </w:pPr>
          </w:p>
        </w:tc>
        <w:tc>
          <w:tcPr>
            <w:tcW w:w="1137" w:type="dxa"/>
            <w:noWrap w:val="0"/>
            <w:vAlign w:val="center"/>
          </w:tcPr>
          <w:p>
            <w:pPr>
              <w:spacing w:line="400" w:lineRule="exact"/>
              <w:jc w:val="center"/>
              <w:rPr>
                <w:rFonts w:ascii="仿宋" w:hAnsi="仿宋" w:eastAsia="仿宋"/>
                <w:b/>
                <w:color w:val="000000"/>
                <w:kern w:val="0"/>
                <w:sz w:val="28"/>
                <w:szCs w:val="20"/>
              </w:rPr>
            </w:pPr>
          </w:p>
        </w:tc>
        <w:tc>
          <w:tcPr>
            <w:tcW w:w="4388" w:type="dxa"/>
            <w:noWrap w:val="0"/>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88" w:type="dxa"/>
            <w:noWrap w:val="0"/>
            <w:vAlign w:val="top"/>
          </w:tcPr>
          <w:p>
            <w:pPr>
              <w:spacing w:line="400" w:lineRule="exact"/>
              <w:jc w:val="center"/>
              <w:rPr>
                <w:rFonts w:ascii="仿宋" w:hAnsi="仿宋" w:eastAsia="仿宋"/>
                <w:b/>
                <w:color w:val="000000"/>
                <w:kern w:val="0"/>
                <w:sz w:val="44"/>
                <w:szCs w:val="20"/>
              </w:rPr>
            </w:pPr>
          </w:p>
        </w:tc>
        <w:tc>
          <w:tcPr>
            <w:tcW w:w="1062" w:type="dxa"/>
            <w:noWrap w:val="0"/>
            <w:vAlign w:val="center"/>
          </w:tcPr>
          <w:p>
            <w:pPr>
              <w:spacing w:line="400" w:lineRule="exact"/>
              <w:jc w:val="center"/>
              <w:rPr>
                <w:rFonts w:ascii="仿宋" w:hAnsi="仿宋" w:eastAsia="仿宋"/>
                <w:b/>
                <w:color w:val="000000"/>
                <w:kern w:val="0"/>
                <w:sz w:val="28"/>
                <w:szCs w:val="20"/>
              </w:rPr>
            </w:pPr>
          </w:p>
        </w:tc>
        <w:tc>
          <w:tcPr>
            <w:tcW w:w="1675" w:type="dxa"/>
            <w:noWrap w:val="0"/>
            <w:vAlign w:val="center"/>
          </w:tcPr>
          <w:p>
            <w:pPr>
              <w:spacing w:line="400" w:lineRule="exact"/>
              <w:jc w:val="center"/>
              <w:rPr>
                <w:rFonts w:ascii="仿宋" w:hAnsi="仿宋" w:eastAsia="仿宋"/>
                <w:b/>
                <w:color w:val="000000"/>
                <w:kern w:val="0"/>
                <w:sz w:val="28"/>
                <w:szCs w:val="20"/>
              </w:rPr>
            </w:pPr>
          </w:p>
        </w:tc>
        <w:tc>
          <w:tcPr>
            <w:tcW w:w="1050" w:type="dxa"/>
            <w:noWrap w:val="0"/>
            <w:vAlign w:val="center"/>
          </w:tcPr>
          <w:p>
            <w:pPr>
              <w:spacing w:line="400" w:lineRule="exact"/>
              <w:jc w:val="center"/>
              <w:rPr>
                <w:rFonts w:ascii="仿宋" w:hAnsi="仿宋" w:eastAsia="仿宋"/>
                <w:b/>
                <w:color w:val="000000"/>
                <w:kern w:val="0"/>
                <w:sz w:val="28"/>
                <w:szCs w:val="20"/>
              </w:rPr>
            </w:pPr>
          </w:p>
        </w:tc>
        <w:tc>
          <w:tcPr>
            <w:tcW w:w="963" w:type="dxa"/>
            <w:noWrap w:val="0"/>
            <w:vAlign w:val="center"/>
          </w:tcPr>
          <w:p>
            <w:pPr>
              <w:spacing w:line="400" w:lineRule="exact"/>
              <w:jc w:val="center"/>
              <w:rPr>
                <w:rFonts w:ascii="仿宋" w:hAnsi="仿宋" w:eastAsia="仿宋"/>
                <w:b/>
                <w:color w:val="000000"/>
                <w:kern w:val="0"/>
                <w:sz w:val="28"/>
                <w:szCs w:val="20"/>
              </w:rPr>
            </w:pPr>
          </w:p>
        </w:tc>
        <w:tc>
          <w:tcPr>
            <w:tcW w:w="1025" w:type="dxa"/>
            <w:noWrap w:val="0"/>
            <w:vAlign w:val="center"/>
          </w:tcPr>
          <w:p>
            <w:pPr>
              <w:spacing w:line="400" w:lineRule="exact"/>
              <w:jc w:val="center"/>
              <w:rPr>
                <w:rFonts w:ascii="仿宋" w:hAnsi="仿宋" w:eastAsia="仿宋"/>
                <w:b/>
                <w:color w:val="000000"/>
                <w:kern w:val="0"/>
                <w:sz w:val="28"/>
                <w:szCs w:val="20"/>
              </w:rPr>
            </w:pPr>
          </w:p>
        </w:tc>
        <w:tc>
          <w:tcPr>
            <w:tcW w:w="1137" w:type="dxa"/>
            <w:noWrap w:val="0"/>
            <w:vAlign w:val="center"/>
          </w:tcPr>
          <w:p>
            <w:pPr>
              <w:spacing w:line="400" w:lineRule="exact"/>
              <w:jc w:val="center"/>
              <w:rPr>
                <w:rFonts w:ascii="仿宋" w:hAnsi="仿宋" w:eastAsia="仿宋"/>
                <w:b/>
                <w:color w:val="000000"/>
                <w:kern w:val="0"/>
                <w:sz w:val="28"/>
                <w:szCs w:val="20"/>
              </w:rPr>
            </w:pPr>
          </w:p>
        </w:tc>
        <w:tc>
          <w:tcPr>
            <w:tcW w:w="4388" w:type="dxa"/>
            <w:noWrap w:val="0"/>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88" w:type="dxa"/>
            <w:noWrap w:val="0"/>
            <w:vAlign w:val="top"/>
          </w:tcPr>
          <w:p>
            <w:pPr>
              <w:spacing w:line="400" w:lineRule="exact"/>
              <w:jc w:val="center"/>
              <w:rPr>
                <w:rFonts w:ascii="仿宋" w:hAnsi="仿宋" w:eastAsia="仿宋"/>
                <w:b/>
                <w:color w:val="000000"/>
                <w:kern w:val="0"/>
                <w:sz w:val="44"/>
                <w:szCs w:val="20"/>
              </w:rPr>
            </w:pPr>
            <w:r>
              <w:rPr>
                <w:rFonts w:hint="eastAsia" w:ascii="仿宋" w:hAnsi="仿宋" w:eastAsia="仿宋"/>
                <w:b/>
                <w:color w:val="000000"/>
                <w:kern w:val="0"/>
                <w:sz w:val="24"/>
                <w:szCs w:val="11"/>
              </w:rPr>
              <w:t>小写合计</w:t>
            </w:r>
          </w:p>
        </w:tc>
        <w:tc>
          <w:tcPr>
            <w:tcW w:w="1062" w:type="dxa"/>
            <w:noWrap w:val="0"/>
            <w:vAlign w:val="center"/>
          </w:tcPr>
          <w:p>
            <w:pPr>
              <w:spacing w:line="400" w:lineRule="exact"/>
              <w:jc w:val="center"/>
              <w:rPr>
                <w:rFonts w:ascii="仿宋" w:hAnsi="仿宋" w:eastAsia="仿宋"/>
                <w:b/>
                <w:color w:val="000000"/>
                <w:kern w:val="0"/>
                <w:sz w:val="28"/>
                <w:szCs w:val="20"/>
              </w:rPr>
            </w:pPr>
          </w:p>
        </w:tc>
        <w:tc>
          <w:tcPr>
            <w:tcW w:w="1675" w:type="dxa"/>
            <w:noWrap w:val="0"/>
            <w:vAlign w:val="center"/>
          </w:tcPr>
          <w:p>
            <w:pPr>
              <w:spacing w:line="400" w:lineRule="exact"/>
              <w:jc w:val="center"/>
              <w:rPr>
                <w:rFonts w:ascii="仿宋" w:hAnsi="仿宋" w:eastAsia="仿宋"/>
                <w:b/>
                <w:color w:val="000000"/>
                <w:kern w:val="0"/>
                <w:sz w:val="28"/>
                <w:szCs w:val="20"/>
              </w:rPr>
            </w:pPr>
          </w:p>
        </w:tc>
        <w:tc>
          <w:tcPr>
            <w:tcW w:w="1050" w:type="dxa"/>
            <w:noWrap w:val="0"/>
            <w:vAlign w:val="center"/>
          </w:tcPr>
          <w:p>
            <w:pPr>
              <w:spacing w:line="400" w:lineRule="exact"/>
              <w:jc w:val="center"/>
              <w:rPr>
                <w:rFonts w:ascii="仿宋" w:hAnsi="仿宋" w:eastAsia="仿宋"/>
                <w:b/>
                <w:color w:val="000000"/>
                <w:kern w:val="0"/>
                <w:sz w:val="28"/>
                <w:szCs w:val="20"/>
              </w:rPr>
            </w:pPr>
          </w:p>
        </w:tc>
        <w:tc>
          <w:tcPr>
            <w:tcW w:w="963" w:type="dxa"/>
            <w:noWrap w:val="0"/>
            <w:vAlign w:val="center"/>
          </w:tcPr>
          <w:p>
            <w:pPr>
              <w:spacing w:line="400" w:lineRule="exact"/>
              <w:jc w:val="center"/>
              <w:rPr>
                <w:rFonts w:ascii="仿宋" w:hAnsi="仿宋" w:eastAsia="仿宋"/>
                <w:b/>
                <w:color w:val="000000"/>
                <w:kern w:val="0"/>
                <w:sz w:val="28"/>
                <w:szCs w:val="20"/>
              </w:rPr>
            </w:pPr>
          </w:p>
        </w:tc>
        <w:tc>
          <w:tcPr>
            <w:tcW w:w="1025" w:type="dxa"/>
            <w:noWrap w:val="0"/>
            <w:vAlign w:val="center"/>
          </w:tcPr>
          <w:p>
            <w:pPr>
              <w:spacing w:line="400" w:lineRule="exact"/>
              <w:jc w:val="center"/>
              <w:rPr>
                <w:rFonts w:ascii="仿宋" w:hAnsi="仿宋" w:eastAsia="仿宋"/>
                <w:b/>
                <w:color w:val="000000"/>
                <w:kern w:val="0"/>
                <w:sz w:val="28"/>
                <w:szCs w:val="20"/>
              </w:rPr>
            </w:pPr>
          </w:p>
        </w:tc>
        <w:tc>
          <w:tcPr>
            <w:tcW w:w="1137" w:type="dxa"/>
            <w:noWrap w:val="0"/>
            <w:vAlign w:val="center"/>
          </w:tcPr>
          <w:p>
            <w:pPr>
              <w:spacing w:line="400" w:lineRule="exact"/>
              <w:jc w:val="center"/>
              <w:rPr>
                <w:rFonts w:ascii="仿宋" w:hAnsi="仿宋" w:eastAsia="仿宋"/>
                <w:b/>
                <w:color w:val="000000"/>
                <w:kern w:val="0"/>
                <w:sz w:val="28"/>
                <w:szCs w:val="20"/>
              </w:rPr>
            </w:pPr>
          </w:p>
        </w:tc>
        <w:tc>
          <w:tcPr>
            <w:tcW w:w="4388" w:type="dxa"/>
            <w:noWrap w:val="0"/>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88" w:type="dxa"/>
            <w:noWrap w:val="0"/>
            <w:vAlign w:val="top"/>
          </w:tcPr>
          <w:p>
            <w:pPr>
              <w:spacing w:line="400" w:lineRule="exact"/>
              <w:jc w:val="center"/>
              <w:rPr>
                <w:rFonts w:ascii="仿宋" w:hAnsi="仿宋" w:eastAsia="仿宋"/>
                <w:b/>
                <w:color w:val="000000"/>
                <w:kern w:val="0"/>
                <w:sz w:val="24"/>
                <w:szCs w:val="11"/>
              </w:rPr>
            </w:pPr>
            <w:r>
              <w:rPr>
                <w:rFonts w:hint="eastAsia" w:ascii="仿宋" w:hAnsi="仿宋" w:eastAsia="仿宋"/>
                <w:b/>
                <w:color w:val="000000"/>
                <w:kern w:val="0"/>
                <w:sz w:val="24"/>
                <w:szCs w:val="11"/>
              </w:rPr>
              <w:t>大写合计</w:t>
            </w:r>
          </w:p>
        </w:tc>
        <w:tc>
          <w:tcPr>
            <w:tcW w:w="1062" w:type="dxa"/>
            <w:noWrap w:val="0"/>
            <w:vAlign w:val="center"/>
          </w:tcPr>
          <w:p>
            <w:pPr>
              <w:spacing w:line="400" w:lineRule="exact"/>
              <w:jc w:val="center"/>
              <w:rPr>
                <w:rFonts w:ascii="仿宋" w:hAnsi="仿宋" w:eastAsia="仿宋"/>
                <w:b/>
                <w:color w:val="000000"/>
                <w:kern w:val="0"/>
                <w:sz w:val="24"/>
                <w:szCs w:val="18"/>
              </w:rPr>
            </w:pPr>
          </w:p>
        </w:tc>
        <w:tc>
          <w:tcPr>
            <w:tcW w:w="1675" w:type="dxa"/>
            <w:noWrap w:val="0"/>
            <w:vAlign w:val="center"/>
          </w:tcPr>
          <w:p>
            <w:pPr>
              <w:spacing w:line="400" w:lineRule="exact"/>
              <w:jc w:val="center"/>
              <w:rPr>
                <w:rFonts w:ascii="仿宋" w:hAnsi="仿宋" w:eastAsia="仿宋"/>
                <w:b/>
                <w:color w:val="000000"/>
                <w:kern w:val="0"/>
                <w:sz w:val="24"/>
                <w:szCs w:val="18"/>
              </w:rPr>
            </w:pPr>
          </w:p>
        </w:tc>
        <w:tc>
          <w:tcPr>
            <w:tcW w:w="1050" w:type="dxa"/>
            <w:noWrap w:val="0"/>
            <w:vAlign w:val="center"/>
          </w:tcPr>
          <w:p>
            <w:pPr>
              <w:spacing w:line="400" w:lineRule="exact"/>
              <w:jc w:val="center"/>
              <w:rPr>
                <w:rFonts w:ascii="仿宋" w:hAnsi="仿宋" w:eastAsia="仿宋"/>
                <w:b/>
                <w:color w:val="000000"/>
                <w:kern w:val="0"/>
                <w:sz w:val="28"/>
                <w:szCs w:val="20"/>
              </w:rPr>
            </w:pPr>
          </w:p>
        </w:tc>
        <w:tc>
          <w:tcPr>
            <w:tcW w:w="963" w:type="dxa"/>
            <w:noWrap w:val="0"/>
            <w:vAlign w:val="center"/>
          </w:tcPr>
          <w:p>
            <w:pPr>
              <w:spacing w:line="400" w:lineRule="exact"/>
              <w:jc w:val="center"/>
              <w:rPr>
                <w:rFonts w:ascii="仿宋" w:hAnsi="仿宋" w:eastAsia="仿宋"/>
                <w:b/>
                <w:color w:val="000000"/>
                <w:kern w:val="0"/>
                <w:sz w:val="28"/>
                <w:szCs w:val="20"/>
              </w:rPr>
            </w:pPr>
          </w:p>
        </w:tc>
        <w:tc>
          <w:tcPr>
            <w:tcW w:w="1025" w:type="dxa"/>
            <w:noWrap w:val="0"/>
            <w:vAlign w:val="center"/>
          </w:tcPr>
          <w:p>
            <w:pPr>
              <w:spacing w:line="400" w:lineRule="exact"/>
              <w:jc w:val="center"/>
              <w:rPr>
                <w:rFonts w:ascii="仿宋" w:hAnsi="仿宋" w:eastAsia="仿宋"/>
                <w:b/>
                <w:color w:val="000000"/>
                <w:kern w:val="0"/>
                <w:sz w:val="28"/>
                <w:szCs w:val="20"/>
              </w:rPr>
            </w:pPr>
          </w:p>
        </w:tc>
        <w:tc>
          <w:tcPr>
            <w:tcW w:w="1137" w:type="dxa"/>
            <w:noWrap w:val="0"/>
            <w:vAlign w:val="center"/>
          </w:tcPr>
          <w:p>
            <w:pPr>
              <w:spacing w:line="400" w:lineRule="exact"/>
              <w:jc w:val="center"/>
              <w:rPr>
                <w:rFonts w:ascii="仿宋" w:hAnsi="仿宋" w:eastAsia="仿宋"/>
                <w:b/>
                <w:color w:val="000000"/>
                <w:kern w:val="0"/>
                <w:sz w:val="28"/>
                <w:szCs w:val="20"/>
              </w:rPr>
            </w:pPr>
          </w:p>
        </w:tc>
        <w:tc>
          <w:tcPr>
            <w:tcW w:w="4388" w:type="dxa"/>
            <w:noWrap w:val="0"/>
            <w:vAlign w:val="center"/>
          </w:tcPr>
          <w:p>
            <w:pPr>
              <w:adjustRightInd w:val="0"/>
              <w:spacing w:line="400" w:lineRule="exact"/>
              <w:ind w:firstLine="482" w:firstLineChars="200"/>
              <w:jc w:val="left"/>
              <w:rPr>
                <w:rFonts w:ascii="仿宋" w:hAnsi="仿宋" w:eastAsia="仿宋"/>
                <w:b/>
                <w:color w:val="000000"/>
                <w:kern w:val="0"/>
                <w:sz w:val="28"/>
                <w:szCs w:val="20"/>
              </w:rPr>
            </w:pPr>
            <w:r>
              <w:rPr>
                <w:rFonts w:hint="eastAsia" w:ascii="仿宋" w:hAnsi="仿宋" w:eastAsia="仿宋"/>
                <w:b/>
                <w:color w:val="000000"/>
                <w:kern w:val="0"/>
                <w:sz w:val="24"/>
                <w:szCs w:val="18"/>
                <w:lang w:eastAsia="zh-CN"/>
              </w:rPr>
              <w:t>拾</w:t>
            </w:r>
            <w:r>
              <w:rPr>
                <w:rFonts w:hint="eastAsia" w:ascii="仿宋" w:hAnsi="仿宋" w:eastAsia="仿宋"/>
                <w:b/>
                <w:color w:val="000000"/>
                <w:kern w:val="0"/>
                <w:sz w:val="24"/>
                <w:szCs w:val="18"/>
                <w:lang w:val="en-US" w:eastAsia="zh-CN"/>
              </w:rPr>
              <w:t xml:space="preserve">   </w:t>
            </w:r>
            <w:r>
              <w:rPr>
                <w:rFonts w:hint="eastAsia" w:ascii="仿宋" w:hAnsi="仿宋" w:eastAsia="仿宋"/>
                <w:b/>
                <w:color w:val="000000"/>
                <w:kern w:val="0"/>
                <w:sz w:val="24"/>
                <w:szCs w:val="18"/>
              </w:rPr>
              <w:t xml:space="preserve">万   仟   佰   拾 </w:t>
            </w:r>
            <w:r>
              <w:rPr>
                <w:rFonts w:hint="eastAsia" w:ascii="仿宋" w:hAnsi="仿宋" w:eastAsia="仿宋"/>
                <w:b/>
                <w:color w:val="000000"/>
                <w:kern w:val="0"/>
                <w:sz w:val="24"/>
                <w:szCs w:val="18"/>
                <w:lang w:val="en-US" w:eastAsia="zh-CN"/>
              </w:rPr>
              <w:t xml:space="preserve"> </w:t>
            </w:r>
            <w:r>
              <w:rPr>
                <w:rFonts w:hint="eastAsia" w:ascii="仿宋" w:hAnsi="仿宋" w:eastAsia="仿宋"/>
                <w:b/>
                <w:color w:val="000000"/>
                <w:kern w:val="0"/>
                <w:sz w:val="24"/>
                <w:szCs w:val="18"/>
              </w:rPr>
              <w:t xml:space="preserve"> 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88" w:type="dxa"/>
            <w:noWrap w:val="0"/>
            <w:vAlign w:val="top"/>
          </w:tcPr>
          <w:p>
            <w:pPr>
              <w:spacing w:line="400" w:lineRule="exact"/>
              <w:jc w:val="center"/>
              <w:rPr>
                <w:rFonts w:ascii="仿宋" w:hAnsi="仿宋" w:eastAsia="仿宋"/>
                <w:b/>
                <w:color w:val="000000"/>
                <w:kern w:val="0"/>
                <w:sz w:val="24"/>
                <w:szCs w:val="11"/>
              </w:rPr>
            </w:pPr>
          </w:p>
        </w:tc>
        <w:tc>
          <w:tcPr>
            <w:tcW w:w="1062" w:type="dxa"/>
            <w:noWrap w:val="0"/>
            <w:vAlign w:val="center"/>
          </w:tcPr>
          <w:p>
            <w:pPr>
              <w:spacing w:line="400" w:lineRule="exact"/>
              <w:jc w:val="center"/>
              <w:rPr>
                <w:rFonts w:ascii="仿宋" w:hAnsi="仿宋" w:eastAsia="仿宋"/>
                <w:b/>
                <w:color w:val="000000"/>
                <w:kern w:val="0"/>
                <w:sz w:val="24"/>
                <w:szCs w:val="18"/>
              </w:rPr>
            </w:pPr>
          </w:p>
        </w:tc>
        <w:tc>
          <w:tcPr>
            <w:tcW w:w="1675" w:type="dxa"/>
            <w:noWrap w:val="0"/>
            <w:vAlign w:val="center"/>
          </w:tcPr>
          <w:p>
            <w:pPr>
              <w:spacing w:line="400" w:lineRule="exact"/>
              <w:jc w:val="center"/>
              <w:rPr>
                <w:rFonts w:ascii="仿宋" w:hAnsi="仿宋" w:eastAsia="仿宋"/>
                <w:b/>
                <w:color w:val="000000"/>
                <w:kern w:val="0"/>
                <w:sz w:val="24"/>
                <w:szCs w:val="18"/>
              </w:rPr>
            </w:pPr>
          </w:p>
        </w:tc>
        <w:tc>
          <w:tcPr>
            <w:tcW w:w="1050" w:type="dxa"/>
            <w:noWrap w:val="0"/>
            <w:vAlign w:val="center"/>
          </w:tcPr>
          <w:p>
            <w:pPr>
              <w:spacing w:line="400" w:lineRule="exact"/>
              <w:jc w:val="center"/>
              <w:rPr>
                <w:rFonts w:ascii="仿宋" w:hAnsi="仿宋" w:eastAsia="仿宋"/>
                <w:b/>
                <w:color w:val="000000"/>
                <w:kern w:val="0"/>
                <w:sz w:val="28"/>
                <w:szCs w:val="20"/>
              </w:rPr>
            </w:pPr>
          </w:p>
        </w:tc>
        <w:tc>
          <w:tcPr>
            <w:tcW w:w="963" w:type="dxa"/>
            <w:noWrap w:val="0"/>
            <w:vAlign w:val="center"/>
          </w:tcPr>
          <w:p>
            <w:pPr>
              <w:spacing w:line="400" w:lineRule="exact"/>
              <w:jc w:val="center"/>
              <w:rPr>
                <w:rFonts w:ascii="仿宋" w:hAnsi="仿宋" w:eastAsia="仿宋"/>
                <w:b/>
                <w:color w:val="000000"/>
                <w:kern w:val="0"/>
                <w:sz w:val="28"/>
                <w:szCs w:val="20"/>
              </w:rPr>
            </w:pPr>
          </w:p>
        </w:tc>
        <w:tc>
          <w:tcPr>
            <w:tcW w:w="1025" w:type="dxa"/>
            <w:noWrap w:val="0"/>
            <w:vAlign w:val="center"/>
          </w:tcPr>
          <w:p>
            <w:pPr>
              <w:spacing w:line="400" w:lineRule="exact"/>
              <w:jc w:val="center"/>
              <w:rPr>
                <w:rFonts w:ascii="仿宋" w:hAnsi="仿宋" w:eastAsia="仿宋"/>
                <w:b/>
                <w:color w:val="000000"/>
                <w:kern w:val="0"/>
                <w:sz w:val="28"/>
                <w:szCs w:val="20"/>
              </w:rPr>
            </w:pPr>
          </w:p>
        </w:tc>
        <w:tc>
          <w:tcPr>
            <w:tcW w:w="1137" w:type="dxa"/>
            <w:noWrap w:val="0"/>
            <w:vAlign w:val="center"/>
          </w:tcPr>
          <w:p>
            <w:pPr>
              <w:spacing w:line="400" w:lineRule="exact"/>
              <w:jc w:val="center"/>
              <w:rPr>
                <w:rFonts w:ascii="仿宋" w:hAnsi="仿宋" w:eastAsia="仿宋"/>
                <w:b/>
                <w:color w:val="000000"/>
                <w:kern w:val="0"/>
                <w:sz w:val="28"/>
                <w:szCs w:val="20"/>
              </w:rPr>
            </w:pPr>
          </w:p>
        </w:tc>
        <w:tc>
          <w:tcPr>
            <w:tcW w:w="4388" w:type="dxa"/>
            <w:noWrap w:val="0"/>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88" w:type="dxa"/>
            <w:noWrap w:val="0"/>
            <w:vAlign w:val="top"/>
          </w:tcPr>
          <w:p>
            <w:pPr>
              <w:spacing w:line="400" w:lineRule="exact"/>
              <w:jc w:val="center"/>
              <w:rPr>
                <w:rFonts w:ascii="仿宋" w:hAnsi="仿宋" w:eastAsia="仿宋"/>
                <w:b/>
                <w:color w:val="000000"/>
                <w:kern w:val="0"/>
                <w:sz w:val="24"/>
                <w:szCs w:val="11"/>
              </w:rPr>
            </w:pPr>
          </w:p>
        </w:tc>
        <w:tc>
          <w:tcPr>
            <w:tcW w:w="1062" w:type="dxa"/>
            <w:noWrap w:val="0"/>
            <w:vAlign w:val="center"/>
          </w:tcPr>
          <w:p>
            <w:pPr>
              <w:spacing w:line="400" w:lineRule="exact"/>
              <w:jc w:val="center"/>
              <w:rPr>
                <w:rFonts w:ascii="仿宋" w:hAnsi="仿宋" w:eastAsia="仿宋"/>
                <w:b/>
                <w:color w:val="000000"/>
                <w:kern w:val="0"/>
                <w:sz w:val="24"/>
                <w:szCs w:val="18"/>
              </w:rPr>
            </w:pPr>
          </w:p>
        </w:tc>
        <w:tc>
          <w:tcPr>
            <w:tcW w:w="1675" w:type="dxa"/>
            <w:noWrap w:val="0"/>
            <w:vAlign w:val="center"/>
          </w:tcPr>
          <w:p>
            <w:pPr>
              <w:spacing w:line="400" w:lineRule="exact"/>
              <w:jc w:val="center"/>
              <w:rPr>
                <w:rFonts w:ascii="仿宋" w:hAnsi="仿宋" w:eastAsia="仿宋"/>
                <w:b/>
                <w:color w:val="000000"/>
                <w:kern w:val="0"/>
                <w:sz w:val="24"/>
                <w:szCs w:val="18"/>
              </w:rPr>
            </w:pPr>
          </w:p>
        </w:tc>
        <w:tc>
          <w:tcPr>
            <w:tcW w:w="1050" w:type="dxa"/>
            <w:noWrap w:val="0"/>
            <w:vAlign w:val="center"/>
          </w:tcPr>
          <w:p>
            <w:pPr>
              <w:spacing w:line="400" w:lineRule="exact"/>
              <w:jc w:val="center"/>
              <w:rPr>
                <w:rFonts w:ascii="仿宋" w:hAnsi="仿宋" w:eastAsia="仿宋"/>
                <w:b/>
                <w:color w:val="000000"/>
                <w:kern w:val="0"/>
                <w:sz w:val="28"/>
                <w:szCs w:val="20"/>
              </w:rPr>
            </w:pPr>
          </w:p>
        </w:tc>
        <w:tc>
          <w:tcPr>
            <w:tcW w:w="963" w:type="dxa"/>
            <w:noWrap w:val="0"/>
            <w:vAlign w:val="center"/>
          </w:tcPr>
          <w:p>
            <w:pPr>
              <w:spacing w:line="400" w:lineRule="exact"/>
              <w:jc w:val="center"/>
              <w:rPr>
                <w:rFonts w:ascii="仿宋" w:hAnsi="仿宋" w:eastAsia="仿宋"/>
                <w:b/>
                <w:color w:val="000000"/>
                <w:kern w:val="0"/>
                <w:sz w:val="28"/>
                <w:szCs w:val="20"/>
              </w:rPr>
            </w:pPr>
          </w:p>
        </w:tc>
        <w:tc>
          <w:tcPr>
            <w:tcW w:w="1025" w:type="dxa"/>
            <w:noWrap w:val="0"/>
            <w:vAlign w:val="center"/>
          </w:tcPr>
          <w:p>
            <w:pPr>
              <w:spacing w:line="400" w:lineRule="exact"/>
              <w:jc w:val="center"/>
              <w:rPr>
                <w:rFonts w:ascii="仿宋" w:hAnsi="仿宋" w:eastAsia="仿宋"/>
                <w:b/>
                <w:color w:val="000000"/>
                <w:kern w:val="0"/>
                <w:sz w:val="28"/>
                <w:szCs w:val="20"/>
              </w:rPr>
            </w:pPr>
          </w:p>
        </w:tc>
        <w:tc>
          <w:tcPr>
            <w:tcW w:w="1137" w:type="dxa"/>
            <w:noWrap w:val="0"/>
            <w:vAlign w:val="center"/>
          </w:tcPr>
          <w:p>
            <w:pPr>
              <w:spacing w:line="400" w:lineRule="exact"/>
              <w:jc w:val="center"/>
              <w:rPr>
                <w:rFonts w:ascii="仿宋" w:hAnsi="仿宋" w:eastAsia="仿宋"/>
                <w:b/>
                <w:color w:val="000000"/>
                <w:kern w:val="0"/>
                <w:sz w:val="28"/>
                <w:szCs w:val="20"/>
              </w:rPr>
            </w:pPr>
          </w:p>
        </w:tc>
        <w:tc>
          <w:tcPr>
            <w:tcW w:w="4388" w:type="dxa"/>
            <w:noWrap w:val="0"/>
            <w:vAlign w:val="center"/>
          </w:tcPr>
          <w:p>
            <w:pPr>
              <w:spacing w:line="400" w:lineRule="exact"/>
              <w:jc w:val="left"/>
              <w:rPr>
                <w:rFonts w:ascii="仿宋" w:hAnsi="仿宋" w:eastAsia="仿宋"/>
                <w:b/>
                <w:color w:val="000000"/>
                <w:kern w:val="0"/>
                <w:sz w:val="24"/>
                <w:szCs w:val="18"/>
              </w:rPr>
            </w:pPr>
            <w:r>
              <w:rPr>
                <w:rFonts w:hint="eastAsia" w:ascii="仿宋" w:hAnsi="仿宋" w:eastAsia="仿宋"/>
                <w:b/>
                <w:color w:val="000000"/>
                <w:kern w:val="0"/>
                <w:sz w:val="24"/>
                <w:szCs w:val="1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988" w:type="dxa"/>
            <w:noWrap w:val="0"/>
            <w:vAlign w:val="top"/>
          </w:tcPr>
          <w:p>
            <w:pPr>
              <w:spacing w:line="400" w:lineRule="exact"/>
              <w:jc w:val="center"/>
              <w:rPr>
                <w:rFonts w:ascii="仿宋" w:hAnsi="仿宋" w:eastAsia="仿宋"/>
                <w:b/>
                <w:color w:val="000000"/>
                <w:kern w:val="0"/>
                <w:sz w:val="24"/>
                <w:szCs w:val="11"/>
              </w:rPr>
            </w:pPr>
          </w:p>
        </w:tc>
        <w:tc>
          <w:tcPr>
            <w:tcW w:w="1062" w:type="dxa"/>
            <w:noWrap w:val="0"/>
            <w:vAlign w:val="center"/>
          </w:tcPr>
          <w:p>
            <w:pPr>
              <w:spacing w:line="400" w:lineRule="exact"/>
              <w:jc w:val="center"/>
              <w:rPr>
                <w:rFonts w:ascii="仿宋" w:hAnsi="仿宋" w:eastAsia="仿宋"/>
                <w:b/>
                <w:color w:val="000000"/>
                <w:kern w:val="0"/>
                <w:sz w:val="24"/>
                <w:szCs w:val="18"/>
              </w:rPr>
            </w:pPr>
          </w:p>
        </w:tc>
        <w:tc>
          <w:tcPr>
            <w:tcW w:w="1675" w:type="dxa"/>
            <w:noWrap w:val="0"/>
            <w:vAlign w:val="center"/>
          </w:tcPr>
          <w:p>
            <w:pPr>
              <w:spacing w:line="400" w:lineRule="exact"/>
              <w:jc w:val="center"/>
              <w:rPr>
                <w:rFonts w:ascii="仿宋" w:hAnsi="仿宋" w:eastAsia="仿宋"/>
                <w:b/>
                <w:color w:val="000000"/>
                <w:kern w:val="0"/>
                <w:sz w:val="24"/>
                <w:szCs w:val="18"/>
              </w:rPr>
            </w:pPr>
          </w:p>
        </w:tc>
        <w:tc>
          <w:tcPr>
            <w:tcW w:w="1050" w:type="dxa"/>
            <w:noWrap w:val="0"/>
            <w:vAlign w:val="center"/>
          </w:tcPr>
          <w:p>
            <w:pPr>
              <w:spacing w:line="400" w:lineRule="exact"/>
              <w:jc w:val="center"/>
              <w:rPr>
                <w:rFonts w:ascii="仿宋" w:hAnsi="仿宋" w:eastAsia="仿宋"/>
                <w:b/>
                <w:color w:val="000000"/>
                <w:kern w:val="0"/>
                <w:sz w:val="28"/>
                <w:szCs w:val="20"/>
              </w:rPr>
            </w:pPr>
          </w:p>
        </w:tc>
        <w:tc>
          <w:tcPr>
            <w:tcW w:w="963" w:type="dxa"/>
            <w:noWrap w:val="0"/>
            <w:vAlign w:val="center"/>
          </w:tcPr>
          <w:p>
            <w:pPr>
              <w:spacing w:line="400" w:lineRule="exact"/>
              <w:jc w:val="center"/>
              <w:rPr>
                <w:rFonts w:ascii="仿宋" w:hAnsi="仿宋" w:eastAsia="仿宋"/>
                <w:b/>
                <w:color w:val="000000"/>
                <w:kern w:val="0"/>
                <w:sz w:val="28"/>
                <w:szCs w:val="20"/>
              </w:rPr>
            </w:pPr>
          </w:p>
        </w:tc>
        <w:tc>
          <w:tcPr>
            <w:tcW w:w="1025" w:type="dxa"/>
            <w:noWrap w:val="0"/>
            <w:vAlign w:val="center"/>
          </w:tcPr>
          <w:p>
            <w:pPr>
              <w:spacing w:line="400" w:lineRule="exact"/>
              <w:jc w:val="center"/>
              <w:rPr>
                <w:rFonts w:ascii="仿宋" w:hAnsi="仿宋" w:eastAsia="仿宋"/>
                <w:b/>
                <w:color w:val="000000"/>
                <w:kern w:val="0"/>
                <w:sz w:val="28"/>
                <w:szCs w:val="20"/>
              </w:rPr>
            </w:pPr>
          </w:p>
        </w:tc>
        <w:tc>
          <w:tcPr>
            <w:tcW w:w="1137" w:type="dxa"/>
            <w:noWrap w:val="0"/>
            <w:vAlign w:val="center"/>
          </w:tcPr>
          <w:p>
            <w:pPr>
              <w:spacing w:line="400" w:lineRule="exact"/>
              <w:jc w:val="center"/>
              <w:rPr>
                <w:rFonts w:ascii="仿宋" w:hAnsi="仿宋" w:eastAsia="仿宋"/>
                <w:b/>
                <w:color w:val="000000"/>
                <w:kern w:val="0"/>
                <w:sz w:val="28"/>
                <w:szCs w:val="20"/>
              </w:rPr>
            </w:pPr>
          </w:p>
        </w:tc>
        <w:tc>
          <w:tcPr>
            <w:tcW w:w="4388" w:type="dxa"/>
            <w:noWrap w:val="0"/>
            <w:vAlign w:val="center"/>
          </w:tcPr>
          <w:p>
            <w:pPr>
              <w:spacing w:line="400" w:lineRule="exact"/>
              <w:jc w:val="left"/>
              <w:rPr>
                <w:rFonts w:ascii="仿宋" w:hAnsi="仿宋" w:eastAsia="仿宋"/>
                <w:b/>
                <w:color w:val="000000"/>
                <w:kern w:val="0"/>
                <w:sz w:val="24"/>
                <w:szCs w:val="18"/>
              </w:rPr>
            </w:pPr>
            <w:r>
              <w:rPr>
                <w:rFonts w:hint="eastAsia" w:ascii="仿宋" w:hAnsi="仿宋" w:eastAsia="仿宋"/>
                <w:b/>
                <w:color w:val="000000"/>
                <w:kern w:val="0"/>
                <w:sz w:val="24"/>
                <w:szCs w:val="18"/>
              </w:rPr>
              <w:t>签字：</w:t>
            </w:r>
          </w:p>
        </w:tc>
      </w:tr>
    </w:tbl>
    <w:p>
      <w:pPr>
        <w:widowControl/>
        <w:ind w:firstLine="440" w:firstLineChars="200"/>
        <w:jc w:val="left"/>
        <w:rPr>
          <w:rFonts w:hint="eastAsia" w:ascii="仿宋" w:hAnsi="仿宋" w:eastAsia="仿宋" w:cs="仿宋"/>
          <w:sz w:val="22"/>
          <w:szCs w:val="22"/>
        </w:rPr>
      </w:pPr>
    </w:p>
    <w:p>
      <w:pPr>
        <w:widowControl/>
        <w:jc w:val="left"/>
        <w:rPr>
          <w:rFonts w:hint="eastAsia" w:ascii="仿宋" w:hAnsi="仿宋" w:eastAsia="仿宋" w:cs="仿宋"/>
          <w:sz w:val="18"/>
          <w:szCs w:val="18"/>
        </w:rPr>
      </w:pPr>
      <w:r>
        <w:rPr>
          <w:rFonts w:hint="eastAsia" w:ascii="仿宋" w:hAnsi="仿宋" w:eastAsia="仿宋" w:cs="仿宋"/>
          <w:sz w:val="22"/>
          <w:szCs w:val="22"/>
        </w:rPr>
        <w:t>注：应完整填写产品的品牌和型号或项目内容。所有报价均用人民币表示，单项报价不得超过单价限价。运输、安装、调试、检验、培训、调换、税金和保险等费用以及采购文件规定的其他费用均应包含在报价中。</w:t>
      </w:r>
    </w:p>
    <w:p>
      <w:pPr>
        <w:adjustRightInd w:val="0"/>
        <w:jc w:val="left"/>
        <w:rPr>
          <w:rFonts w:ascii="仿宋" w:hAnsi="仿宋" w:eastAsia="仿宋"/>
          <w:color w:val="000000"/>
          <w:kern w:val="0"/>
          <w:sz w:val="16"/>
          <w:szCs w:val="16"/>
        </w:rPr>
      </w:pPr>
    </w:p>
    <w:p>
      <w:pPr>
        <w:adjustRightInd w:val="0"/>
        <w:jc w:val="left"/>
        <w:rPr>
          <w:rFonts w:hint="eastAsia" w:ascii="仿宋" w:hAnsi="仿宋" w:eastAsia="仿宋"/>
          <w:color w:val="000000"/>
          <w:kern w:val="0"/>
          <w:sz w:val="24"/>
        </w:rPr>
      </w:pPr>
    </w:p>
    <w:p>
      <w:pPr>
        <w:adjustRightInd w:val="0"/>
        <w:jc w:val="left"/>
        <w:rPr>
          <w:rFonts w:hint="eastAsia" w:ascii="仿宋" w:hAnsi="仿宋" w:eastAsia="仿宋"/>
          <w:color w:val="000000"/>
          <w:kern w:val="0"/>
          <w:sz w:val="24"/>
        </w:rPr>
      </w:pPr>
    </w:p>
    <w:p>
      <w:pPr>
        <w:adjustRightInd w:val="0"/>
        <w:jc w:val="left"/>
        <w:rPr>
          <w:rFonts w:hint="eastAsia" w:ascii="仿宋" w:hAnsi="仿宋" w:eastAsia="仿宋"/>
          <w:b/>
          <w:bCs/>
          <w:sz w:val="22"/>
          <w:szCs w:val="28"/>
        </w:rPr>
      </w:pPr>
      <w:r>
        <w:rPr>
          <w:rFonts w:hint="eastAsia" w:ascii="仿宋" w:hAnsi="仿宋" w:eastAsia="仿宋"/>
          <w:b/>
          <w:bCs/>
          <w:color w:val="000000"/>
          <w:kern w:val="0"/>
          <w:sz w:val="28"/>
          <w:szCs w:val="28"/>
        </w:rPr>
        <w:t>供应商名称 （盖章）：</w:t>
      </w:r>
    </w:p>
    <w:p>
      <w:pPr>
        <w:keepNext/>
        <w:keepLines/>
        <w:spacing w:before="260" w:after="260" w:line="480" w:lineRule="exact"/>
        <w:outlineLvl w:val="1"/>
        <w:rPr>
          <w:rFonts w:ascii="仿宋" w:hAnsi="仿宋" w:eastAsia="仿宋"/>
          <w:b/>
          <w:kern w:val="0"/>
          <w:sz w:val="32"/>
          <w:szCs w:val="32"/>
        </w:rPr>
        <w:sectPr>
          <w:pgSz w:w="16838" w:h="11906" w:orient="landscape"/>
          <w:pgMar w:top="720" w:right="720" w:bottom="720" w:left="720" w:header="851" w:footer="992" w:gutter="0"/>
          <w:cols w:space="720" w:num="1"/>
          <w:docGrid w:type="lines" w:linePitch="312" w:charSpace="0"/>
        </w:sect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三、法定代表人授权委托书</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委托人：</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地址：</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法定代表人：</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委托代理人姓名：</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委托代理人职务：</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委托代理人身份证号：</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委托人现委托上列受委托人为我公司代理人，以本公司的名义参加</w:t>
      </w:r>
      <w:r>
        <w:rPr>
          <w:rFonts w:hint="eastAsia" w:ascii="仿宋" w:hAnsi="仿宋" w:eastAsia="仿宋" w:cs="仿宋"/>
          <w:sz w:val="24"/>
          <w:u w:val="single"/>
        </w:rPr>
        <w:t xml:space="preserve">     </w:t>
      </w:r>
      <w:r>
        <w:rPr>
          <w:rFonts w:hint="eastAsia" w:ascii="仿宋" w:hAnsi="仿宋" w:eastAsia="仿宋" w:cs="仿宋"/>
          <w:sz w:val="24"/>
        </w:rPr>
        <w:t>竞选的相关活动，该受委托人在竞选、合同谈判、合同签订、履行过程中所签署的一切文件及处理与之有关的一切事务，本委托人均予以承认，并由本委托人承担全部法律责任。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委托期限：自本授权委托书签署之日起至本授权委托书书面终止日为止。</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受委托代理人无转委托权。</w:t>
      </w:r>
    </w:p>
    <w:p>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特此委托！（附：</w:t>
      </w:r>
      <w:r>
        <w:rPr>
          <w:rFonts w:hint="eastAsia" w:ascii="仿宋" w:hAnsi="仿宋" w:eastAsia="仿宋" w:cs="仿宋"/>
          <w:sz w:val="24"/>
          <w:lang w:eastAsia="zh-CN"/>
        </w:rPr>
        <w:t>法人和</w:t>
      </w:r>
      <w:r>
        <w:rPr>
          <w:rFonts w:hint="eastAsia" w:ascii="仿宋" w:hAnsi="仿宋" w:eastAsia="仿宋" w:cs="仿宋"/>
          <w:sz w:val="24"/>
        </w:rPr>
        <w:t>委托代理人身份证复印件并盖章）</w:t>
      </w:r>
    </w:p>
    <w:p>
      <w:pPr>
        <w:snapToGrid w:val="0"/>
        <w:spacing w:line="540" w:lineRule="exact"/>
        <w:ind w:firstLine="480" w:firstLineChars="20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 xml:space="preserve">委托人：           （盖章）      </w:t>
      </w:r>
    </w:p>
    <w:p>
      <w:pPr>
        <w:snapToGrid w:val="0"/>
        <w:spacing w:line="540" w:lineRule="exact"/>
        <w:ind w:firstLine="28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委托代理人：       （签名）</w:t>
      </w:r>
    </w:p>
    <w:p>
      <w:pPr>
        <w:snapToGrid w:val="0"/>
        <w:spacing w:line="540" w:lineRule="exact"/>
        <w:ind w:firstLine="28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 xml:space="preserve">法定代表人：       （签名）      </w:t>
      </w:r>
    </w:p>
    <w:p>
      <w:pPr>
        <w:snapToGrid w:val="0"/>
        <w:spacing w:line="540" w:lineRule="exact"/>
        <w:ind w:firstLine="705"/>
        <w:jc w:val="right"/>
        <w:rPr>
          <w:rFonts w:hint="eastAsia" w:ascii="仿宋" w:hAnsi="仿宋" w:eastAsia="仿宋" w:cs="仿宋"/>
          <w:sz w:val="24"/>
        </w:rPr>
      </w:pPr>
    </w:p>
    <w:p>
      <w:pPr>
        <w:snapToGrid w:val="0"/>
        <w:spacing w:line="540" w:lineRule="exact"/>
        <w:ind w:right="480" w:firstLine="240" w:firstLineChars="100"/>
        <w:jc w:val="left"/>
        <w:rPr>
          <w:rFonts w:hint="eastAsia" w:ascii="仿宋" w:hAnsi="仿宋" w:eastAsia="仿宋" w:cs="仿宋"/>
          <w:sz w:val="24"/>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4"/>
        <w:jc w:val="center"/>
        <w:outlineLvl w:val="1"/>
        <w:rPr>
          <w:rFonts w:hint="eastAsia" w:ascii="仿宋" w:hAnsi="仿宋" w:eastAsia="仿宋" w:cs="仿宋"/>
          <w:b/>
          <w:sz w:val="24"/>
        </w:rPr>
      </w:pPr>
      <w:r>
        <w:rPr>
          <w:rFonts w:hint="eastAsia" w:ascii="仿宋" w:hAnsi="仿宋" w:eastAsia="仿宋" w:cs="仿宋"/>
          <w:b/>
          <w:color w:val="000000"/>
          <w:kern w:val="0"/>
          <w:sz w:val="32"/>
          <w:szCs w:val="32"/>
        </w:rPr>
        <w:t>四、承诺函</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lang w:eastAsia="zh-CN"/>
        </w:rPr>
        <w:t>隆昌市人民医院</w:t>
      </w:r>
      <w:r>
        <w:rPr>
          <w:rFonts w:hint="eastAsia" w:ascii="仿宋" w:hAnsi="仿宋" w:eastAsia="仿宋" w:cs="仿宋"/>
          <w:sz w:val="24"/>
        </w:rPr>
        <w:t>医院：</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我单位作为本次采购项目的供应商，根据采购文件要求，现郑重承诺如下：</w:t>
      </w:r>
    </w:p>
    <w:p>
      <w:pPr>
        <w:widowControl/>
        <w:numPr>
          <w:ilvl w:val="0"/>
          <w:numId w:val="5"/>
        </w:numPr>
        <w:spacing w:line="360" w:lineRule="auto"/>
        <w:jc w:val="left"/>
        <w:outlineLvl w:val="1"/>
        <w:rPr>
          <w:rFonts w:hint="eastAsia" w:ascii="仿宋" w:hAnsi="仿宋" w:eastAsia="仿宋" w:cs="仿宋"/>
          <w:sz w:val="24"/>
        </w:rPr>
      </w:pPr>
      <w:r>
        <w:rPr>
          <w:rFonts w:hint="eastAsia" w:ascii="仿宋" w:hAnsi="仿宋" w:eastAsia="仿宋" w:cs="仿宋"/>
          <w:sz w:val="24"/>
        </w:rPr>
        <w:t>具备参加本项目规定的以下条件：</w:t>
      </w:r>
    </w:p>
    <w:p>
      <w:pPr>
        <w:spacing w:line="360" w:lineRule="auto"/>
        <w:jc w:val="left"/>
        <w:rPr>
          <w:rFonts w:hint="eastAsia" w:ascii="仿宋" w:hAnsi="仿宋" w:eastAsia="仿宋" w:cs="仿宋"/>
          <w:sz w:val="24"/>
        </w:rPr>
      </w:pPr>
      <w:r>
        <w:rPr>
          <w:rFonts w:hint="eastAsia" w:ascii="仿宋" w:hAnsi="仿宋" w:eastAsia="仿宋" w:cs="仿宋"/>
          <w:sz w:val="24"/>
        </w:rPr>
        <w:t>（一）在中华人民共和国境内注册，具有独立法人资格；</w:t>
      </w:r>
    </w:p>
    <w:p>
      <w:pPr>
        <w:spacing w:line="360" w:lineRule="auto"/>
        <w:jc w:val="left"/>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pacing w:line="360" w:lineRule="auto"/>
        <w:jc w:val="left"/>
        <w:rPr>
          <w:rFonts w:hint="eastAsia" w:ascii="仿宋" w:hAnsi="仿宋" w:eastAsia="仿宋" w:cs="仿宋"/>
          <w:sz w:val="24"/>
        </w:rPr>
      </w:pPr>
      <w:r>
        <w:rPr>
          <w:rFonts w:hint="eastAsia" w:ascii="仿宋" w:hAnsi="仿宋" w:eastAsia="仿宋" w:cs="仿宋"/>
          <w:sz w:val="24"/>
        </w:rPr>
        <w:t>（三）具备履行合同所必需的设备和专业技术能力；</w:t>
      </w:r>
    </w:p>
    <w:p>
      <w:pPr>
        <w:spacing w:line="360" w:lineRule="auto"/>
        <w:jc w:val="left"/>
        <w:rPr>
          <w:rFonts w:hint="eastAsia" w:ascii="仿宋" w:hAnsi="仿宋" w:eastAsia="仿宋" w:cs="仿宋"/>
          <w:sz w:val="24"/>
        </w:rPr>
      </w:pPr>
      <w:r>
        <w:rPr>
          <w:rFonts w:hint="eastAsia" w:ascii="仿宋" w:hAnsi="仿宋" w:eastAsia="仿宋" w:cs="仿宋"/>
          <w:sz w:val="24"/>
        </w:rPr>
        <w:t>（四）参加采购活动前三年内，在经营活动中没有重大违法记录；</w:t>
      </w:r>
    </w:p>
    <w:p>
      <w:pPr>
        <w:spacing w:line="360" w:lineRule="auto"/>
        <w:jc w:val="left"/>
        <w:rPr>
          <w:rFonts w:hint="eastAsia" w:ascii="仿宋" w:hAnsi="仿宋" w:eastAsia="仿宋" w:cs="仿宋"/>
          <w:sz w:val="24"/>
        </w:rPr>
      </w:pPr>
      <w:r>
        <w:rPr>
          <w:rFonts w:hint="eastAsia" w:ascii="仿宋" w:hAnsi="仿宋" w:eastAsia="仿宋" w:cs="仿宋"/>
          <w:sz w:val="24"/>
        </w:rPr>
        <w:t>（五）本项目规定的其他要求。</w:t>
      </w:r>
    </w:p>
    <w:p>
      <w:pPr>
        <w:spacing w:line="360" w:lineRule="auto"/>
        <w:jc w:val="left"/>
        <w:rPr>
          <w:rFonts w:hint="eastAsia" w:ascii="仿宋" w:hAnsi="仿宋" w:eastAsia="仿宋" w:cs="仿宋"/>
          <w:sz w:val="24"/>
        </w:rPr>
      </w:pPr>
      <w:r>
        <w:rPr>
          <w:rFonts w:hint="eastAsia" w:ascii="仿宋" w:hAnsi="仿宋" w:eastAsia="仿宋" w:cs="仿宋"/>
          <w:sz w:val="24"/>
        </w:rPr>
        <w:t>（六）</w:t>
      </w:r>
      <w:r>
        <w:rPr>
          <w:rFonts w:hint="eastAsia" w:ascii="仿宋" w:hAnsi="仿宋" w:eastAsia="仿宋" w:cs="仿宋"/>
          <w:sz w:val="24"/>
          <w:lang w:val="en-US" w:eastAsia="zh-CN"/>
        </w:rPr>
        <w:t>中标供应商必须严格按照招标文件及投标文件供应货物，否则医院有权拒收货物</w:t>
      </w:r>
      <w:r>
        <w:rPr>
          <w:rFonts w:hint="eastAsia" w:ascii="仿宋" w:hAnsi="仿宋" w:eastAsia="仿宋" w:cs="仿宋"/>
          <w:sz w:val="24"/>
        </w:rPr>
        <w:t>。</w:t>
      </w:r>
    </w:p>
    <w:p>
      <w:pPr>
        <w:pStyle w:val="4"/>
        <w:rPr>
          <w:rFonts w:hint="eastAsia" w:eastAsia="仿宋"/>
          <w:lang w:eastAsia="zh-CN"/>
        </w:rPr>
      </w:pPr>
      <w:r>
        <w:rPr>
          <w:rFonts w:hint="eastAsia" w:ascii="仿宋" w:hAnsi="仿宋" w:eastAsia="仿宋" w:cs="仿宋"/>
          <w:sz w:val="24"/>
          <w:lang w:eastAsia="zh-CN"/>
        </w:rPr>
        <w:t>（七）</w:t>
      </w:r>
      <w:r>
        <w:rPr>
          <w:rFonts w:hint="eastAsia" w:ascii="仿宋" w:hAnsi="仿宋" w:eastAsia="仿宋" w:cs="仿宋"/>
          <w:sz w:val="24"/>
          <w:lang w:val="en-US" w:eastAsia="zh-CN"/>
        </w:rPr>
        <w:t>中标供应商不得无故推延签订合同的时间，否则视为弃标。</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二、参加本次采购活动，不存在与单位负责人为同一人或者存在直接控股、管理关系的其他供应商参与同一合同项下的采购活动的行为。</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三、参加本次采购活动，不存在和其他供应商在同一合同项下的采购项目中，同时委托同一个自然人、同一家庭的人员、同一单位的人员作为代理人的行为。</w:t>
      </w:r>
    </w:p>
    <w:p>
      <w:pPr>
        <w:widowControl/>
        <w:spacing w:line="360" w:lineRule="auto"/>
        <w:jc w:val="left"/>
        <w:outlineLvl w:val="1"/>
        <w:rPr>
          <w:rFonts w:hint="eastAsia" w:ascii="仿宋" w:hAnsi="仿宋" w:eastAsia="仿宋" w:cs="仿宋"/>
          <w:color w:val="00B0F0"/>
          <w:sz w:val="24"/>
        </w:rPr>
      </w:pPr>
      <w:r>
        <w:rPr>
          <w:rFonts w:hint="eastAsia" w:ascii="仿宋" w:hAnsi="仿宋" w:eastAsia="仿宋" w:cs="仿宋"/>
          <w:sz w:val="24"/>
        </w:rPr>
        <w:t>四、</w:t>
      </w:r>
      <w:r>
        <w:rPr>
          <w:rFonts w:hint="eastAsia" w:ascii="仿宋" w:hAnsi="仿宋" w:eastAsia="仿宋" w:cs="仿宋"/>
          <w:color w:val="000000"/>
          <w:sz w:val="24"/>
        </w:rPr>
        <w:t>响应文件中提供的能够给予</w:t>
      </w:r>
      <w:r>
        <w:rPr>
          <w:rFonts w:hint="eastAsia" w:ascii="仿宋" w:hAnsi="仿宋" w:eastAsia="仿宋" w:cs="仿宋"/>
          <w:bCs/>
          <w:color w:val="000000"/>
          <w:sz w:val="24"/>
          <w:lang w:eastAsia="zh-CN"/>
        </w:rPr>
        <w:t>隆昌市人民医院的</w:t>
      </w:r>
      <w:r>
        <w:rPr>
          <w:rFonts w:hint="eastAsia" w:ascii="仿宋" w:hAnsi="仿宋" w:eastAsia="仿宋" w:cs="仿宋"/>
          <w:color w:val="000000"/>
          <w:sz w:val="24"/>
        </w:rPr>
        <w:t>任何材料资料和技术、服务、商务等响应承诺情况都是真实的、有效的、合法的。</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1"/>
        <w:rPr>
          <w:rFonts w:hint="eastAsia" w:ascii="仿宋" w:hAnsi="仿宋" w:eastAsia="仿宋" w:cs="仿宋"/>
          <w:sz w:val="24"/>
        </w:rPr>
      </w:pPr>
    </w:p>
    <w:p>
      <w:pPr>
        <w:widowControl/>
        <w:spacing w:line="360" w:lineRule="auto"/>
        <w:ind w:firstLine="480" w:firstLineChars="200"/>
        <w:jc w:val="left"/>
        <w:outlineLvl w:val="1"/>
        <w:rPr>
          <w:rFonts w:hint="eastAsia" w:ascii="仿宋" w:hAnsi="仿宋" w:eastAsia="仿宋" w:cs="仿宋"/>
          <w:sz w:val="24"/>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 日</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 xml:space="preserve">         </w:t>
      </w:r>
    </w:p>
    <w:p>
      <w:pPr>
        <w:pStyle w:val="4"/>
        <w:rPr>
          <w:rFonts w:hint="eastAsia"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五、供应商应当提供的资格、资质性及其他</w:t>
      </w: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相关材料</w:t>
      </w:r>
    </w:p>
    <w:p>
      <w:pPr>
        <w:pStyle w:val="5"/>
        <w:jc w:val="center"/>
        <w:rPr>
          <w:rFonts w:hint="eastAsia" w:ascii="仿宋" w:hAnsi="仿宋" w:eastAsia="仿宋" w:cs="仿宋"/>
          <w:sz w:val="32"/>
          <w:szCs w:val="32"/>
        </w:rPr>
      </w:pPr>
      <w:r>
        <w:rPr>
          <w:rFonts w:hint="eastAsia" w:ascii="仿宋" w:hAnsi="仿宋" w:eastAsia="仿宋" w:cs="仿宋"/>
          <w:sz w:val="28"/>
          <w:szCs w:val="28"/>
        </w:rPr>
        <w:t>（供应商提供加盖公司鲜章的书面证明材料）</w:t>
      </w:r>
    </w:p>
    <w:p>
      <w:pPr>
        <w:pStyle w:val="4"/>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10"/>
        <w:ind w:firstLine="320"/>
        <w:rPr>
          <w:rFonts w:hint="eastAsia" w:ascii="仿宋" w:hAnsi="仿宋" w:eastAsia="仿宋" w:cs="仿宋"/>
          <w:sz w:val="32"/>
          <w:szCs w:val="32"/>
        </w:rPr>
      </w:pPr>
    </w:p>
    <w:p>
      <w:pPr>
        <w:pStyle w:val="4"/>
        <w:jc w:val="center"/>
        <w:outlineLvl w:val="1"/>
        <w:rPr>
          <w:rFonts w:hint="eastAsia" w:ascii="仿宋" w:hAnsi="仿宋" w:eastAsia="仿宋" w:cs="仿宋"/>
          <w:b/>
          <w:color w:val="000000"/>
          <w:kern w:val="0"/>
          <w:sz w:val="32"/>
          <w:szCs w:val="32"/>
        </w:r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六、技术/服务应答表</w:t>
      </w:r>
    </w:p>
    <w:tbl>
      <w:tblPr>
        <w:tblStyle w:val="12"/>
        <w:tblW w:w="5829" w:type="pct"/>
        <w:tblInd w:w="-630" w:type="dxa"/>
        <w:tblLayout w:type="fixed"/>
        <w:tblCellMar>
          <w:top w:w="0" w:type="dxa"/>
          <w:left w:w="108" w:type="dxa"/>
          <w:bottom w:w="0" w:type="dxa"/>
          <w:right w:w="108" w:type="dxa"/>
        </w:tblCellMar>
      </w:tblPr>
      <w:tblGrid>
        <w:gridCol w:w="1083"/>
        <w:gridCol w:w="1736"/>
        <w:gridCol w:w="2401"/>
        <w:gridCol w:w="2075"/>
        <w:gridCol w:w="2633"/>
      </w:tblGrid>
      <w:tr>
        <w:tblPrEx>
          <w:tblCellMar>
            <w:top w:w="0" w:type="dxa"/>
            <w:left w:w="108" w:type="dxa"/>
            <w:bottom w:w="0" w:type="dxa"/>
            <w:right w:w="108" w:type="dxa"/>
          </w:tblCellMar>
        </w:tblPrEx>
        <w:trPr>
          <w:trHeight w:val="794" w:hRule="atLeast"/>
        </w:trPr>
        <w:tc>
          <w:tcPr>
            <w:tcW w:w="546"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采购文件</w:t>
            </w:r>
          </w:p>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参数序号</w:t>
            </w:r>
          </w:p>
        </w:tc>
        <w:tc>
          <w:tcPr>
            <w:tcW w:w="874"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采购文件技术参数要求</w:t>
            </w:r>
          </w:p>
        </w:tc>
        <w:tc>
          <w:tcPr>
            <w:tcW w:w="120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竞选产品技术参数</w:t>
            </w:r>
          </w:p>
        </w:tc>
        <w:tc>
          <w:tcPr>
            <w:tcW w:w="104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r>
              <w:rPr>
                <w:rFonts w:hint="eastAsia" w:ascii="仿宋" w:hAnsi="仿宋" w:eastAsia="仿宋" w:cs="仿宋"/>
                <w:b/>
                <w:bCs/>
                <w:sz w:val="24"/>
              </w:rPr>
              <w:t>偏离情况</w:t>
            </w:r>
          </w:p>
        </w:tc>
        <w:tc>
          <w:tcPr>
            <w:tcW w:w="1325" w:type="pct"/>
            <w:tcBorders>
              <w:top w:val="single" w:color="auto" w:sz="4" w:space="0"/>
              <w:left w:val="nil"/>
              <w:bottom w:val="single" w:color="auto" w:sz="4" w:space="0"/>
              <w:right w:val="single" w:color="auto" w:sz="4" w:space="0"/>
            </w:tcBorders>
            <w:noWrap w:val="0"/>
            <w:vAlign w:val="center"/>
          </w:tcPr>
          <w:p>
            <w:pPr>
              <w:pStyle w:val="5"/>
              <w:ind w:left="0" w:leftChars="0"/>
              <w:jc w:val="center"/>
              <w:rPr>
                <w:rFonts w:hint="eastAsia" w:ascii="仿宋" w:hAnsi="仿宋" w:eastAsia="仿宋" w:cs="仿宋"/>
                <w:b/>
                <w:sz w:val="24"/>
              </w:rPr>
            </w:pPr>
            <w:r>
              <w:rPr>
                <w:rFonts w:hint="eastAsia" w:ascii="仿宋" w:hAnsi="仿宋" w:eastAsia="仿宋" w:cs="仿宋"/>
                <w:b/>
                <w:sz w:val="24"/>
                <w:lang w:val="en-US"/>
              </w:rPr>
              <w:t>参选文件参数</w:t>
            </w:r>
            <w:r>
              <w:rPr>
                <w:rFonts w:hint="eastAsia" w:ascii="仿宋" w:hAnsi="仿宋" w:eastAsia="仿宋" w:cs="仿宋"/>
                <w:b/>
                <w:sz w:val="24"/>
              </w:rPr>
              <w:t>对应页码</w:t>
            </w:r>
          </w:p>
          <w:p>
            <w:pPr>
              <w:pStyle w:val="5"/>
              <w:ind w:left="0" w:leftChars="0"/>
              <w:jc w:val="center"/>
              <w:rPr>
                <w:rFonts w:hint="eastAsia" w:ascii="仿宋" w:hAnsi="仿宋" w:eastAsia="仿宋" w:cs="仿宋"/>
                <w:b/>
                <w:sz w:val="24"/>
              </w:rPr>
            </w:pPr>
            <w:r>
              <w:rPr>
                <w:rFonts w:hint="eastAsia" w:ascii="仿宋" w:hAnsi="仿宋" w:eastAsia="仿宋" w:cs="仿宋"/>
                <w:b/>
                <w:sz w:val="22"/>
                <w:szCs w:val="22"/>
              </w:rPr>
              <w:t>（并于对应页码进行勾画标注）</w:t>
            </w:r>
          </w:p>
        </w:tc>
      </w:tr>
      <w:tr>
        <w:tblPrEx>
          <w:tblCellMar>
            <w:top w:w="0" w:type="dxa"/>
            <w:left w:w="108" w:type="dxa"/>
            <w:bottom w:w="0" w:type="dxa"/>
            <w:right w:w="108" w:type="dxa"/>
          </w:tblCellMar>
        </w:tblPrEx>
        <w:trPr>
          <w:trHeight w:val="645" w:hRule="atLeast"/>
        </w:trPr>
        <w:tc>
          <w:tcPr>
            <w:tcW w:w="546"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rPr>
            </w:pPr>
          </w:p>
        </w:tc>
        <w:tc>
          <w:tcPr>
            <w:tcW w:w="874"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kern w:val="0"/>
                <w:sz w:val="24"/>
              </w:rPr>
              <w:t>XX</w:t>
            </w:r>
          </w:p>
        </w:tc>
        <w:tc>
          <w:tcPr>
            <w:tcW w:w="120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044"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325"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r>
      <w:tr>
        <w:tblPrEx>
          <w:tblCellMar>
            <w:top w:w="0" w:type="dxa"/>
            <w:left w:w="108" w:type="dxa"/>
            <w:bottom w:w="0" w:type="dxa"/>
            <w:right w:w="108" w:type="dxa"/>
          </w:tblCellMar>
        </w:tblPrEx>
        <w:trPr>
          <w:trHeight w:val="645" w:hRule="atLeast"/>
        </w:trPr>
        <w:tc>
          <w:tcPr>
            <w:tcW w:w="546"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rPr>
            </w:pPr>
          </w:p>
        </w:tc>
        <w:tc>
          <w:tcPr>
            <w:tcW w:w="874"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20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044"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325"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r>
      <w:tr>
        <w:tblPrEx>
          <w:tblCellMar>
            <w:top w:w="0" w:type="dxa"/>
            <w:left w:w="108" w:type="dxa"/>
            <w:bottom w:w="0" w:type="dxa"/>
            <w:right w:w="108" w:type="dxa"/>
          </w:tblCellMar>
        </w:tblPrEx>
        <w:trPr>
          <w:trHeight w:val="645" w:hRule="atLeast"/>
        </w:trPr>
        <w:tc>
          <w:tcPr>
            <w:tcW w:w="546"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rPr>
            </w:pPr>
          </w:p>
        </w:tc>
        <w:tc>
          <w:tcPr>
            <w:tcW w:w="874" w:type="pct"/>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rPr>
            </w:pPr>
            <w:r>
              <w:rPr>
                <w:rFonts w:hint="eastAsia" w:ascii="仿宋" w:hAnsi="仿宋" w:eastAsia="仿宋" w:cs="仿宋"/>
                <w:kern w:val="0"/>
                <w:szCs w:val="21"/>
              </w:rPr>
              <w:t>…</w:t>
            </w:r>
          </w:p>
        </w:tc>
        <w:tc>
          <w:tcPr>
            <w:tcW w:w="120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w:t>
            </w:r>
          </w:p>
        </w:tc>
        <w:tc>
          <w:tcPr>
            <w:tcW w:w="1044"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325"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w:t>
            </w:r>
          </w:p>
        </w:tc>
      </w:tr>
    </w:tbl>
    <w:p>
      <w:pPr>
        <w:spacing w:line="400" w:lineRule="exact"/>
        <w:rPr>
          <w:rFonts w:hint="eastAsia" w:ascii="仿宋" w:hAnsi="仿宋" w:eastAsia="仿宋" w:cs="仿宋"/>
          <w:color w:val="000000"/>
          <w:kern w:val="0"/>
          <w:sz w:val="24"/>
        </w:rPr>
      </w:pPr>
      <w:r>
        <w:rPr>
          <w:rFonts w:hint="eastAsia" w:ascii="仿宋" w:hAnsi="仿宋" w:eastAsia="仿宋" w:cs="仿宋"/>
          <w:b/>
          <w:bCs/>
          <w:sz w:val="24"/>
        </w:rPr>
        <w:t>注：供应商必须根据竞选文件要求据实逐条填写，不得虚假响应，虚假响应的，其响应文件无效并按规定追究其相关责任。</w:t>
      </w:r>
      <w:r>
        <w:rPr>
          <w:rFonts w:hint="eastAsia" w:ascii="仿宋" w:hAnsi="仿宋" w:eastAsia="仿宋" w:cs="仿宋"/>
          <w:bCs/>
          <w:sz w:val="24"/>
        </w:rPr>
        <w:t>需提供</w:t>
      </w:r>
      <w:r>
        <w:rPr>
          <w:rFonts w:hint="eastAsia" w:ascii="仿宋" w:hAnsi="仿宋" w:eastAsia="仿宋" w:cs="仿宋"/>
          <w:color w:val="000000"/>
          <w:kern w:val="0"/>
          <w:sz w:val="24"/>
        </w:rPr>
        <w:t>竞选产品技术参数佐证材料，包括但不仅限于：</w:t>
      </w:r>
      <w:r>
        <w:rPr>
          <w:rFonts w:hint="eastAsia" w:ascii="仿宋" w:hAnsi="仿宋" w:eastAsia="仿宋" w:cs="仿宋"/>
          <w:b/>
          <w:bCs/>
          <w:color w:val="FF0000"/>
          <w:kern w:val="0"/>
          <w:sz w:val="24"/>
        </w:rPr>
        <w:t>产品合格证（或</w:t>
      </w:r>
      <w:r>
        <w:rPr>
          <w:rFonts w:hint="eastAsia" w:ascii="仿宋" w:hAnsi="仿宋" w:eastAsia="仿宋" w:cs="仿宋"/>
          <w:b/>
          <w:bCs/>
          <w:color w:val="FF0000"/>
          <w:kern w:val="0"/>
          <w:sz w:val="24"/>
          <w:lang w:eastAsia="zh-CN"/>
        </w:rPr>
        <w:t>检</w:t>
      </w:r>
      <w:r>
        <w:rPr>
          <w:rFonts w:hint="eastAsia" w:ascii="仿宋" w:hAnsi="仿宋" w:eastAsia="仿宋" w:cs="仿宋"/>
          <w:b/>
          <w:bCs/>
          <w:color w:val="FF0000"/>
          <w:kern w:val="0"/>
          <w:sz w:val="24"/>
        </w:rPr>
        <w:t>验报告单）、技术白皮书，有厂家盖章的产品说明书、彩页资料或国家检测机构出具的检测报告，医疗器械注册证等</w:t>
      </w:r>
      <w:r>
        <w:rPr>
          <w:rFonts w:hint="eastAsia" w:ascii="仿宋" w:hAnsi="仿宋" w:eastAsia="仿宋" w:cs="仿宋"/>
          <w:color w:val="000000"/>
          <w:kern w:val="0"/>
          <w:sz w:val="24"/>
        </w:rPr>
        <w:t>。</w:t>
      </w:r>
    </w:p>
    <w:p>
      <w:pPr>
        <w:pStyle w:val="4"/>
        <w:rPr>
          <w:rFonts w:hint="eastAsia" w:ascii="仿宋" w:hAnsi="仿宋" w:eastAsia="仿宋" w:cs="仿宋"/>
          <w:sz w:val="32"/>
          <w:szCs w:val="32"/>
        </w:rPr>
      </w:pPr>
    </w:p>
    <w:p>
      <w:pPr>
        <w:jc w:val="left"/>
        <w:rPr>
          <w:rFonts w:hint="eastAsia" w:ascii="仿宋" w:hAnsi="仿宋" w:eastAsia="仿宋" w:cs="仿宋"/>
          <w:sz w:val="32"/>
          <w:szCs w:val="32"/>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 日</w:t>
      </w: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sectPr>
          <w:pgSz w:w="11906" w:h="16838"/>
          <w:pgMar w:top="1440" w:right="1803" w:bottom="1440" w:left="1803" w:header="851" w:footer="992" w:gutter="0"/>
          <w:cols w:space="720" w:num="1"/>
          <w:docGrid w:type="lines" w:linePitch="327" w:charSpace="0"/>
        </w:sect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七、商务要求应答表</w:t>
      </w:r>
    </w:p>
    <w:p>
      <w:pPr>
        <w:snapToGrid w:val="0"/>
        <w:spacing w:line="360" w:lineRule="auto"/>
        <w:ind w:firstLine="369"/>
        <w:jc w:val="left"/>
        <w:rPr>
          <w:rFonts w:hint="eastAsia" w:ascii="仿宋" w:hAnsi="仿宋" w:eastAsia="仿宋" w:cs="仿宋"/>
          <w:b/>
        </w:rPr>
      </w:pPr>
    </w:p>
    <w:tbl>
      <w:tblPr>
        <w:tblStyle w:val="1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27"/>
        <w:gridCol w:w="371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2427"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文件要求</w:t>
            </w:r>
          </w:p>
        </w:tc>
        <w:tc>
          <w:tcPr>
            <w:tcW w:w="371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应答</w:t>
            </w:r>
          </w:p>
        </w:tc>
        <w:tc>
          <w:tcPr>
            <w:tcW w:w="2040"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偏离情况（正/负/无）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1</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ind w:left="317" w:hanging="316" w:hangingChars="132"/>
              <w:jc w:val="center"/>
              <w:rPr>
                <w:rFonts w:hint="eastAsia" w:ascii="仿宋" w:hAnsi="仿宋" w:eastAsia="仿宋" w:cs="仿宋"/>
                <w:sz w:val="24"/>
              </w:rPr>
            </w:pPr>
          </w:p>
        </w:tc>
        <w:tc>
          <w:tcPr>
            <w:tcW w:w="2040" w:type="dxa"/>
            <w:noWrap w:val="0"/>
            <w:vAlign w:val="center"/>
          </w:tcPr>
          <w:p>
            <w:pPr>
              <w:spacing w:line="400" w:lineRule="exact"/>
              <w:ind w:left="317" w:hanging="316" w:hangingChars="132"/>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2</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3</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bl>
    <w:p>
      <w:pPr>
        <w:spacing w:line="400" w:lineRule="exact"/>
        <w:ind w:left="602" w:leftChars="57" w:right="481" w:rightChars="229" w:hanging="482" w:hangingChars="200"/>
        <w:rPr>
          <w:rFonts w:hint="eastAsia" w:ascii="仿宋" w:hAnsi="仿宋" w:eastAsia="仿宋" w:cs="仿宋"/>
          <w:b/>
          <w:bCs/>
          <w:sz w:val="24"/>
        </w:rPr>
      </w:pPr>
    </w:p>
    <w:p>
      <w:pPr>
        <w:spacing w:line="400" w:lineRule="exact"/>
        <w:ind w:left="600" w:leftChars="171" w:right="481" w:rightChars="229" w:hanging="241" w:hangingChars="100"/>
        <w:rPr>
          <w:rFonts w:hint="eastAsia" w:ascii="仿宋" w:hAnsi="仿宋" w:eastAsia="仿宋" w:cs="仿宋"/>
          <w:b/>
          <w:bCs/>
          <w:sz w:val="24"/>
        </w:rPr>
      </w:pPr>
      <w:r>
        <w:rPr>
          <w:rFonts w:hint="eastAsia" w:ascii="仿宋" w:hAnsi="仿宋" w:eastAsia="仿宋" w:cs="仿宋"/>
          <w:b/>
          <w:bCs/>
          <w:sz w:val="24"/>
        </w:rPr>
        <w:t>注：如与竞选文件的商务要求有偏离(包括正偏离和负偏离)，请将偏离条款逐条应答。如与竞选文件商务要求的所有条款无偏离,则无须在此表中应答，视为默认完全响应和接受竞选文件所有商务要求，供应商不得以未作应答而拒不接受。供应商必须据实填写，不得虚假应答，否则将取消其中标资格。</w:t>
      </w: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pStyle w:val="10"/>
        <w:ind w:firstLine="280"/>
        <w:rPr>
          <w:rFonts w:hint="eastAsia" w:ascii="仿宋" w:hAnsi="仿宋" w:eastAsia="仿宋" w:cs="仿宋"/>
          <w:sz w:val="28"/>
          <w:szCs w:val="28"/>
        </w:rPr>
      </w:pPr>
    </w:p>
    <w:p>
      <w:pPr>
        <w:pStyle w:val="10"/>
        <w:ind w:firstLine="280"/>
        <w:rPr>
          <w:rFonts w:hint="eastAsia" w:ascii="仿宋" w:hAnsi="仿宋" w:eastAsia="仿宋" w:cs="仿宋"/>
          <w:sz w:val="28"/>
          <w:szCs w:val="28"/>
        </w:rPr>
      </w:pPr>
    </w:p>
    <w:p>
      <w:pPr>
        <w:pStyle w:val="10"/>
        <w:ind w:firstLine="280"/>
        <w:rPr>
          <w:rFonts w:hint="eastAsia" w:ascii="仿宋" w:hAnsi="仿宋" w:eastAsia="仿宋" w:cs="仿宋"/>
          <w:sz w:val="28"/>
          <w:szCs w:val="28"/>
        </w:rPr>
      </w:pPr>
    </w:p>
    <w:p>
      <w:pPr>
        <w:pStyle w:val="10"/>
        <w:ind w:firstLine="280"/>
        <w:rPr>
          <w:rFonts w:hint="eastAsia" w:ascii="仿宋" w:hAnsi="仿宋" w:eastAsia="仿宋" w:cs="仿宋"/>
          <w:sz w:val="28"/>
          <w:szCs w:val="28"/>
        </w:rPr>
      </w:pPr>
    </w:p>
    <w:p>
      <w:pPr>
        <w:pStyle w:val="10"/>
        <w:ind w:firstLine="280"/>
        <w:rPr>
          <w:rFonts w:hint="eastAsia" w:ascii="仿宋" w:hAnsi="仿宋" w:eastAsia="仿宋" w:cs="仿宋"/>
          <w:sz w:val="28"/>
          <w:szCs w:val="28"/>
        </w:rPr>
      </w:pPr>
    </w:p>
    <w:p>
      <w:pPr>
        <w:pStyle w:val="10"/>
        <w:ind w:firstLine="280"/>
        <w:rPr>
          <w:rFonts w:hint="eastAsia" w:ascii="仿宋" w:hAnsi="仿宋" w:eastAsia="仿宋" w:cs="仿宋"/>
          <w:sz w:val="28"/>
          <w:szCs w:val="28"/>
        </w:rPr>
      </w:pPr>
    </w:p>
    <w:p>
      <w:pPr>
        <w:pStyle w:val="10"/>
        <w:ind w:firstLine="280"/>
        <w:rPr>
          <w:rFonts w:hint="eastAsia" w:ascii="仿宋" w:hAnsi="仿宋" w:eastAsia="仿宋" w:cs="仿宋"/>
          <w:sz w:val="28"/>
          <w:szCs w:val="28"/>
        </w:rPr>
      </w:pPr>
    </w:p>
    <w:p>
      <w:pPr>
        <w:pStyle w:val="10"/>
        <w:ind w:firstLine="0" w:firstLineChars="0"/>
        <w:rPr>
          <w:rFonts w:hint="eastAsia" w:ascii="仿宋" w:hAnsi="仿宋" w:eastAsia="仿宋" w:cs="仿宋"/>
          <w:sz w:val="28"/>
          <w:szCs w:val="28"/>
        </w:r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八、实施及服务方案</w:t>
      </w:r>
    </w:p>
    <w:p>
      <w:pPr>
        <w:pStyle w:val="4"/>
        <w:jc w:val="center"/>
        <w:rPr>
          <w:rFonts w:hint="eastAsia" w:ascii="仿宋" w:hAnsi="仿宋" w:eastAsia="仿宋" w:cs="仿宋"/>
          <w:sz w:val="28"/>
          <w:szCs w:val="28"/>
        </w:rPr>
      </w:pPr>
      <w:r>
        <w:rPr>
          <w:rFonts w:hint="eastAsia" w:ascii="仿宋" w:hAnsi="仿宋" w:eastAsia="仿宋" w:cs="仿宋"/>
          <w:sz w:val="28"/>
          <w:szCs w:val="28"/>
        </w:rPr>
        <w:t>（详细阐述，包含但不限于计划、方案、服务承诺等）</w:t>
      </w: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10"/>
        <w:ind w:firstLine="210"/>
        <w:rPr>
          <w:rFonts w:hint="eastAsia" w:ascii="仿宋" w:hAnsi="仿宋" w:eastAsia="仿宋" w:cs="仿宋"/>
        </w:rPr>
      </w:pPr>
    </w:p>
    <w:p>
      <w:pPr>
        <w:pStyle w:val="10"/>
        <w:ind w:firstLine="210"/>
        <w:rPr>
          <w:rFonts w:hint="eastAsia" w:ascii="仿宋" w:hAnsi="仿宋" w:eastAsia="仿宋" w:cs="仿宋"/>
        </w:rPr>
      </w:pPr>
    </w:p>
    <w:p>
      <w:pPr>
        <w:pStyle w:val="19"/>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highlight w:val="yellow"/>
          <w:lang w:eastAsia="zh-CN" w:bidi="ar"/>
        </w:rPr>
      </w:pPr>
    </w:p>
    <w:p>
      <w:pPr>
        <w:numPr>
          <w:ilvl w:val="0"/>
          <w:numId w:val="1"/>
        </w:numPr>
        <w:spacing w:line="360" w:lineRule="auto"/>
        <w:jc w:val="center"/>
        <w:outlineLvl w:val="0"/>
        <w:rPr>
          <w:rFonts w:hint="eastAsia" w:ascii="仿宋" w:hAnsi="仿宋" w:eastAsia="仿宋" w:cs="仿宋"/>
          <w:b/>
          <w:bCs/>
          <w:sz w:val="28"/>
          <w:szCs w:val="28"/>
        </w:rPr>
      </w:pPr>
      <w:bookmarkStart w:id="7" w:name="_Toc534"/>
      <w:r>
        <w:rPr>
          <w:rFonts w:hint="eastAsia" w:ascii="仿宋" w:hAnsi="仿宋" w:eastAsia="仿宋" w:cs="仿宋"/>
          <w:b/>
          <w:bCs/>
          <w:sz w:val="28"/>
          <w:szCs w:val="28"/>
        </w:rPr>
        <w:t>合同主要条款</w:t>
      </w:r>
      <w:bookmarkEnd w:id="7"/>
    </w:p>
    <w:p>
      <w:pPr>
        <w:pStyle w:val="4"/>
        <w:spacing w:line="360" w:lineRule="auto"/>
        <w:ind w:firstLine="420"/>
        <w:rPr>
          <w:rFonts w:hint="eastAsia" w:ascii="仿宋" w:hAnsi="仿宋" w:eastAsia="仿宋" w:cs="仿宋"/>
          <w:sz w:val="28"/>
          <w:szCs w:val="28"/>
          <w:lang w:eastAsia="zh-CN"/>
        </w:rPr>
      </w:pPr>
      <w:r>
        <w:rPr>
          <w:rFonts w:hint="eastAsia" w:ascii="仿宋" w:hAnsi="仿宋" w:eastAsia="仿宋" w:cs="仿宋"/>
          <w:sz w:val="28"/>
          <w:szCs w:val="28"/>
        </w:rPr>
        <w:t>请成交供应商于该项目中选公告发出之日3个工作日内将合同word电子版发至电子邮箱：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"https://mail.163.com/js6/javascript:;"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2450494907</w:t>
      </w:r>
      <w:r>
        <w:rPr>
          <w:rFonts w:hint="eastAsia" w:ascii="仿宋" w:hAnsi="仿宋" w:eastAsia="仿宋" w:cs="仿宋"/>
          <w:sz w:val="28"/>
          <w:szCs w:val="28"/>
        </w:rPr>
        <w:t>@</w:t>
      </w:r>
      <w:r>
        <w:rPr>
          <w:rFonts w:hint="eastAsia" w:ascii="仿宋" w:hAnsi="仿宋" w:eastAsia="仿宋" w:cs="仿宋"/>
          <w:sz w:val="28"/>
          <w:szCs w:val="28"/>
          <w:lang w:val="en-US" w:eastAsia="zh-CN"/>
        </w:rPr>
        <w:t>qq</w:t>
      </w:r>
      <w:r>
        <w:rPr>
          <w:rFonts w:hint="eastAsia" w:ascii="仿宋" w:hAnsi="仿宋" w:eastAsia="仿宋" w:cs="仿宋"/>
          <w:sz w:val="28"/>
          <w:szCs w:val="28"/>
        </w:rPr>
        <w:t>.com</w:t>
      </w:r>
      <w:r>
        <w:rPr>
          <w:rFonts w:hint="eastAsia" w:ascii="仿宋" w:hAnsi="仿宋" w:eastAsia="仿宋" w:cs="仿宋"/>
          <w:sz w:val="28"/>
          <w:szCs w:val="28"/>
        </w:rPr>
        <w:fldChar w:fldCharType="end"/>
      </w:r>
    </w:p>
    <w:p>
      <w:pPr>
        <w:pStyle w:val="4"/>
        <w:spacing w:line="360" w:lineRule="auto"/>
        <w:ind w:firstLine="420"/>
        <w:rPr>
          <w:rFonts w:hint="eastAsia" w:ascii="仿宋" w:hAnsi="仿宋" w:eastAsia="仿宋" w:cs="仿宋"/>
          <w:sz w:val="28"/>
          <w:szCs w:val="28"/>
        </w:rPr>
      </w:pPr>
      <w:r>
        <w:rPr>
          <w:rFonts w:hint="eastAsia" w:ascii="仿宋" w:hAnsi="仿宋" w:eastAsia="仿宋" w:cs="仿宋"/>
          <w:sz w:val="28"/>
          <w:szCs w:val="28"/>
        </w:rPr>
        <w:t>邮件名称：公司全称+项目名称合同</w:t>
      </w:r>
    </w:p>
    <w:p>
      <w:pPr>
        <w:pStyle w:val="4"/>
        <w:spacing w:line="360" w:lineRule="auto"/>
        <w:ind w:firstLine="420"/>
        <w:rPr>
          <w:rFonts w:hint="eastAsia" w:ascii="仿宋" w:hAnsi="仿宋" w:eastAsia="仿宋" w:cs="仿宋"/>
          <w:sz w:val="28"/>
          <w:szCs w:val="28"/>
          <w:lang w:val="zh-CN"/>
        </w:rPr>
      </w:pPr>
      <w:r>
        <w:rPr>
          <w:rFonts w:hint="eastAsia" w:ascii="仿宋" w:hAnsi="仿宋" w:eastAsia="仿宋" w:cs="仿宋"/>
          <w:sz w:val="28"/>
          <w:szCs w:val="28"/>
        </w:rPr>
        <w:t>待工作人员通知后，将纸质合同签字盖章（每页加盖鲜章、骑缝章、合同日期由采购人统一填写），交至</w:t>
      </w:r>
      <w:r>
        <w:rPr>
          <w:rFonts w:hint="eastAsia" w:ascii="仿宋" w:hAnsi="仿宋" w:eastAsia="仿宋" w:cs="仿宋"/>
          <w:sz w:val="28"/>
          <w:szCs w:val="28"/>
          <w:lang w:eastAsia="zh-CN"/>
        </w:rPr>
        <w:t>隆昌市</w:t>
      </w:r>
      <w:r>
        <w:rPr>
          <w:rFonts w:hint="eastAsia" w:ascii="仿宋" w:hAnsi="仿宋" w:eastAsia="仿宋" w:cs="仿宋"/>
          <w:sz w:val="28"/>
          <w:szCs w:val="28"/>
        </w:rPr>
        <w:t>人民医院设备科，如为邮寄，地址：</w:t>
      </w:r>
      <w:r>
        <w:rPr>
          <w:rFonts w:hint="eastAsia" w:ascii="仿宋" w:hAnsi="仿宋" w:eastAsia="仿宋" w:cs="仿宋"/>
          <w:sz w:val="28"/>
          <w:szCs w:val="28"/>
          <w:lang w:val="zh-CN"/>
        </w:rPr>
        <w:t>隆昌市康复中路</w:t>
      </w:r>
      <w:r>
        <w:rPr>
          <w:rFonts w:hint="eastAsia" w:ascii="仿宋" w:hAnsi="仿宋" w:eastAsia="仿宋" w:cs="仿宋"/>
          <w:sz w:val="28"/>
          <w:szCs w:val="28"/>
          <w:lang w:val="en-US" w:eastAsia="zh-CN"/>
        </w:rPr>
        <w:t>73号</w:t>
      </w:r>
      <w:r>
        <w:rPr>
          <w:rFonts w:hint="eastAsia" w:ascii="仿宋" w:hAnsi="仿宋" w:eastAsia="仿宋" w:cs="仿宋"/>
          <w:sz w:val="28"/>
          <w:szCs w:val="28"/>
          <w:lang w:val="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94795"/>
    <w:multiLevelType w:val="singleLevel"/>
    <w:tmpl w:val="9E594795"/>
    <w:lvl w:ilvl="0" w:tentative="0">
      <w:start w:val="2"/>
      <w:numFmt w:val="chineseCounting"/>
      <w:suff w:val="nothing"/>
      <w:lvlText w:val="%1、"/>
      <w:lvlJc w:val="left"/>
      <w:rPr>
        <w:rFonts w:hint="eastAsia"/>
      </w:rPr>
    </w:lvl>
  </w:abstractNum>
  <w:abstractNum w:abstractNumId="1">
    <w:nsid w:val="B489CECF"/>
    <w:multiLevelType w:val="singleLevel"/>
    <w:tmpl w:val="B489CECF"/>
    <w:lvl w:ilvl="0" w:tentative="0">
      <w:start w:val="1"/>
      <w:numFmt w:val="chineseCounting"/>
      <w:suff w:val="nothing"/>
      <w:lvlText w:val="%1、"/>
      <w:lvlJc w:val="left"/>
      <w:rPr>
        <w:rFonts w:hint="eastAsia"/>
      </w:rPr>
    </w:lvl>
  </w:abstractNum>
  <w:abstractNum w:abstractNumId="2">
    <w:nsid w:val="FC84B029"/>
    <w:multiLevelType w:val="singleLevel"/>
    <w:tmpl w:val="FC84B029"/>
    <w:lvl w:ilvl="0" w:tentative="0">
      <w:start w:val="1"/>
      <w:numFmt w:val="chineseCounting"/>
      <w:suff w:val="nothing"/>
      <w:lvlText w:val="%1、"/>
      <w:lvlJc w:val="left"/>
      <w:rPr>
        <w:rFonts w:hint="eastAsia"/>
      </w:rPr>
    </w:lvl>
  </w:abstractNum>
  <w:abstractNum w:abstractNumId="3">
    <w:nsid w:val="FD168D02"/>
    <w:multiLevelType w:val="singleLevel"/>
    <w:tmpl w:val="FD168D02"/>
    <w:lvl w:ilvl="0" w:tentative="0">
      <w:start w:val="1"/>
      <w:numFmt w:val="decimal"/>
      <w:lvlText w:val="%1."/>
      <w:lvlJc w:val="left"/>
      <w:pPr>
        <w:ind w:left="425" w:hanging="425"/>
      </w:pPr>
      <w:rPr>
        <w:rFonts w:hint="default"/>
      </w:rPr>
    </w:lvl>
  </w:abstractNum>
  <w:abstractNum w:abstractNumId="4">
    <w:nsid w:val="192D2C58"/>
    <w:multiLevelType w:val="singleLevel"/>
    <w:tmpl w:val="192D2C58"/>
    <w:lvl w:ilvl="0" w:tentative="0">
      <w:start w:val="1"/>
      <w:numFmt w:val="chineseCounting"/>
      <w:suff w:val="space"/>
      <w:lvlText w:val="第%1部分"/>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NjBiYTNmYWNmMWY3ZjIzZjY1MTJlNjc3ODk4MTcifQ=="/>
  </w:docVars>
  <w:rsids>
    <w:rsidRoot w:val="68F14C75"/>
    <w:rsid w:val="000E0CE8"/>
    <w:rsid w:val="003A4DB8"/>
    <w:rsid w:val="00523EB0"/>
    <w:rsid w:val="00891C1A"/>
    <w:rsid w:val="00CF55D1"/>
    <w:rsid w:val="017C22CA"/>
    <w:rsid w:val="01D40018"/>
    <w:rsid w:val="021165A2"/>
    <w:rsid w:val="02182ED7"/>
    <w:rsid w:val="02452B48"/>
    <w:rsid w:val="024E4A19"/>
    <w:rsid w:val="0253470A"/>
    <w:rsid w:val="029D04DB"/>
    <w:rsid w:val="02A07595"/>
    <w:rsid w:val="02B349AE"/>
    <w:rsid w:val="02E84657"/>
    <w:rsid w:val="031D2648"/>
    <w:rsid w:val="032553A0"/>
    <w:rsid w:val="034F3D53"/>
    <w:rsid w:val="03623E68"/>
    <w:rsid w:val="03B24C65"/>
    <w:rsid w:val="03E60726"/>
    <w:rsid w:val="043D3CBF"/>
    <w:rsid w:val="04A24B0E"/>
    <w:rsid w:val="04D11B35"/>
    <w:rsid w:val="0526590B"/>
    <w:rsid w:val="05AA02EA"/>
    <w:rsid w:val="0676641E"/>
    <w:rsid w:val="067B57E2"/>
    <w:rsid w:val="068769AD"/>
    <w:rsid w:val="06AC4712"/>
    <w:rsid w:val="06C509D2"/>
    <w:rsid w:val="06C973FB"/>
    <w:rsid w:val="0711562F"/>
    <w:rsid w:val="071856E5"/>
    <w:rsid w:val="0725231D"/>
    <w:rsid w:val="073A744C"/>
    <w:rsid w:val="076B1CFB"/>
    <w:rsid w:val="078F59E9"/>
    <w:rsid w:val="08190424"/>
    <w:rsid w:val="08202AE5"/>
    <w:rsid w:val="0895194A"/>
    <w:rsid w:val="08B33959"/>
    <w:rsid w:val="08CE42EF"/>
    <w:rsid w:val="091E5277"/>
    <w:rsid w:val="0935141B"/>
    <w:rsid w:val="09477673"/>
    <w:rsid w:val="0963712E"/>
    <w:rsid w:val="0982636D"/>
    <w:rsid w:val="09AD03A9"/>
    <w:rsid w:val="0A24296D"/>
    <w:rsid w:val="0A2E4A30"/>
    <w:rsid w:val="0A570314"/>
    <w:rsid w:val="0AFD2C6A"/>
    <w:rsid w:val="0B3A3EBE"/>
    <w:rsid w:val="0B7619D8"/>
    <w:rsid w:val="0BB42E27"/>
    <w:rsid w:val="0C6805B7"/>
    <w:rsid w:val="0C801633"/>
    <w:rsid w:val="0C863086"/>
    <w:rsid w:val="0C976CD8"/>
    <w:rsid w:val="0CC808CF"/>
    <w:rsid w:val="0D004C93"/>
    <w:rsid w:val="0D0262D6"/>
    <w:rsid w:val="0D411534"/>
    <w:rsid w:val="0D466B4A"/>
    <w:rsid w:val="0D64030E"/>
    <w:rsid w:val="0D9454AB"/>
    <w:rsid w:val="0DBA7E5C"/>
    <w:rsid w:val="0E303356"/>
    <w:rsid w:val="0E6C0832"/>
    <w:rsid w:val="0E797920"/>
    <w:rsid w:val="0E7F6212"/>
    <w:rsid w:val="0EB67D00"/>
    <w:rsid w:val="0ED00E73"/>
    <w:rsid w:val="0EDC552D"/>
    <w:rsid w:val="0EE35B2A"/>
    <w:rsid w:val="0FBC54A8"/>
    <w:rsid w:val="0FC0412D"/>
    <w:rsid w:val="0FF343B8"/>
    <w:rsid w:val="10125409"/>
    <w:rsid w:val="102E1B18"/>
    <w:rsid w:val="1032785A"/>
    <w:rsid w:val="103F5AD3"/>
    <w:rsid w:val="107432FE"/>
    <w:rsid w:val="10EA5A3E"/>
    <w:rsid w:val="10EC2AEB"/>
    <w:rsid w:val="10F1692E"/>
    <w:rsid w:val="11987B90"/>
    <w:rsid w:val="119A56B6"/>
    <w:rsid w:val="120174E4"/>
    <w:rsid w:val="120945EA"/>
    <w:rsid w:val="122569BC"/>
    <w:rsid w:val="122E78D4"/>
    <w:rsid w:val="123E475D"/>
    <w:rsid w:val="127F48AC"/>
    <w:rsid w:val="12F03C33"/>
    <w:rsid w:val="13924656"/>
    <w:rsid w:val="13AC7923"/>
    <w:rsid w:val="13EF0FD9"/>
    <w:rsid w:val="147D3FFF"/>
    <w:rsid w:val="14982B2A"/>
    <w:rsid w:val="14BC1DE8"/>
    <w:rsid w:val="14FB46BE"/>
    <w:rsid w:val="15035321"/>
    <w:rsid w:val="159A4FFF"/>
    <w:rsid w:val="15D36DD7"/>
    <w:rsid w:val="15FD4B8E"/>
    <w:rsid w:val="164E4CC1"/>
    <w:rsid w:val="16511483"/>
    <w:rsid w:val="168C1346"/>
    <w:rsid w:val="16CC60F7"/>
    <w:rsid w:val="17673EE8"/>
    <w:rsid w:val="17906522"/>
    <w:rsid w:val="17A0154D"/>
    <w:rsid w:val="18902DC6"/>
    <w:rsid w:val="19A139B0"/>
    <w:rsid w:val="19B412DF"/>
    <w:rsid w:val="19C808E7"/>
    <w:rsid w:val="1A7704EF"/>
    <w:rsid w:val="1A9F3D3E"/>
    <w:rsid w:val="1AD339E7"/>
    <w:rsid w:val="1B0818E3"/>
    <w:rsid w:val="1B3F107D"/>
    <w:rsid w:val="1B4336BC"/>
    <w:rsid w:val="1B64250E"/>
    <w:rsid w:val="1BAA4748"/>
    <w:rsid w:val="1BB83309"/>
    <w:rsid w:val="1BEB441A"/>
    <w:rsid w:val="1C2D7F8D"/>
    <w:rsid w:val="1C642152"/>
    <w:rsid w:val="1CB6536F"/>
    <w:rsid w:val="1CC8729F"/>
    <w:rsid w:val="1CDD3906"/>
    <w:rsid w:val="1D357C01"/>
    <w:rsid w:val="1D6428F1"/>
    <w:rsid w:val="1D6E79F7"/>
    <w:rsid w:val="1D7F39B2"/>
    <w:rsid w:val="1DD908EE"/>
    <w:rsid w:val="1DFD14A7"/>
    <w:rsid w:val="1E3D7AF5"/>
    <w:rsid w:val="1EBA2EF4"/>
    <w:rsid w:val="1EC04697"/>
    <w:rsid w:val="1EC121B8"/>
    <w:rsid w:val="1EE602AB"/>
    <w:rsid w:val="1EF26B32"/>
    <w:rsid w:val="1F925C1F"/>
    <w:rsid w:val="1FA871F0"/>
    <w:rsid w:val="1FFC76D4"/>
    <w:rsid w:val="2087522B"/>
    <w:rsid w:val="20EC135F"/>
    <w:rsid w:val="222B04BA"/>
    <w:rsid w:val="224A27E1"/>
    <w:rsid w:val="224F741B"/>
    <w:rsid w:val="22603DB2"/>
    <w:rsid w:val="226C09A9"/>
    <w:rsid w:val="22CA56D0"/>
    <w:rsid w:val="22F866E1"/>
    <w:rsid w:val="22FA7FBC"/>
    <w:rsid w:val="23AC6122"/>
    <w:rsid w:val="23B02EA1"/>
    <w:rsid w:val="24065FDF"/>
    <w:rsid w:val="247753E3"/>
    <w:rsid w:val="24AF4B7D"/>
    <w:rsid w:val="25BC57A4"/>
    <w:rsid w:val="25D6438C"/>
    <w:rsid w:val="25F34F3E"/>
    <w:rsid w:val="26307F40"/>
    <w:rsid w:val="268B67EF"/>
    <w:rsid w:val="269E134D"/>
    <w:rsid w:val="26D55386"/>
    <w:rsid w:val="26D62895"/>
    <w:rsid w:val="27230EB1"/>
    <w:rsid w:val="272810DE"/>
    <w:rsid w:val="272E0923"/>
    <w:rsid w:val="274E4CDF"/>
    <w:rsid w:val="27C941A8"/>
    <w:rsid w:val="27F95388"/>
    <w:rsid w:val="28095BFB"/>
    <w:rsid w:val="28BC203F"/>
    <w:rsid w:val="28FD594B"/>
    <w:rsid w:val="2919115F"/>
    <w:rsid w:val="2971177D"/>
    <w:rsid w:val="297C5F7C"/>
    <w:rsid w:val="29826A03"/>
    <w:rsid w:val="29DA08EE"/>
    <w:rsid w:val="2A1726FC"/>
    <w:rsid w:val="2A1F09F7"/>
    <w:rsid w:val="2AB8430C"/>
    <w:rsid w:val="2AFE134E"/>
    <w:rsid w:val="2BC76C50"/>
    <w:rsid w:val="2BD93841"/>
    <w:rsid w:val="2BDF766E"/>
    <w:rsid w:val="2D2F0221"/>
    <w:rsid w:val="2D562951"/>
    <w:rsid w:val="2E4D1D61"/>
    <w:rsid w:val="2E504980"/>
    <w:rsid w:val="2E7550CA"/>
    <w:rsid w:val="2EBD433B"/>
    <w:rsid w:val="2ED43821"/>
    <w:rsid w:val="2F1825FC"/>
    <w:rsid w:val="2F1A353B"/>
    <w:rsid w:val="2F1C5505"/>
    <w:rsid w:val="2F2D3D5D"/>
    <w:rsid w:val="2F3C4087"/>
    <w:rsid w:val="2F5E78CC"/>
    <w:rsid w:val="30026A4C"/>
    <w:rsid w:val="30191A45"/>
    <w:rsid w:val="302D11C7"/>
    <w:rsid w:val="30342110"/>
    <w:rsid w:val="309A4933"/>
    <w:rsid w:val="30D065A7"/>
    <w:rsid w:val="31466869"/>
    <w:rsid w:val="314B20D2"/>
    <w:rsid w:val="316D6CF8"/>
    <w:rsid w:val="31815232"/>
    <w:rsid w:val="31AB491E"/>
    <w:rsid w:val="31CE5FF9"/>
    <w:rsid w:val="32AB107A"/>
    <w:rsid w:val="32AC5E35"/>
    <w:rsid w:val="32DD35BF"/>
    <w:rsid w:val="32F31377"/>
    <w:rsid w:val="33633703"/>
    <w:rsid w:val="33783D81"/>
    <w:rsid w:val="338673F1"/>
    <w:rsid w:val="34177E94"/>
    <w:rsid w:val="34496D9C"/>
    <w:rsid w:val="34B05AFA"/>
    <w:rsid w:val="34D17976"/>
    <w:rsid w:val="34DF14AF"/>
    <w:rsid w:val="34DF653D"/>
    <w:rsid w:val="35352E7D"/>
    <w:rsid w:val="355A448F"/>
    <w:rsid w:val="35616006"/>
    <w:rsid w:val="35E30B2B"/>
    <w:rsid w:val="35E54A6E"/>
    <w:rsid w:val="35E72E8D"/>
    <w:rsid w:val="36275528"/>
    <w:rsid w:val="3635509A"/>
    <w:rsid w:val="36554D1C"/>
    <w:rsid w:val="36941E25"/>
    <w:rsid w:val="36C913E3"/>
    <w:rsid w:val="36EE6C0E"/>
    <w:rsid w:val="37002048"/>
    <w:rsid w:val="37427AD3"/>
    <w:rsid w:val="374B2E2B"/>
    <w:rsid w:val="374E11AC"/>
    <w:rsid w:val="37976D5F"/>
    <w:rsid w:val="37DD15AA"/>
    <w:rsid w:val="381B27FE"/>
    <w:rsid w:val="3829721E"/>
    <w:rsid w:val="38CE318F"/>
    <w:rsid w:val="391026CC"/>
    <w:rsid w:val="396B54AA"/>
    <w:rsid w:val="397835AD"/>
    <w:rsid w:val="397A3554"/>
    <w:rsid w:val="39935919"/>
    <w:rsid w:val="3A1C0AAF"/>
    <w:rsid w:val="3A6F0BDF"/>
    <w:rsid w:val="3A850223"/>
    <w:rsid w:val="3ADB2F6B"/>
    <w:rsid w:val="3B005CDB"/>
    <w:rsid w:val="3B183024"/>
    <w:rsid w:val="3B2C2F74"/>
    <w:rsid w:val="3B581673"/>
    <w:rsid w:val="3B5F02B2"/>
    <w:rsid w:val="3BB0147E"/>
    <w:rsid w:val="3C134272"/>
    <w:rsid w:val="3C7C75E3"/>
    <w:rsid w:val="3CC03974"/>
    <w:rsid w:val="3D0715A3"/>
    <w:rsid w:val="3D54587D"/>
    <w:rsid w:val="3D840E45"/>
    <w:rsid w:val="3D8771EA"/>
    <w:rsid w:val="3DB80AEF"/>
    <w:rsid w:val="3E32091D"/>
    <w:rsid w:val="3E9A4C8C"/>
    <w:rsid w:val="3EB23790"/>
    <w:rsid w:val="3EDD229B"/>
    <w:rsid w:val="3F6E3B5B"/>
    <w:rsid w:val="3F9E2646"/>
    <w:rsid w:val="3FA3550C"/>
    <w:rsid w:val="40086F19"/>
    <w:rsid w:val="406050D8"/>
    <w:rsid w:val="40972C3D"/>
    <w:rsid w:val="40985A3E"/>
    <w:rsid w:val="40A87670"/>
    <w:rsid w:val="410B53D9"/>
    <w:rsid w:val="4154252F"/>
    <w:rsid w:val="41920487"/>
    <w:rsid w:val="42033C10"/>
    <w:rsid w:val="42116E8F"/>
    <w:rsid w:val="4280421C"/>
    <w:rsid w:val="42B74F00"/>
    <w:rsid w:val="43081BD1"/>
    <w:rsid w:val="43671EC8"/>
    <w:rsid w:val="43B12268"/>
    <w:rsid w:val="43DC1099"/>
    <w:rsid w:val="44184095"/>
    <w:rsid w:val="44476729"/>
    <w:rsid w:val="4493498E"/>
    <w:rsid w:val="44BD4C3D"/>
    <w:rsid w:val="44CF0357"/>
    <w:rsid w:val="44D2693A"/>
    <w:rsid w:val="450079AD"/>
    <w:rsid w:val="454C59C8"/>
    <w:rsid w:val="460F771A"/>
    <w:rsid w:val="464109CF"/>
    <w:rsid w:val="46965FC8"/>
    <w:rsid w:val="46CB53EF"/>
    <w:rsid w:val="47722460"/>
    <w:rsid w:val="479559FD"/>
    <w:rsid w:val="47A219A9"/>
    <w:rsid w:val="47E96584"/>
    <w:rsid w:val="480A0199"/>
    <w:rsid w:val="48172F77"/>
    <w:rsid w:val="48622A31"/>
    <w:rsid w:val="48B620CF"/>
    <w:rsid w:val="49013F58"/>
    <w:rsid w:val="494D4223"/>
    <w:rsid w:val="49CA4084"/>
    <w:rsid w:val="4A2E4718"/>
    <w:rsid w:val="4A335FC7"/>
    <w:rsid w:val="4A372D9B"/>
    <w:rsid w:val="4B173225"/>
    <w:rsid w:val="4B3774F7"/>
    <w:rsid w:val="4B482E2F"/>
    <w:rsid w:val="4B552F2F"/>
    <w:rsid w:val="4B904E59"/>
    <w:rsid w:val="4B9E2AE8"/>
    <w:rsid w:val="4BB74194"/>
    <w:rsid w:val="4C0513A3"/>
    <w:rsid w:val="4C0E503A"/>
    <w:rsid w:val="4C285091"/>
    <w:rsid w:val="4C380712"/>
    <w:rsid w:val="4C3C0B3D"/>
    <w:rsid w:val="4C4F261E"/>
    <w:rsid w:val="4CB540C9"/>
    <w:rsid w:val="4CE440EF"/>
    <w:rsid w:val="4D1A3480"/>
    <w:rsid w:val="4D8D71BC"/>
    <w:rsid w:val="4DA4237A"/>
    <w:rsid w:val="4E061402"/>
    <w:rsid w:val="4E844027"/>
    <w:rsid w:val="4E8B738C"/>
    <w:rsid w:val="4F2F4E31"/>
    <w:rsid w:val="4F744081"/>
    <w:rsid w:val="50242014"/>
    <w:rsid w:val="50697A27"/>
    <w:rsid w:val="50D12E4A"/>
    <w:rsid w:val="50F87728"/>
    <w:rsid w:val="51037E7B"/>
    <w:rsid w:val="512E49B1"/>
    <w:rsid w:val="51AA7F32"/>
    <w:rsid w:val="51D37E6A"/>
    <w:rsid w:val="51DE6747"/>
    <w:rsid w:val="51F53C68"/>
    <w:rsid w:val="52F83A38"/>
    <w:rsid w:val="53B86CFB"/>
    <w:rsid w:val="53BB1F13"/>
    <w:rsid w:val="53C8397D"/>
    <w:rsid w:val="54071A30"/>
    <w:rsid w:val="54B576DE"/>
    <w:rsid w:val="555D4A20"/>
    <w:rsid w:val="55AF386D"/>
    <w:rsid w:val="55DA123F"/>
    <w:rsid w:val="5600329D"/>
    <w:rsid w:val="56226FF5"/>
    <w:rsid w:val="562763BA"/>
    <w:rsid w:val="56422C30"/>
    <w:rsid w:val="564F7593"/>
    <w:rsid w:val="565176C2"/>
    <w:rsid w:val="56694DEA"/>
    <w:rsid w:val="567C4958"/>
    <w:rsid w:val="567D5FDA"/>
    <w:rsid w:val="56CB31E9"/>
    <w:rsid w:val="57F25998"/>
    <w:rsid w:val="581754C8"/>
    <w:rsid w:val="589751AA"/>
    <w:rsid w:val="5899308E"/>
    <w:rsid w:val="58C14827"/>
    <w:rsid w:val="5934731A"/>
    <w:rsid w:val="59351195"/>
    <w:rsid w:val="595A2602"/>
    <w:rsid w:val="597C1E81"/>
    <w:rsid w:val="598633F7"/>
    <w:rsid w:val="59A51C6A"/>
    <w:rsid w:val="59B937CD"/>
    <w:rsid w:val="59C15D27"/>
    <w:rsid w:val="59C6588A"/>
    <w:rsid w:val="59F12F67"/>
    <w:rsid w:val="5A8B28CD"/>
    <w:rsid w:val="5AB02E22"/>
    <w:rsid w:val="5B0647F0"/>
    <w:rsid w:val="5B1D02F9"/>
    <w:rsid w:val="5B555777"/>
    <w:rsid w:val="5B6D2AC1"/>
    <w:rsid w:val="5B793214"/>
    <w:rsid w:val="5B83527E"/>
    <w:rsid w:val="5C321615"/>
    <w:rsid w:val="5C441A74"/>
    <w:rsid w:val="5C7B120D"/>
    <w:rsid w:val="5C945DE4"/>
    <w:rsid w:val="5D852344"/>
    <w:rsid w:val="5D910DC9"/>
    <w:rsid w:val="5D9F0F2C"/>
    <w:rsid w:val="5DA56542"/>
    <w:rsid w:val="5DD31BDF"/>
    <w:rsid w:val="5DE52DE2"/>
    <w:rsid w:val="5E3F7FED"/>
    <w:rsid w:val="5E6E438F"/>
    <w:rsid w:val="5E8E497B"/>
    <w:rsid w:val="5ECE21AB"/>
    <w:rsid w:val="5ED50A66"/>
    <w:rsid w:val="5EDF277D"/>
    <w:rsid w:val="5F2E76A7"/>
    <w:rsid w:val="5F553F98"/>
    <w:rsid w:val="5F571ABE"/>
    <w:rsid w:val="5F6661A5"/>
    <w:rsid w:val="5F6D7533"/>
    <w:rsid w:val="5FCB5A7B"/>
    <w:rsid w:val="5FE92FFB"/>
    <w:rsid w:val="5FFC08B7"/>
    <w:rsid w:val="61283090"/>
    <w:rsid w:val="61346266"/>
    <w:rsid w:val="614F6221"/>
    <w:rsid w:val="6162474A"/>
    <w:rsid w:val="62361E5F"/>
    <w:rsid w:val="625A75CC"/>
    <w:rsid w:val="629F6988"/>
    <w:rsid w:val="62A274F4"/>
    <w:rsid w:val="63197549"/>
    <w:rsid w:val="63D73D0D"/>
    <w:rsid w:val="643653C3"/>
    <w:rsid w:val="64524F4A"/>
    <w:rsid w:val="64911316"/>
    <w:rsid w:val="64993750"/>
    <w:rsid w:val="64D70FAB"/>
    <w:rsid w:val="65080579"/>
    <w:rsid w:val="650E10E3"/>
    <w:rsid w:val="656A4689"/>
    <w:rsid w:val="65F22540"/>
    <w:rsid w:val="66524D8D"/>
    <w:rsid w:val="671D3C07"/>
    <w:rsid w:val="67412203"/>
    <w:rsid w:val="675039C2"/>
    <w:rsid w:val="6751773B"/>
    <w:rsid w:val="67672ABA"/>
    <w:rsid w:val="676A6106"/>
    <w:rsid w:val="6772433F"/>
    <w:rsid w:val="67902011"/>
    <w:rsid w:val="67D36C99"/>
    <w:rsid w:val="68AC2CF6"/>
    <w:rsid w:val="68E72104"/>
    <w:rsid w:val="68F14C75"/>
    <w:rsid w:val="68F14D31"/>
    <w:rsid w:val="693335BB"/>
    <w:rsid w:val="69383281"/>
    <w:rsid w:val="696C7520"/>
    <w:rsid w:val="69A1297E"/>
    <w:rsid w:val="69A54234"/>
    <w:rsid w:val="69AF0909"/>
    <w:rsid w:val="6A042DAC"/>
    <w:rsid w:val="6A167BCB"/>
    <w:rsid w:val="6AB246BF"/>
    <w:rsid w:val="6ABA73A5"/>
    <w:rsid w:val="6AE6019A"/>
    <w:rsid w:val="6B2C3111"/>
    <w:rsid w:val="6B3B04E6"/>
    <w:rsid w:val="6B45287E"/>
    <w:rsid w:val="6B4D0219"/>
    <w:rsid w:val="6B7633D5"/>
    <w:rsid w:val="6BBC0F3D"/>
    <w:rsid w:val="6C010C40"/>
    <w:rsid w:val="6C200F50"/>
    <w:rsid w:val="6C2428BD"/>
    <w:rsid w:val="6C5B5C5D"/>
    <w:rsid w:val="6C847C6A"/>
    <w:rsid w:val="6CA04267"/>
    <w:rsid w:val="6E6C6C08"/>
    <w:rsid w:val="6E81778F"/>
    <w:rsid w:val="6ED0284C"/>
    <w:rsid w:val="6F2474E3"/>
    <w:rsid w:val="6F27365E"/>
    <w:rsid w:val="6F541B76"/>
    <w:rsid w:val="6F8E1F0A"/>
    <w:rsid w:val="700040FB"/>
    <w:rsid w:val="707115F9"/>
    <w:rsid w:val="70756248"/>
    <w:rsid w:val="707A385E"/>
    <w:rsid w:val="71442588"/>
    <w:rsid w:val="71821196"/>
    <w:rsid w:val="71891BD5"/>
    <w:rsid w:val="71B13B68"/>
    <w:rsid w:val="71CA611F"/>
    <w:rsid w:val="71D53DF2"/>
    <w:rsid w:val="727147ED"/>
    <w:rsid w:val="72FF44EF"/>
    <w:rsid w:val="73400489"/>
    <w:rsid w:val="73610061"/>
    <w:rsid w:val="73B726D3"/>
    <w:rsid w:val="74312486"/>
    <w:rsid w:val="74654825"/>
    <w:rsid w:val="74B768EA"/>
    <w:rsid w:val="74D31A5C"/>
    <w:rsid w:val="753F7AB6"/>
    <w:rsid w:val="7542303F"/>
    <w:rsid w:val="756E3266"/>
    <w:rsid w:val="75BA748C"/>
    <w:rsid w:val="75D048B5"/>
    <w:rsid w:val="764125E7"/>
    <w:rsid w:val="76685F07"/>
    <w:rsid w:val="768B6DC1"/>
    <w:rsid w:val="76994D61"/>
    <w:rsid w:val="76E903D6"/>
    <w:rsid w:val="771C3B54"/>
    <w:rsid w:val="779416A9"/>
    <w:rsid w:val="779A6594"/>
    <w:rsid w:val="782567A5"/>
    <w:rsid w:val="78342545"/>
    <w:rsid w:val="78A7540C"/>
    <w:rsid w:val="79EB40B9"/>
    <w:rsid w:val="79ED4C19"/>
    <w:rsid w:val="79F70218"/>
    <w:rsid w:val="7A212F9C"/>
    <w:rsid w:val="7A3E3DB4"/>
    <w:rsid w:val="7A4153ED"/>
    <w:rsid w:val="7A4711AC"/>
    <w:rsid w:val="7A7E5B51"/>
    <w:rsid w:val="7ABB0CFB"/>
    <w:rsid w:val="7AE323BD"/>
    <w:rsid w:val="7B18628B"/>
    <w:rsid w:val="7B2F590E"/>
    <w:rsid w:val="7B650251"/>
    <w:rsid w:val="7B942B1D"/>
    <w:rsid w:val="7B9668E4"/>
    <w:rsid w:val="7BE424D4"/>
    <w:rsid w:val="7BFF10BB"/>
    <w:rsid w:val="7C5E7DCE"/>
    <w:rsid w:val="7C69759A"/>
    <w:rsid w:val="7CB6161B"/>
    <w:rsid w:val="7CC627B2"/>
    <w:rsid w:val="7D133070"/>
    <w:rsid w:val="7D5C46C9"/>
    <w:rsid w:val="7D8742FA"/>
    <w:rsid w:val="7D8F646F"/>
    <w:rsid w:val="7DF10ED8"/>
    <w:rsid w:val="7E8E6727"/>
    <w:rsid w:val="7E9F76EF"/>
    <w:rsid w:val="7EB20667"/>
    <w:rsid w:val="7F056340"/>
    <w:rsid w:val="7F203823"/>
    <w:rsid w:val="7F385010"/>
    <w:rsid w:val="7F655EC1"/>
    <w:rsid w:val="7F7B3A61"/>
    <w:rsid w:val="7F810469"/>
    <w:rsid w:val="7FCD4B61"/>
    <w:rsid w:val="7FD41C6C"/>
    <w:rsid w:val="7FD44CF6"/>
    <w:rsid w:val="7FF8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151"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5" w:lineRule="auto"/>
      <w:outlineLvl w:val="1"/>
    </w:pPr>
    <w:rPr>
      <w:rFonts w:asciiTheme="majorHAnsi" w:hAnsiTheme="majorHAnsi" w:eastAsiaTheme="majorEastAsia" w:cstheme="majorBidi"/>
      <w:b/>
      <w:bCs/>
      <w:szCs w:val="32"/>
    </w:rPr>
  </w:style>
  <w:style w:type="paragraph" w:styleId="3">
    <w:name w:val="heading 3"/>
    <w:basedOn w:val="1"/>
    <w:next w:val="1"/>
    <w:unhideWhenUsed/>
    <w:qFormat/>
    <w:uiPriority w:val="9"/>
    <w:pPr>
      <w:keepNext/>
      <w:keepLines/>
      <w:spacing w:before="260" w:after="260" w:line="416" w:lineRule="auto"/>
      <w:outlineLvl w:val="2"/>
    </w:pPr>
    <w:rPr>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Times New Roman"/>
    </w:rPr>
  </w:style>
  <w:style w:type="paragraph" w:styleId="5">
    <w:name w:val="Body Text Indent"/>
    <w:basedOn w:val="1"/>
    <w:qFormat/>
    <w:uiPriority w:val="0"/>
    <w:pPr>
      <w:spacing w:after="120"/>
      <w:ind w:left="420" w:leftChars="200"/>
    </w:pPr>
    <w:rPr>
      <w:rFonts w:ascii="Calibri" w:hAnsi="Calibri" w:eastAsia="宋体" w:cs="Times New Roman"/>
      <w:lang w:val="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10">
    <w:name w:val="Body Text First Indent"/>
    <w:basedOn w:val="4"/>
    <w:next w:val="1"/>
    <w:qFormat/>
    <w:uiPriority w:val="99"/>
    <w:pPr>
      <w:tabs>
        <w:tab w:val="left" w:pos="780"/>
      </w:tabs>
      <w:spacing w:after="120"/>
      <w:ind w:firstLine="420" w:firstLineChars="100"/>
    </w:pPr>
  </w:style>
  <w:style w:type="paragraph" w:styleId="11">
    <w:name w:val="Body Text First Indent 2"/>
    <w:next w:val="1"/>
    <w:qFormat/>
    <w:uiPriority w:val="151"/>
    <w:pPr>
      <w:spacing w:line="240" w:lineRule="auto"/>
      <w:ind w:firstLine="200"/>
    </w:pPr>
    <w:rPr>
      <w:rFonts w:ascii="Calibri" w:hAnsi="Calibri" w:eastAsia="宋体" w:cs="Times New Roma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qFormat/>
    <w:uiPriority w:val="99"/>
    <w:rPr>
      <w:rFonts w:hint="eastAsia" w:ascii="微软雅黑" w:hAnsi="微软雅黑" w:eastAsia="微软雅黑" w:cs="微软雅黑"/>
      <w:color w:val="02396F"/>
      <w:u w:val="single"/>
    </w:rPr>
  </w:style>
  <w:style w:type="paragraph" w:customStyle="1" w:styleId="17">
    <w:name w:val="p0"/>
    <w:basedOn w:val="1"/>
    <w:qFormat/>
    <w:uiPriority w:val="0"/>
    <w:pPr>
      <w:widowControl/>
    </w:pPr>
    <w:rPr>
      <w:kern w:val="0"/>
      <w:szCs w:val="21"/>
    </w:rPr>
  </w:style>
  <w:style w:type="paragraph" w:styleId="18">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9">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0">
    <w:name w:val="_正文段落"/>
    <w:basedOn w:val="1"/>
    <w:qFormat/>
    <w:uiPriority w:val="0"/>
    <w:pPr>
      <w:spacing w:line="360" w:lineRule="auto"/>
    </w:pPr>
    <w:rPr>
      <w:rFonts w:eastAsia="仿宋_GB2312"/>
      <w:sz w:val="28"/>
    </w:rPr>
  </w:style>
  <w:style w:type="character" w:customStyle="1" w:styleId="21">
    <w:name w:val="font41"/>
    <w:basedOn w:val="14"/>
    <w:qFormat/>
    <w:uiPriority w:val="0"/>
    <w:rPr>
      <w:rFonts w:hint="eastAsia" w:ascii="仿宋" w:hAnsi="仿宋" w:eastAsia="仿宋" w:cs="仿宋"/>
      <w:b/>
      <w:bCs/>
      <w:color w:val="000000"/>
      <w:sz w:val="28"/>
      <w:szCs w:val="28"/>
      <w:u w:val="none"/>
    </w:rPr>
  </w:style>
  <w:style w:type="paragraph" w:styleId="22">
    <w:name w:val="List Paragraph"/>
    <w:basedOn w:val="1"/>
    <w:qFormat/>
    <w:uiPriority w:val="34"/>
    <w:pPr>
      <w:ind w:firstLine="420" w:firstLineChars="200"/>
    </w:pPr>
  </w:style>
  <w:style w:type="character" w:customStyle="1" w:styleId="23">
    <w:name w:val="font31"/>
    <w:basedOn w:val="14"/>
    <w:qFormat/>
    <w:uiPriority w:val="0"/>
    <w:rPr>
      <w:rFonts w:hint="eastAsia" w:ascii="微软雅黑 Light" w:hAnsi="微软雅黑 Light" w:eastAsia="微软雅黑 Light" w:cs="微软雅黑 Light"/>
      <w:color w:val="000000"/>
      <w:sz w:val="21"/>
      <w:szCs w:val="21"/>
      <w:u w:val="none"/>
    </w:rPr>
  </w:style>
  <w:style w:type="paragraph" w:customStyle="1" w:styleId="24">
    <w:name w:val="列出段落1"/>
    <w:basedOn w:val="1"/>
    <w:qFormat/>
    <w:uiPriority w:val="34"/>
    <w:pPr>
      <w:ind w:firstLine="420" w:firstLineChars="200"/>
    </w:pPr>
  </w:style>
  <w:style w:type="character" w:customStyle="1" w:styleId="25">
    <w:name w:val="fontstyle01"/>
    <w:basedOn w:val="14"/>
    <w:qFormat/>
    <w:uiPriority w:val="153"/>
    <w:rPr>
      <w:rFonts w:hint="default" w:ascii="TimesNewRomanPSMT" w:hAnsi="TimesNewRomanPSMT" w:eastAsia="TimesNewRomanPSMT" w:cs="TimesNewRomanPSMT"/>
      <w:color w:val="000000"/>
      <w:sz w:val="20"/>
      <w:szCs w:val="20"/>
    </w:rPr>
  </w:style>
  <w:style w:type="character" w:customStyle="1" w:styleId="26">
    <w:name w:val="NormalCharacter"/>
    <w:semiHidden/>
    <w:qFormat/>
    <w:uiPriority w:val="99"/>
  </w:style>
  <w:style w:type="character" w:customStyle="1" w:styleId="27">
    <w:name w:val="UserStyle_1"/>
    <w:basedOn w:val="26"/>
    <w:qFormat/>
    <w:uiPriority w:val="99"/>
    <w:rPr>
      <w:rFonts w:ascii="宋体" w:hAnsi="宋体" w:eastAsia="宋体" w:cs="Times New Roman"/>
      <w:b/>
      <w:color w:val="000000"/>
      <w:sz w:val="28"/>
      <w:szCs w:val="28"/>
      <w:u w:val="single"/>
    </w:rPr>
  </w:style>
  <w:style w:type="paragraph" w:customStyle="1" w:styleId="28">
    <w:name w:val="List Paragraph1"/>
    <w:basedOn w:val="1"/>
    <w:qFormat/>
    <w:uiPriority w:val="99"/>
    <w:pPr>
      <w:ind w:firstLine="420" w:firstLineChars="200"/>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11292</Words>
  <Characters>11677</Characters>
  <Lines>0</Lines>
  <Paragraphs>0</Paragraphs>
  <TotalTime>0</TotalTime>
  <ScaleCrop>false</ScaleCrop>
  <LinksUpToDate>false</LinksUpToDate>
  <CharactersWithSpaces>11938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2021-06-10T02:47:00Z</dcterms:created>
  <dc:creator>pptc</dc:creator>
  <cp:lastModifiedBy>红梅</cp:lastModifiedBy>
  <dcterms:modified xsi:type="dcterms:W3CDTF">2023-12-08T03:08:32Z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DD8B06DF5D364D34A38681107A247A9F</vt:lpwstr>
  </property>
</Properties>
</file>