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ageBreakBefore w:val="0"/>
        <w:kinsoku/>
        <w:wordWrap/>
        <w:overflowPunct/>
        <w:topLinePunct w:val="0"/>
        <w:autoSpaceDE/>
        <w:autoSpaceDN/>
        <w:bidi w:val="0"/>
        <w:adjustRightInd w:val="0"/>
        <w:snapToGrid w:val="0"/>
        <w:spacing w:line="560" w:lineRule="exact"/>
        <w:ind w:left="0" w:leftChars="0" w:firstLine="0"/>
        <w:jc w:val="center"/>
        <w:textAlignment w:val="auto"/>
        <w:outlineLvl w:val="0"/>
        <w:rPr>
          <w:rFonts w:hint="eastAsia" w:ascii="方正小标宋简体" w:hAnsi="黑体" w:eastAsia="方正小标宋简体" w:cs="Times New Roman"/>
          <w:b/>
          <w:color w:val="000000"/>
          <w:sz w:val="44"/>
          <w:szCs w:val="44"/>
        </w:rPr>
      </w:pPr>
      <w:r>
        <w:rPr>
          <w:rFonts w:hint="eastAsia" w:ascii="方正小标宋简体" w:hAnsi="黑体" w:eastAsia="方正小标宋简体" w:cs="Times New Roman"/>
          <w:b/>
          <w:color w:val="000000"/>
          <w:sz w:val="44"/>
          <w:szCs w:val="44"/>
        </w:rPr>
        <w:t>昆明物理研究所</w:t>
      </w:r>
    </w:p>
    <w:p>
      <w:pPr>
        <w:pageBreakBefore w:val="0"/>
        <w:kinsoku/>
        <w:wordWrap/>
        <w:overflowPunct/>
        <w:topLinePunct w:val="0"/>
        <w:autoSpaceDE/>
        <w:autoSpaceDN/>
        <w:bidi w:val="0"/>
        <w:adjustRightInd w:val="0"/>
        <w:snapToGrid w:val="0"/>
        <w:spacing w:line="560" w:lineRule="exact"/>
        <w:ind w:left="0" w:leftChars="0" w:firstLine="0"/>
        <w:jc w:val="center"/>
        <w:textAlignment w:val="auto"/>
        <w:outlineLvl w:val="0"/>
        <w:rPr>
          <w:rFonts w:hint="eastAsia" w:ascii="方正小标宋简体" w:hAnsi="黑体" w:eastAsia="方正小标宋简体" w:cs="Times New Roman"/>
          <w:b/>
          <w:color w:val="000000"/>
          <w:sz w:val="44"/>
          <w:szCs w:val="44"/>
        </w:rPr>
      </w:pPr>
      <w:r>
        <w:rPr>
          <w:rFonts w:hint="eastAsia" w:ascii="方正小标宋简体" w:hAnsi="黑体" w:eastAsia="方正小标宋简体" w:cs="Times New Roman"/>
          <w:b/>
          <w:color w:val="000000"/>
          <w:sz w:val="44"/>
          <w:szCs w:val="44"/>
        </w:rPr>
        <w:t>移动办公低代码开发平台</w:t>
      </w:r>
    </w:p>
    <w:p>
      <w:pPr>
        <w:pageBreakBefore w:val="0"/>
        <w:kinsoku/>
        <w:wordWrap/>
        <w:overflowPunct/>
        <w:topLinePunct w:val="0"/>
        <w:autoSpaceDE/>
        <w:autoSpaceDN/>
        <w:bidi w:val="0"/>
        <w:adjustRightInd w:val="0"/>
        <w:snapToGrid w:val="0"/>
        <w:spacing w:line="560" w:lineRule="exact"/>
        <w:ind w:left="0" w:leftChars="0" w:firstLine="0"/>
        <w:jc w:val="center"/>
        <w:textAlignment w:val="auto"/>
        <w:outlineLvl w:val="0"/>
        <w:rPr>
          <w:rFonts w:hint="eastAsia" w:ascii="方正小标宋简体" w:hAnsi="黑体" w:eastAsia="方正小标宋简体" w:cs="Times New Roman"/>
          <w:b/>
          <w:color w:val="000000"/>
          <w:sz w:val="44"/>
          <w:szCs w:val="44"/>
          <w:lang w:eastAsia="zh-CN"/>
        </w:rPr>
      </w:pPr>
      <w:r>
        <w:rPr>
          <w:rFonts w:hint="eastAsia" w:ascii="方正小标宋简体" w:hAnsi="黑体" w:eastAsia="方正小标宋简体" w:cs="Times New Roman"/>
          <w:b/>
          <w:color w:val="000000"/>
          <w:sz w:val="44"/>
          <w:szCs w:val="44"/>
          <w:lang w:eastAsia="zh-CN"/>
        </w:rPr>
        <w:t>询价要求</w:t>
      </w: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textAlignment w:val="auto"/>
        <w:rPr>
          <w:rFonts w:hint="eastAsia" w:ascii="方正小标宋简体" w:hAnsi="黑体" w:eastAsia="方正小标宋简体" w:cs="Times New Roman"/>
          <w:b/>
          <w:color w:val="000000"/>
          <w:sz w:val="44"/>
          <w:szCs w:val="44"/>
        </w:rPr>
      </w:pPr>
    </w:p>
    <w:p>
      <w:pPr>
        <w:pStyle w:val="2"/>
        <w:pageBreakBefore w:val="0"/>
        <w:kinsoku/>
        <w:wordWrap/>
        <w:overflowPunct/>
        <w:topLinePunct w:val="0"/>
        <w:autoSpaceDE/>
        <w:autoSpaceDN/>
        <w:bidi w:val="0"/>
        <w:adjustRightInd w:val="0"/>
        <w:snapToGrid w:val="0"/>
        <w:spacing w:line="560" w:lineRule="exact"/>
        <w:ind w:left="0" w:leftChars="0" w:firstLine="0" w:firstLineChars="0"/>
        <w:textAlignment w:val="auto"/>
        <w:rPr>
          <w:rFonts w:hint="eastAsia" w:ascii="方正小标宋简体" w:hAnsi="黑体" w:eastAsia="方正小标宋简体" w:cs="Times New Roman"/>
          <w:b/>
          <w:color w:val="000000"/>
          <w:sz w:val="44"/>
          <w:szCs w:val="44"/>
        </w:rPr>
      </w:pPr>
    </w:p>
    <w:p>
      <w:pPr>
        <w:pageBreakBefore w:val="0"/>
        <w:kinsoku/>
        <w:wordWrap/>
        <w:overflowPunct/>
        <w:topLinePunct w:val="0"/>
        <w:autoSpaceDE/>
        <w:autoSpaceDN/>
        <w:bidi w:val="0"/>
        <w:adjustRightInd w:val="0"/>
        <w:snapToGrid w:val="0"/>
        <w:spacing w:line="560" w:lineRule="exact"/>
        <w:ind w:left="0" w:leftChars="0"/>
        <w:jc w:val="center"/>
        <w:textAlignment w:val="auto"/>
        <w:outlineLvl w:val="0"/>
        <w:rPr>
          <w:rFonts w:ascii="宋体" w:hAnsi="宋体" w:eastAsia="宋体"/>
          <w:b/>
          <w:bCs/>
          <w:sz w:val="32"/>
          <w:szCs w:val="32"/>
        </w:rPr>
      </w:pPr>
      <w:r>
        <w:rPr>
          <w:rFonts w:hint="eastAsia" w:ascii="宋体" w:hAnsi="宋体" w:eastAsia="宋体"/>
          <w:b/>
          <w:bCs/>
          <w:sz w:val="32"/>
          <w:szCs w:val="32"/>
        </w:rPr>
        <w:t>二</w:t>
      </w:r>
      <w:r>
        <w:rPr>
          <w:rFonts w:hint="eastAsia" w:ascii="宋体" w:hAnsi="宋体" w:eastAsia="宋体" w:cs="微软雅黑"/>
          <w:b/>
          <w:bCs/>
          <w:sz w:val="32"/>
          <w:szCs w:val="32"/>
        </w:rPr>
        <w:t>〇</w:t>
      </w:r>
      <w:r>
        <w:rPr>
          <w:rFonts w:hint="eastAsia" w:ascii="宋体" w:hAnsi="宋体" w:eastAsia="宋体"/>
          <w:b/>
          <w:bCs/>
          <w:sz w:val="32"/>
          <w:szCs w:val="32"/>
        </w:rPr>
        <w:t>二</w:t>
      </w:r>
      <w:r>
        <w:rPr>
          <w:rFonts w:hint="eastAsia" w:ascii="宋体" w:hAnsi="宋体" w:eastAsia="宋体"/>
          <w:b/>
          <w:bCs/>
          <w:sz w:val="32"/>
          <w:szCs w:val="32"/>
          <w:lang w:eastAsia="zh-CN"/>
        </w:rPr>
        <w:t>五</w:t>
      </w:r>
      <w:r>
        <w:rPr>
          <w:rFonts w:hint="eastAsia" w:ascii="宋体" w:hAnsi="宋体" w:eastAsia="宋体"/>
          <w:b/>
          <w:bCs/>
          <w:sz w:val="32"/>
          <w:szCs w:val="32"/>
        </w:rPr>
        <w:t>年</w:t>
      </w:r>
      <w:r>
        <w:rPr>
          <w:rFonts w:hint="eastAsia" w:ascii="宋体" w:hAnsi="宋体" w:eastAsia="宋体"/>
          <w:b/>
          <w:bCs/>
          <w:sz w:val="32"/>
          <w:szCs w:val="32"/>
          <w:lang w:eastAsia="zh-CN"/>
        </w:rPr>
        <w:t>二</w:t>
      </w:r>
      <w:r>
        <w:rPr>
          <w:rFonts w:hint="eastAsia" w:ascii="宋体" w:hAnsi="宋体" w:eastAsia="宋体"/>
          <w:b/>
          <w:bCs/>
          <w:sz w:val="32"/>
          <w:szCs w:val="32"/>
        </w:rPr>
        <w:t>月</w:t>
      </w:r>
    </w:p>
    <w:p>
      <w:pPr>
        <w:pStyle w:val="2"/>
        <w:pageBreakBefore w:val="0"/>
        <w:kinsoku/>
        <w:wordWrap/>
        <w:overflowPunct/>
        <w:topLinePunct w:val="0"/>
        <w:autoSpaceDE/>
        <w:autoSpaceDN/>
        <w:bidi w:val="0"/>
        <w:adjustRightInd w:val="0"/>
        <w:snapToGrid w:val="0"/>
        <w:spacing w:line="560" w:lineRule="exact"/>
        <w:ind w:left="0" w:leftChars="0" w:firstLine="0" w:firstLineChars="0"/>
        <w:textAlignment w:val="auto"/>
        <w:rPr>
          <w:rFonts w:hint="eastAsia" w:ascii="方正小标宋简体" w:hAnsi="黑体" w:eastAsia="方正小标宋简体" w:cs="Times New Roman"/>
          <w:b/>
          <w:color w:val="000000"/>
          <w:sz w:val="44"/>
          <w:szCs w:val="44"/>
        </w:rPr>
        <w:sectPr>
          <w:footerReference r:id="rId3" w:type="default"/>
          <w:pgSz w:w="11906" w:h="16838"/>
          <w:pgMar w:top="1440" w:right="1800" w:bottom="1440" w:left="1800" w:header="851" w:footer="189" w:gutter="0"/>
          <w:cols w:space="425" w:num="1"/>
          <w:docGrid w:type="lines" w:linePitch="312" w:charSpace="0"/>
        </w:sectPr>
      </w:pPr>
    </w:p>
    <w:p>
      <w:pPr>
        <w:pStyle w:val="3"/>
        <w:pageBreakBefore w:val="0"/>
        <w:numPr>
          <w:ilvl w:val="0"/>
          <w:numId w:val="1"/>
        </w:numPr>
        <w:kinsoku/>
        <w:wordWrap/>
        <w:overflowPunct/>
        <w:topLinePunct w:val="0"/>
        <w:autoSpaceDE/>
        <w:autoSpaceDN/>
        <w:bidi w:val="0"/>
        <w:adjustRightInd w:val="0"/>
        <w:snapToGrid w:val="0"/>
        <w:spacing w:line="560" w:lineRule="exact"/>
        <w:ind w:left="0" w:leftChars="0"/>
        <w:textAlignment w:val="auto"/>
      </w:pPr>
      <w:r>
        <w:rPr>
          <w:rFonts w:hint="eastAsia"/>
        </w:rPr>
        <w:t>项目概述</w:t>
      </w:r>
    </w:p>
    <w:p>
      <w:pPr>
        <w:pageBreakBefore w:val="0"/>
        <w:kinsoku/>
        <w:wordWrap/>
        <w:overflowPunct/>
        <w:topLinePunct w:val="0"/>
        <w:autoSpaceDE/>
        <w:autoSpaceDN/>
        <w:bidi w:val="0"/>
        <w:adjustRightInd w:val="0"/>
        <w:snapToGrid w:val="0"/>
        <w:spacing w:before="0" w:after="0" w:line="560" w:lineRule="exact"/>
        <w:ind w:left="0" w:leftChars="0" w:firstLine="560" w:firstLineChars="200"/>
        <w:textAlignment w:val="auto"/>
        <w:rPr>
          <w:rFonts w:hint="eastAsia" w:ascii="Times New Roman" w:hAnsi="Times New Roman" w:eastAsia="仿宋_GB2312"/>
          <w:sz w:val="28"/>
          <w:szCs w:val="28"/>
          <w:lang w:val="zh-CN"/>
          <w14:ligatures w14:val="standardContextual"/>
        </w:rPr>
      </w:pPr>
      <w:r>
        <w:rPr>
          <w:rFonts w:hint="eastAsia" w:ascii="Times New Roman" w:hAnsi="Times New Roman" w:eastAsia="仿宋_GB2312"/>
          <w:sz w:val="28"/>
          <w:szCs w:val="28"/>
          <w14:ligatures w14:val="standardContextual"/>
        </w:rPr>
        <w:t>本项目为昆明物理研究所（以下简称询价方）</w:t>
      </w:r>
      <w:r>
        <w:rPr>
          <w:rFonts w:hint="eastAsia" w:ascii="Times New Roman" w:hAnsi="Times New Roman" w:eastAsia="仿宋_GB2312"/>
          <w:sz w:val="28"/>
          <w:szCs w:val="28"/>
          <w:lang w:eastAsia="zh-CN"/>
          <w14:ligatures w14:val="standardContextual"/>
        </w:rPr>
        <w:t>自主开发移动办公信息系统提供采用低代码开发技术的开发工具套件</w:t>
      </w:r>
      <w:r>
        <w:rPr>
          <w:rFonts w:hint="eastAsia" w:ascii="Times New Roman" w:hAnsi="Times New Roman" w:eastAsia="仿宋_GB2312"/>
          <w:sz w:val="28"/>
          <w:szCs w:val="28"/>
          <w14:ligatures w14:val="standardContextual"/>
        </w:rPr>
        <w:t>。</w:t>
      </w:r>
    </w:p>
    <w:p>
      <w:pPr>
        <w:pageBreakBefore w:val="0"/>
        <w:kinsoku/>
        <w:wordWrap/>
        <w:overflowPunct/>
        <w:topLinePunct w:val="0"/>
        <w:autoSpaceDE/>
        <w:autoSpaceDN/>
        <w:bidi w:val="0"/>
        <w:adjustRightInd w:val="0"/>
        <w:snapToGrid w:val="0"/>
        <w:spacing w:before="0" w:after="0" w:line="560" w:lineRule="exact"/>
        <w:ind w:left="0" w:leftChars="0" w:firstLine="560" w:firstLineChars="200"/>
        <w:textAlignment w:val="auto"/>
        <w:rPr>
          <w:rFonts w:hint="eastAsia" w:ascii="Times New Roman" w:hAnsi="Times New Roman" w:eastAsia="仿宋_GB2312"/>
          <w:sz w:val="28"/>
          <w:szCs w:val="28"/>
          <w14:ligatures w14:val="standardContextual"/>
        </w:rPr>
      </w:pPr>
    </w:p>
    <w:p>
      <w:pPr>
        <w:pStyle w:val="3"/>
        <w:pageBreakBefore w:val="0"/>
        <w:numPr>
          <w:ilvl w:val="0"/>
          <w:numId w:val="1"/>
        </w:numPr>
        <w:kinsoku/>
        <w:wordWrap/>
        <w:overflowPunct/>
        <w:topLinePunct w:val="0"/>
        <w:autoSpaceDE/>
        <w:autoSpaceDN/>
        <w:bidi w:val="0"/>
        <w:adjustRightInd w:val="0"/>
        <w:snapToGrid w:val="0"/>
        <w:spacing w:line="560" w:lineRule="exact"/>
        <w:ind w:left="0" w:leftChars="0"/>
        <w:textAlignment w:val="auto"/>
      </w:pPr>
      <w:r>
        <w:rPr>
          <w:rFonts w:hint="eastAsia"/>
        </w:rPr>
        <w:t>总则</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报价方须保证询价方在中国使用本次所招货物、服务及其任何部分时不受到第三方关于侵犯知识产权（许可证、专利权、商标权、工业设计权、专有技术等）的指控。任何第三方如果提出侵权指控，报价方须立即以自己的费用进行所有的谈判和/或诉讼以求得问题的解决，并承担由此而发生的一切法律和经济责任。</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本询价要求文件仅适用于本次询价中所叙述的项目建设及服务内容。</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报价方应详细阅读询价要求文件的全部内容，并保证所提供的全部报价资料的真实性，以使报价对询价文件做出实质性响应；不按询价文件的要求提供的报价文件和资料，将可能导致其报价被拒绝。</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本询价文件中所使用的度量衡单位，一律使用公制；如果采用非中文版印刷的产品说明书、设备配置表、技术资料、资格资质证书等，报价方应提供符合中国有关法律、法规的中文译本，并以中文译本为准。</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报价方在收到询价文件后应对询价文件进行妥善保管，不得遗失，严禁转借、复制，并对文件涉及到的内容保密。</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报价方提供的所有资料，图纸均应采用国际单位制（SI）。</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报价方如对本文件中的条文有异议或有不同见解，应以书面形式提出并做详细说明。</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b/>
          <w:bCs/>
          <w:sz w:val="28"/>
          <w:szCs w:val="28"/>
          <w14:ligatures w14:val="standardContextual"/>
        </w:rPr>
      </w:pPr>
      <w:r>
        <w:rPr>
          <w:rFonts w:hint="eastAsia" w:ascii="仿宋_GB2312" w:hAnsi="仿宋_GB2312" w:eastAsia="仿宋_GB2312" w:cs="仿宋_GB2312"/>
          <w:b/>
          <w:bCs/>
          <w:sz w:val="28"/>
          <w:szCs w:val="28"/>
          <w14:ligatures w14:val="standardContextual"/>
        </w:rPr>
        <w:t>本询价要求中，“总体要求——资格”章节中所有条目和标注</w:t>
      </w:r>
      <w:r>
        <w:rPr>
          <w:rFonts w:hint="eastAsia" w:ascii="仿宋_GB2312" w:hAnsi="仿宋_GB2312" w:eastAsia="仿宋_GB2312" w:cs="仿宋_GB2312"/>
          <w:b/>
          <w:bCs/>
          <w:color w:val="FF0000"/>
          <w:sz w:val="28"/>
          <w:szCs w:val="28"/>
          <w14:ligatures w14:val="standardContextual"/>
        </w:rPr>
        <w:t>★</w:t>
      </w:r>
      <w:r>
        <w:rPr>
          <w:rFonts w:hint="eastAsia" w:ascii="仿宋_GB2312" w:hAnsi="仿宋_GB2312" w:eastAsia="仿宋_GB2312" w:cs="仿宋_GB2312"/>
          <w:b/>
          <w:bCs/>
          <w:sz w:val="28"/>
          <w:szCs w:val="28"/>
          <w14:ligatures w14:val="standardContextual"/>
        </w:rPr>
        <w:t>的条目为必须满足或正偏离的要求项，如不满足则为无效报价、无效方案。</w:t>
      </w:r>
    </w:p>
    <w:p>
      <w:pPr>
        <w:pStyle w:val="20"/>
        <w:pageBreakBefore w:val="0"/>
        <w:widowControl/>
        <w:numPr>
          <w:ilvl w:val="0"/>
          <w:numId w:val="2"/>
        </w:numPr>
        <w:kinsoku/>
        <w:wordWrap/>
        <w:overflowPunct/>
        <w:topLinePunct w:val="0"/>
        <w:autoSpaceDE/>
        <w:autoSpaceDN/>
        <w:bidi w:val="0"/>
        <w:adjustRightInd w:val="0"/>
        <w:snapToGrid w:val="0"/>
        <w:spacing w:line="560" w:lineRule="exact"/>
        <w:ind w:left="0" w:leftChars="0" w:firstLine="560"/>
        <w:jc w:val="left"/>
        <w:textAlignment w:val="auto"/>
        <w:rPr>
          <w:rFonts w:hint="eastAsia" w:ascii="仿宋_GB2312" w:hAnsi="仿宋_GB2312" w:eastAsia="仿宋_GB2312" w:cs="仿宋_GB2312"/>
          <w:sz w:val="28"/>
          <w:szCs w:val="28"/>
          <w14:ligatures w14:val="standardContextual"/>
        </w:rPr>
        <w:sectPr>
          <w:pgSz w:w="11906" w:h="16838"/>
          <w:pgMar w:top="1440" w:right="1800" w:bottom="1440" w:left="1800" w:header="851" w:footer="189" w:gutter="0"/>
          <w:cols w:space="425" w:num="1"/>
          <w:docGrid w:type="lines" w:linePitch="312" w:charSpace="0"/>
        </w:sectPr>
      </w:pPr>
      <w:r>
        <w:rPr>
          <w:rFonts w:hint="eastAsia" w:ascii="仿宋_GB2312" w:hAnsi="仿宋_GB2312" w:eastAsia="仿宋_GB2312" w:cs="仿宋_GB2312"/>
          <w:sz w:val="28"/>
          <w:szCs w:val="28"/>
          <w14:ligatures w14:val="standardContextual"/>
        </w:rPr>
        <w:t>在任何时间，询价方保留对本询价要求文件进行解释的</w:t>
      </w:r>
      <w:r>
        <w:rPr>
          <w:rFonts w:hint="eastAsia" w:ascii="仿宋_GB2312" w:hAnsi="仿宋_GB2312" w:eastAsia="仿宋_GB2312" w:cs="仿宋_GB2312"/>
          <w:sz w:val="28"/>
          <w:szCs w:val="28"/>
          <w:lang w:eastAsia="zh-CN"/>
          <w14:ligatures w14:val="standardContextual"/>
        </w:rPr>
        <w:t>权利。</w:t>
      </w:r>
    </w:p>
    <w:p>
      <w:pPr>
        <w:pageBreakBefore w:val="0"/>
        <w:numPr>
          <w:ilvl w:val="0"/>
          <w:numId w:val="0"/>
        </w:numPr>
        <w:kinsoku/>
        <w:wordWrap/>
        <w:overflowPunct/>
        <w:topLinePunct w:val="0"/>
        <w:autoSpaceDE/>
        <w:autoSpaceDN/>
        <w:bidi w:val="0"/>
        <w:adjustRightInd w:val="0"/>
        <w:snapToGrid w:val="0"/>
        <w:spacing w:line="560" w:lineRule="exact"/>
        <w:ind w:left="0" w:leftChars="0"/>
        <w:textAlignment w:val="auto"/>
        <w:outlineLvl w:val="0"/>
        <w:rPr>
          <w:rFonts w:ascii="黑体" w:hAnsi="黑体" w:eastAsia="黑体" w:cs="Times New Roman"/>
          <w:b/>
          <w:sz w:val="32"/>
          <w:szCs w:val="32"/>
        </w:rPr>
      </w:pPr>
      <w:r>
        <w:rPr>
          <w:rFonts w:hint="eastAsia" w:ascii="黑体" w:hAnsi="黑体" w:eastAsia="黑体" w:cs="Times New Roman"/>
          <w:b/>
          <w:sz w:val="32"/>
          <w:szCs w:val="32"/>
          <w:lang w:eastAsia="zh-CN"/>
        </w:rPr>
        <w:t>三、</w:t>
      </w:r>
      <w:r>
        <w:rPr>
          <w:rFonts w:hint="eastAsia" w:ascii="黑体" w:hAnsi="黑体" w:eastAsia="黑体" w:cs="Times New Roman"/>
          <w:b/>
          <w:sz w:val="32"/>
          <w:szCs w:val="32"/>
        </w:rPr>
        <w:t>总</w:t>
      </w:r>
      <w:r>
        <w:rPr>
          <w:rFonts w:hint="eastAsia" w:ascii="黑体" w:hAnsi="黑体" w:eastAsia="黑体" w:cs="Times New Roman"/>
          <w:b/>
          <w:sz w:val="32"/>
          <w:szCs w:val="32"/>
          <w:lang w:eastAsia="zh-CN"/>
        </w:rPr>
        <w:t>体</w:t>
      </w:r>
      <w:r>
        <w:rPr>
          <w:rFonts w:hint="eastAsia" w:ascii="黑体" w:hAnsi="黑体" w:eastAsia="黑体" w:cs="Times New Roman"/>
          <w:b/>
          <w:sz w:val="32"/>
          <w:szCs w:val="32"/>
        </w:rPr>
        <w:t>要求</w:t>
      </w:r>
    </w:p>
    <w:p>
      <w:pPr>
        <w:keepNext/>
        <w:keepLines/>
        <w:pageBreakBefore w:val="0"/>
        <w:kinsoku/>
        <w:wordWrap/>
        <w:overflowPunct/>
        <w:topLinePunct w:val="0"/>
        <w:autoSpaceDE/>
        <w:autoSpaceDN/>
        <w:bidi w:val="0"/>
        <w:adjustRightInd w:val="0"/>
        <w:snapToGrid w:val="0"/>
        <w:spacing w:line="560" w:lineRule="exact"/>
        <w:ind w:left="0" w:leftChars="0"/>
        <w:textAlignment w:val="auto"/>
        <w:outlineLvl w:val="1"/>
        <w:rPr>
          <w:rFonts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（一）交货地点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云南省昆明市教场东路31号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昆明物理研究所。</w:t>
      </w:r>
    </w:p>
    <w:p>
      <w:pPr>
        <w:keepNext/>
        <w:keepLines/>
        <w:pageBreakBefore w:val="0"/>
        <w:kinsoku/>
        <w:wordWrap/>
        <w:overflowPunct/>
        <w:topLinePunct w:val="0"/>
        <w:autoSpaceDE/>
        <w:autoSpaceDN/>
        <w:bidi w:val="0"/>
        <w:spacing w:line="560" w:lineRule="exact"/>
        <w:textAlignment w:val="auto"/>
        <w:outlineLvl w:val="1"/>
        <w:rPr>
          <w:rFonts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（二）交货期</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合同生效之日起360日历天内完成项目的验收</w:t>
      </w:r>
      <w:r>
        <w:rPr>
          <w:rFonts w:hint="eastAsia" w:ascii="仿宋_GB2312" w:hAnsi="仿宋_GB2312" w:eastAsia="仿宋_GB2312" w:cs="仿宋_GB2312"/>
          <w:sz w:val="28"/>
          <w:szCs w:val="28"/>
          <w:lang w:eastAsia="zh-CN"/>
        </w:rPr>
        <w:t>。</w:t>
      </w:r>
    </w:p>
    <w:p>
      <w:pPr>
        <w:keepNext/>
        <w:keepLines/>
        <w:pageBreakBefore w:val="0"/>
        <w:kinsoku/>
        <w:wordWrap/>
        <w:overflowPunct/>
        <w:topLinePunct w:val="0"/>
        <w:autoSpaceDE/>
        <w:autoSpaceDN/>
        <w:bidi w:val="0"/>
        <w:spacing w:line="560" w:lineRule="exact"/>
        <w:textAlignment w:val="auto"/>
        <w:outlineLvl w:val="1"/>
        <w:rPr>
          <w:rFonts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（三）资格</w:t>
      </w:r>
    </w:p>
    <w:p>
      <w:pPr>
        <w:pageBreakBefore w:val="0"/>
        <w:numPr>
          <w:ilvl w:val="0"/>
          <w:numId w:val="3"/>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报价方须在中华人民共和国境内依法注册，具有独立法人资格，提供企业法人营业执照或事业单位法人证书复印件。注册资金500万及以上。</w:t>
      </w:r>
    </w:p>
    <w:p>
      <w:pPr>
        <w:pageBreakBefore w:val="0"/>
        <w:numPr>
          <w:ilvl w:val="0"/>
          <w:numId w:val="3"/>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经兵器工业集团公司采购电子商务平台审核批准，成功注册的，无不良信用记录的平台会员报价方，提供近三年经第三方审计的财务报告（含资产负债表、利润表、现金流量表）。</w:t>
      </w:r>
    </w:p>
    <w:p>
      <w:pPr>
        <w:pageBreakBefore w:val="0"/>
        <w:numPr>
          <w:ilvl w:val="0"/>
          <w:numId w:val="3"/>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14:ligatures w14:val="standardContextual"/>
        </w:rPr>
        <w:t>经营范围符合项目工作内容要求，提供所投产品的软件著作权；代理商额外提供所投产品厂商针对本项目的产品代理授权证明材料。</w:t>
      </w:r>
    </w:p>
    <w:p>
      <w:pPr>
        <w:pageBreakBefore w:val="0"/>
        <w:numPr>
          <w:ilvl w:val="0"/>
          <w:numId w:val="3"/>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不接受联合体报价，接受代理商报价。</w:t>
      </w:r>
    </w:p>
    <w:p>
      <w:pPr>
        <w:keepNext/>
        <w:keepLines/>
        <w:pageBreakBefore w:val="0"/>
        <w:kinsoku/>
        <w:wordWrap/>
        <w:overflowPunct/>
        <w:topLinePunct w:val="0"/>
        <w:autoSpaceDE/>
        <w:autoSpaceDN/>
        <w:bidi w:val="0"/>
        <w:spacing w:line="560" w:lineRule="exact"/>
        <w:textAlignment w:val="auto"/>
        <w:outlineLvl w:val="1"/>
        <w:rPr>
          <w:rFonts w:hint="eastAsia"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（四）</w:t>
      </w:r>
      <w:r>
        <w:rPr>
          <w:rFonts w:hint="eastAsia" w:ascii="Times New Roman" w:hAnsi="Times New Roman" w:eastAsia="楷体_GB2312" w:cs="Times New Roman"/>
          <w:b/>
          <w:bCs/>
          <w:color w:val="FF0000"/>
          <w:kern w:val="2"/>
          <w:sz w:val="30"/>
          <w:szCs w:val="32"/>
          <w:lang w:val="en-US" w:eastAsia="zh-CN" w:bidi="ar-SA"/>
          <w14:ligatures w14:val="standardContextual"/>
        </w:rPr>
        <w:t>★</w:t>
      </w:r>
      <w:r>
        <w:rPr>
          <w:rFonts w:hint="eastAsia" w:ascii="Times New Roman" w:hAnsi="Times New Roman" w:eastAsia="楷体_GB2312" w:cs="Times New Roman"/>
          <w:b/>
          <w:bCs/>
          <w:kern w:val="2"/>
          <w:sz w:val="30"/>
          <w:szCs w:val="32"/>
          <w:lang w:val="en-US" w:eastAsia="zh-CN" w:bidi="ar-SA"/>
          <w14:ligatures w14:val="standardContextual"/>
        </w:rPr>
        <w:t>规格型号</w:t>
      </w:r>
    </w:p>
    <w:p>
      <w:pPr>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产品规格型号要求如下：</w:t>
      </w:r>
    </w:p>
    <w:p>
      <w:pPr>
        <w:pageBreakBefore w:val="0"/>
        <w:numPr>
          <w:ilvl w:val="0"/>
          <w:numId w:val="4"/>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14:ligatures w14:val="standardContextual"/>
        </w:rPr>
      </w:pPr>
      <w:r>
        <w:rPr>
          <w:rFonts w:hint="eastAsia" w:ascii="仿宋_GB2312" w:hAnsi="仿宋_GB2312" w:eastAsia="仿宋_GB2312" w:cs="仿宋_GB2312"/>
          <w:color w:val="auto"/>
          <w:kern w:val="2"/>
          <w:sz w:val="28"/>
          <w:szCs w:val="28"/>
          <w:lang w:val="en-US" w:eastAsia="zh-CN" w:bidi="ar-SA"/>
          <w14:ligatures w14:val="standardContextual"/>
        </w:rPr>
        <w:t>提供基础应用框架，包括应用运行时管理、应用管理、团队管理功能；提供多模式协同应用开发模块，采用多租户模式隔离开发，实现不同团队、团队不同工程师按需以无代码、低代码、全代码等不同方式协同开发不同的桌面及移动应用（安卓、鸿蒙）应用；提供移动应用管理模块，包括移动设备管理、移动应用管理；提供应用集成管理模块，通过主流标准协议/接口，连接主流中间件，通过服务注册，与其他应用系统或微服务集成；提供应用运维管理模块，包括应用监控、告警监控、运行日志管理、链路追踪</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kern w:val="2"/>
          <w:sz w:val="28"/>
          <w:szCs w:val="28"/>
          <w:lang w:val="en-US" w:eastAsia="zh-CN" w:bidi="ar-SA"/>
          <w14:ligatures w14:val="standardContextual"/>
        </w:rPr>
        <w:t>提供移动应用开发服务，开发1个移动应用集成平台及1个应用模块。</w:t>
      </w:r>
    </w:p>
    <w:p>
      <w:pPr>
        <w:pageBreakBefore w:val="0"/>
        <w:numPr>
          <w:ilvl w:val="0"/>
          <w:numId w:val="4"/>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14:ligatures w14:val="standardContextual"/>
        </w:rPr>
      </w:pPr>
      <w:r>
        <w:rPr>
          <w:rFonts w:hint="eastAsia" w:ascii="仿宋_GB2312" w:hAnsi="仿宋_GB2312" w:eastAsia="仿宋_GB2312" w:cs="仿宋_GB2312"/>
          <w:color w:val="auto"/>
          <w:kern w:val="2"/>
          <w:sz w:val="28"/>
          <w:szCs w:val="28"/>
          <w:lang w:val="en-US" w:eastAsia="zh-CN" w:bidi="ar-SA"/>
          <w14:ligatures w14:val="standardContextual"/>
        </w:rPr>
        <w:t>系统用户授权许可证数应满足询价方需求，不限制注册用户数量，不限制在线用户数量，各用户会话连接在同一时刻对同一接口发起调用请求，能够正确响应请求的数量不低于50。</w:t>
      </w:r>
    </w:p>
    <w:p>
      <w:pPr>
        <w:keepNext/>
        <w:keepLines/>
        <w:pageBreakBefore w:val="0"/>
        <w:kinsoku/>
        <w:wordWrap/>
        <w:overflowPunct/>
        <w:topLinePunct w:val="0"/>
        <w:autoSpaceDE/>
        <w:autoSpaceDN/>
        <w:bidi w:val="0"/>
        <w:spacing w:line="560" w:lineRule="exact"/>
        <w:textAlignment w:val="auto"/>
        <w:outlineLvl w:val="1"/>
        <w:rPr>
          <w:rFonts w:hint="eastAsia"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（五）采购流程</w:t>
      </w:r>
    </w:p>
    <w:p>
      <w:pPr>
        <w:keepNext/>
        <w:keepLines/>
        <w:pageBreakBefore w:val="0"/>
        <w:numPr>
          <w:ilvl w:val="0"/>
          <w:numId w:val="5"/>
        </w:numPr>
        <w:kinsoku/>
        <w:wordWrap/>
        <w:overflowPunct/>
        <w:topLinePunct w:val="0"/>
        <w:autoSpaceDE/>
        <w:autoSpaceDN/>
        <w:bidi w:val="0"/>
        <w:spacing w:line="560" w:lineRule="exact"/>
        <w:ind w:firstLine="562" w:firstLineChars="200"/>
        <w:textAlignment w:val="auto"/>
        <w:outlineLvl w:val="2"/>
        <w:rPr>
          <w:rFonts w:hint="eastAsia" w:ascii="仿宋_GB2312" w:hAnsi="仿宋_GB2312" w:eastAsia="仿宋_GB2312" w:cs="仿宋_GB2312"/>
          <w:b/>
          <w:bCs/>
          <w:kern w:val="2"/>
          <w:sz w:val="28"/>
          <w:szCs w:val="32"/>
          <w:lang w:val="en-US" w:eastAsia="zh-CN" w:bidi="ar-SA"/>
          <w14:ligatures w14:val="standardContextual"/>
        </w:rPr>
      </w:pPr>
      <w:r>
        <w:rPr>
          <w:rFonts w:hint="eastAsia" w:ascii="仿宋_GB2312" w:hAnsi="仿宋_GB2312" w:eastAsia="仿宋_GB2312" w:cs="仿宋_GB2312"/>
          <w:b/>
          <w:bCs/>
          <w:kern w:val="2"/>
          <w:sz w:val="28"/>
          <w:szCs w:val="32"/>
          <w:lang w:val="en-US" w:eastAsia="zh-CN" w:bidi="ar-SA"/>
          <w14:ligatures w14:val="standardContextual"/>
        </w:rPr>
        <w:t>系统调研</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rPr>
        <w:t>★</w:t>
      </w:r>
      <w:r>
        <w:rPr>
          <w:rFonts w:hint="eastAsia" w:ascii="仿宋_GB2312" w:hAnsi="仿宋_GB2312" w:eastAsia="仿宋_GB2312" w:cs="仿宋_GB2312"/>
          <w:sz w:val="28"/>
          <w:szCs w:val="28"/>
        </w:rPr>
        <w:t>本次</w:t>
      </w:r>
      <w:r>
        <w:rPr>
          <w:rFonts w:hint="eastAsia" w:ascii="仿宋_GB2312" w:hAnsi="仿宋_GB2312" w:eastAsia="仿宋_GB2312" w:cs="仿宋_GB2312"/>
          <w:sz w:val="28"/>
          <w:szCs w:val="28"/>
          <w:lang w:eastAsia="zh-CN"/>
        </w:rPr>
        <w:t>询价</w:t>
      </w:r>
      <w:r>
        <w:rPr>
          <w:rFonts w:hint="eastAsia" w:ascii="仿宋_GB2312" w:hAnsi="仿宋_GB2312" w:eastAsia="仿宋_GB2312" w:cs="仿宋_GB2312"/>
          <w:sz w:val="28"/>
          <w:szCs w:val="28"/>
        </w:rPr>
        <w:t>包含系统</w:t>
      </w:r>
      <w:r>
        <w:rPr>
          <w:rFonts w:hint="eastAsia" w:ascii="仿宋_GB2312" w:hAnsi="仿宋_GB2312" w:eastAsia="仿宋_GB2312" w:cs="仿宋_GB2312"/>
          <w:sz w:val="28"/>
          <w:szCs w:val="28"/>
          <w:lang w:eastAsia="zh-CN"/>
        </w:rPr>
        <w:t>建设、</w:t>
      </w:r>
      <w:r>
        <w:rPr>
          <w:rFonts w:hint="eastAsia" w:ascii="仿宋_GB2312" w:hAnsi="仿宋_GB2312" w:eastAsia="仿宋_GB2312" w:cs="仿宋_GB2312"/>
          <w:sz w:val="28"/>
          <w:szCs w:val="28"/>
        </w:rPr>
        <w:t>实施</w:t>
      </w:r>
      <w:r>
        <w:rPr>
          <w:rFonts w:hint="eastAsia" w:ascii="仿宋_GB2312" w:hAnsi="仿宋_GB2312" w:eastAsia="仿宋_GB2312" w:cs="仿宋_GB2312"/>
          <w:sz w:val="28"/>
          <w:szCs w:val="28"/>
          <w:lang w:eastAsia="zh-CN"/>
        </w:rPr>
        <w:t>和应用开发</w:t>
      </w:r>
      <w:r>
        <w:rPr>
          <w:rFonts w:hint="eastAsia" w:ascii="仿宋_GB2312" w:hAnsi="仿宋_GB2312" w:eastAsia="仿宋_GB2312" w:cs="仿宋_GB2312"/>
          <w:sz w:val="28"/>
          <w:szCs w:val="28"/>
        </w:rPr>
        <w:t>服务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为全面、准确地理解</w:t>
      </w:r>
      <w:r>
        <w:rPr>
          <w:rFonts w:hint="eastAsia" w:ascii="仿宋_GB2312" w:hAnsi="仿宋_GB2312" w:eastAsia="仿宋_GB2312" w:cs="仿宋_GB2312"/>
          <w:sz w:val="28"/>
          <w:szCs w:val="28"/>
          <w:lang w:eastAsia="zh-CN"/>
        </w:rPr>
        <w:t>询价方</w:t>
      </w:r>
      <w:r>
        <w:rPr>
          <w:rFonts w:hint="eastAsia" w:ascii="仿宋_GB2312" w:hAnsi="仿宋_GB2312" w:eastAsia="仿宋_GB2312" w:cs="仿宋_GB2312"/>
          <w:sz w:val="28"/>
          <w:szCs w:val="28"/>
        </w:rPr>
        <w:t>的需求，合理界定实施工作的范围，报价方必须在提交《项目方案》《报价书》及在“中国兵器工业集团公司采购电子商务平台”录入、提交报价前，与询价方签订保密协议，进行现场业务沟通调研，包括但不限于业务需求调研和产品方案介绍。</w:t>
      </w:r>
      <w:r>
        <w:rPr>
          <w:rFonts w:hint="eastAsia" w:ascii="仿宋_GB2312" w:hAnsi="仿宋_GB2312" w:eastAsia="仿宋_GB2312" w:cs="仿宋_GB2312"/>
          <w:b/>
          <w:sz w:val="28"/>
          <w:szCs w:val="28"/>
        </w:rPr>
        <w:t>所涉及的平台技术及软件版本，以双方现场调研为准。</w:t>
      </w:r>
    </w:p>
    <w:p>
      <w:pPr>
        <w:keepNext/>
        <w:keepLines/>
        <w:pageBreakBefore w:val="0"/>
        <w:numPr>
          <w:ilvl w:val="0"/>
          <w:numId w:val="5"/>
        </w:numPr>
        <w:kinsoku/>
        <w:wordWrap/>
        <w:overflowPunct/>
        <w:topLinePunct w:val="0"/>
        <w:autoSpaceDE/>
        <w:autoSpaceDN/>
        <w:bidi w:val="0"/>
        <w:spacing w:line="560" w:lineRule="exact"/>
        <w:ind w:firstLine="562" w:firstLineChars="200"/>
        <w:textAlignment w:val="auto"/>
        <w:outlineLvl w:val="2"/>
        <w:rPr>
          <w:rFonts w:hint="eastAsia" w:ascii="仿宋_GB2312" w:hAnsi="仿宋_GB2312" w:eastAsia="仿宋_GB2312" w:cs="仿宋_GB2312"/>
          <w:b/>
          <w:bCs/>
          <w:kern w:val="2"/>
          <w:sz w:val="28"/>
          <w:szCs w:val="32"/>
          <w:lang w:val="en-US" w:eastAsia="zh-CN" w:bidi="ar-SA"/>
          <w14:ligatures w14:val="standardContextual"/>
        </w:rPr>
      </w:pPr>
      <w:r>
        <w:rPr>
          <w:rFonts w:hint="eastAsia" w:ascii="仿宋_GB2312" w:hAnsi="仿宋_GB2312" w:eastAsia="仿宋_GB2312" w:cs="仿宋_GB2312"/>
          <w:b/>
          <w:bCs/>
          <w:kern w:val="2"/>
          <w:sz w:val="28"/>
          <w:szCs w:val="32"/>
          <w:lang w:val="en-US" w:eastAsia="zh-CN" w:bidi="ar-SA"/>
          <w14:ligatures w14:val="standardContextual"/>
        </w:rPr>
        <w:t>相关文档编制</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拟参与报价的报价方必须在“满足”或“正偏离”相关要求的前提下，根据调研结果编制《项目方案》及《报价书》。否则视为无效报价。</w:t>
      </w:r>
    </w:p>
    <w:p>
      <w:pPr>
        <w:keepNext/>
        <w:keepLines/>
        <w:pageBreakBefore w:val="0"/>
        <w:numPr>
          <w:ilvl w:val="0"/>
          <w:numId w:val="5"/>
        </w:numPr>
        <w:kinsoku/>
        <w:wordWrap/>
        <w:overflowPunct/>
        <w:topLinePunct w:val="0"/>
        <w:autoSpaceDE/>
        <w:autoSpaceDN/>
        <w:bidi w:val="0"/>
        <w:spacing w:line="560" w:lineRule="exact"/>
        <w:ind w:firstLine="562" w:firstLineChars="200"/>
        <w:textAlignment w:val="auto"/>
        <w:outlineLvl w:val="2"/>
        <w:rPr>
          <w:rFonts w:hint="eastAsia" w:ascii="仿宋_GB2312" w:hAnsi="仿宋_GB2312" w:eastAsia="仿宋_GB2312" w:cs="仿宋_GB2312"/>
          <w:b/>
          <w:bCs/>
          <w:kern w:val="2"/>
          <w:sz w:val="28"/>
          <w:szCs w:val="32"/>
          <w:lang w:val="en-US" w:eastAsia="zh-CN" w:bidi="ar-SA"/>
          <w14:ligatures w14:val="standardContextual"/>
        </w:rPr>
      </w:pPr>
      <w:r>
        <w:rPr>
          <w:rFonts w:hint="eastAsia" w:ascii="仿宋_GB2312" w:hAnsi="仿宋_GB2312" w:eastAsia="仿宋_GB2312" w:cs="仿宋_GB2312"/>
          <w:b/>
          <w:bCs/>
          <w:kern w:val="2"/>
          <w:sz w:val="28"/>
          <w:szCs w:val="32"/>
          <w:lang w:val="en-US" w:eastAsia="zh-CN" w:bidi="ar-SA"/>
          <w14:ligatures w14:val="standardContextual"/>
        </w:rPr>
        <w:t>平台报价及文档提交</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方在询价有效期内登陆“中国兵器工业集团公司采购电子商务平台”录入、提交报价。报价方应将《项目方案》及《报价书》的电子版光盘及纸质版一式两份盖章一并密封，在询价有效期内送至询价方项目联系人处。否则视为无效报价。</w:t>
      </w:r>
    </w:p>
    <w:p>
      <w:pPr>
        <w:keepNext/>
        <w:keepLines/>
        <w:pageBreakBefore w:val="0"/>
        <w:numPr>
          <w:ilvl w:val="0"/>
          <w:numId w:val="5"/>
        </w:numPr>
        <w:kinsoku/>
        <w:wordWrap/>
        <w:overflowPunct/>
        <w:topLinePunct w:val="0"/>
        <w:autoSpaceDE/>
        <w:autoSpaceDN/>
        <w:bidi w:val="0"/>
        <w:spacing w:line="560" w:lineRule="exact"/>
        <w:ind w:firstLine="562" w:firstLineChars="200"/>
        <w:textAlignment w:val="auto"/>
        <w:outlineLvl w:val="2"/>
        <w:rPr>
          <w:rFonts w:hint="eastAsia" w:ascii="仿宋_GB2312" w:hAnsi="仿宋_GB2312" w:eastAsia="仿宋_GB2312" w:cs="仿宋_GB2312"/>
          <w:b/>
          <w:bCs/>
          <w:kern w:val="2"/>
          <w:sz w:val="28"/>
          <w:szCs w:val="32"/>
          <w:lang w:val="en-US" w:eastAsia="zh-CN" w:bidi="ar-SA"/>
          <w14:ligatures w14:val="standardContextual"/>
        </w:rPr>
      </w:pPr>
      <w:r>
        <w:rPr>
          <w:rFonts w:hint="eastAsia" w:ascii="仿宋_GB2312" w:hAnsi="仿宋_GB2312" w:eastAsia="仿宋_GB2312" w:cs="仿宋_GB2312"/>
          <w:b/>
          <w:bCs/>
          <w:kern w:val="2"/>
          <w:sz w:val="28"/>
          <w:szCs w:val="32"/>
          <w:lang w:val="en-US" w:eastAsia="zh-CN" w:bidi="ar-SA"/>
          <w14:ligatures w14:val="standardContextual"/>
        </w:rPr>
        <w:t>方案评议</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于送达的《项目方案》，询价方将按内部程序要求组织评议，报价方应提前按本项目的询价要求编制相关技术文件及实施文件。通过评议的，该报价方将进入比质比价环节；评议为不满足本询价要求的，不再进入比质比价环节。</w:t>
      </w:r>
    </w:p>
    <w:p>
      <w:pPr>
        <w:keepNext/>
        <w:keepLines/>
        <w:pageBreakBefore w:val="0"/>
        <w:numPr>
          <w:ilvl w:val="0"/>
          <w:numId w:val="5"/>
        </w:numPr>
        <w:kinsoku/>
        <w:wordWrap/>
        <w:overflowPunct/>
        <w:topLinePunct w:val="0"/>
        <w:autoSpaceDE/>
        <w:autoSpaceDN/>
        <w:bidi w:val="0"/>
        <w:spacing w:line="560" w:lineRule="exact"/>
        <w:ind w:firstLine="562" w:firstLineChars="200"/>
        <w:textAlignment w:val="auto"/>
        <w:outlineLvl w:val="2"/>
        <w:rPr>
          <w:rFonts w:hint="eastAsia" w:ascii="仿宋_GB2312" w:hAnsi="仿宋_GB2312" w:eastAsia="仿宋_GB2312" w:cs="仿宋_GB2312"/>
          <w:b/>
          <w:bCs/>
          <w:kern w:val="2"/>
          <w:sz w:val="28"/>
          <w:szCs w:val="32"/>
          <w:lang w:val="en-US" w:eastAsia="zh-CN" w:bidi="ar-SA"/>
          <w14:ligatures w14:val="standardContextual"/>
        </w:rPr>
      </w:pPr>
      <w:r>
        <w:rPr>
          <w:rFonts w:hint="eastAsia" w:ascii="仿宋_GB2312" w:hAnsi="仿宋_GB2312" w:eastAsia="仿宋_GB2312" w:cs="仿宋_GB2312"/>
          <w:b/>
          <w:bCs/>
          <w:kern w:val="2"/>
          <w:sz w:val="28"/>
          <w:szCs w:val="32"/>
          <w:lang w:val="en-US" w:eastAsia="zh-CN" w:bidi="ar-SA"/>
          <w14:ligatures w14:val="standardContextual"/>
        </w:rPr>
        <w:t>比质比价</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过上述流程环节后，询价方将按内部程序要求组织对有效报价及方案进行比质比价，并与对应询价方进行价格谈判，最终确定采购相关事项。本次询价的比质比价评分采用“综合评分法”。总分100分。分值保留小数点后两位。</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报价方的评分总得分=F1+F2+F3</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其中：F1、F2、F3分别为商务部分得分、技术部分得分、价格部分得分三项评分因素的汇总得分，F1满分为</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分，F2满分为40分，F3满分为</w:t>
      </w:r>
      <w:r>
        <w:rPr>
          <w:rFonts w:hint="eastAsia" w:ascii="仿宋_GB2312" w:hAnsi="仿宋_GB2312" w:eastAsia="仿宋_GB2312" w:cs="仿宋_GB2312"/>
          <w:sz w:val="28"/>
          <w:szCs w:val="28"/>
          <w:lang w:val="en-US" w:eastAsia="zh-CN"/>
        </w:rPr>
        <w:t>40</w:t>
      </w:r>
      <w:r>
        <w:rPr>
          <w:rFonts w:hint="eastAsia" w:ascii="仿宋_GB2312" w:hAnsi="仿宋_GB2312" w:eastAsia="仿宋_GB2312" w:cs="仿宋_GB2312"/>
          <w:sz w:val="28"/>
          <w:szCs w:val="28"/>
        </w:rPr>
        <w:t>分。</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rPr>
        <w:sectPr>
          <w:footerReference r:id="rId4" w:type="first"/>
          <w:pgSz w:w="11906" w:h="16838"/>
          <w:pgMar w:top="1440" w:right="1800" w:bottom="1440" w:left="1800" w:header="851" w:footer="992" w:gutter="0"/>
          <w:pgNumType w:fmt="numberInDash" w:start="1"/>
          <w:cols w:space="425" w:num="1"/>
          <w:titlePg/>
          <w:docGrid w:type="lines" w:linePitch="381" w:charSpace="0"/>
        </w:sectPr>
      </w:pPr>
      <w:r>
        <w:rPr>
          <w:rFonts w:hint="eastAsia" w:ascii="仿宋_GB2312" w:hAnsi="仿宋_GB2312" w:eastAsia="仿宋_GB2312" w:cs="仿宋_GB2312"/>
          <w:sz w:val="28"/>
          <w:szCs w:val="28"/>
        </w:rPr>
        <w:t>询价方对每个有效报价方计分，详细评分规则如表1所示：</w:t>
      </w:r>
    </w:p>
    <w:p>
      <w:pPr>
        <w:pStyle w:val="6"/>
        <w:keepNext/>
        <w:pageBreakBefore w:val="0"/>
        <w:kinsoku/>
        <w:wordWrap/>
        <w:overflowPunct/>
        <w:topLinePunct w:val="0"/>
        <w:autoSpaceDE/>
        <w:autoSpaceDN/>
        <w:bidi w:val="0"/>
        <w:adjustRightInd w:val="0"/>
        <w:snapToGrid w:val="0"/>
        <w:spacing w:line="560" w:lineRule="exact"/>
        <w:ind w:left="0" w:leftChars="0"/>
        <w:jc w:val="center"/>
        <w:textAlignment w:val="auto"/>
        <w:rPr>
          <w:rFonts w:cs="Times New Roman"/>
          <w:sz w:val="28"/>
          <w:szCs w:val="40"/>
        </w:rPr>
      </w:pPr>
      <w:r>
        <w:rPr>
          <w:rFonts w:cs="Times New Roman"/>
          <w:sz w:val="28"/>
          <w:szCs w:val="40"/>
        </w:rPr>
        <w:t xml:space="preserve">表 </w:t>
      </w:r>
      <w:r>
        <w:rPr>
          <w:rFonts w:cs="Times New Roman"/>
          <w:sz w:val="28"/>
          <w:szCs w:val="40"/>
        </w:rPr>
        <w:fldChar w:fldCharType="begin"/>
      </w:r>
      <w:r>
        <w:rPr>
          <w:rFonts w:cs="Times New Roman"/>
          <w:sz w:val="28"/>
          <w:szCs w:val="40"/>
        </w:rPr>
        <w:instrText xml:space="preserve"> SEQ 表 \* ARABIC </w:instrText>
      </w:r>
      <w:r>
        <w:rPr>
          <w:rFonts w:cs="Times New Roman"/>
          <w:sz w:val="28"/>
          <w:szCs w:val="40"/>
        </w:rPr>
        <w:fldChar w:fldCharType="separate"/>
      </w:r>
      <w:r>
        <w:rPr>
          <w:rFonts w:cs="Times New Roman"/>
          <w:sz w:val="28"/>
          <w:szCs w:val="40"/>
        </w:rPr>
        <w:t>1</w:t>
      </w:r>
      <w:r>
        <w:rPr>
          <w:rFonts w:cs="Times New Roman"/>
          <w:sz w:val="28"/>
          <w:szCs w:val="40"/>
        </w:rPr>
        <w:fldChar w:fldCharType="end"/>
      </w:r>
      <w:r>
        <w:rPr>
          <w:rFonts w:cs="Times New Roman"/>
          <w:sz w:val="28"/>
          <w:szCs w:val="40"/>
        </w:rPr>
        <w:t xml:space="preserve"> 比质比价评分规则表</w:t>
      </w:r>
    </w:p>
    <w:p>
      <w:pPr>
        <w:pageBreakBefore w:val="0"/>
        <w:kinsoku/>
        <w:wordWrap/>
        <w:overflowPunct/>
        <w:topLinePunct w:val="0"/>
        <w:autoSpaceDE/>
        <w:autoSpaceDN/>
        <w:bidi w:val="0"/>
        <w:adjustRightInd w:val="0"/>
        <w:snapToGrid w:val="0"/>
        <w:spacing w:line="56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注意：表中提及的“全部条目要求”为对应“评分因素”所指章节内的全部要求内容。</w:t>
      </w:r>
    </w:p>
    <w:tbl>
      <w:tblPr>
        <w:tblStyle w:val="11"/>
        <w:tblW w:w="14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1985"/>
        <w:gridCol w:w="1417"/>
        <w:gridCol w:w="7513"/>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rPr>
            </w:pPr>
            <w:r>
              <w:rPr>
                <w:rFonts w:hint="eastAsia" w:ascii="宋体" w:hAnsi="宋体" w:eastAsia="宋体" w:cs="宋体"/>
                <w:b/>
              </w:rPr>
              <w:t>序号</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rPr>
            </w:pPr>
            <w:r>
              <w:rPr>
                <w:rFonts w:hint="eastAsia" w:ascii="宋体" w:hAnsi="宋体" w:eastAsia="宋体" w:cs="宋体"/>
                <w:b/>
              </w:rPr>
              <w:t>评分因素</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rPr>
            </w:pPr>
            <w:r>
              <w:rPr>
                <w:rFonts w:hint="eastAsia" w:ascii="宋体" w:hAnsi="宋体" w:eastAsia="宋体" w:cs="宋体"/>
                <w:b/>
              </w:rPr>
              <w:t>打分规则</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rPr>
            </w:pPr>
            <w:r>
              <w:rPr>
                <w:rFonts w:hint="eastAsia" w:ascii="宋体" w:hAnsi="宋体" w:eastAsia="宋体" w:cs="宋体"/>
                <w:b/>
              </w:rPr>
              <w:t>打分方式</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rPr>
            </w:pPr>
            <w:r>
              <w:rPr>
                <w:rFonts w:hint="eastAsia" w:ascii="宋体" w:hAnsi="宋体" w:eastAsia="宋体" w:cs="宋体"/>
                <w:b/>
              </w:rPr>
              <w:t>评分标准</w:t>
            </w:r>
          </w:p>
        </w:tc>
        <w:tc>
          <w:tcPr>
            <w:tcW w:w="1276" w:type="dxa"/>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rPr>
            </w:pPr>
            <w:r>
              <w:rPr>
                <w:rFonts w:hint="eastAsia" w:ascii="宋体" w:hAnsi="宋体" w:eastAsia="宋体" w:cs="宋体"/>
                <w:b/>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b/>
                <w:bCs/>
              </w:rPr>
            </w:pPr>
            <w:r>
              <w:rPr>
                <w:rFonts w:hint="eastAsia" w:ascii="宋体" w:hAnsi="宋体" w:eastAsia="宋体" w:cs="宋体"/>
                <w:b/>
                <w:bCs/>
              </w:rPr>
              <w:t>1</w:t>
            </w:r>
          </w:p>
        </w:tc>
        <w:tc>
          <w:tcPr>
            <w:tcW w:w="12474" w:type="dxa"/>
            <w:gridSpan w:val="4"/>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bCs/>
                <w:szCs w:val="21"/>
              </w:rPr>
            </w:pPr>
            <w:r>
              <w:rPr>
                <w:rFonts w:hint="eastAsia" w:ascii="宋体" w:hAnsi="宋体" w:eastAsia="宋体" w:cs="宋体"/>
                <w:b/>
                <w:bCs/>
              </w:rPr>
              <w:t>商务部分</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bCs/>
                <w:szCs w:val="21"/>
                <w:lang w:val="en-US" w:eastAsia="zh-CN"/>
              </w:rPr>
            </w:pPr>
            <w:r>
              <w:rPr>
                <w:rFonts w:hint="eastAsia" w:ascii="宋体" w:hAnsi="宋体" w:eastAsia="宋体" w:cs="宋体"/>
                <w:b/>
                <w:bCs/>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1.1</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综合实力要求</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最低分：0分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最高分：</w:t>
            </w:r>
            <w:r>
              <w:rPr>
                <w:rFonts w:hint="eastAsia" w:ascii="宋体" w:hAnsi="宋体" w:eastAsia="宋体" w:cs="宋体"/>
                <w:lang w:val="en-US" w:eastAsia="zh-CN"/>
              </w:rPr>
              <w:t>12</w:t>
            </w:r>
            <w:r>
              <w:rPr>
                <w:rFonts w:hint="eastAsia" w:ascii="宋体" w:hAnsi="宋体" w:eastAsia="宋体" w:cs="宋体"/>
              </w:rPr>
              <w:t>分</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手工打分</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w:t>
            </w:r>
            <w:r>
              <w:rPr>
                <w:rFonts w:hint="eastAsia" w:ascii="宋体" w:hAnsi="宋体" w:cs="宋体"/>
                <w:color w:val="auto"/>
                <w:lang w:val="en-US" w:eastAsia="zh-CN"/>
              </w:rPr>
              <w:t>应用</w:t>
            </w:r>
            <w:r>
              <w:rPr>
                <w:rFonts w:hint="eastAsia" w:ascii="宋体" w:hAnsi="宋体" w:eastAsia="宋体" w:cs="宋体"/>
                <w:color w:val="auto"/>
                <w:lang w:val="en-US" w:eastAsia="zh-CN"/>
              </w:rPr>
              <w:t>案例得分（最低0分、最高6分：）报价方所投产品</w:t>
            </w:r>
            <w:r>
              <w:rPr>
                <w:rFonts w:hint="eastAsia" w:ascii="宋体" w:hAnsi="宋体" w:eastAsia="宋体" w:cs="宋体"/>
                <w:color w:val="auto"/>
              </w:rPr>
              <w:t>近三年（20</w:t>
            </w:r>
            <w:r>
              <w:rPr>
                <w:rFonts w:hint="eastAsia" w:ascii="宋体" w:hAnsi="宋体" w:cs="宋体"/>
                <w:color w:val="auto"/>
                <w:lang w:val="en-US" w:eastAsia="zh-CN"/>
              </w:rPr>
              <w:t>22</w:t>
            </w:r>
            <w:r>
              <w:rPr>
                <w:rFonts w:hint="eastAsia" w:ascii="宋体" w:hAnsi="宋体" w:eastAsia="宋体" w:cs="宋体"/>
                <w:color w:val="auto"/>
              </w:rPr>
              <w:t>年1月</w:t>
            </w:r>
            <w:r>
              <w:rPr>
                <w:rFonts w:hint="eastAsia" w:ascii="宋体" w:hAnsi="宋体" w:eastAsia="宋体" w:cs="宋体"/>
                <w:color w:val="auto"/>
                <w:lang w:eastAsia="zh-CN"/>
              </w:rPr>
              <w:t>之后</w:t>
            </w:r>
            <w:r>
              <w:rPr>
                <w:rFonts w:hint="eastAsia" w:ascii="宋体" w:hAnsi="宋体" w:eastAsia="宋体" w:cs="宋体"/>
                <w:color w:val="auto"/>
              </w:rPr>
              <w:t>）（合同金额在1</w:t>
            </w:r>
            <w:r>
              <w:rPr>
                <w:rFonts w:hint="eastAsia" w:ascii="宋体" w:hAnsi="宋体" w:eastAsia="宋体" w:cs="宋体"/>
                <w:color w:val="auto"/>
                <w:lang w:val="en-US" w:eastAsia="zh-CN"/>
              </w:rPr>
              <w:t>5</w:t>
            </w:r>
            <w:r>
              <w:rPr>
                <w:rFonts w:hint="eastAsia" w:ascii="宋体" w:hAnsi="宋体" w:eastAsia="宋体" w:cs="宋体"/>
                <w:color w:val="auto"/>
              </w:rPr>
              <w:t>0万以上），</w:t>
            </w:r>
            <w:r>
              <w:rPr>
                <w:rFonts w:hint="eastAsia" w:ascii="宋体" w:hAnsi="宋体" w:eastAsia="宋体" w:cs="宋体"/>
                <w:color w:val="auto"/>
                <w:lang w:eastAsia="zh-CN"/>
              </w:rPr>
              <w:t>每</w:t>
            </w:r>
            <w:r>
              <w:rPr>
                <w:rFonts w:hint="eastAsia" w:ascii="宋体" w:hAnsi="宋体" w:eastAsia="宋体" w:cs="宋体"/>
                <w:color w:val="auto"/>
              </w:rPr>
              <w:t>提供</w:t>
            </w:r>
            <w:r>
              <w:rPr>
                <w:rFonts w:hint="eastAsia" w:ascii="宋体" w:hAnsi="宋体" w:eastAsia="宋体" w:cs="宋体"/>
                <w:color w:val="auto"/>
                <w:lang w:val="en-US" w:eastAsia="zh-CN"/>
              </w:rPr>
              <w:t>1</w:t>
            </w:r>
            <w:r>
              <w:rPr>
                <w:rFonts w:hint="eastAsia" w:ascii="宋体" w:hAnsi="宋体" w:eastAsia="宋体" w:cs="宋体"/>
                <w:color w:val="auto"/>
              </w:rPr>
              <w:t>个案例的合同复印件</w:t>
            </w:r>
            <w:r>
              <w:rPr>
                <w:rFonts w:hint="eastAsia" w:ascii="宋体" w:hAnsi="宋体" w:eastAsia="宋体" w:cs="宋体"/>
                <w:color w:val="auto"/>
                <w:lang w:eastAsia="zh-CN"/>
              </w:rPr>
              <w:t>与用户评价</w:t>
            </w:r>
            <w:r>
              <w:rPr>
                <w:rFonts w:hint="eastAsia" w:ascii="宋体" w:hAnsi="宋体" w:eastAsia="宋体" w:cs="宋体"/>
                <w:color w:val="auto"/>
              </w:rPr>
              <w:t>作为证明材料，得</w:t>
            </w:r>
            <w:r>
              <w:rPr>
                <w:rFonts w:hint="eastAsia" w:ascii="宋体" w:hAnsi="宋体" w:eastAsia="宋体" w:cs="宋体"/>
                <w:color w:val="auto"/>
                <w:lang w:val="en-US" w:eastAsia="zh-CN"/>
              </w:rPr>
              <w:t>1</w:t>
            </w:r>
            <w:r>
              <w:rPr>
                <w:rFonts w:hint="eastAsia" w:ascii="宋体" w:hAnsi="宋体" w:eastAsia="宋体" w:cs="宋体"/>
                <w:color w:val="auto"/>
              </w:rPr>
              <w:t>分；无相关证明材料，得0分。</w:t>
            </w:r>
          </w:p>
          <w:p>
            <w:pPr>
              <w:pStyle w:val="2"/>
              <w:ind w:left="0" w:leftChars="0" w:firstLine="0" w:firstLineChars="0"/>
              <w:rPr>
                <w:rFonts w:hint="eastAsia"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.资质得分（最低0分、最高1分）：报价方提供ISO20000（信息技术服务管理体系认证）证书，得1分；无相关证明材料，得0分。</w:t>
            </w:r>
          </w:p>
          <w:p>
            <w:pPr>
              <w:pStyle w:val="2"/>
              <w:ind w:left="0" w:leftChars="0" w:firstLine="0" w:firstLineChars="0"/>
              <w:rPr>
                <w:rFonts w:hint="eastAsia" w:ascii="宋体" w:hAnsi="宋体" w:eastAsia="宋体" w:cs="宋体"/>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.市场占有率（最低0分、最高5分）：报价方提供所投产品近五年（20</w:t>
            </w:r>
            <w:r>
              <w:rPr>
                <w:rFonts w:hint="eastAsia" w:ascii="宋体" w:hAnsi="宋体" w:cs="宋体"/>
                <w:color w:val="auto"/>
                <w:lang w:val="en-US" w:eastAsia="zh-CN"/>
              </w:rPr>
              <w:t>20</w:t>
            </w:r>
            <w:r>
              <w:rPr>
                <w:rFonts w:hint="eastAsia" w:ascii="宋体" w:hAnsi="宋体" w:eastAsia="宋体" w:cs="宋体"/>
                <w:color w:val="auto"/>
                <w:lang w:val="en-US" w:eastAsia="zh-CN"/>
              </w:rPr>
              <w:t>年~202</w:t>
            </w:r>
            <w:r>
              <w:rPr>
                <w:rFonts w:hint="eastAsia" w:ascii="宋体" w:hAnsi="宋体" w:cs="宋体"/>
                <w:color w:val="auto"/>
                <w:lang w:val="en-US" w:eastAsia="zh-CN"/>
              </w:rPr>
              <w:t>4</w:t>
            </w:r>
            <w:r>
              <w:rPr>
                <w:rFonts w:hint="eastAsia" w:ascii="宋体" w:hAnsi="宋体" w:eastAsia="宋体" w:cs="宋体"/>
                <w:color w:val="auto"/>
                <w:lang w:val="en-US" w:eastAsia="zh-CN"/>
              </w:rPr>
              <w:t>年）市场占有率证明材料，提供第三方专业评测机构的证明函或证书，有三年或以上排名第一的得5分，有一年排名第一的得3分；无相关证明材料或无排名第一的得0分。</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lang w:eastAsia="zh-CN"/>
              </w:rPr>
            </w:pPr>
            <w:r>
              <w:rPr>
                <w:rFonts w:hint="eastAsia" w:ascii="宋体" w:hAnsi="宋体" w:eastAsia="宋体" w:cs="宋体"/>
              </w:rPr>
              <w:t>1.</w:t>
            </w:r>
            <w:r>
              <w:rPr>
                <w:rFonts w:hint="eastAsia" w:ascii="宋体" w:hAnsi="宋体" w:eastAsia="宋体" w:cs="宋体"/>
                <w:lang w:val="en-US" w:eastAsia="zh-CN"/>
              </w:rPr>
              <w:t>2</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实施要求</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最低分：0分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最高分：</w:t>
            </w:r>
            <w:r>
              <w:rPr>
                <w:rFonts w:hint="eastAsia" w:ascii="宋体" w:hAnsi="宋体" w:eastAsia="宋体" w:cs="宋体"/>
                <w:lang w:val="en-US" w:eastAsia="zh-CN"/>
              </w:rPr>
              <w:t>4</w:t>
            </w:r>
            <w:r>
              <w:rPr>
                <w:rFonts w:hint="eastAsia" w:ascii="宋体" w:hAnsi="宋体" w:eastAsia="宋体" w:cs="宋体"/>
              </w:rPr>
              <w:t>分</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手工打分</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szCs w:val="21"/>
              </w:rPr>
            </w:pPr>
            <w:r>
              <w:rPr>
                <w:rFonts w:hint="eastAsia" w:ascii="宋体" w:hAnsi="宋体" w:eastAsia="宋体" w:cs="宋体"/>
                <w:szCs w:val="21"/>
              </w:rPr>
              <w:t>满足全部条目要求，得</w:t>
            </w:r>
            <w:r>
              <w:rPr>
                <w:rFonts w:hint="eastAsia" w:ascii="宋体" w:hAnsi="宋体" w:eastAsia="宋体" w:cs="宋体"/>
                <w:szCs w:val="21"/>
                <w:lang w:val="en-US" w:eastAsia="zh-CN"/>
              </w:rPr>
              <w:t>4</w:t>
            </w:r>
            <w:r>
              <w:rPr>
                <w:rFonts w:hint="eastAsia" w:ascii="宋体" w:hAnsi="宋体" w:eastAsia="宋体" w:cs="宋体"/>
                <w:szCs w:val="21"/>
              </w:rPr>
              <w:t>分；未满足全部条目要求且不满足项少于五条，得</w:t>
            </w:r>
            <w:r>
              <w:rPr>
                <w:rFonts w:hint="eastAsia" w:ascii="宋体" w:hAnsi="宋体" w:eastAsia="宋体" w:cs="宋体"/>
                <w:szCs w:val="21"/>
                <w:lang w:val="en-US" w:eastAsia="zh-CN"/>
              </w:rPr>
              <w:t>2</w:t>
            </w:r>
            <w:r>
              <w:rPr>
                <w:rFonts w:hint="eastAsia" w:ascii="宋体" w:hAnsi="宋体" w:eastAsia="宋体" w:cs="宋体"/>
                <w:szCs w:val="21"/>
              </w:rPr>
              <w:t>分；累计五条不满足，得0分。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b/>
                <w:bCs/>
                <w:szCs w:val="21"/>
              </w:rPr>
            </w:pPr>
            <w:r>
              <w:rPr>
                <w:rFonts w:hint="eastAsia" w:ascii="宋体" w:hAnsi="宋体" w:eastAsia="宋体" w:cs="宋体"/>
                <w:b/>
                <w:bCs/>
                <w:color w:val="FF0000"/>
              </w:rPr>
              <w:t>标“★”项不满足，为无效报价、无效方案。</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szCs w:val="21"/>
                <w:lang w:eastAsia="zh-CN"/>
              </w:rPr>
            </w:pPr>
            <w:r>
              <w:rPr>
                <w:rFonts w:hint="eastAsia" w:ascii="宋体" w:hAnsi="宋体" w:eastAsia="宋体" w:cs="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lang w:val="en-US" w:eastAsia="zh-CN"/>
              </w:rPr>
            </w:pPr>
            <w:r>
              <w:rPr>
                <w:rFonts w:hint="eastAsia" w:ascii="宋体" w:hAnsi="宋体" w:eastAsia="宋体" w:cs="宋体"/>
                <w:lang w:val="en-US" w:eastAsia="zh-CN"/>
              </w:rPr>
              <w:t>1.3</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lang w:eastAsia="zh-CN"/>
              </w:rPr>
            </w:pPr>
            <w:r>
              <w:rPr>
                <w:rFonts w:hint="eastAsia" w:ascii="宋体" w:hAnsi="宋体" w:eastAsia="宋体" w:cs="宋体"/>
                <w:lang w:eastAsia="zh-CN"/>
              </w:rPr>
              <w:t>售后与培训</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最低分：0分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kern w:val="2"/>
                <w:sz w:val="21"/>
                <w:szCs w:val="22"/>
                <w:lang w:val="en-US" w:eastAsia="zh-CN" w:bidi="ar-SA"/>
              </w:rPr>
            </w:pPr>
            <w:r>
              <w:rPr>
                <w:rFonts w:hint="eastAsia" w:ascii="宋体" w:hAnsi="宋体" w:eastAsia="宋体" w:cs="宋体"/>
              </w:rPr>
              <w:t>最高分：</w:t>
            </w:r>
            <w:r>
              <w:rPr>
                <w:rFonts w:hint="eastAsia" w:ascii="宋体" w:hAnsi="宋体" w:eastAsia="宋体" w:cs="宋体"/>
                <w:lang w:val="en-US" w:eastAsia="zh-CN"/>
              </w:rPr>
              <w:t>4</w:t>
            </w:r>
            <w:r>
              <w:rPr>
                <w:rFonts w:hint="eastAsia" w:ascii="宋体" w:hAnsi="宋体" w:eastAsia="宋体" w:cs="宋体"/>
              </w:rPr>
              <w:t>分</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kern w:val="2"/>
                <w:sz w:val="21"/>
                <w:szCs w:val="22"/>
                <w:lang w:val="en-US" w:eastAsia="zh-CN" w:bidi="ar-SA"/>
              </w:rPr>
            </w:pPr>
            <w:r>
              <w:rPr>
                <w:rFonts w:hint="eastAsia" w:ascii="宋体" w:hAnsi="宋体" w:eastAsia="宋体" w:cs="宋体"/>
              </w:rPr>
              <w:t>手工打分</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满足全部</w:t>
            </w:r>
            <w:r>
              <w:rPr>
                <w:rFonts w:hint="eastAsia" w:ascii="宋体" w:hAnsi="宋体" w:eastAsia="宋体" w:cs="宋体"/>
                <w:szCs w:val="21"/>
                <w:lang w:eastAsia="zh-CN"/>
              </w:rPr>
              <w:t>“售后要求”“培训要求”</w:t>
            </w:r>
            <w:r>
              <w:rPr>
                <w:rFonts w:hint="eastAsia" w:ascii="宋体" w:hAnsi="宋体" w:eastAsia="宋体" w:cs="宋体"/>
                <w:szCs w:val="21"/>
              </w:rPr>
              <w:t>条目要求，得</w:t>
            </w:r>
            <w:r>
              <w:rPr>
                <w:rFonts w:hint="eastAsia" w:ascii="宋体" w:hAnsi="宋体" w:eastAsia="宋体" w:cs="宋体"/>
                <w:szCs w:val="21"/>
                <w:lang w:val="en-US" w:eastAsia="zh-CN"/>
              </w:rPr>
              <w:t>4</w:t>
            </w:r>
            <w:r>
              <w:rPr>
                <w:rFonts w:hint="eastAsia" w:ascii="宋体" w:hAnsi="宋体" w:eastAsia="宋体" w:cs="宋体"/>
                <w:szCs w:val="21"/>
              </w:rPr>
              <w:t>分；未满足全部条目要求，得0分。</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b/>
                <w:bCs/>
              </w:rPr>
            </w:pPr>
            <w:r>
              <w:rPr>
                <w:rFonts w:hint="eastAsia" w:ascii="宋体" w:hAnsi="宋体" w:eastAsia="宋体" w:cs="宋体"/>
                <w:b/>
                <w:bCs/>
              </w:rPr>
              <w:t>2</w:t>
            </w:r>
          </w:p>
        </w:tc>
        <w:tc>
          <w:tcPr>
            <w:tcW w:w="12474" w:type="dxa"/>
            <w:gridSpan w:val="4"/>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bCs/>
                <w:szCs w:val="21"/>
              </w:rPr>
            </w:pPr>
            <w:r>
              <w:rPr>
                <w:rFonts w:hint="eastAsia" w:ascii="宋体" w:hAnsi="宋体" w:eastAsia="宋体" w:cs="宋体"/>
                <w:b/>
                <w:bCs/>
                <w:szCs w:val="21"/>
              </w:rPr>
              <w:t>技术部分</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bCs/>
                <w:szCs w:val="21"/>
                <w:lang w:eastAsia="zh-CN"/>
              </w:rPr>
            </w:pPr>
            <w:r>
              <w:rPr>
                <w:rFonts w:hint="eastAsia" w:ascii="宋体" w:hAnsi="宋体" w:eastAsia="宋体" w:cs="宋体"/>
                <w:b/>
                <w:bCs/>
                <w:szCs w:val="21"/>
              </w:rPr>
              <w:t>4</w:t>
            </w:r>
            <w:r>
              <w:rPr>
                <w:rFonts w:hint="eastAsia" w:ascii="宋体" w:hAnsi="宋体" w:eastAsia="宋体" w:cs="宋体"/>
                <w:b/>
                <w:bCs/>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2.1</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lang w:eastAsia="zh-CN"/>
              </w:rPr>
            </w:pPr>
            <w:r>
              <w:rPr>
                <w:rFonts w:hint="eastAsia" w:ascii="宋体" w:hAnsi="宋体" w:eastAsia="宋体" w:cs="宋体"/>
              </w:rPr>
              <w:t>方案</w:t>
            </w:r>
            <w:r>
              <w:rPr>
                <w:rFonts w:hint="eastAsia" w:ascii="宋体" w:hAnsi="宋体" w:eastAsia="宋体" w:cs="宋体"/>
                <w:lang w:eastAsia="zh-CN"/>
              </w:rPr>
              <w:t>评议</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最低分：</w:t>
            </w:r>
            <w:r>
              <w:rPr>
                <w:rFonts w:hint="eastAsia" w:ascii="宋体" w:hAnsi="宋体" w:eastAsia="宋体" w:cs="宋体"/>
                <w:lang w:val="en-US" w:eastAsia="zh-CN"/>
              </w:rPr>
              <w:t>1</w:t>
            </w:r>
            <w:r>
              <w:rPr>
                <w:rFonts w:hint="eastAsia" w:ascii="宋体" w:hAnsi="宋体" w:eastAsia="宋体" w:cs="宋体"/>
              </w:rPr>
              <w:t>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最高分：</w:t>
            </w:r>
            <w:r>
              <w:rPr>
                <w:rFonts w:hint="eastAsia" w:ascii="宋体" w:hAnsi="宋体" w:eastAsia="宋体" w:cs="宋体"/>
                <w:lang w:val="en-US" w:eastAsia="zh-CN"/>
              </w:rPr>
              <w:t>5</w:t>
            </w:r>
            <w:r>
              <w:rPr>
                <w:rFonts w:hint="eastAsia" w:ascii="宋体" w:hAnsi="宋体" w:eastAsia="宋体" w:cs="宋体"/>
              </w:rPr>
              <w:t>分</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手工打分</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szCs w:val="21"/>
              </w:rPr>
            </w:pPr>
            <w:r>
              <w:rPr>
                <w:rFonts w:hint="eastAsia" w:ascii="宋体" w:hAnsi="宋体" w:eastAsia="宋体" w:cs="宋体"/>
                <w:szCs w:val="21"/>
              </w:rPr>
              <w:t>根据报价方提供的方案完整性</w:t>
            </w:r>
            <w:r>
              <w:rPr>
                <w:rFonts w:hint="eastAsia" w:ascii="宋体" w:hAnsi="宋体" w:eastAsia="宋体" w:cs="宋体"/>
                <w:szCs w:val="21"/>
                <w:lang w:eastAsia="zh-CN"/>
              </w:rPr>
              <w:t>、可实施性、</w:t>
            </w:r>
            <w:r>
              <w:rPr>
                <w:rFonts w:hint="eastAsia" w:ascii="宋体" w:hAnsi="宋体" w:eastAsia="宋体" w:cs="宋体"/>
                <w:szCs w:val="21"/>
              </w:rPr>
              <w:t>与询价方的现状契合程度</w:t>
            </w:r>
            <w:r>
              <w:rPr>
                <w:rFonts w:hint="eastAsia" w:ascii="宋体" w:hAnsi="宋体" w:eastAsia="宋体" w:cs="宋体"/>
                <w:szCs w:val="21"/>
                <w:lang w:eastAsia="zh-CN"/>
              </w:rPr>
              <w:t>等</w:t>
            </w:r>
            <w:r>
              <w:rPr>
                <w:rFonts w:hint="eastAsia" w:ascii="宋体" w:hAnsi="宋体" w:eastAsia="宋体" w:cs="宋体"/>
                <w:szCs w:val="21"/>
              </w:rPr>
              <w:t>进行分档打分，评议为“优秀”的得</w:t>
            </w:r>
            <w:r>
              <w:rPr>
                <w:rFonts w:hint="eastAsia" w:ascii="宋体" w:hAnsi="宋体" w:eastAsia="宋体" w:cs="宋体"/>
                <w:szCs w:val="21"/>
                <w:lang w:val="en-US" w:eastAsia="zh-CN"/>
              </w:rPr>
              <w:t>5</w:t>
            </w:r>
            <w:r>
              <w:rPr>
                <w:rFonts w:hint="eastAsia" w:ascii="宋体" w:hAnsi="宋体" w:eastAsia="宋体" w:cs="宋体"/>
                <w:szCs w:val="21"/>
              </w:rPr>
              <w:t>分，评议为“良好”的得</w:t>
            </w:r>
            <w:r>
              <w:rPr>
                <w:rFonts w:hint="eastAsia" w:ascii="宋体" w:hAnsi="宋体" w:eastAsia="宋体" w:cs="宋体"/>
                <w:szCs w:val="21"/>
                <w:lang w:val="en-US" w:eastAsia="zh-CN"/>
              </w:rPr>
              <w:t>3</w:t>
            </w:r>
            <w:r>
              <w:rPr>
                <w:rFonts w:hint="eastAsia" w:ascii="宋体" w:hAnsi="宋体" w:eastAsia="宋体" w:cs="宋体"/>
                <w:szCs w:val="21"/>
              </w:rPr>
              <w:t>分</w:t>
            </w:r>
            <w:r>
              <w:rPr>
                <w:rFonts w:hint="eastAsia" w:ascii="宋体" w:hAnsi="宋体" w:eastAsia="宋体" w:cs="宋体"/>
                <w:szCs w:val="21"/>
                <w:lang w:eastAsia="zh-CN"/>
              </w:rPr>
              <w:t>，</w:t>
            </w:r>
            <w:r>
              <w:rPr>
                <w:rFonts w:hint="eastAsia" w:ascii="宋体" w:hAnsi="宋体" w:eastAsia="宋体" w:cs="宋体"/>
                <w:szCs w:val="21"/>
              </w:rPr>
              <w:t>评议为“</w:t>
            </w:r>
            <w:r>
              <w:rPr>
                <w:rFonts w:hint="eastAsia" w:ascii="宋体" w:hAnsi="宋体" w:eastAsia="宋体" w:cs="宋体"/>
                <w:szCs w:val="21"/>
                <w:lang w:eastAsia="zh-CN"/>
              </w:rPr>
              <w:t>一般</w:t>
            </w:r>
            <w:r>
              <w:rPr>
                <w:rFonts w:hint="eastAsia" w:ascii="宋体" w:hAnsi="宋体" w:eastAsia="宋体" w:cs="宋体"/>
                <w:szCs w:val="21"/>
              </w:rPr>
              <w:t>”的得</w:t>
            </w:r>
            <w:r>
              <w:rPr>
                <w:rFonts w:hint="eastAsia" w:ascii="宋体" w:hAnsi="宋体" w:eastAsia="宋体" w:cs="宋体"/>
                <w:szCs w:val="21"/>
                <w:lang w:val="en-US" w:eastAsia="zh-CN"/>
              </w:rPr>
              <w:t>1</w:t>
            </w:r>
            <w:r>
              <w:rPr>
                <w:rFonts w:hint="eastAsia" w:ascii="宋体" w:hAnsi="宋体" w:eastAsia="宋体" w:cs="宋体"/>
                <w:szCs w:val="21"/>
              </w:rPr>
              <w:t>分。</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szCs w:val="21"/>
                <w:lang w:eastAsia="zh-CN"/>
              </w:rPr>
            </w:pPr>
            <w:r>
              <w:rPr>
                <w:rFonts w:hint="eastAsia" w:ascii="宋体" w:hAnsi="宋体" w:eastAsia="宋体" w:cs="宋体"/>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2.2</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lang w:eastAsia="zh-CN"/>
              </w:rPr>
            </w:pPr>
            <w:r>
              <w:rPr>
                <w:rFonts w:hint="eastAsia" w:ascii="宋体" w:hAnsi="宋体" w:eastAsia="宋体" w:cs="宋体"/>
                <w:lang w:eastAsia="zh-CN"/>
              </w:rPr>
              <w:t>主要技术参数</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最低分：0分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最高分：</w:t>
            </w:r>
            <w:r>
              <w:rPr>
                <w:rFonts w:hint="eastAsia" w:ascii="宋体" w:hAnsi="宋体" w:eastAsia="宋体" w:cs="宋体"/>
                <w:lang w:val="en-US" w:eastAsia="zh-CN"/>
              </w:rPr>
              <w:t>6</w:t>
            </w:r>
            <w:r>
              <w:rPr>
                <w:rFonts w:hint="eastAsia" w:ascii="宋体" w:hAnsi="宋体" w:eastAsia="宋体" w:cs="宋体"/>
              </w:rPr>
              <w:t>分</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手工打分</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满足全部条目要求，得</w:t>
            </w:r>
            <w:r>
              <w:rPr>
                <w:rFonts w:hint="eastAsia" w:ascii="宋体" w:hAnsi="宋体" w:eastAsia="宋体" w:cs="宋体"/>
                <w:lang w:val="en-US" w:eastAsia="zh-CN"/>
              </w:rPr>
              <w:t>6</w:t>
            </w:r>
            <w:r>
              <w:rPr>
                <w:rFonts w:hint="eastAsia" w:ascii="宋体" w:hAnsi="宋体" w:eastAsia="宋体" w:cs="宋体"/>
              </w:rPr>
              <w:t>分；未满足全部条目要求，得0分。</w:t>
            </w:r>
          </w:p>
          <w:p>
            <w:pPr>
              <w:pStyle w:val="2"/>
              <w:ind w:left="0" w:leftChars="0" w:firstLine="0" w:firstLineChars="0"/>
              <w:rPr>
                <w:rFonts w:hint="eastAsia" w:ascii="宋体" w:hAnsi="宋体" w:eastAsia="宋体" w:cs="宋体"/>
              </w:rPr>
            </w:pPr>
            <w:r>
              <w:rPr>
                <w:rFonts w:hint="eastAsia" w:ascii="宋体" w:hAnsi="宋体" w:eastAsia="宋体" w:cs="宋体"/>
                <w:b/>
                <w:bCs/>
                <w:color w:val="FF0000"/>
              </w:rPr>
              <w:t>标“★”项不满足，为无效报价、无效方案。</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szCs w:val="21"/>
                <w:lang w:eastAsia="zh-CN"/>
              </w:rPr>
            </w:pPr>
            <w:r>
              <w:rPr>
                <w:rFonts w:hint="eastAsia" w:ascii="宋体" w:hAnsi="宋体" w:eastAsia="宋体" w:cs="宋体"/>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2.3</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功能要求</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最低分：0分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最高分：1</w:t>
            </w:r>
            <w:r>
              <w:rPr>
                <w:rFonts w:hint="eastAsia" w:ascii="宋体" w:hAnsi="宋体" w:eastAsia="宋体" w:cs="宋体"/>
                <w:lang w:val="en-US" w:eastAsia="zh-CN"/>
              </w:rPr>
              <w:t>5</w:t>
            </w:r>
            <w:r>
              <w:rPr>
                <w:rFonts w:hint="eastAsia" w:ascii="宋体" w:hAnsi="宋体" w:eastAsia="宋体" w:cs="宋体"/>
              </w:rPr>
              <w:t>分</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手工打分</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szCs w:val="21"/>
              </w:rPr>
            </w:pPr>
            <w:r>
              <w:rPr>
                <w:rFonts w:hint="eastAsia" w:ascii="宋体" w:hAnsi="宋体" w:eastAsia="宋体" w:cs="宋体"/>
                <w:szCs w:val="21"/>
              </w:rPr>
              <w:t>满足全部条目要求，得1</w:t>
            </w:r>
            <w:r>
              <w:rPr>
                <w:rFonts w:hint="eastAsia" w:ascii="宋体" w:hAnsi="宋体" w:eastAsia="宋体" w:cs="宋体"/>
                <w:szCs w:val="21"/>
                <w:lang w:val="en-US" w:eastAsia="zh-CN"/>
              </w:rPr>
              <w:t>5</w:t>
            </w:r>
            <w:r>
              <w:rPr>
                <w:rFonts w:hint="eastAsia" w:ascii="宋体" w:hAnsi="宋体" w:eastAsia="宋体" w:cs="宋体"/>
                <w:szCs w:val="21"/>
              </w:rPr>
              <w:t>分；未满足全部条目要求且不满足项少于五条，得</w:t>
            </w:r>
            <w:r>
              <w:rPr>
                <w:rFonts w:hint="eastAsia" w:ascii="宋体" w:hAnsi="宋体" w:eastAsia="宋体" w:cs="宋体"/>
                <w:szCs w:val="21"/>
                <w:lang w:val="en-US" w:eastAsia="zh-CN"/>
              </w:rPr>
              <w:t>8</w:t>
            </w:r>
            <w:r>
              <w:rPr>
                <w:rFonts w:hint="eastAsia" w:ascii="宋体" w:hAnsi="宋体" w:eastAsia="宋体" w:cs="宋体"/>
                <w:szCs w:val="21"/>
              </w:rPr>
              <w:t>分；累计五条不满足，得0分。</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szCs w:val="21"/>
                <w:lang w:eastAsia="zh-CN"/>
              </w:rPr>
            </w:pPr>
            <w:r>
              <w:rPr>
                <w:rFonts w:hint="eastAsia" w:ascii="宋体" w:hAnsi="宋体" w:eastAsia="宋体" w:cs="宋体"/>
                <w:szCs w:val="21"/>
              </w:rPr>
              <w:t>1</w:t>
            </w:r>
            <w:r>
              <w:rPr>
                <w:rFonts w:hint="eastAsia" w:ascii="宋体" w:hAnsi="宋体" w:eastAsia="宋体" w:cs="宋体"/>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2.4</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性能要求</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最低分：0分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最高分：</w:t>
            </w:r>
            <w:r>
              <w:rPr>
                <w:rFonts w:hint="eastAsia" w:ascii="宋体" w:hAnsi="宋体" w:eastAsia="宋体" w:cs="宋体"/>
                <w:lang w:val="en-US" w:eastAsia="zh-CN"/>
              </w:rPr>
              <w:t>4</w:t>
            </w:r>
            <w:r>
              <w:rPr>
                <w:rFonts w:hint="eastAsia" w:ascii="宋体" w:hAnsi="宋体" w:eastAsia="宋体" w:cs="宋体"/>
              </w:rPr>
              <w:t>分</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手工打分</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szCs w:val="21"/>
              </w:rPr>
            </w:pPr>
            <w:r>
              <w:rPr>
                <w:rFonts w:hint="eastAsia" w:ascii="宋体" w:hAnsi="宋体" w:eastAsia="宋体" w:cs="宋体"/>
                <w:szCs w:val="21"/>
              </w:rPr>
              <w:t>满足全部条目要求，得</w:t>
            </w:r>
            <w:r>
              <w:rPr>
                <w:rFonts w:hint="eastAsia" w:ascii="宋体" w:hAnsi="宋体" w:eastAsia="宋体" w:cs="宋体"/>
                <w:szCs w:val="21"/>
                <w:lang w:val="en-US" w:eastAsia="zh-CN"/>
              </w:rPr>
              <w:t>4</w:t>
            </w:r>
            <w:r>
              <w:rPr>
                <w:rFonts w:hint="eastAsia" w:ascii="宋体" w:hAnsi="宋体" w:eastAsia="宋体" w:cs="宋体"/>
                <w:szCs w:val="21"/>
              </w:rPr>
              <w:t>分；未满足全部条目要求，得0分。</w:t>
            </w:r>
          </w:p>
          <w:p>
            <w:pPr>
              <w:pStyle w:val="2"/>
              <w:ind w:left="0" w:leftChars="0" w:firstLine="0" w:firstLineChars="0"/>
              <w:rPr>
                <w:rFonts w:hint="eastAsia"/>
              </w:rPr>
            </w:pPr>
            <w:r>
              <w:rPr>
                <w:rFonts w:hint="eastAsia" w:ascii="宋体" w:hAnsi="宋体" w:eastAsia="宋体" w:cs="宋体"/>
                <w:b/>
                <w:bCs/>
                <w:color w:val="FF0000"/>
              </w:rPr>
              <w:t>标“★”项不满足，为无效报价、无效方案。</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szCs w:val="21"/>
                <w:lang w:eastAsia="zh-CN"/>
              </w:rPr>
            </w:pPr>
            <w:r>
              <w:rPr>
                <w:rFonts w:hint="eastAsia" w:ascii="宋体" w:hAnsi="宋体" w:eastAsia="宋体" w:cs="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lang w:val="en-US" w:eastAsia="zh-CN"/>
              </w:rPr>
            </w:pPr>
            <w:r>
              <w:rPr>
                <w:rFonts w:hint="eastAsia" w:ascii="宋体" w:hAnsi="宋体" w:eastAsia="宋体" w:cs="宋体"/>
              </w:rPr>
              <w:t>2.</w:t>
            </w:r>
            <w:r>
              <w:rPr>
                <w:rFonts w:hint="eastAsia" w:ascii="宋体" w:hAnsi="宋体" w:eastAsia="宋体" w:cs="宋体"/>
                <w:lang w:val="en-US" w:eastAsia="zh-CN"/>
              </w:rPr>
              <w:t>5</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安全管理要求</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最低分：0分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最高分：1</w:t>
            </w:r>
            <w:r>
              <w:rPr>
                <w:rFonts w:hint="eastAsia" w:ascii="宋体" w:hAnsi="宋体" w:eastAsia="宋体" w:cs="宋体"/>
                <w:lang w:val="en-US" w:eastAsia="zh-CN"/>
              </w:rPr>
              <w:t>0</w:t>
            </w:r>
            <w:r>
              <w:rPr>
                <w:rFonts w:hint="eastAsia" w:ascii="宋体" w:hAnsi="宋体" w:eastAsia="宋体" w:cs="宋体"/>
              </w:rPr>
              <w:t>分</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手工打分</w:t>
            </w:r>
          </w:p>
        </w:tc>
        <w:tc>
          <w:tcPr>
            <w:tcW w:w="7513"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szCs w:val="21"/>
              </w:rPr>
            </w:pPr>
            <w:r>
              <w:rPr>
                <w:rFonts w:hint="eastAsia" w:ascii="宋体" w:hAnsi="宋体" w:eastAsia="宋体" w:cs="宋体"/>
                <w:szCs w:val="21"/>
              </w:rPr>
              <w:t>满足全部条目要求，得1</w:t>
            </w:r>
            <w:r>
              <w:rPr>
                <w:rFonts w:hint="eastAsia" w:ascii="宋体" w:hAnsi="宋体" w:eastAsia="宋体" w:cs="宋体"/>
                <w:szCs w:val="21"/>
                <w:lang w:val="en-US" w:eastAsia="zh-CN"/>
              </w:rPr>
              <w:t>0</w:t>
            </w:r>
            <w:r>
              <w:rPr>
                <w:rFonts w:hint="eastAsia" w:ascii="宋体" w:hAnsi="宋体" w:eastAsia="宋体" w:cs="宋体"/>
                <w:szCs w:val="21"/>
              </w:rPr>
              <w:t>分；未满足全部条目要求且不满足项少于五条，得</w:t>
            </w:r>
            <w:r>
              <w:rPr>
                <w:rFonts w:hint="eastAsia" w:ascii="宋体" w:hAnsi="宋体" w:eastAsia="宋体" w:cs="宋体"/>
                <w:szCs w:val="21"/>
                <w:lang w:val="en-US" w:eastAsia="zh-CN"/>
              </w:rPr>
              <w:t>5</w:t>
            </w:r>
            <w:r>
              <w:rPr>
                <w:rFonts w:hint="eastAsia" w:ascii="宋体" w:hAnsi="宋体" w:eastAsia="宋体" w:cs="宋体"/>
                <w:szCs w:val="21"/>
              </w:rPr>
              <w:t>分；累计五条不满足，得0分。</w:t>
            </w:r>
          </w:p>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szCs w:val="21"/>
              </w:rPr>
            </w:pPr>
            <w:r>
              <w:rPr>
                <w:rFonts w:hint="eastAsia" w:ascii="宋体" w:hAnsi="宋体" w:eastAsia="宋体" w:cs="宋体"/>
                <w:b/>
                <w:bCs/>
                <w:color w:val="FF0000"/>
              </w:rPr>
              <w:t>标“★”项不满足，为无效报价、无效方案。</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b/>
                <w:bCs/>
              </w:rPr>
            </w:pPr>
            <w:r>
              <w:rPr>
                <w:rFonts w:hint="eastAsia" w:ascii="宋体" w:hAnsi="宋体" w:eastAsia="宋体" w:cs="宋体"/>
                <w:b/>
                <w:bCs/>
              </w:rPr>
              <w:t>3</w:t>
            </w:r>
          </w:p>
        </w:tc>
        <w:tc>
          <w:tcPr>
            <w:tcW w:w="12474" w:type="dxa"/>
            <w:gridSpan w:val="4"/>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bCs/>
                <w:szCs w:val="21"/>
              </w:rPr>
            </w:pPr>
            <w:r>
              <w:rPr>
                <w:rFonts w:hint="eastAsia" w:ascii="宋体" w:hAnsi="宋体" w:eastAsia="宋体" w:cs="宋体"/>
                <w:b/>
                <w:bCs/>
                <w:szCs w:val="21"/>
              </w:rPr>
              <w:t>价格部分</w:t>
            </w:r>
          </w:p>
        </w:tc>
        <w:tc>
          <w:tcPr>
            <w:tcW w:w="127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bCs/>
                <w:szCs w:val="21"/>
                <w:lang w:val="en-US" w:eastAsia="zh-CN"/>
              </w:rPr>
            </w:pPr>
            <w:r>
              <w:rPr>
                <w:rFonts w:hint="eastAsia" w:ascii="宋体" w:hAnsi="宋体" w:eastAsia="宋体" w:cs="宋体"/>
                <w:b/>
                <w:bCs/>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6" w:hRule="atLeast"/>
          <w:jc w:val="center"/>
        </w:trPr>
        <w:tc>
          <w:tcPr>
            <w:tcW w:w="846"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3.1</w:t>
            </w:r>
          </w:p>
        </w:tc>
        <w:tc>
          <w:tcPr>
            <w:tcW w:w="1559"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rPr>
            </w:pPr>
            <w:r>
              <w:rPr>
                <w:rFonts w:hint="eastAsia" w:ascii="宋体" w:hAnsi="宋体" w:eastAsia="宋体" w:cs="宋体"/>
              </w:rPr>
              <w:t>合格报价</w:t>
            </w:r>
          </w:p>
        </w:tc>
        <w:tc>
          <w:tcPr>
            <w:tcW w:w="1985"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w:t>
            </w:r>
          </w:p>
        </w:tc>
        <w:tc>
          <w:tcPr>
            <w:tcW w:w="1417" w:type="dxa"/>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rPr>
            </w:pPr>
            <w:r>
              <w:rPr>
                <w:rFonts w:hint="eastAsia" w:ascii="宋体" w:hAnsi="宋体" w:eastAsia="宋体" w:cs="宋体"/>
              </w:rPr>
              <w:t>计算得分</w:t>
            </w:r>
          </w:p>
        </w:tc>
        <w:tc>
          <w:tcPr>
            <w:tcW w:w="7513" w:type="dxa"/>
            <w:vAlign w:val="center"/>
          </w:tcPr>
          <w:p>
            <w:pPr>
              <w:pStyle w:val="7"/>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bCs/>
                <w:kern w:val="0"/>
                <w:szCs w:val="21"/>
              </w:rPr>
            </w:pPr>
            <w:r>
              <w:rPr>
                <w:rFonts w:hint="eastAsia" w:ascii="宋体" w:hAnsi="宋体" w:eastAsia="宋体" w:cs="宋体"/>
                <w:b/>
                <w:kern w:val="0"/>
                <w:szCs w:val="21"/>
              </w:rPr>
              <w:t>基准价：</w:t>
            </w:r>
            <w:r>
              <w:rPr>
                <w:rFonts w:hint="eastAsia" w:ascii="宋体" w:hAnsi="宋体" w:eastAsia="宋体" w:cs="宋体"/>
                <w:bCs/>
                <w:kern w:val="0"/>
                <w:szCs w:val="21"/>
              </w:rPr>
              <w:t>以初步审查合格的各报价方投标报价的算术平均值为基准价。</w:t>
            </w:r>
          </w:p>
          <w:p>
            <w:pPr>
              <w:pStyle w:val="7"/>
              <w:keepLines w:val="0"/>
              <w:pageBreakBefore w:val="0"/>
              <w:widowControl w:val="0"/>
              <w:kinsoku/>
              <w:wordWrap/>
              <w:overflowPunct/>
              <w:topLinePunct w:val="0"/>
              <w:autoSpaceDE/>
              <w:autoSpaceDN/>
              <w:bidi w:val="0"/>
              <w:adjustRightInd w:val="0"/>
              <w:snapToGrid w:val="0"/>
              <w:spacing w:line="240" w:lineRule="auto"/>
              <w:ind w:left="0" w:leftChars="0" w:firstLine="0"/>
              <w:textAlignment w:val="auto"/>
              <w:rPr>
                <w:rFonts w:hint="eastAsia" w:ascii="宋体" w:hAnsi="宋体" w:eastAsia="宋体" w:cs="宋体"/>
                <w:szCs w:val="21"/>
              </w:rPr>
            </w:pPr>
            <w:r>
              <w:rPr>
                <w:rFonts w:hint="eastAsia" w:ascii="宋体" w:hAnsi="宋体" w:eastAsia="宋体" w:cs="宋体"/>
                <w:b/>
                <w:kern w:val="0"/>
                <w:szCs w:val="21"/>
              </w:rPr>
              <w:t>得分方法：</w:t>
            </w:r>
            <w:r>
              <w:rPr>
                <w:rFonts w:hint="eastAsia" w:ascii="宋体" w:hAnsi="宋体" w:eastAsia="宋体" w:cs="宋体"/>
                <w:bCs/>
                <w:kern w:val="0"/>
                <w:szCs w:val="21"/>
              </w:rPr>
              <w:t>等于基准价的得满分（</w:t>
            </w:r>
            <w:r>
              <w:rPr>
                <w:rFonts w:hint="eastAsia" w:ascii="宋体" w:hAnsi="宋体" w:eastAsia="宋体" w:cs="宋体"/>
                <w:bCs/>
                <w:kern w:val="0"/>
                <w:szCs w:val="21"/>
                <w:lang w:val="en-US" w:eastAsia="zh-CN"/>
              </w:rPr>
              <w:t>40</w:t>
            </w:r>
            <w:r>
              <w:rPr>
                <w:rFonts w:hint="eastAsia" w:ascii="宋体" w:hAnsi="宋体" w:eastAsia="宋体" w:cs="宋体"/>
                <w:bCs/>
                <w:kern w:val="0"/>
                <w:szCs w:val="21"/>
              </w:rPr>
              <w:t>分）；高于或低于基准价的，每偏离基准价3%扣0.1分，扣完为止；所有计算保留2位小数。</w:t>
            </w:r>
          </w:p>
        </w:tc>
        <w:tc>
          <w:tcPr>
            <w:tcW w:w="1276" w:type="dxa"/>
            <w:vAlign w:val="center"/>
          </w:tcPr>
          <w:p>
            <w:pPr>
              <w:pStyle w:val="7"/>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Cs/>
                <w:kern w:val="0"/>
                <w:szCs w:val="21"/>
                <w:lang w:val="en-US" w:eastAsia="zh-CN"/>
              </w:rPr>
            </w:pPr>
            <w:r>
              <w:rPr>
                <w:rFonts w:hint="eastAsia" w:ascii="宋体" w:hAnsi="宋体" w:eastAsia="宋体" w:cs="宋体"/>
                <w:bCs/>
                <w:kern w:val="0"/>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320" w:type="dxa"/>
            <w:gridSpan w:val="5"/>
            <w:vAlign w:val="center"/>
          </w:tcPr>
          <w:p>
            <w:pPr>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bCs/>
              </w:rPr>
            </w:pPr>
            <w:r>
              <w:rPr>
                <w:rFonts w:hint="eastAsia" w:ascii="宋体" w:hAnsi="宋体" w:eastAsia="宋体" w:cs="宋体"/>
                <w:b/>
                <w:bCs/>
              </w:rPr>
              <w:t>合计</w:t>
            </w:r>
          </w:p>
        </w:tc>
        <w:tc>
          <w:tcPr>
            <w:tcW w:w="1276" w:type="dxa"/>
            <w:vAlign w:val="center"/>
          </w:tcPr>
          <w:p>
            <w:pPr>
              <w:keepNext/>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宋体" w:hAnsi="宋体" w:eastAsia="宋体" w:cs="宋体"/>
                <w:b/>
                <w:bCs/>
              </w:rPr>
            </w:pPr>
            <w:r>
              <w:rPr>
                <w:rFonts w:hint="eastAsia" w:ascii="宋体" w:hAnsi="宋体" w:eastAsia="宋体" w:cs="宋体"/>
                <w:b/>
                <w:bCs/>
              </w:rPr>
              <w:t>100</w:t>
            </w:r>
          </w:p>
        </w:tc>
      </w:tr>
    </w:tbl>
    <w:p>
      <w:pPr>
        <w:pageBreakBefore w:val="0"/>
        <w:numPr>
          <w:ilvl w:val="0"/>
          <w:numId w:val="0"/>
        </w:numPr>
        <w:kinsoku/>
        <w:wordWrap/>
        <w:overflowPunct/>
        <w:topLinePunct w:val="0"/>
        <w:autoSpaceDE/>
        <w:autoSpaceDN/>
        <w:bidi w:val="0"/>
        <w:adjustRightInd w:val="0"/>
        <w:snapToGrid w:val="0"/>
        <w:spacing w:line="560" w:lineRule="exact"/>
        <w:ind w:left="0" w:leftChars="0"/>
        <w:textAlignment w:val="auto"/>
        <w:outlineLvl w:val="1"/>
        <w:rPr>
          <w:rFonts w:ascii="楷体" w:hAnsi="楷体" w:eastAsia="楷体" w:cs="Times New Roman"/>
          <w:b/>
          <w:sz w:val="24"/>
          <w:szCs w:val="24"/>
        </w:rPr>
        <w:sectPr>
          <w:pgSz w:w="16838" w:h="11906" w:orient="landscape"/>
          <w:pgMar w:top="1440" w:right="1800" w:bottom="1440" w:left="1800" w:header="851" w:footer="189" w:gutter="0"/>
          <w:cols w:space="425" w:num="1"/>
          <w:docGrid w:type="lines" w:linePitch="312" w:charSpace="0"/>
        </w:sectPr>
      </w:pPr>
    </w:p>
    <w:p>
      <w:pPr>
        <w:pageBreakBefore w:val="0"/>
        <w:numPr>
          <w:ilvl w:val="0"/>
          <w:numId w:val="0"/>
        </w:numPr>
        <w:kinsoku/>
        <w:wordWrap/>
        <w:overflowPunct/>
        <w:topLinePunct w:val="0"/>
        <w:autoSpaceDE/>
        <w:autoSpaceDN/>
        <w:bidi w:val="0"/>
        <w:spacing w:line="560" w:lineRule="exact"/>
        <w:textAlignment w:val="auto"/>
        <w:rPr>
          <w:rFonts w:hint="eastAsia" w:ascii="仿宋" w:hAnsi="仿宋" w:eastAsia="仿宋" w:cs="Times New Roman"/>
          <w:sz w:val="28"/>
          <w:szCs w:val="28"/>
        </w:rPr>
      </w:pPr>
    </w:p>
    <w:p>
      <w:pPr>
        <w:keepNext/>
        <w:keepLines/>
        <w:pageBreakBefore w:val="0"/>
        <w:numPr>
          <w:ilvl w:val="0"/>
          <w:numId w:val="0"/>
        </w:numPr>
        <w:kinsoku/>
        <w:wordWrap/>
        <w:overflowPunct/>
        <w:topLinePunct w:val="0"/>
        <w:autoSpaceDE/>
        <w:autoSpaceDN/>
        <w:bidi w:val="0"/>
        <w:spacing w:line="560" w:lineRule="exact"/>
        <w:ind w:leftChars="0"/>
        <w:textAlignment w:val="auto"/>
        <w:outlineLvl w:val="0"/>
        <w:rPr>
          <w:rFonts w:ascii="Times New Roman" w:hAnsi="Times New Roman" w:eastAsia="黑体" w:cs="Times New Roman"/>
          <w:b/>
          <w:bCs/>
          <w:kern w:val="44"/>
          <w:sz w:val="32"/>
          <w:szCs w:val="44"/>
          <w:lang w:val="en-US" w:eastAsia="zh-CN" w:bidi="ar-SA"/>
          <w14:ligatures w14:val="standardContextual"/>
        </w:rPr>
      </w:pPr>
      <w:r>
        <w:rPr>
          <w:rFonts w:hint="eastAsia" w:ascii="Times New Roman" w:hAnsi="Times New Roman" w:eastAsia="黑体" w:cs="Times New Roman"/>
          <w:b/>
          <w:bCs/>
          <w:kern w:val="44"/>
          <w:sz w:val="32"/>
          <w:szCs w:val="44"/>
          <w:lang w:val="en-US" w:eastAsia="zh-CN" w:bidi="ar-SA"/>
          <w14:ligatures w14:val="standardContextual"/>
        </w:rPr>
        <w:t>四、商务要求</w:t>
      </w:r>
    </w:p>
    <w:p>
      <w:pPr>
        <w:keepNext/>
        <w:keepLines/>
        <w:pageBreakBefore w:val="0"/>
        <w:kinsoku/>
        <w:wordWrap/>
        <w:overflowPunct/>
        <w:topLinePunct w:val="0"/>
        <w:autoSpaceDE/>
        <w:autoSpaceDN/>
        <w:bidi w:val="0"/>
        <w:spacing w:line="560" w:lineRule="exact"/>
        <w:textAlignment w:val="auto"/>
        <w:outlineLvl w:val="1"/>
        <w:rPr>
          <w:rFonts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（一）付款要求</w:t>
      </w:r>
    </w:p>
    <w:p>
      <w:pPr>
        <w:pageBreakBefore w:val="0"/>
        <w:widowControl/>
        <w:kinsoku/>
        <w:wordWrap/>
        <w:overflowPunct/>
        <w:topLinePunct w:val="0"/>
        <w:autoSpaceDE/>
        <w:autoSpaceDN/>
        <w:bidi w:val="0"/>
        <w:spacing w:line="560" w:lineRule="exact"/>
        <w:ind w:firstLine="560" w:firstLineChars="20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合同签署生效后，询价方向此次询价的中标方（以下简称中标方）支付合同总额的30%作为预付款；中标方团队入场实施，完成系统</w:t>
      </w:r>
      <w:r>
        <w:rPr>
          <w:rFonts w:hint="eastAsia" w:ascii="仿宋_GB2312" w:hAnsi="仿宋_GB2312" w:eastAsia="仿宋_GB2312" w:cs="仿宋_GB2312"/>
          <w:sz w:val="28"/>
          <w:szCs w:val="28"/>
          <w:lang w:eastAsia="zh-CN"/>
          <w14:ligatures w14:val="standardContextual"/>
        </w:rPr>
        <w:t>部署上线，完成产品授权及项目培训服务交付，</w:t>
      </w:r>
      <w:r>
        <w:rPr>
          <w:rFonts w:hint="eastAsia" w:ascii="仿宋_GB2312" w:hAnsi="仿宋_GB2312" w:eastAsia="仿宋_GB2312" w:cs="仿宋_GB2312"/>
          <w:sz w:val="28"/>
          <w:szCs w:val="28"/>
          <w14:ligatures w14:val="standardContextual"/>
        </w:rPr>
        <w:t>并经询价方授权代表签字确认后，询价方向中标方支付合同总额的</w:t>
      </w:r>
      <w:r>
        <w:rPr>
          <w:rFonts w:hint="eastAsia" w:ascii="仿宋_GB2312" w:hAnsi="仿宋_GB2312" w:eastAsia="仿宋_GB2312" w:cs="仿宋_GB2312"/>
          <w:sz w:val="28"/>
          <w:szCs w:val="28"/>
          <w:lang w:val="en-US" w:eastAsia="zh-CN"/>
          <w14:ligatures w14:val="standardContextual"/>
        </w:rPr>
        <w:t>3</w:t>
      </w:r>
      <w:r>
        <w:rPr>
          <w:rFonts w:hint="eastAsia" w:ascii="仿宋_GB2312" w:hAnsi="仿宋_GB2312" w:eastAsia="仿宋_GB2312" w:cs="仿宋_GB2312"/>
          <w:sz w:val="28"/>
          <w:szCs w:val="28"/>
          <w14:ligatures w14:val="standardContextual"/>
        </w:rPr>
        <w:t>0%；中标方完成</w:t>
      </w:r>
      <w:r>
        <w:rPr>
          <w:rFonts w:hint="eastAsia" w:ascii="仿宋_GB2312" w:hAnsi="仿宋_GB2312" w:eastAsia="仿宋_GB2312" w:cs="仿宋_GB2312"/>
          <w:sz w:val="28"/>
          <w:szCs w:val="28"/>
          <w:lang w:eastAsia="zh-CN"/>
          <w14:ligatures w14:val="standardContextual"/>
        </w:rPr>
        <w:t>应用开发服务交付</w:t>
      </w:r>
      <w:r>
        <w:rPr>
          <w:rFonts w:hint="eastAsia" w:ascii="仿宋_GB2312" w:hAnsi="仿宋_GB2312" w:eastAsia="仿宋_GB2312" w:cs="仿宋_GB2312"/>
          <w:sz w:val="28"/>
          <w:szCs w:val="28"/>
          <w14:ligatures w14:val="standardContextual"/>
        </w:rPr>
        <w:t>，经询价方授权代表签字确认后，询价方向中标方支付合同总额的</w:t>
      </w:r>
      <w:r>
        <w:rPr>
          <w:rFonts w:hint="eastAsia" w:ascii="仿宋_GB2312" w:hAnsi="仿宋_GB2312" w:eastAsia="仿宋_GB2312" w:cs="仿宋_GB2312"/>
          <w:sz w:val="28"/>
          <w:szCs w:val="28"/>
          <w:lang w:val="en-US" w:eastAsia="zh-CN"/>
          <w14:ligatures w14:val="standardContextual"/>
        </w:rPr>
        <w:t>3</w:t>
      </w:r>
      <w:r>
        <w:rPr>
          <w:rFonts w:hint="eastAsia" w:ascii="仿宋_GB2312" w:hAnsi="仿宋_GB2312" w:eastAsia="仿宋_GB2312" w:cs="仿宋_GB2312"/>
          <w:sz w:val="28"/>
          <w:szCs w:val="28"/>
          <w14:ligatures w14:val="standardContextual"/>
        </w:rPr>
        <w:t>0%。完成项目终验后，系统正常运行且无中标方原因遗留的任何问题，经双方签字确认，询价方向中标方支付合同总额的10%。</w:t>
      </w:r>
    </w:p>
    <w:p>
      <w:pPr>
        <w:pageBreakBefore w:val="0"/>
        <w:widowControl/>
        <w:kinsoku/>
        <w:wordWrap/>
        <w:overflowPunct/>
        <w:topLinePunct w:val="0"/>
        <w:autoSpaceDE/>
        <w:autoSpaceDN/>
        <w:bidi w:val="0"/>
        <w:spacing w:line="560" w:lineRule="exact"/>
        <w:ind w:firstLine="560" w:firstLineChars="200"/>
        <w:jc w:val="left"/>
        <w:textAlignment w:val="auto"/>
        <w:rPr>
          <w:rFonts w:hint="eastAsia" w:ascii="仿宋_GB2312" w:hAnsi="仿宋_GB2312" w:eastAsia="仿宋_GB2312" w:cs="仿宋_GB2312"/>
          <w:sz w:val="28"/>
          <w:szCs w:val="28"/>
          <w14:ligatures w14:val="standardContextual"/>
        </w:rPr>
      </w:pPr>
      <w:r>
        <w:rPr>
          <w:rFonts w:hint="eastAsia" w:ascii="仿宋_GB2312" w:hAnsi="仿宋_GB2312" w:eastAsia="仿宋_GB2312" w:cs="仿宋_GB2312"/>
          <w:sz w:val="28"/>
          <w:szCs w:val="28"/>
          <w14:ligatures w14:val="standardContextual"/>
        </w:rPr>
        <w:t>合同各方保留在合同签署后根据实际需要对其进行修正的权利，所有修正必须得到双方的共同认可。</w:t>
      </w:r>
    </w:p>
    <w:p>
      <w:pPr>
        <w:keepNext/>
        <w:keepLines/>
        <w:pageBreakBefore w:val="0"/>
        <w:kinsoku/>
        <w:wordWrap/>
        <w:overflowPunct/>
        <w:topLinePunct w:val="0"/>
        <w:autoSpaceDE/>
        <w:autoSpaceDN/>
        <w:bidi w:val="0"/>
        <w:spacing w:line="560" w:lineRule="exact"/>
        <w:textAlignment w:val="auto"/>
        <w:outlineLvl w:val="1"/>
        <w:rPr>
          <w:rFonts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（二）实施要求</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报价方须提供实施团队主要人员信息，如项目经理、技术顾问等人员的简历、资质证书等，须提供人员近1年的社保证明并加盖报价方公章。</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color w:val="FF0000"/>
          <w:kern w:val="2"/>
          <w:sz w:val="28"/>
          <w:szCs w:val="28"/>
          <w:lang w:val="en-US" w:eastAsia="zh-CN" w:bidi="ar-SA"/>
          <w14:ligatures w14:val="standardContextual"/>
        </w:rPr>
        <w:t>★</w:t>
      </w:r>
      <w:r>
        <w:rPr>
          <w:rFonts w:hint="eastAsia" w:ascii="仿宋_GB2312" w:hAnsi="仿宋_GB2312" w:eastAsia="仿宋_GB2312" w:cs="仿宋_GB2312"/>
          <w:kern w:val="2"/>
          <w:sz w:val="28"/>
          <w:szCs w:val="28"/>
          <w:lang w:val="en-US" w:eastAsia="zh-CN" w:bidi="ar-SA"/>
          <w14:ligatures w14:val="standardContextual"/>
        </w:rPr>
        <w:t>报价方参与此次项目的现场实施及售后服务团队无外籍雇工人员。实施团队成员需为所投产品的原厂（含分子公司）人员。</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报价方应根据项目实施计划，功能模块及实施工作量等提供详细报价，报价应包括所投系统构成的模块及授权方式、实施人天等的价格组成和计价方法，该报价将作为在项目内容发生变更时，以及后续系统相关扩展建设时的计价依据。</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14:ligatures w14:val="standardContextual"/>
        </w:rPr>
      </w:pPr>
      <w:r>
        <w:rPr>
          <w:rFonts w:hint="eastAsia" w:ascii="仿宋_GB2312" w:hAnsi="仿宋_GB2312" w:eastAsia="仿宋_GB2312" w:cs="仿宋_GB2312"/>
          <w:color w:val="auto"/>
          <w:kern w:val="2"/>
          <w:sz w:val="28"/>
          <w:szCs w:val="28"/>
          <w:highlight w:val="none"/>
          <w:lang w:val="en-US" w:eastAsia="zh-CN" w:bidi="ar-SA"/>
          <w14:ligatures w14:val="standardContextual"/>
        </w:rPr>
        <w:t>项目系统部署在询价方指定的网络中，满足相关网络安全要求。</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应针对询价方业务流程及各部门情况，编制项目实施方案书，明确功能技术要求、实施进度、</w:t>
      </w:r>
      <w:r>
        <w:rPr>
          <w:rFonts w:hint="eastAsia" w:ascii="仿宋_GB2312" w:hAnsi="仿宋_GB2312" w:eastAsia="仿宋_GB2312" w:cs="仿宋_GB2312"/>
          <w:sz w:val="28"/>
          <w:szCs w:val="28"/>
          <w:lang w:eastAsia="zh-CN"/>
        </w:rPr>
        <w:t>业务</w:t>
      </w:r>
      <w:r>
        <w:rPr>
          <w:rFonts w:hint="eastAsia" w:ascii="仿宋_GB2312" w:hAnsi="仿宋_GB2312" w:eastAsia="仿宋_GB2312" w:cs="仿宋_GB2312"/>
          <w:sz w:val="28"/>
          <w:szCs w:val="28"/>
        </w:rPr>
        <w:t>流程和业务模块优化</w:t>
      </w:r>
      <w:r>
        <w:rPr>
          <w:rFonts w:hint="eastAsia" w:ascii="仿宋_GB2312" w:hAnsi="仿宋_GB2312" w:eastAsia="仿宋_GB2312" w:cs="仿宋_GB2312"/>
          <w:sz w:val="28"/>
          <w:szCs w:val="28"/>
          <w:lang w:eastAsia="zh-CN"/>
        </w:rPr>
        <w:t>清单</w:t>
      </w:r>
      <w:r>
        <w:rPr>
          <w:rFonts w:hint="eastAsia" w:ascii="仿宋_GB2312" w:hAnsi="仿宋_GB2312" w:eastAsia="仿宋_GB2312" w:cs="仿宋_GB2312"/>
          <w:kern w:val="2"/>
          <w:sz w:val="28"/>
          <w:szCs w:val="28"/>
          <w:lang w:val="en-US" w:eastAsia="zh-CN" w:bidi="ar-SA"/>
          <w14:ligatures w14:val="standardContextual"/>
        </w:rPr>
        <w:t>等。</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highlight w:val="none"/>
          <w:lang w:val="en-US" w:eastAsia="zh-CN" w:bidi="ar-SA"/>
          <w14:ligatures w14:val="standardContextual"/>
        </w:rPr>
      </w:pPr>
      <w:r>
        <w:rPr>
          <w:rFonts w:hint="eastAsia" w:ascii="仿宋_GB2312" w:hAnsi="仿宋_GB2312" w:eastAsia="仿宋_GB2312" w:cs="仿宋_GB2312"/>
          <w:kern w:val="2"/>
          <w:sz w:val="28"/>
          <w:szCs w:val="28"/>
          <w:highlight w:val="none"/>
          <w:lang w:val="en-US" w:eastAsia="zh-CN" w:bidi="ar-SA"/>
          <w14:ligatures w14:val="standardContextual"/>
        </w:rPr>
        <w:t>本项目范围内设计开发服务后所建设的软件产品，应提交针对本项目全部定制开发的代码、数据及其相关的技术资料、使用说明等至询价方。</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询价方在对中标方项目经理、顾问的能力不满意时，有权要求更换人员。在询价方提出书面要求并说明理由后，中标方应在5个工作日内更换能胜任工作的人员，并确保项目的顺利实施。由此造成的损失，由中标方自行承担。</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根据询价方要求在项目实施过程中提供系统的基础服务如软件的安装、设置、测试、用户管理、权限设置等；根据询价方认可的需求调研报告等文档，结合询价方提供的材料，负责项目文档资料、相关数据的准备，按时完成合同和技术协议规定的项目实施、开发、培训、维护等工作。</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本项目组建的实施团队及工作安排计划情况应与报价文件提交的情况一致，并保证服务队伍的稳定性，不得任意更换实施人员，但在特殊情况下应事先与询价方协商并经其同意后，方可更换同等或更高资历的人员进行实施，否则须承担违约责任，每人次按项目合同金额1%扣款。</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实施过程中，如出现系统缺陷及漏洞的情况，中标方应无条件根据询价方的要求进行更换、重做或者重新提供新的无缺陷的系统给询价方使用等，保证询价方能正常使用，对于替代产品的要求也应符合本询价要求、合同及相关协议的约定；如造成询价方损失的，中标方应对询价方承担赔偿责任。</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color w:val="FF0000"/>
          <w:kern w:val="2"/>
          <w:sz w:val="28"/>
          <w:szCs w:val="28"/>
          <w:lang w:val="en-US" w:eastAsia="zh-CN" w:bidi="ar-SA"/>
          <w14:ligatures w14:val="standardContextual"/>
        </w:rPr>
        <w:t>★</w:t>
      </w:r>
      <w:r>
        <w:rPr>
          <w:rFonts w:hint="eastAsia" w:ascii="仿宋_GB2312" w:hAnsi="仿宋_GB2312" w:eastAsia="仿宋_GB2312" w:cs="仿宋_GB2312"/>
          <w:kern w:val="2"/>
          <w:sz w:val="28"/>
          <w:szCs w:val="28"/>
          <w:lang w:val="en-US" w:eastAsia="zh-CN" w:bidi="ar-SA"/>
          <w14:ligatures w14:val="standardContextual"/>
        </w:rPr>
        <w:t>中标方交付的系统中，中标方不会为任何理由而植入自动终止或妨碍系统运行的软件或程序代码；如果由于中标方植入自动终止或妨碍系统运行的软件或程序代码导致询价方无法正常地使用，询价方有权解除合同及相关协议，并有权要求中标方退还全部货款或不能使用部分的货款，并由中标方承担违约责任。</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中标方需及时将设计变更单、设计确认单、测试记录单、验收单提交询价方确认；在项目实施期间，应按照节点或计划向询价方转移知识，提供项目成果和相关档案包括项目设计开发方法、方案、进度简报等，并向询价方进行汇报讲解。</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合同约定的设计开发及测试工作均在询价方提供的开发、测试环境中进行，服从询价方信息安全保密相关管理。中标方未经询价方书面审批同意，不得擅自将开发、测试系统中数据拷贝带出。</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询价方对中标方的开发和实施过程有实施监督的权利，中标方应予配合并派专人负责与询价方联络、协调工作。</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color w:val="FF0000"/>
          <w:kern w:val="2"/>
          <w:sz w:val="28"/>
          <w:szCs w:val="28"/>
          <w:lang w:val="en-US" w:eastAsia="zh-CN" w:bidi="ar-SA"/>
          <w14:ligatures w14:val="standardContextual"/>
        </w:rPr>
        <w:t>★</w:t>
      </w:r>
      <w:r>
        <w:rPr>
          <w:rFonts w:hint="eastAsia" w:ascii="仿宋_GB2312" w:hAnsi="仿宋_GB2312" w:eastAsia="仿宋_GB2312" w:cs="仿宋_GB2312"/>
          <w:kern w:val="2"/>
          <w:sz w:val="28"/>
          <w:szCs w:val="28"/>
          <w:lang w:val="en-US" w:eastAsia="zh-CN" w:bidi="ar-SA"/>
          <w14:ligatures w14:val="standardContextual"/>
        </w:rPr>
        <w:t>未经双方协商同意，中标方不得将本项目部分或全部开发实施工作转让给第三方承担。</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中标方应提供移动应用开发服务（支持安卓和鸿蒙系统），包括开发1个移动应用集成平台及1个应用模块开发。</w:t>
      </w:r>
    </w:p>
    <w:p>
      <w:pPr>
        <w:pageBreakBefore w:val="0"/>
        <w:numPr>
          <w:ilvl w:val="0"/>
          <w:numId w:val="6"/>
        </w:numPr>
        <w:kinsoku/>
        <w:wordWrap/>
        <w:overflowPunct/>
        <w:topLinePunct w:val="0"/>
        <w:autoSpaceDE/>
        <w:autoSpaceDN/>
        <w:bidi w:val="0"/>
        <w:spacing w:line="560" w:lineRule="exact"/>
        <w:ind w:firstLine="560" w:firstLineChars="200"/>
        <w:textAlignment w:val="auto"/>
        <w:rPr>
          <w:rFonts w:hint="default"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color w:val="FF0000"/>
          <w:kern w:val="2"/>
          <w:sz w:val="28"/>
          <w:szCs w:val="28"/>
          <w:lang w:val="en-US" w:eastAsia="zh-CN" w:bidi="ar-SA"/>
          <w14:ligatures w14:val="standardContextual"/>
        </w:rPr>
        <w:t>★</w:t>
      </w:r>
      <w:r>
        <w:rPr>
          <w:rFonts w:hint="eastAsia" w:ascii="仿宋_GB2312" w:hAnsi="仿宋_GB2312" w:eastAsia="仿宋_GB2312" w:cs="仿宋_GB2312"/>
          <w:kern w:val="2"/>
          <w:sz w:val="28"/>
          <w:szCs w:val="28"/>
          <w:lang w:val="en-US" w:eastAsia="zh-CN" w:bidi="ar-SA"/>
          <w14:ligatures w14:val="standardContextual"/>
        </w:rPr>
        <w:t>本项目范围内涉及的二次开发、客制化、定制开发等相关内容（包括但不限于需求调研、功能架构设计、实施开发、软件代码、测试文档等纸质和电子文件）所有权归询价方所有。</w:t>
      </w:r>
    </w:p>
    <w:p>
      <w:pPr>
        <w:keepNext/>
        <w:keepLines/>
        <w:pageBreakBefore w:val="0"/>
        <w:kinsoku/>
        <w:wordWrap/>
        <w:overflowPunct/>
        <w:topLinePunct w:val="0"/>
        <w:autoSpaceDE/>
        <w:autoSpaceDN/>
        <w:bidi w:val="0"/>
        <w:spacing w:line="560" w:lineRule="exact"/>
        <w:textAlignment w:val="auto"/>
        <w:outlineLvl w:val="1"/>
        <w:rPr>
          <w:rFonts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（三）售后要求</w:t>
      </w:r>
    </w:p>
    <w:p>
      <w:pPr>
        <w:pageBreakBefore w:val="0"/>
        <w:numPr>
          <w:ilvl w:val="0"/>
          <w:numId w:val="7"/>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14:ligatures w14:val="standardContextual"/>
        </w:rPr>
      </w:pPr>
      <w:r>
        <w:rPr>
          <w:rFonts w:hint="eastAsia" w:ascii="仿宋_GB2312" w:hAnsi="仿宋_GB2312" w:eastAsia="仿宋_GB2312" w:cs="仿宋_GB2312"/>
          <w:color w:val="auto"/>
          <w:kern w:val="2"/>
          <w:sz w:val="28"/>
          <w:szCs w:val="28"/>
          <w:lang w:val="en-US" w:eastAsia="zh-CN" w:bidi="ar-SA"/>
          <w14:ligatures w14:val="standardContextual"/>
        </w:rPr>
        <w:t>自项目终验之日起，中标方在项目实施范围内，提供不少于一年的</w:t>
      </w:r>
      <w:r>
        <w:rPr>
          <w:rFonts w:hint="default" w:ascii="仿宋_GB2312" w:hAnsi="仿宋_GB2312" w:eastAsia="仿宋_GB2312" w:cs="仿宋_GB2312"/>
          <w:color w:val="auto"/>
          <w:kern w:val="2"/>
          <w:sz w:val="28"/>
          <w:szCs w:val="28"/>
          <w:lang w:val="en-US" w:eastAsia="zh-CN" w:bidi="ar-SA"/>
          <w14:ligatures w14:val="standardContextual"/>
        </w:rPr>
        <w:t>免费售后质保服务，2 小时内远程响应技术支持。对于严重流程故障或线上无法解决的问题，应在询价方提出后 24 小时内到询价方提供现场支持服务。质保期内，如由于中标方的责任而需要对系统或内部模块予以更换或升级，则该部分的质保期相应延长</w:t>
      </w:r>
      <w:r>
        <w:rPr>
          <w:rFonts w:hint="eastAsia" w:ascii="仿宋_GB2312" w:hAnsi="仿宋_GB2312" w:eastAsia="仿宋_GB2312" w:cs="仿宋_GB2312"/>
          <w:color w:val="auto"/>
          <w:kern w:val="2"/>
          <w:sz w:val="28"/>
          <w:szCs w:val="28"/>
          <w:lang w:val="en-US" w:eastAsia="zh-CN" w:bidi="ar-SA"/>
          <w14:ligatures w14:val="standardContextual"/>
        </w:rPr>
        <w:t>。</w:t>
      </w:r>
    </w:p>
    <w:p>
      <w:pPr>
        <w:pageBreakBefore w:val="0"/>
        <w:numPr>
          <w:ilvl w:val="0"/>
          <w:numId w:val="7"/>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2"/>
          <w:sz w:val="28"/>
          <w:szCs w:val="28"/>
          <w:lang w:val="en-US" w:eastAsia="zh-CN" w:bidi="ar-SA"/>
          <w14:ligatures w14:val="standardContextual"/>
        </w:rPr>
      </w:pPr>
      <w:r>
        <w:rPr>
          <w:rFonts w:hint="eastAsia" w:ascii="仿宋_GB2312" w:hAnsi="仿宋_GB2312" w:eastAsia="仿宋_GB2312" w:cs="仿宋_GB2312"/>
          <w:kern w:val="2"/>
          <w:sz w:val="28"/>
          <w:szCs w:val="28"/>
          <w:lang w:val="en-US" w:eastAsia="zh-CN" w:bidi="ar-SA"/>
          <w14:ligatures w14:val="standardContextual"/>
        </w:rPr>
        <w:t>系统本身出现的缺陷、漏洞由中标方提供终身免费维护咨询与指导，中标方履行维护义务所产生的包括人工费、材料费及其他各种维护费在内的一切费用，均由中标方承担，询价方不承担任何费用。</w:t>
      </w:r>
    </w:p>
    <w:p>
      <w:pPr>
        <w:keepNext/>
        <w:keepLines/>
        <w:pageBreakBefore w:val="0"/>
        <w:kinsoku/>
        <w:wordWrap/>
        <w:overflowPunct/>
        <w:topLinePunct w:val="0"/>
        <w:autoSpaceDE/>
        <w:autoSpaceDN/>
        <w:bidi w:val="0"/>
        <w:spacing w:line="560" w:lineRule="exact"/>
        <w:textAlignment w:val="auto"/>
        <w:outlineLvl w:val="1"/>
        <w:rPr>
          <w:rFonts w:hint="eastAsia"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（四）培训要求</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需提供体系、完整的培训课程，培训范围包括但不限于系统管理人员、开发人员，培训内容包括但不限于平台开发及部署培训（含接口及功能模块开发）、功能模块使用培训、功能模块配置培训、平台架构培训等，参训人员培训结束且考核合格后颁发相关认证证书。</w:t>
      </w:r>
    </w:p>
    <w:p>
      <w:pPr>
        <w:pageBreakBefore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要求</w:t>
      </w:r>
      <w:r>
        <w:rPr>
          <w:rFonts w:hint="eastAsia" w:ascii="仿宋_GB2312" w:hAnsi="仿宋_GB2312" w:eastAsia="仿宋_GB2312" w:cs="仿宋_GB2312"/>
          <w:color w:val="auto"/>
          <w:sz w:val="28"/>
          <w:szCs w:val="28"/>
          <w:lang w:eastAsia="zh-CN"/>
        </w:rPr>
        <w:t>中标方</w:t>
      </w:r>
      <w:r>
        <w:rPr>
          <w:rFonts w:hint="eastAsia" w:ascii="仿宋_GB2312" w:hAnsi="仿宋_GB2312" w:eastAsia="仿宋_GB2312" w:cs="仿宋_GB2312"/>
          <w:color w:val="auto"/>
          <w:sz w:val="28"/>
          <w:szCs w:val="28"/>
        </w:rPr>
        <w:t>应确保</w:t>
      </w:r>
      <w:r>
        <w:rPr>
          <w:rFonts w:hint="eastAsia" w:ascii="仿宋_GB2312" w:hAnsi="仿宋_GB2312" w:eastAsia="仿宋_GB2312" w:cs="仿宋_GB2312"/>
          <w:color w:val="auto"/>
          <w:sz w:val="28"/>
          <w:szCs w:val="28"/>
          <w:lang w:eastAsia="zh-CN"/>
        </w:rPr>
        <w:t>询价方</w:t>
      </w:r>
      <w:r>
        <w:rPr>
          <w:rFonts w:hint="eastAsia" w:ascii="仿宋_GB2312" w:hAnsi="仿宋_GB2312" w:eastAsia="仿宋_GB2312" w:cs="仿宋_GB2312"/>
          <w:color w:val="auto"/>
          <w:sz w:val="28"/>
          <w:szCs w:val="28"/>
        </w:rPr>
        <w:t>的系统管理人员</w:t>
      </w:r>
      <w:r>
        <w:rPr>
          <w:rFonts w:hint="eastAsia" w:ascii="仿宋_GB2312" w:hAnsi="仿宋_GB2312" w:eastAsia="仿宋_GB2312" w:cs="仿宋_GB2312"/>
          <w:color w:val="auto"/>
          <w:sz w:val="28"/>
          <w:szCs w:val="28"/>
          <w:lang w:eastAsia="zh-CN"/>
        </w:rPr>
        <w:t>、开发人员</w:t>
      </w:r>
      <w:r>
        <w:rPr>
          <w:rFonts w:hint="eastAsia" w:ascii="仿宋_GB2312" w:hAnsi="仿宋_GB2312" w:eastAsia="仿宋_GB2312" w:cs="仿宋_GB2312"/>
          <w:color w:val="auto"/>
          <w:sz w:val="28"/>
          <w:szCs w:val="28"/>
        </w:rPr>
        <w:t>均熟练掌握自身工作角色职责范围内关于系统的操作、配置、开发等内容。系统管理人员熟练掌握涉及软硬件系统的部署、配置，具备独立开展功能权限、数据库备份及恢复、系统升级等配置的能力；开发人员具备独立</w:t>
      </w:r>
      <w:r>
        <w:rPr>
          <w:rFonts w:hint="eastAsia" w:ascii="仿宋_GB2312" w:hAnsi="仿宋_GB2312" w:eastAsia="仿宋_GB2312" w:cs="仿宋_GB2312"/>
          <w:color w:val="auto"/>
          <w:sz w:val="28"/>
          <w:szCs w:val="28"/>
          <w:lang w:eastAsia="zh-CN"/>
        </w:rPr>
        <w:t>使用本项目系统进行移动办公信息系统开发、联调、测试、部署、发布、运维的</w:t>
      </w:r>
      <w:r>
        <w:rPr>
          <w:rFonts w:hint="eastAsia" w:ascii="仿宋_GB2312" w:hAnsi="仿宋_GB2312" w:eastAsia="仿宋_GB2312" w:cs="仿宋_GB2312"/>
          <w:color w:val="auto"/>
          <w:sz w:val="28"/>
          <w:szCs w:val="28"/>
        </w:rPr>
        <w:t>能力。</w:t>
      </w:r>
    </w:p>
    <w:p>
      <w:pPr>
        <w:pageBreakBefore w:val="0"/>
        <w:numPr>
          <w:ilvl w:val="0"/>
          <w:numId w:val="0"/>
        </w:numPr>
        <w:kinsoku/>
        <w:wordWrap/>
        <w:overflowPunct/>
        <w:topLinePunct w:val="0"/>
        <w:autoSpaceDE/>
        <w:autoSpaceDN/>
        <w:bidi w:val="0"/>
        <w:adjustRightInd w:val="0"/>
        <w:snapToGrid w:val="0"/>
        <w:spacing w:line="560" w:lineRule="exact"/>
        <w:ind w:left="0" w:leftChars="0"/>
        <w:textAlignment w:val="auto"/>
        <w:outlineLvl w:val="0"/>
        <w:rPr>
          <w:rFonts w:ascii="黑体" w:hAnsi="黑体" w:eastAsia="黑体" w:cs="Times New Roman"/>
          <w:b/>
          <w:sz w:val="28"/>
          <w:szCs w:val="28"/>
        </w:rPr>
      </w:pPr>
      <w:r>
        <w:rPr>
          <w:rFonts w:hint="eastAsia" w:ascii="黑体" w:hAnsi="黑体" w:eastAsia="黑体" w:cs="Times New Roman"/>
          <w:b/>
          <w:sz w:val="28"/>
          <w:szCs w:val="28"/>
          <w:lang w:eastAsia="zh-CN"/>
        </w:rPr>
        <w:t>五、</w:t>
      </w:r>
      <w:r>
        <w:rPr>
          <w:rFonts w:hint="eastAsia" w:ascii="黑体" w:hAnsi="黑体" w:eastAsia="黑体" w:cs="Times New Roman"/>
          <w:b/>
          <w:sz w:val="28"/>
          <w:szCs w:val="28"/>
        </w:rPr>
        <w:t>技术要求</w:t>
      </w:r>
    </w:p>
    <w:p>
      <w:pPr>
        <w:keepNext/>
        <w:keepLines/>
        <w:pageBreakBefore w:val="0"/>
        <w:kinsoku/>
        <w:wordWrap/>
        <w:overflowPunct/>
        <w:topLinePunct w:val="0"/>
        <w:autoSpaceDE/>
        <w:autoSpaceDN/>
        <w:bidi w:val="0"/>
        <w:adjustRightInd w:val="0"/>
        <w:snapToGrid w:val="0"/>
        <w:spacing w:line="560" w:lineRule="exact"/>
        <w:ind w:left="0" w:leftChars="0"/>
        <w:textAlignment w:val="auto"/>
        <w:outlineLvl w:val="1"/>
        <w:rPr>
          <w:rFonts w:hint="eastAsia" w:ascii="Times New Roman" w:hAnsi="Times New Roman" w:eastAsia="楷体_GB2312" w:cs="Times New Roman"/>
          <w:b/>
          <w:bCs/>
          <w:color w:val="auto"/>
          <w:kern w:val="2"/>
          <w:sz w:val="30"/>
          <w:szCs w:val="32"/>
          <w:lang w:val="en-US" w:eastAsia="zh-CN" w:bidi="ar-SA"/>
          <w14:ligatures w14:val="standardContextual"/>
        </w:rPr>
      </w:pPr>
      <w:r>
        <w:rPr>
          <w:rFonts w:hint="eastAsia" w:ascii="Times New Roman" w:hAnsi="Times New Roman" w:eastAsia="楷体_GB2312" w:cs="Times New Roman"/>
          <w:b/>
          <w:bCs/>
          <w:color w:val="auto"/>
          <w:kern w:val="2"/>
          <w:sz w:val="30"/>
          <w:szCs w:val="32"/>
          <w:lang w:val="en-US" w:eastAsia="zh-CN" w:bidi="ar-SA"/>
          <w14:ligatures w14:val="standardContextual"/>
        </w:rPr>
        <w:t>（一）</w:t>
      </w:r>
      <w:r>
        <w:rPr>
          <w:rFonts w:hint="eastAsia" w:ascii="Times New Roman" w:hAnsi="Times New Roman" w:eastAsia="楷体_GB2312" w:cs="Times New Roman"/>
          <w:b/>
          <w:bCs/>
          <w:color w:val="FF0000"/>
          <w:kern w:val="2"/>
          <w:sz w:val="30"/>
          <w:szCs w:val="32"/>
          <w:lang w:val="en-US" w:eastAsia="zh-CN" w:bidi="ar-SA"/>
          <w14:ligatures w14:val="standardContextual"/>
        </w:rPr>
        <w:t>★</w:t>
      </w:r>
      <w:r>
        <w:rPr>
          <w:rFonts w:hint="eastAsia" w:ascii="Times New Roman" w:hAnsi="Times New Roman" w:eastAsia="楷体_GB2312" w:cs="Times New Roman"/>
          <w:b/>
          <w:bCs/>
          <w:color w:val="auto"/>
          <w:kern w:val="2"/>
          <w:sz w:val="30"/>
          <w:szCs w:val="32"/>
          <w:lang w:val="en-US" w:eastAsia="zh-CN" w:bidi="ar-SA"/>
          <w14:ligatures w14:val="standardContextual"/>
        </w:rPr>
        <w:t>主要技术参数</w:t>
      </w:r>
    </w:p>
    <w:p>
      <w:pPr>
        <w:pageBreakBefore w:val="0"/>
        <w:numPr>
          <w:ilvl w:val="0"/>
          <w:numId w:val="8"/>
        </w:numPr>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b w:val="0"/>
          <w:bCs w:val="0"/>
          <w:color w:val="auto"/>
          <w:kern w:val="2"/>
          <w:sz w:val="28"/>
          <w:szCs w:val="28"/>
          <w:lang w:val="en-US" w:eastAsia="zh-CN" w:bidi="ar-SA"/>
          <w14:ligatures w14:val="standardContextual"/>
        </w:rPr>
      </w:pPr>
      <w:r>
        <w:rPr>
          <w:rFonts w:hint="eastAsia" w:ascii="Times New Roman" w:hAnsi="Times New Roman" w:eastAsia="仿宋_GB2312" w:cs="Times New Roman"/>
          <w:b w:val="0"/>
          <w:bCs w:val="0"/>
          <w:color w:val="auto"/>
          <w:kern w:val="2"/>
          <w:sz w:val="28"/>
          <w:szCs w:val="28"/>
          <w:lang w:val="en-US" w:eastAsia="zh-CN" w:bidi="ar-SA"/>
          <w14:ligatures w14:val="standardContextual"/>
        </w:rPr>
        <w:t>提供良好的运行支撑框架，支持SOA架构，减少专用数据接口，同时支持组件化的应用开发。</w:t>
      </w:r>
    </w:p>
    <w:p>
      <w:pPr>
        <w:pageBreakBefore w:val="0"/>
        <w:numPr>
          <w:ilvl w:val="0"/>
          <w:numId w:val="8"/>
        </w:numPr>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b w:val="0"/>
          <w:bCs w:val="0"/>
          <w:color w:val="auto"/>
          <w:kern w:val="2"/>
          <w:sz w:val="28"/>
          <w:szCs w:val="28"/>
          <w:lang w:val="en-US" w:eastAsia="zh-CN" w:bidi="ar-SA"/>
          <w14:ligatures w14:val="standardContextual"/>
        </w:rPr>
      </w:pPr>
      <w:r>
        <w:rPr>
          <w:rFonts w:hint="eastAsia" w:ascii="Times New Roman" w:hAnsi="Times New Roman" w:eastAsia="仿宋_GB2312" w:cs="Times New Roman"/>
          <w:b w:val="0"/>
          <w:bCs w:val="0"/>
          <w:color w:val="auto"/>
          <w:kern w:val="2"/>
          <w:sz w:val="28"/>
          <w:szCs w:val="28"/>
          <w:lang w:val="en-US" w:eastAsia="zh-CN" w:bidi="ar-SA"/>
          <w14:ligatures w14:val="standardContextual"/>
        </w:rPr>
        <w:t>平台支持多种前端浏览器，如Mozilla、Chrome、猎豹；支持主流的操作系统，如银河麒麟、中科方德、Windows、Linux；平台能够支持选择多种主流的数据系统，如达梦、人大金仓、SQL SERVER，支持主流国产平台数据库。</w:t>
      </w:r>
    </w:p>
    <w:p>
      <w:pPr>
        <w:pageBreakBefore w:val="0"/>
        <w:numPr>
          <w:ilvl w:val="0"/>
          <w:numId w:val="8"/>
        </w:numPr>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b w:val="0"/>
          <w:bCs w:val="0"/>
          <w:color w:val="auto"/>
          <w:kern w:val="2"/>
          <w:sz w:val="28"/>
          <w:szCs w:val="28"/>
          <w:lang w:val="en-US" w:eastAsia="zh-CN" w:bidi="ar-SA"/>
          <w14:ligatures w14:val="standardContextual"/>
        </w:rPr>
      </w:pPr>
      <w:r>
        <w:rPr>
          <w:rFonts w:hint="eastAsia" w:ascii="Times New Roman" w:hAnsi="Times New Roman" w:eastAsia="仿宋_GB2312" w:cs="Times New Roman"/>
          <w:b w:val="0"/>
          <w:bCs w:val="0"/>
          <w:color w:val="auto"/>
          <w:kern w:val="2"/>
          <w:sz w:val="28"/>
          <w:szCs w:val="28"/>
          <w:lang w:val="en-US" w:eastAsia="zh-CN" w:bidi="ar-SA"/>
          <w14:ligatures w14:val="standardContextual"/>
        </w:rPr>
        <w:t>支持多服务集成方式，提供Web服务、消息等。</w:t>
      </w:r>
    </w:p>
    <w:p>
      <w:pPr>
        <w:pageBreakBefore w:val="0"/>
        <w:numPr>
          <w:ilvl w:val="0"/>
          <w:numId w:val="8"/>
        </w:numPr>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b w:val="0"/>
          <w:bCs w:val="0"/>
          <w:color w:val="auto"/>
          <w:kern w:val="2"/>
          <w:sz w:val="28"/>
          <w:szCs w:val="28"/>
          <w:lang w:val="en-US" w:eastAsia="zh-CN" w:bidi="ar-SA"/>
          <w14:ligatures w14:val="standardContextual"/>
        </w:rPr>
      </w:pPr>
      <w:r>
        <w:rPr>
          <w:rFonts w:hint="eastAsia" w:ascii="Times New Roman" w:hAnsi="Times New Roman" w:eastAsia="仿宋_GB2312" w:cs="Times New Roman"/>
          <w:b w:val="0"/>
          <w:bCs w:val="0"/>
          <w:color w:val="auto"/>
          <w:kern w:val="2"/>
          <w:sz w:val="28"/>
          <w:szCs w:val="28"/>
          <w:lang w:val="en-US" w:eastAsia="zh-CN" w:bidi="ar-SA"/>
          <w14:ligatures w14:val="standardContextual"/>
        </w:rPr>
        <w:t>采用主流开发技术，满足等保三级安全要求，具备先进性。</w:t>
      </w:r>
    </w:p>
    <w:p>
      <w:pPr>
        <w:keepNext/>
        <w:keepLines/>
        <w:pageBreakBefore w:val="0"/>
        <w:kinsoku/>
        <w:wordWrap/>
        <w:overflowPunct/>
        <w:topLinePunct w:val="0"/>
        <w:autoSpaceDE/>
        <w:autoSpaceDN/>
        <w:bidi w:val="0"/>
        <w:adjustRightInd w:val="0"/>
        <w:snapToGrid w:val="0"/>
        <w:spacing w:line="560" w:lineRule="exact"/>
        <w:ind w:left="0" w:leftChars="0"/>
        <w:textAlignment w:val="auto"/>
        <w:outlineLvl w:val="1"/>
        <w:rPr>
          <w:rFonts w:hint="eastAsia" w:ascii="Times New Roman" w:hAnsi="Times New Roman" w:eastAsia="楷体_GB2312" w:cs="Times New Roman"/>
          <w:b/>
          <w:bCs/>
          <w:color w:val="auto"/>
          <w:kern w:val="2"/>
          <w:sz w:val="30"/>
          <w:szCs w:val="32"/>
          <w:lang w:val="en-US" w:eastAsia="zh-CN" w:bidi="ar-SA"/>
          <w14:ligatures w14:val="standardContextual"/>
        </w:rPr>
      </w:pPr>
      <w:r>
        <w:rPr>
          <w:rFonts w:hint="eastAsia" w:ascii="Times New Roman" w:hAnsi="Times New Roman" w:eastAsia="楷体_GB2312" w:cs="Times New Roman"/>
          <w:b/>
          <w:bCs/>
          <w:color w:val="auto"/>
          <w:kern w:val="2"/>
          <w:sz w:val="30"/>
          <w:szCs w:val="32"/>
          <w:lang w:val="en-US" w:eastAsia="zh-CN" w:bidi="ar-SA"/>
          <w14:ligatures w14:val="standardContextual"/>
        </w:rPr>
        <w:t>（二）功能要求</w:t>
      </w:r>
    </w:p>
    <w:p>
      <w:pPr>
        <w:pageBreakBefore w:val="0"/>
        <w:numPr>
          <w:ilvl w:val="0"/>
          <w:numId w:val="9"/>
        </w:numPr>
        <w:kinsoku/>
        <w:wordWrap/>
        <w:overflowPunct/>
        <w:topLinePunct w:val="0"/>
        <w:autoSpaceDE/>
        <w:autoSpaceDN/>
        <w:bidi w:val="0"/>
        <w:spacing w:line="560" w:lineRule="exact"/>
        <w:ind w:firstLine="562" w:firstLineChars="200"/>
        <w:textAlignment w:val="auto"/>
        <w:rPr>
          <w:rFonts w:hint="eastAsia" w:ascii="Times New Roman" w:hAnsi="Times New Roman" w:eastAsia="仿宋_GB2312" w:cs="Times New Roman"/>
          <w:b/>
          <w:bCs/>
          <w:color w:val="auto"/>
          <w:kern w:val="2"/>
          <w:sz w:val="28"/>
          <w:szCs w:val="28"/>
          <w:lang w:val="en-US" w:eastAsia="zh-CN" w:bidi="ar-SA"/>
          <w14:ligatures w14:val="standardContextual"/>
        </w:rPr>
      </w:pPr>
      <w:r>
        <w:rPr>
          <w:rFonts w:hint="eastAsia" w:ascii="Times New Roman" w:hAnsi="Times New Roman" w:eastAsia="仿宋_GB2312" w:cs="Times New Roman"/>
          <w:b/>
          <w:bCs/>
          <w:color w:val="auto"/>
          <w:kern w:val="2"/>
          <w:sz w:val="28"/>
          <w:szCs w:val="28"/>
          <w:lang w:val="en-US" w:eastAsia="zh-CN" w:bidi="ar-SA"/>
          <w14:ligatures w14:val="standardContextual"/>
        </w:rPr>
        <w:t>基础应用框架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（1）提供应用运行时管理（运行时引擎、运行容器等）、应用生命周期管理、应用权限控制等功能。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（2）运行时管理：为应用提供运行时（Runtime）管理，包括应用容器、执行、数据管理、事件驱动、工作流、界面渲染等。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（3）应用管理：提供应用全生命周期管理服务，包括应用发布、安装、启动、停止、参数配置、升级、卸载、还原、运维、日志。</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（4）团队管理：管理使用低代码开发平台的组织（单位、部门）及人员（身份、角色），分配相应权限。</w:t>
      </w:r>
    </w:p>
    <w:p>
      <w:pPr>
        <w:pageBreakBefore w:val="0"/>
        <w:numPr>
          <w:ilvl w:val="0"/>
          <w:numId w:val="9"/>
        </w:numPr>
        <w:kinsoku/>
        <w:wordWrap/>
        <w:overflowPunct/>
        <w:topLinePunct w:val="0"/>
        <w:autoSpaceDE/>
        <w:autoSpaceDN/>
        <w:bidi w:val="0"/>
        <w:spacing w:line="560" w:lineRule="exact"/>
        <w:ind w:firstLine="562" w:firstLineChars="200"/>
        <w:textAlignment w:val="auto"/>
        <w:rPr>
          <w:rFonts w:hint="eastAsia" w:ascii="Times New Roman" w:hAnsi="Times New Roman" w:eastAsia="仿宋_GB2312" w:cs="Times New Roman"/>
          <w:b/>
          <w:bCs/>
          <w:color w:val="auto"/>
          <w:kern w:val="2"/>
          <w:sz w:val="28"/>
          <w:szCs w:val="28"/>
          <w:lang w:val="en-US" w:eastAsia="zh-CN" w:bidi="ar-SA"/>
          <w14:ligatures w14:val="standardContextual"/>
        </w:rPr>
      </w:pPr>
      <w:r>
        <w:rPr>
          <w:rFonts w:hint="eastAsia" w:ascii="Times New Roman" w:hAnsi="Times New Roman" w:eastAsia="仿宋_GB2312" w:cs="Times New Roman"/>
          <w:b/>
          <w:bCs/>
          <w:color w:val="auto"/>
          <w:kern w:val="2"/>
          <w:sz w:val="28"/>
          <w:szCs w:val="28"/>
          <w:lang w:val="en-US" w:eastAsia="zh-CN" w:bidi="ar-SA"/>
          <w14:ligatures w14:val="standardContextual"/>
        </w:rPr>
        <w:t>多模式协同应用开发模块</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租户管理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A.提供独立租户空间：为每个团队分配独立的租户空间，团队可在自己的租户空间内进行应用开发、测试、部署工作。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B.团队专属资源：每个租户拥有独立的计算、存储资源，避免团队之间资源冲突。</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多模式桌面及移动应用开发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A.桌面应用开发：支持按需采用零代码、低代码、全代码模式开发桌面应用，底层技术栈均为当前主流的企业级桌面应用开发技术，如：Spring Boot、Spring Cloud、Vue等。开发的桌面应用能在信创环境稳定运行。</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B.移动应用开发：支持按需采用零代码、低代码、全代码模式开发支持安卓和鸿蒙硬件的原生及HTML5移动应用，底层技术栈均为当前主流的企业级移动应用开发技术。开发的移动应用能在信创环境稳定运行。</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流程配置及管理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A.流程建模：支持通过UML等主流技术进行业务流程建模，并配置数据和关联关系；支持基于HTML5 Canvas的流程设计器。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B.流程图：提供与Visio Flowchart模式相同的建模组件库和应用方法设计流程图。</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C.事件驱动过程链图：提供EPC建模组件库和应用方法设计事件驱动过程链图。</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D.流程全景图：能够根据用户配置数据和模型自动绘制流程地图，支持多倍数视图缩放。</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E.流程团队：支持建立多个流程小组同时对同一项目的同一流程开展流程设计协作。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F.流程自动化测试：支持通过录制表单生成流程测试用例，按需排定测试计划，自动执行测试用例，记录测试结果，生成测试报告，并提供能够协助定位问题的关键技术数据。</w:t>
      </w:r>
    </w:p>
    <w:p>
      <w:pPr>
        <w:pStyle w:val="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G.流程发布：支持流程版本的发布、变更、停用审批，可配置相应权限。</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权限和访问控制管理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A.团队权限管理：基于角色机制，为每个团队设置独立的权限，确保团队成员只能访问自己租户内，被赋予访问权限的资源。</w:t>
      </w:r>
    </w:p>
    <w:p>
      <w:pPr>
        <w:pStyle w:val="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B.数据独立存储：为每个租户提供独立、安全的数据存储区域，并支持存储的可视化管理。</w:t>
      </w:r>
    </w:p>
    <w:p>
      <w:pPr>
        <w:pStyle w:val="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C.数据共享协作：通过API或数据导入导出，实现团队间数据安全共享，支持跨团队数据协作。</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开发环境隔离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A.独立开发环境：为每个团队提供独立的开发环境，包括开发、测试、预发布环境，确保开发过程互不影响。</w:t>
      </w:r>
    </w:p>
    <w:p>
      <w:pPr>
        <w:pStyle w:val="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B.环境克隆：支持快速克隆开发环境，实现开发环境的模板化管理，提升环境构建效率。</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应用版本及发布管理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A.独立版本控制：每个团队可在自己的租户空间内管理应用版本，支持Git等版本控制及协作工具，支持团队任务协同及进度跟踪工具。</w:t>
      </w:r>
    </w:p>
    <w:p>
      <w:pPr>
        <w:pStyle w:val="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B.跨团队发布：通过平台发布通道，团队可将应用发布到其他团队租户中，支持跨团队应用集成。</w:t>
      </w:r>
    </w:p>
    <w:p>
      <w:pPr>
        <w:pageBreakBefore w:val="0"/>
        <w:numPr>
          <w:ilvl w:val="0"/>
          <w:numId w:val="9"/>
        </w:numPr>
        <w:kinsoku/>
        <w:wordWrap/>
        <w:overflowPunct/>
        <w:topLinePunct w:val="0"/>
        <w:autoSpaceDE/>
        <w:autoSpaceDN/>
        <w:bidi w:val="0"/>
        <w:spacing w:line="560" w:lineRule="exact"/>
        <w:ind w:firstLine="562" w:firstLineChars="200"/>
        <w:textAlignment w:val="auto"/>
        <w:rPr>
          <w:rFonts w:hint="eastAsia" w:ascii="Times New Roman" w:hAnsi="Times New Roman" w:eastAsia="仿宋_GB2312" w:cs="Times New Roman"/>
          <w:b/>
          <w:bCs/>
          <w:color w:val="auto"/>
          <w:kern w:val="2"/>
          <w:sz w:val="28"/>
          <w:szCs w:val="28"/>
          <w:lang w:val="en-US" w:eastAsia="zh-CN" w:bidi="ar-SA"/>
          <w14:ligatures w14:val="standardContextual"/>
        </w:rPr>
      </w:pPr>
      <w:r>
        <w:rPr>
          <w:rFonts w:hint="eastAsia" w:ascii="Times New Roman" w:hAnsi="Times New Roman" w:eastAsia="仿宋_GB2312" w:cs="Times New Roman"/>
          <w:b/>
          <w:bCs/>
          <w:color w:val="auto"/>
          <w:kern w:val="2"/>
          <w:sz w:val="28"/>
          <w:szCs w:val="28"/>
          <w:lang w:val="en-US" w:eastAsia="zh-CN" w:bidi="ar-SA"/>
          <w14:ligatures w14:val="standardContextual"/>
        </w:rPr>
        <w:t>移动应用管理模块</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移动应用管理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A.移动应用列表：支持远程查看指定移动设备上已经安装移动应用列表。</w:t>
      </w:r>
    </w:p>
    <w:p>
      <w:pPr>
        <w:pStyle w:val="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B.移动应用远程管理：支持远程分发、监控、管理指定设备上的移动应用。</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移动设备管理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A.移动设备管理：支持对用户指定的移动设备进行注册、注销、禁用、恢复。</w:t>
      </w:r>
    </w:p>
    <w:p>
      <w:pPr>
        <w:pStyle w:val="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B.移动设备应用管理：支持在指定移动设备上对指定应用进行禁用、擦除、屏蔽。</w:t>
      </w:r>
    </w:p>
    <w:p>
      <w:pPr>
        <w:pStyle w:val="2"/>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C.移动设备安全管理：支持通过平台远程查看指定移动设备的安全合规告警。</w:t>
      </w:r>
    </w:p>
    <w:p>
      <w:pPr>
        <w:pageBreakBefore w:val="0"/>
        <w:numPr>
          <w:ilvl w:val="0"/>
          <w:numId w:val="9"/>
        </w:numPr>
        <w:kinsoku/>
        <w:wordWrap/>
        <w:overflowPunct/>
        <w:topLinePunct w:val="0"/>
        <w:autoSpaceDE/>
        <w:autoSpaceDN/>
        <w:bidi w:val="0"/>
        <w:spacing w:line="560" w:lineRule="exact"/>
        <w:ind w:firstLine="562" w:firstLineChars="200"/>
        <w:textAlignment w:val="auto"/>
        <w:rPr>
          <w:rFonts w:hint="eastAsia" w:ascii="Times New Roman" w:hAnsi="Times New Roman" w:eastAsia="仿宋_GB2312" w:cs="Times New Roman"/>
          <w:b/>
          <w:bCs/>
          <w:color w:val="auto"/>
          <w:kern w:val="2"/>
          <w:sz w:val="28"/>
          <w:szCs w:val="28"/>
          <w:lang w:val="en-US" w:eastAsia="zh-CN" w:bidi="ar-SA"/>
          <w14:ligatures w14:val="standardContextual"/>
        </w:rPr>
      </w:pPr>
      <w:r>
        <w:rPr>
          <w:rFonts w:hint="eastAsia" w:ascii="Times New Roman" w:hAnsi="Times New Roman" w:eastAsia="仿宋_GB2312" w:cs="Times New Roman"/>
          <w:b/>
          <w:bCs/>
          <w:color w:val="auto"/>
          <w:kern w:val="2"/>
          <w:sz w:val="28"/>
          <w:szCs w:val="28"/>
          <w:lang w:val="en-US" w:eastAsia="zh-CN" w:bidi="ar-SA"/>
          <w14:ligatures w14:val="standardContextual"/>
        </w:rPr>
        <w:t>应用集成管理模块</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中间件集成：支持通过主流标准协议/接口（如：Restful接口，SOAP协议等），连接主流中间件。</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其他应用系统集成：支持通过服务注册的方式，采用主流微服务技术（如：Spring Cloud），与其他应用系统或微服务集成。</w:t>
      </w:r>
    </w:p>
    <w:p>
      <w:pPr>
        <w:pageBreakBefore w:val="0"/>
        <w:numPr>
          <w:ilvl w:val="0"/>
          <w:numId w:val="9"/>
        </w:numPr>
        <w:kinsoku/>
        <w:wordWrap/>
        <w:overflowPunct/>
        <w:topLinePunct w:val="0"/>
        <w:autoSpaceDE/>
        <w:autoSpaceDN/>
        <w:bidi w:val="0"/>
        <w:spacing w:line="560" w:lineRule="exact"/>
        <w:ind w:firstLine="562" w:firstLineChars="200"/>
        <w:textAlignment w:val="auto"/>
        <w:rPr>
          <w:rFonts w:hint="eastAsia" w:ascii="Times New Roman" w:hAnsi="Times New Roman" w:eastAsia="仿宋_GB2312" w:cs="Times New Roman"/>
          <w:b/>
          <w:bCs/>
          <w:color w:val="auto"/>
          <w:kern w:val="2"/>
          <w:sz w:val="28"/>
          <w:szCs w:val="28"/>
          <w:lang w:val="en-US" w:eastAsia="zh-CN" w:bidi="ar-SA"/>
          <w14:ligatures w14:val="standardContextual"/>
        </w:rPr>
      </w:pPr>
      <w:r>
        <w:rPr>
          <w:rFonts w:hint="eastAsia" w:ascii="Times New Roman" w:hAnsi="Times New Roman" w:eastAsia="仿宋_GB2312" w:cs="Times New Roman"/>
          <w:b/>
          <w:bCs/>
          <w:color w:val="auto"/>
          <w:kern w:val="2"/>
          <w:sz w:val="28"/>
          <w:szCs w:val="28"/>
          <w:lang w:val="en-US" w:eastAsia="zh-CN" w:bidi="ar-SA"/>
          <w14:ligatures w14:val="standardContextual"/>
        </w:rPr>
        <w:t>应用运维管理模块</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应用监控：支持通过可视化方式进行平台运行状态下的资源监测、应用性能指标监控。</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告警监控：支持自定义安全规则，并应用规则，对桌面及移动应用进行安全监控，出现违规情况自动上报告警。</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运行日志管理：支持采用行业主流的日志框架（如：Logback等）进行应用运行日志记录、查询和搜索。</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链路追踪：支持基于应用日志进行故障链路追踪，快速定位故障节点，分析故障原因，发现系统性能瓶颈。</w:t>
      </w:r>
    </w:p>
    <w:p>
      <w:pPr>
        <w:keepNext/>
        <w:keepLines/>
        <w:pageBreakBefore w:val="0"/>
        <w:kinsoku/>
        <w:wordWrap/>
        <w:overflowPunct/>
        <w:topLinePunct w:val="0"/>
        <w:autoSpaceDE/>
        <w:autoSpaceDN/>
        <w:bidi w:val="0"/>
        <w:spacing w:line="560" w:lineRule="exact"/>
        <w:textAlignment w:val="auto"/>
        <w:outlineLvl w:val="1"/>
        <w:rPr>
          <w:rFonts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（二）性能要求</w:t>
      </w:r>
    </w:p>
    <w:p>
      <w:pPr>
        <w:pageBreakBefore w:val="0"/>
        <w:numPr>
          <w:ilvl w:val="0"/>
          <w:numId w:val="14"/>
        </w:numPr>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color w:val="auto"/>
          <w:kern w:val="2"/>
          <w:sz w:val="28"/>
          <w:szCs w:val="28"/>
          <w:lang w:val="en-US" w:eastAsia="zh-CN" w:bidi="ar-SA"/>
          <w14:ligatures w14:val="standardContextual"/>
        </w:rPr>
      </w:pPr>
      <w:r>
        <w:rPr>
          <w:rFonts w:hint="eastAsia" w:ascii="Times New Roman" w:hAnsi="Times New Roman" w:eastAsia="仿宋_GB2312" w:cs="Times New Roman"/>
          <w:color w:val="auto"/>
          <w:kern w:val="2"/>
          <w:sz w:val="28"/>
          <w:szCs w:val="28"/>
          <w:lang w:val="en-US" w:eastAsia="zh-CN" w:bidi="ar-SA"/>
          <w14:ligatures w14:val="standardContextual"/>
        </w:rPr>
        <w:t>系统对操作响应时间应控制在秒级。</w:t>
      </w:r>
    </w:p>
    <w:p>
      <w:pPr>
        <w:pageBreakBefore w:val="0"/>
        <w:numPr>
          <w:ilvl w:val="0"/>
          <w:numId w:val="14"/>
        </w:numPr>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color w:val="auto"/>
          <w:kern w:val="2"/>
          <w:sz w:val="28"/>
          <w:szCs w:val="28"/>
          <w:lang w:val="en-US" w:eastAsia="zh-CN" w:bidi="ar-SA"/>
          <w14:ligatures w14:val="standardContextual"/>
        </w:rPr>
      </w:pPr>
      <w:r>
        <w:rPr>
          <w:rFonts w:hint="eastAsia" w:ascii="Times New Roman" w:hAnsi="Times New Roman" w:eastAsia="仿宋_GB2312" w:cs="Times New Roman"/>
          <w:color w:val="auto"/>
          <w:kern w:val="2"/>
          <w:sz w:val="28"/>
          <w:szCs w:val="28"/>
          <w:lang w:val="en-US" w:eastAsia="zh-CN" w:bidi="ar-SA"/>
          <w14:ligatures w14:val="standardContextual"/>
        </w:rPr>
        <w:t>具备兼容并部署于询价方指定的国产化硬件服务器、数据库、中间件、操作系统的能力。</w:t>
      </w:r>
    </w:p>
    <w:p>
      <w:pPr>
        <w:pageBreakBefore w:val="0"/>
        <w:numPr>
          <w:ilvl w:val="0"/>
          <w:numId w:val="14"/>
        </w:numPr>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color w:val="auto"/>
          <w:kern w:val="2"/>
          <w:sz w:val="28"/>
          <w:szCs w:val="28"/>
          <w:lang w:val="en-US" w:eastAsia="zh-CN" w:bidi="ar-SA"/>
          <w14:ligatures w14:val="standardContextual"/>
        </w:rPr>
      </w:pPr>
      <w:r>
        <w:rPr>
          <w:rFonts w:hint="eastAsia" w:ascii="Times New Roman" w:hAnsi="Times New Roman" w:eastAsia="仿宋_GB2312" w:cs="Times New Roman"/>
          <w:color w:val="auto"/>
          <w:kern w:val="2"/>
          <w:sz w:val="28"/>
          <w:szCs w:val="28"/>
          <w:lang w:val="en-US" w:eastAsia="zh-CN" w:bidi="ar-SA"/>
          <w14:ligatures w14:val="standardContextual"/>
        </w:rPr>
        <w:t>具备在单机或分布式环境下部署的能力，分布式部署时提供不同节点服务器之间数据同步。</w:t>
      </w:r>
    </w:p>
    <w:p>
      <w:pPr>
        <w:pageBreakBefore w:val="0"/>
        <w:numPr>
          <w:ilvl w:val="0"/>
          <w:numId w:val="14"/>
        </w:numPr>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color w:val="auto"/>
          <w:kern w:val="2"/>
          <w:sz w:val="28"/>
          <w:szCs w:val="28"/>
          <w:lang w:val="en-US" w:eastAsia="zh-CN" w:bidi="ar-SA"/>
          <w14:ligatures w14:val="standardContextual"/>
        </w:rPr>
      </w:pPr>
      <w:r>
        <w:rPr>
          <w:rFonts w:hint="eastAsia" w:ascii="Times New Roman" w:hAnsi="Times New Roman" w:eastAsia="仿宋_GB2312" w:cs="Times New Roman"/>
          <w:color w:val="auto"/>
          <w:kern w:val="2"/>
          <w:sz w:val="28"/>
          <w:szCs w:val="28"/>
          <w:lang w:val="en-US" w:eastAsia="zh-CN" w:bidi="ar-SA"/>
          <w14:ligatures w14:val="standardContextual"/>
        </w:rPr>
        <w:t>报价方所投产品能按不同业务需求，以零代码、低代码和全代码模式混合开发应用系统。</w:t>
      </w:r>
    </w:p>
    <w:p>
      <w:pPr>
        <w:pageBreakBefore w:val="0"/>
        <w:numPr>
          <w:ilvl w:val="0"/>
          <w:numId w:val="14"/>
        </w:numPr>
        <w:kinsoku/>
        <w:wordWrap/>
        <w:overflowPunct/>
        <w:topLinePunct w:val="0"/>
        <w:autoSpaceDE/>
        <w:autoSpaceDN/>
        <w:bidi w:val="0"/>
        <w:spacing w:line="560" w:lineRule="exact"/>
        <w:ind w:firstLine="560" w:firstLineChars="200"/>
        <w:textAlignment w:val="auto"/>
        <w:rPr>
          <w:rFonts w:hint="default" w:ascii="Times New Roman" w:hAnsi="Times New Roman" w:eastAsia="仿宋_GB2312" w:cs="Times New Roman"/>
          <w:color w:val="auto"/>
          <w:kern w:val="2"/>
          <w:sz w:val="28"/>
          <w:szCs w:val="28"/>
          <w:lang w:val="en-US" w:eastAsia="zh-CN" w:bidi="ar-SA"/>
          <w14:ligatures w14:val="standardContextual"/>
        </w:rPr>
      </w:pPr>
      <w:r>
        <w:rPr>
          <w:rFonts w:hint="eastAsia" w:ascii="Times New Roman" w:hAnsi="Times New Roman" w:eastAsia="仿宋_GB2312" w:cs="Times New Roman"/>
          <w:color w:val="auto"/>
          <w:kern w:val="2"/>
          <w:sz w:val="28"/>
          <w:szCs w:val="28"/>
          <w:lang w:val="en-US" w:eastAsia="zh-CN" w:bidi="ar-SA"/>
          <w14:ligatures w14:val="standardContextual"/>
        </w:rPr>
        <w:t>可以通过数据配置方式，</w:t>
      </w:r>
      <w:bookmarkStart w:id="0" w:name="_GoBack"/>
      <w:bookmarkEnd w:id="0"/>
      <w:r>
        <w:rPr>
          <w:rFonts w:hint="eastAsia" w:ascii="Times New Roman" w:hAnsi="Times New Roman" w:eastAsia="仿宋_GB2312" w:cs="Times New Roman"/>
          <w:color w:val="auto"/>
          <w:kern w:val="2"/>
          <w:sz w:val="28"/>
          <w:szCs w:val="28"/>
          <w:lang w:val="en-US" w:eastAsia="zh-CN" w:bidi="ar-SA"/>
          <w14:ligatures w14:val="standardContextual"/>
        </w:rPr>
        <w:t>实现报价方所投产品开发的不同应用之间的数据互联互通。</w:t>
      </w:r>
    </w:p>
    <w:p>
      <w:pPr>
        <w:pageBreakBefore w:val="0"/>
        <w:numPr>
          <w:ilvl w:val="0"/>
          <w:numId w:val="14"/>
        </w:numPr>
        <w:kinsoku/>
        <w:wordWrap/>
        <w:overflowPunct/>
        <w:topLinePunct w:val="0"/>
        <w:autoSpaceDE/>
        <w:autoSpaceDN/>
        <w:bidi w:val="0"/>
        <w:spacing w:line="560" w:lineRule="exact"/>
        <w:ind w:firstLine="560" w:firstLineChars="200"/>
        <w:textAlignment w:val="auto"/>
        <w:rPr>
          <w:rFonts w:hint="default" w:ascii="Times New Roman" w:hAnsi="Times New Roman" w:eastAsia="仿宋_GB2312" w:cs="Times New Roman"/>
          <w:color w:val="auto"/>
          <w:kern w:val="2"/>
          <w:sz w:val="28"/>
          <w:szCs w:val="28"/>
          <w:lang w:val="en-US" w:eastAsia="zh-CN" w:bidi="ar-SA"/>
          <w14:ligatures w14:val="standardContextual"/>
        </w:rPr>
      </w:pPr>
      <w:r>
        <w:rPr>
          <w:rFonts w:hint="eastAsia" w:ascii="Times New Roman" w:hAnsi="Times New Roman" w:eastAsia="仿宋_GB2312" w:cs="Times New Roman"/>
          <w:color w:val="FF0000"/>
          <w:kern w:val="2"/>
          <w:sz w:val="28"/>
          <w:szCs w:val="28"/>
          <w:lang w:val="en-US" w:eastAsia="zh-CN" w:bidi="ar-SA"/>
          <w14:ligatures w14:val="standardContextual"/>
        </w:rPr>
        <w:t>★</w:t>
      </w:r>
      <w:r>
        <w:rPr>
          <w:rFonts w:hint="eastAsia" w:ascii="Times New Roman" w:hAnsi="Times New Roman" w:eastAsia="仿宋_GB2312" w:cs="Times New Roman"/>
          <w:color w:val="auto"/>
          <w:kern w:val="2"/>
          <w:sz w:val="28"/>
          <w:szCs w:val="28"/>
          <w:lang w:val="en-US" w:eastAsia="zh-CN" w:bidi="ar-SA"/>
          <w14:ligatures w14:val="standardContextual"/>
        </w:rPr>
        <w:t>报价方所投产品开发的应用无需依赖额外系统或第三方框架就可原生支持安卓、鸿蒙系统。</w:t>
      </w:r>
    </w:p>
    <w:p>
      <w:pPr>
        <w:keepNext/>
        <w:keepLines/>
        <w:pageBreakBefore w:val="0"/>
        <w:kinsoku/>
        <w:wordWrap/>
        <w:overflowPunct/>
        <w:topLinePunct w:val="0"/>
        <w:autoSpaceDE/>
        <w:autoSpaceDN/>
        <w:bidi w:val="0"/>
        <w:spacing w:line="560" w:lineRule="exact"/>
        <w:textAlignment w:val="auto"/>
        <w:outlineLvl w:val="1"/>
        <w:rPr>
          <w:rFonts w:ascii="Times New Roman" w:hAnsi="Times New Roman" w:eastAsia="楷体_GB2312" w:cs="Times New Roman"/>
          <w:b/>
          <w:bCs/>
          <w:kern w:val="2"/>
          <w:sz w:val="30"/>
          <w:szCs w:val="32"/>
          <w:lang w:val="en-US" w:eastAsia="zh-CN" w:bidi="ar-SA"/>
          <w14:ligatures w14:val="standardContextual"/>
        </w:rPr>
      </w:pPr>
      <w:r>
        <w:rPr>
          <w:rFonts w:hint="eastAsia" w:ascii="Times New Roman" w:hAnsi="Times New Roman" w:eastAsia="楷体_GB2312" w:cs="Times New Roman"/>
          <w:b/>
          <w:bCs/>
          <w:kern w:val="2"/>
          <w:sz w:val="30"/>
          <w:szCs w:val="32"/>
          <w:lang w:val="en-US" w:eastAsia="zh-CN" w:bidi="ar-SA"/>
          <w14:ligatures w14:val="standardContextual"/>
        </w:rPr>
        <w:t>（三）安全管理要求</w:t>
      </w:r>
    </w:p>
    <w:p>
      <w:pPr>
        <w:pageBreakBefore w:val="0"/>
        <w:numPr>
          <w:ilvl w:val="0"/>
          <w:numId w:val="15"/>
        </w:numPr>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color w:val="FF0000"/>
          <w:kern w:val="2"/>
          <w:sz w:val="28"/>
          <w:szCs w:val="28"/>
          <w:lang w:val="en-US" w:eastAsia="zh-CN" w:bidi="ar-SA"/>
          <w14:ligatures w14:val="standardContextual"/>
        </w:rPr>
        <w:t>★</w:t>
      </w:r>
      <w:r>
        <w:rPr>
          <w:rFonts w:hint="eastAsia" w:ascii="Times New Roman" w:hAnsi="Times New Roman" w:eastAsia="仿宋_GB2312" w:cs="Times New Roman"/>
          <w:color w:val="auto"/>
          <w:kern w:val="2"/>
          <w:sz w:val="28"/>
          <w:szCs w:val="28"/>
          <w:lang w:val="en-US" w:eastAsia="zh-CN" w:bidi="ar-SA"/>
          <w14:ligatures w14:val="standardContextual"/>
        </w:rPr>
        <w:t>在系统上线前必须参与完成询价方组织的关于项目建设软件系统的风险测评及整改工作，必要时安排系统研发人员入场，按要求完成保密整改内容，保证系统通过测评。</w:t>
      </w:r>
    </w:p>
    <w:p>
      <w:pPr>
        <w:pageBreakBefore w:val="0"/>
        <w:numPr>
          <w:ilvl w:val="0"/>
          <w:numId w:val="15"/>
        </w:numPr>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kern w:val="2"/>
          <w:sz w:val="28"/>
          <w:szCs w:val="28"/>
          <w:lang w:val="en-US" w:eastAsia="zh-CN" w:bidi="ar-SA"/>
          <w14:ligatures w14:val="standardContextual"/>
        </w:rPr>
        <w:t>可对用户密码和密码复杂度进行控制，管理密码更改周期。</w:t>
      </w:r>
    </w:p>
    <w:p>
      <w:pPr>
        <w:pageBreakBefore w:val="0"/>
        <w:numPr>
          <w:ilvl w:val="0"/>
          <w:numId w:val="15"/>
        </w:numPr>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kern w:val="2"/>
          <w:sz w:val="28"/>
          <w:szCs w:val="28"/>
          <w:lang w:val="en-US" w:eastAsia="zh-CN" w:bidi="ar-SA"/>
          <w14:ligatures w14:val="standardContextual"/>
        </w:rPr>
        <w:t>可提供图形化的界面，灵活定义用户、角色的访问权限。</w:t>
      </w:r>
    </w:p>
    <w:p>
      <w:pPr>
        <w:pageBreakBefore w:val="0"/>
        <w:numPr>
          <w:ilvl w:val="0"/>
          <w:numId w:val="15"/>
        </w:numPr>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kern w:val="2"/>
          <w:sz w:val="28"/>
          <w:szCs w:val="28"/>
          <w:lang w:val="en-US" w:eastAsia="zh-CN" w:bidi="ar-SA"/>
          <w14:ligatures w14:val="standardContextual"/>
        </w:rPr>
        <w:t>可记录用户操作日志，提供系统用户操作行为的安全审计报告。</w:t>
      </w:r>
    </w:p>
    <w:p>
      <w:pPr>
        <w:pageBreakBefore w:val="0"/>
        <w:numPr>
          <w:ilvl w:val="0"/>
          <w:numId w:val="15"/>
        </w:numPr>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kern w:val="2"/>
          <w:sz w:val="28"/>
          <w:szCs w:val="28"/>
          <w:lang w:val="en-US" w:eastAsia="zh-CN" w:bidi="ar-SA"/>
          <w14:ligatures w14:val="standardContextual"/>
        </w:rPr>
        <w:t>采用规则控制的权限控制方式，可对不同的组别、用户，及不同状态（例如已发布状态、工作流程进行中状态及设计状态）的数据，制定不同的权限，更能依询价方运作模式，动态的更新数据使用权限，建立完善的权限管理。</w:t>
      </w:r>
    </w:p>
    <w:p>
      <w:pPr>
        <w:pageBreakBefore w:val="0"/>
        <w:numPr>
          <w:ilvl w:val="0"/>
          <w:numId w:val="15"/>
        </w:numPr>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kern w:val="2"/>
          <w:sz w:val="28"/>
          <w:szCs w:val="28"/>
          <w:lang w:val="en-US" w:eastAsia="zh-CN" w:bidi="ar-SA"/>
          <w14:ligatures w14:val="standardContextual"/>
        </w:rPr>
        <w:t>权限规则定义支持备份和恢复，防止修改错误或者突发事故引起企业权限定义的丢失或者破坏。</w:t>
      </w:r>
    </w:p>
    <w:p>
      <w:pPr>
        <w:pageBreakBefore w:val="0"/>
        <w:numPr>
          <w:ilvl w:val="0"/>
          <w:numId w:val="15"/>
        </w:numPr>
        <w:kinsoku/>
        <w:wordWrap/>
        <w:overflowPunct/>
        <w:topLinePunct w:val="0"/>
        <w:autoSpaceDE/>
        <w:autoSpaceDN/>
        <w:bidi w:val="0"/>
        <w:spacing w:line="560" w:lineRule="exact"/>
        <w:ind w:firstLine="560" w:firstLineChars="200"/>
        <w:textAlignment w:val="auto"/>
        <w:rPr>
          <w:rFonts w:hint="eastAsia"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kern w:val="2"/>
          <w:sz w:val="28"/>
          <w:szCs w:val="28"/>
          <w:lang w:val="en-US" w:eastAsia="zh-CN" w:bidi="ar-SA"/>
          <w14:ligatures w14:val="standardContextual"/>
        </w:rPr>
        <w:t>支持灵活的备份机制，支持全备份、差异备份、增量备份等多种备份方式。支持按照既定策略实现系统的全自动备份。</w:t>
      </w:r>
    </w:p>
    <w:sectPr>
      <w:pgSz w:w="11906" w:h="16838"/>
      <w:pgMar w:top="1440" w:right="1800" w:bottom="1440" w:left="1800" w:header="851" w:footer="18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Times New Romans">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90822610"/>
      <w:docPartObj>
        <w:docPartGallery w:val="autotext"/>
      </w:docPartObj>
    </w:sdtPr>
    <w:sdtEndPr>
      <w:rPr>
        <w:sz w:val="21"/>
        <w:szCs w:val="21"/>
      </w:rPr>
    </w:sdtEndPr>
    <w:sdtContent>
      <w:p>
        <w:pPr>
          <w:pStyle w:val="9"/>
          <w:jc w:val="center"/>
          <w:rPr>
            <w:sz w:val="21"/>
            <w:szCs w:val="21"/>
          </w:rPr>
        </w:pP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AFCFC"/>
    <w:multiLevelType w:val="multilevel"/>
    <w:tmpl w:val="97EAFCFC"/>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062565B"/>
    <w:multiLevelType w:val="singleLevel"/>
    <w:tmpl w:val="A062565B"/>
    <w:lvl w:ilvl="0" w:tentative="0">
      <w:start w:val="1"/>
      <w:numFmt w:val="decimal"/>
      <w:suff w:val="nothing"/>
      <w:lvlText w:val="（%1）"/>
      <w:lvlJc w:val="left"/>
    </w:lvl>
  </w:abstractNum>
  <w:abstractNum w:abstractNumId="2">
    <w:nsid w:val="CFA501FF"/>
    <w:multiLevelType w:val="multilevel"/>
    <w:tmpl w:val="CFA501FF"/>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FC036188"/>
    <w:multiLevelType w:val="singleLevel"/>
    <w:tmpl w:val="FC036188"/>
    <w:lvl w:ilvl="0" w:tentative="0">
      <w:start w:val="1"/>
      <w:numFmt w:val="decimal"/>
      <w:suff w:val="nothing"/>
      <w:lvlText w:val="（%1）"/>
      <w:lvlJc w:val="left"/>
    </w:lvl>
  </w:abstractNum>
  <w:abstractNum w:abstractNumId="4">
    <w:nsid w:val="FFC592D9"/>
    <w:multiLevelType w:val="multilevel"/>
    <w:tmpl w:val="FFC592D9"/>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1B227C2E"/>
    <w:multiLevelType w:val="multilevel"/>
    <w:tmpl w:val="1B227C2E"/>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201759C1"/>
    <w:multiLevelType w:val="multilevel"/>
    <w:tmpl w:val="201759C1"/>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3C44789"/>
    <w:multiLevelType w:val="multilevel"/>
    <w:tmpl w:val="23C44789"/>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37E28FFF"/>
    <w:multiLevelType w:val="singleLevel"/>
    <w:tmpl w:val="37E28FFF"/>
    <w:lvl w:ilvl="0" w:tentative="0">
      <w:start w:val="1"/>
      <w:numFmt w:val="decimal"/>
      <w:suff w:val="nothing"/>
      <w:lvlText w:val="（%1）"/>
      <w:lvlJc w:val="left"/>
    </w:lvl>
  </w:abstractNum>
  <w:abstractNum w:abstractNumId="9">
    <w:nsid w:val="3E032912"/>
    <w:multiLevelType w:val="singleLevel"/>
    <w:tmpl w:val="3E032912"/>
    <w:lvl w:ilvl="0" w:tentative="0">
      <w:start w:val="1"/>
      <w:numFmt w:val="decimal"/>
      <w:suff w:val="nothing"/>
      <w:lvlText w:val="（%1）"/>
      <w:lvlJc w:val="left"/>
    </w:lvl>
  </w:abstractNum>
  <w:abstractNum w:abstractNumId="10">
    <w:nsid w:val="43C06AD9"/>
    <w:multiLevelType w:val="multilevel"/>
    <w:tmpl w:val="43C06AD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3DB6F4D"/>
    <w:multiLevelType w:val="multilevel"/>
    <w:tmpl w:val="43DB6F4D"/>
    <w:lvl w:ilvl="0" w:tentative="0">
      <w:start w:val="1"/>
      <w:numFmt w:val="decimal"/>
      <w:suff w:val="space"/>
      <w:lvlText w:val="%1."/>
      <w:lvlJc w:val="left"/>
      <w:pPr>
        <w:ind w:left="0" w:firstLine="0"/>
      </w:pPr>
      <w:rPr>
        <w:rFonts w:hint="eastAsia"/>
      </w:rPr>
    </w:lvl>
    <w:lvl w:ilvl="1" w:tentative="0">
      <w:start w:val="1"/>
      <w:numFmt w:val="decimalEnclosedCircle"/>
      <w:lvlText w:val="%2"/>
      <w:lvlJc w:val="left"/>
      <w:pPr>
        <w:ind w:left="1340" w:hanging="36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2">
    <w:nsid w:val="44443993"/>
    <w:multiLevelType w:val="multilevel"/>
    <w:tmpl w:val="44443993"/>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C495E4C"/>
    <w:multiLevelType w:val="multilevel"/>
    <w:tmpl w:val="4C495E4C"/>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4">
    <w:nsid w:val="56F5381D"/>
    <w:multiLevelType w:val="multilevel"/>
    <w:tmpl w:val="56F5381D"/>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10"/>
  </w:num>
  <w:num w:numId="2">
    <w:abstractNumId w:val="2"/>
  </w:num>
  <w:num w:numId="3">
    <w:abstractNumId w:val="14"/>
  </w:num>
  <w:num w:numId="4">
    <w:abstractNumId w:val="11"/>
  </w:num>
  <w:num w:numId="5">
    <w:abstractNumId w:val="13"/>
  </w:num>
  <w:num w:numId="6">
    <w:abstractNumId w:val="12"/>
  </w:num>
  <w:num w:numId="7">
    <w:abstractNumId w:val="7"/>
  </w:num>
  <w:num w:numId="8">
    <w:abstractNumId w:val="4"/>
  </w:num>
  <w:num w:numId="9">
    <w:abstractNumId w:val="5"/>
  </w:num>
  <w:num w:numId="10">
    <w:abstractNumId w:val="1"/>
  </w:num>
  <w:num w:numId="11">
    <w:abstractNumId w:val="9"/>
  </w:num>
  <w:num w:numId="12">
    <w:abstractNumId w:val="3"/>
  </w:num>
  <w:num w:numId="13">
    <w:abstractNumId w:val="8"/>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kNmQ0NjdjODA0YTEwN2ZmNjRmMmI4YjU4MTJmZTEifQ=="/>
  </w:docVars>
  <w:rsids>
    <w:rsidRoot w:val="001F0207"/>
    <w:rsid w:val="00133957"/>
    <w:rsid w:val="00150890"/>
    <w:rsid w:val="001F0207"/>
    <w:rsid w:val="00276398"/>
    <w:rsid w:val="00336181"/>
    <w:rsid w:val="003B7C75"/>
    <w:rsid w:val="00426D49"/>
    <w:rsid w:val="004439EB"/>
    <w:rsid w:val="004A2C99"/>
    <w:rsid w:val="004D2555"/>
    <w:rsid w:val="005A29FC"/>
    <w:rsid w:val="005D6155"/>
    <w:rsid w:val="00667473"/>
    <w:rsid w:val="00735ADF"/>
    <w:rsid w:val="008358E7"/>
    <w:rsid w:val="00857CFE"/>
    <w:rsid w:val="008943D2"/>
    <w:rsid w:val="008F718D"/>
    <w:rsid w:val="0093246E"/>
    <w:rsid w:val="00942D59"/>
    <w:rsid w:val="00A47C57"/>
    <w:rsid w:val="00A72351"/>
    <w:rsid w:val="00AD2DCE"/>
    <w:rsid w:val="00BF0D3E"/>
    <w:rsid w:val="00C36B3B"/>
    <w:rsid w:val="00CA4039"/>
    <w:rsid w:val="00CD6309"/>
    <w:rsid w:val="00D15F2B"/>
    <w:rsid w:val="00DB2ABC"/>
    <w:rsid w:val="00DB34D8"/>
    <w:rsid w:val="00DB4456"/>
    <w:rsid w:val="00E85AFF"/>
    <w:rsid w:val="00F33165"/>
    <w:rsid w:val="00F34198"/>
    <w:rsid w:val="00FD680C"/>
    <w:rsid w:val="0225140E"/>
    <w:rsid w:val="0227136C"/>
    <w:rsid w:val="026359C1"/>
    <w:rsid w:val="04477832"/>
    <w:rsid w:val="04D31D7F"/>
    <w:rsid w:val="05306479"/>
    <w:rsid w:val="05996953"/>
    <w:rsid w:val="05FD9DF3"/>
    <w:rsid w:val="0759059A"/>
    <w:rsid w:val="077A7D80"/>
    <w:rsid w:val="095F5E53"/>
    <w:rsid w:val="0A6854E5"/>
    <w:rsid w:val="0A720A8A"/>
    <w:rsid w:val="0B3E48F6"/>
    <w:rsid w:val="0BB35A1E"/>
    <w:rsid w:val="0C0F66D9"/>
    <w:rsid w:val="0CCB2252"/>
    <w:rsid w:val="0DBF24D9"/>
    <w:rsid w:val="0DFE5CBE"/>
    <w:rsid w:val="0DFF721D"/>
    <w:rsid w:val="0E0F53BB"/>
    <w:rsid w:val="0E75B0D8"/>
    <w:rsid w:val="0EFC38CA"/>
    <w:rsid w:val="0F1EC143"/>
    <w:rsid w:val="0F271BAF"/>
    <w:rsid w:val="0FFFB6EB"/>
    <w:rsid w:val="106E42E6"/>
    <w:rsid w:val="12680766"/>
    <w:rsid w:val="14F53E11"/>
    <w:rsid w:val="15BBACB8"/>
    <w:rsid w:val="15D44808"/>
    <w:rsid w:val="15FF7542"/>
    <w:rsid w:val="16CF396A"/>
    <w:rsid w:val="174B4C1F"/>
    <w:rsid w:val="17B674A1"/>
    <w:rsid w:val="17CF776C"/>
    <w:rsid w:val="17D4B840"/>
    <w:rsid w:val="196813EC"/>
    <w:rsid w:val="199937EB"/>
    <w:rsid w:val="19DFD5DA"/>
    <w:rsid w:val="19EB52F8"/>
    <w:rsid w:val="1AC1320D"/>
    <w:rsid w:val="1AED6363"/>
    <w:rsid w:val="1B38CF83"/>
    <w:rsid w:val="1B6129EE"/>
    <w:rsid w:val="1B7FB4CC"/>
    <w:rsid w:val="1BBF1DB9"/>
    <w:rsid w:val="1BE86619"/>
    <w:rsid w:val="1BFFC364"/>
    <w:rsid w:val="1C546F4C"/>
    <w:rsid w:val="1C6E73B1"/>
    <w:rsid w:val="1CFEB59E"/>
    <w:rsid w:val="1DA92327"/>
    <w:rsid w:val="1E3F1CBF"/>
    <w:rsid w:val="1EDD6DD8"/>
    <w:rsid w:val="1F154369"/>
    <w:rsid w:val="1F3B3A9F"/>
    <w:rsid w:val="1F59126B"/>
    <w:rsid w:val="1F6F8134"/>
    <w:rsid w:val="1F7FBDDA"/>
    <w:rsid w:val="1FAF2FDD"/>
    <w:rsid w:val="1FEEF77E"/>
    <w:rsid w:val="1FF5A69E"/>
    <w:rsid w:val="1FF78EEE"/>
    <w:rsid w:val="1FFE784E"/>
    <w:rsid w:val="1FFF1F81"/>
    <w:rsid w:val="200768CB"/>
    <w:rsid w:val="206A3777"/>
    <w:rsid w:val="21DB42A8"/>
    <w:rsid w:val="2200601E"/>
    <w:rsid w:val="221B2C1C"/>
    <w:rsid w:val="22BB5089"/>
    <w:rsid w:val="23878CE6"/>
    <w:rsid w:val="23BF774B"/>
    <w:rsid w:val="23ED62E2"/>
    <w:rsid w:val="26CF2B94"/>
    <w:rsid w:val="274B9E27"/>
    <w:rsid w:val="278F5FAB"/>
    <w:rsid w:val="27FF5D2B"/>
    <w:rsid w:val="283D7DCA"/>
    <w:rsid w:val="295E52AC"/>
    <w:rsid w:val="29770389"/>
    <w:rsid w:val="29F7F433"/>
    <w:rsid w:val="29FFF039"/>
    <w:rsid w:val="2AD34027"/>
    <w:rsid w:val="2B22F222"/>
    <w:rsid w:val="2B7E6C8C"/>
    <w:rsid w:val="2BAFA20B"/>
    <w:rsid w:val="2BDCE208"/>
    <w:rsid w:val="2BDFB752"/>
    <w:rsid w:val="2BFB3F36"/>
    <w:rsid w:val="2BFF3990"/>
    <w:rsid w:val="2C0B028E"/>
    <w:rsid w:val="2C0C3D23"/>
    <w:rsid w:val="2C972AC7"/>
    <w:rsid w:val="2DCF57BF"/>
    <w:rsid w:val="2DF13A59"/>
    <w:rsid w:val="2DF39C72"/>
    <w:rsid w:val="2E6B0776"/>
    <w:rsid w:val="2E843F6F"/>
    <w:rsid w:val="2EBA0252"/>
    <w:rsid w:val="2EFB57A1"/>
    <w:rsid w:val="2F962D11"/>
    <w:rsid w:val="2FDF7BD0"/>
    <w:rsid w:val="2FFE398A"/>
    <w:rsid w:val="31DFA014"/>
    <w:rsid w:val="3240775C"/>
    <w:rsid w:val="33B7456D"/>
    <w:rsid w:val="33C543BD"/>
    <w:rsid w:val="33DF8AA4"/>
    <w:rsid w:val="33F00D0E"/>
    <w:rsid w:val="33FFDC50"/>
    <w:rsid w:val="355F70D6"/>
    <w:rsid w:val="35CE97BD"/>
    <w:rsid w:val="364A0BAA"/>
    <w:rsid w:val="367BCCD0"/>
    <w:rsid w:val="36EC959D"/>
    <w:rsid w:val="36EF079F"/>
    <w:rsid w:val="371DCC31"/>
    <w:rsid w:val="3757C6B8"/>
    <w:rsid w:val="377B3C65"/>
    <w:rsid w:val="37ABD356"/>
    <w:rsid w:val="37BF1E3A"/>
    <w:rsid w:val="37D408DA"/>
    <w:rsid w:val="37D74B39"/>
    <w:rsid w:val="37F6FC7F"/>
    <w:rsid w:val="37FFD9FA"/>
    <w:rsid w:val="389F923C"/>
    <w:rsid w:val="38C83C36"/>
    <w:rsid w:val="38D5170C"/>
    <w:rsid w:val="393F415F"/>
    <w:rsid w:val="39B31E38"/>
    <w:rsid w:val="39FE3DFC"/>
    <w:rsid w:val="39FF45B7"/>
    <w:rsid w:val="3B0312A1"/>
    <w:rsid w:val="3B550BE8"/>
    <w:rsid w:val="3B7564CC"/>
    <w:rsid w:val="3B8F46B6"/>
    <w:rsid w:val="3B9FBA48"/>
    <w:rsid w:val="3BA77B7E"/>
    <w:rsid w:val="3BAFFC3A"/>
    <w:rsid w:val="3BB59FEB"/>
    <w:rsid w:val="3BF7B602"/>
    <w:rsid w:val="3BFBA419"/>
    <w:rsid w:val="3C222029"/>
    <w:rsid w:val="3C3D9DD5"/>
    <w:rsid w:val="3C7DF502"/>
    <w:rsid w:val="3D173137"/>
    <w:rsid w:val="3D3F7C59"/>
    <w:rsid w:val="3D533077"/>
    <w:rsid w:val="3D574FF4"/>
    <w:rsid w:val="3D6B6929"/>
    <w:rsid w:val="3D7B01CA"/>
    <w:rsid w:val="3D7F7EE0"/>
    <w:rsid w:val="3DD86D0C"/>
    <w:rsid w:val="3DF724AD"/>
    <w:rsid w:val="3E1DCFEE"/>
    <w:rsid w:val="3E7790AD"/>
    <w:rsid w:val="3EBD3C7E"/>
    <w:rsid w:val="3EEE884A"/>
    <w:rsid w:val="3EF20C45"/>
    <w:rsid w:val="3EF3500C"/>
    <w:rsid w:val="3EFB0BED"/>
    <w:rsid w:val="3EFFF12C"/>
    <w:rsid w:val="3F1B2E1F"/>
    <w:rsid w:val="3F3F91C3"/>
    <w:rsid w:val="3F40EAE1"/>
    <w:rsid w:val="3F5D15C1"/>
    <w:rsid w:val="3F720539"/>
    <w:rsid w:val="3F7BA55B"/>
    <w:rsid w:val="3F7C1768"/>
    <w:rsid w:val="3F9B822B"/>
    <w:rsid w:val="3F9F11DF"/>
    <w:rsid w:val="3FAD48C8"/>
    <w:rsid w:val="3FAE6544"/>
    <w:rsid w:val="3FAEFA87"/>
    <w:rsid w:val="3FBB2A70"/>
    <w:rsid w:val="3FDA2172"/>
    <w:rsid w:val="3FDFE6B2"/>
    <w:rsid w:val="3FE73FE1"/>
    <w:rsid w:val="3FE78F96"/>
    <w:rsid w:val="3FEE9DA9"/>
    <w:rsid w:val="3FEEC5BC"/>
    <w:rsid w:val="3FF38EF8"/>
    <w:rsid w:val="3FF5EA6D"/>
    <w:rsid w:val="3FFB2B12"/>
    <w:rsid w:val="3FFEB72E"/>
    <w:rsid w:val="3FFEE437"/>
    <w:rsid w:val="3FFF6AC3"/>
    <w:rsid w:val="3FFFCE80"/>
    <w:rsid w:val="3FFFD85F"/>
    <w:rsid w:val="40C72C35"/>
    <w:rsid w:val="4149735F"/>
    <w:rsid w:val="428C3276"/>
    <w:rsid w:val="437C611B"/>
    <w:rsid w:val="445B7AEC"/>
    <w:rsid w:val="458B53AF"/>
    <w:rsid w:val="45F7B3EA"/>
    <w:rsid w:val="464A386A"/>
    <w:rsid w:val="467F365A"/>
    <w:rsid w:val="472971C6"/>
    <w:rsid w:val="47F3CA2A"/>
    <w:rsid w:val="488A462E"/>
    <w:rsid w:val="48C305A4"/>
    <w:rsid w:val="49AA39E1"/>
    <w:rsid w:val="4A523C36"/>
    <w:rsid w:val="4A6A7EE0"/>
    <w:rsid w:val="4AA76A40"/>
    <w:rsid w:val="4ABF3B1B"/>
    <w:rsid w:val="4AE7494F"/>
    <w:rsid w:val="4B7F4F4A"/>
    <w:rsid w:val="4BBF6467"/>
    <w:rsid w:val="4BFE3CC6"/>
    <w:rsid w:val="4BFEDD90"/>
    <w:rsid w:val="4DFFD93B"/>
    <w:rsid w:val="4E6A2BDB"/>
    <w:rsid w:val="4F005E52"/>
    <w:rsid w:val="4F5F9D89"/>
    <w:rsid w:val="4FAFE4A6"/>
    <w:rsid w:val="4FB67F7A"/>
    <w:rsid w:val="4FBE4ECE"/>
    <w:rsid w:val="4FBF054C"/>
    <w:rsid w:val="4FF197F5"/>
    <w:rsid w:val="4FFE0B35"/>
    <w:rsid w:val="4FFF4BDD"/>
    <w:rsid w:val="50A213E9"/>
    <w:rsid w:val="51637BEC"/>
    <w:rsid w:val="51BC69A8"/>
    <w:rsid w:val="51CB6E2F"/>
    <w:rsid w:val="5317B8D7"/>
    <w:rsid w:val="533B81A1"/>
    <w:rsid w:val="53DE166F"/>
    <w:rsid w:val="53E534E0"/>
    <w:rsid w:val="53E61ABA"/>
    <w:rsid w:val="53EFF422"/>
    <w:rsid w:val="543C36AE"/>
    <w:rsid w:val="54FF9DED"/>
    <w:rsid w:val="558718EB"/>
    <w:rsid w:val="564F0505"/>
    <w:rsid w:val="56DB6C4D"/>
    <w:rsid w:val="56F38593"/>
    <w:rsid w:val="572FF2B8"/>
    <w:rsid w:val="573A62BB"/>
    <w:rsid w:val="5788D7B4"/>
    <w:rsid w:val="57ABC357"/>
    <w:rsid w:val="57ABF38D"/>
    <w:rsid w:val="57BE2061"/>
    <w:rsid w:val="57D9EB36"/>
    <w:rsid w:val="590029F6"/>
    <w:rsid w:val="597FF9B7"/>
    <w:rsid w:val="59DD395F"/>
    <w:rsid w:val="59EA4410"/>
    <w:rsid w:val="59EDC514"/>
    <w:rsid w:val="5A9F1C46"/>
    <w:rsid w:val="5ACA71B3"/>
    <w:rsid w:val="5AFF1F19"/>
    <w:rsid w:val="5AFF4EB2"/>
    <w:rsid w:val="5AFFCB26"/>
    <w:rsid w:val="5B97D4A6"/>
    <w:rsid w:val="5BA364E3"/>
    <w:rsid w:val="5BB765FD"/>
    <w:rsid w:val="5BDDB133"/>
    <w:rsid w:val="5BEDAA68"/>
    <w:rsid w:val="5BF6FD07"/>
    <w:rsid w:val="5BFB33F1"/>
    <w:rsid w:val="5D3F26FD"/>
    <w:rsid w:val="5D5C8A8B"/>
    <w:rsid w:val="5D635E72"/>
    <w:rsid w:val="5D81068B"/>
    <w:rsid w:val="5D885990"/>
    <w:rsid w:val="5D8D1615"/>
    <w:rsid w:val="5DBE10E1"/>
    <w:rsid w:val="5DD38E09"/>
    <w:rsid w:val="5DF7CD83"/>
    <w:rsid w:val="5DFF806E"/>
    <w:rsid w:val="5DFFE502"/>
    <w:rsid w:val="5E48511F"/>
    <w:rsid w:val="5E6DD7C4"/>
    <w:rsid w:val="5EB71A37"/>
    <w:rsid w:val="5EDD3EC1"/>
    <w:rsid w:val="5EED4A24"/>
    <w:rsid w:val="5EF79806"/>
    <w:rsid w:val="5EF7EE2E"/>
    <w:rsid w:val="5EFB2D0C"/>
    <w:rsid w:val="5F092BBD"/>
    <w:rsid w:val="5F3FB3F2"/>
    <w:rsid w:val="5F3FFE0B"/>
    <w:rsid w:val="5F7EF2FD"/>
    <w:rsid w:val="5F7F244E"/>
    <w:rsid w:val="5FBBCEBE"/>
    <w:rsid w:val="5FBBFF5A"/>
    <w:rsid w:val="5FBF05A0"/>
    <w:rsid w:val="5FBFA71D"/>
    <w:rsid w:val="5FD918BC"/>
    <w:rsid w:val="5FDB659E"/>
    <w:rsid w:val="5FDF8C36"/>
    <w:rsid w:val="5FF32B8D"/>
    <w:rsid w:val="5FF3BD23"/>
    <w:rsid w:val="5FF77B11"/>
    <w:rsid w:val="5FF78AE9"/>
    <w:rsid w:val="5FF792C2"/>
    <w:rsid w:val="5FFAAD66"/>
    <w:rsid w:val="5FFB3C38"/>
    <w:rsid w:val="5FFE035F"/>
    <w:rsid w:val="5FFEFA8B"/>
    <w:rsid w:val="5FFFA675"/>
    <w:rsid w:val="60305848"/>
    <w:rsid w:val="60D55D67"/>
    <w:rsid w:val="61556784"/>
    <w:rsid w:val="62DF3EEF"/>
    <w:rsid w:val="62EF372B"/>
    <w:rsid w:val="6353BBBB"/>
    <w:rsid w:val="63E3B645"/>
    <w:rsid w:val="63FBA38A"/>
    <w:rsid w:val="63FBFAD0"/>
    <w:rsid w:val="64A1410F"/>
    <w:rsid w:val="64EDCA26"/>
    <w:rsid w:val="65B4A56A"/>
    <w:rsid w:val="65EF52D5"/>
    <w:rsid w:val="65F7029E"/>
    <w:rsid w:val="66CEBD51"/>
    <w:rsid w:val="675A3EA9"/>
    <w:rsid w:val="67662B83"/>
    <w:rsid w:val="67BDD4AB"/>
    <w:rsid w:val="67CEC42D"/>
    <w:rsid w:val="67DC858F"/>
    <w:rsid w:val="67DFF849"/>
    <w:rsid w:val="67F978EF"/>
    <w:rsid w:val="68DFE31C"/>
    <w:rsid w:val="693966D8"/>
    <w:rsid w:val="695F0731"/>
    <w:rsid w:val="697C41C1"/>
    <w:rsid w:val="69B63111"/>
    <w:rsid w:val="69C96C21"/>
    <w:rsid w:val="69E79FC5"/>
    <w:rsid w:val="69EDC6CB"/>
    <w:rsid w:val="69EE54E7"/>
    <w:rsid w:val="6AB66AF0"/>
    <w:rsid w:val="6AFF42A4"/>
    <w:rsid w:val="6AFFC7E2"/>
    <w:rsid w:val="6B6E654D"/>
    <w:rsid w:val="6B6F0998"/>
    <w:rsid w:val="6BA029F4"/>
    <w:rsid w:val="6BA1D57B"/>
    <w:rsid w:val="6BB9B214"/>
    <w:rsid w:val="6BBD25A7"/>
    <w:rsid w:val="6BD0ED8F"/>
    <w:rsid w:val="6BD7AEFE"/>
    <w:rsid w:val="6BFBCF1D"/>
    <w:rsid w:val="6BFDE313"/>
    <w:rsid w:val="6BFEE536"/>
    <w:rsid w:val="6BFF4330"/>
    <w:rsid w:val="6BFFEFB5"/>
    <w:rsid w:val="6C993ACB"/>
    <w:rsid w:val="6CBE0A8E"/>
    <w:rsid w:val="6CDF3559"/>
    <w:rsid w:val="6CFD6491"/>
    <w:rsid w:val="6D2B6BE1"/>
    <w:rsid w:val="6D3567E6"/>
    <w:rsid w:val="6D5F4675"/>
    <w:rsid w:val="6D72D7BD"/>
    <w:rsid w:val="6D763D26"/>
    <w:rsid w:val="6DA79FF6"/>
    <w:rsid w:val="6DE53C15"/>
    <w:rsid w:val="6DFFF2B3"/>
    <w:rsid w:val="6E7BCCA0"/>
    <w:rsid w:val="6E852BD2"/>
    <w:rsid w:val="6EDBED6C"/>
    <w:rsid w:val="6EDF4AB7"/>
    <w:rsid w:val="6EF51D9B"/>
    <w:rsid w:val="6EF73206"/>
    <w:rsid w:val="6EFCA210"/>
    <w:rsid w:val="6EFF2DC7"/>
    <w:rsid w:val="6EFFDFF0"/>
    <w:rsid w:val="6F3F9FE2"/>
    <w:rsid w:val="6F75F323"/>
    <w:rsid w:val="6F7DDB0A"/>
    <w:rsid w:val="6FB9DAE6"/>
    <w:rsid w:val="6FBA0CE4"/>
    <w:rsid w:val="6FBB79BF"/>
    <w:rsid w:val="6FC860C0"/>
    <w:rsid w:val="6FDEBB5C"/>
    <w:rsid w:val="6FE52144"/>
    <w:rsid w:val="6FEFF36D"/>
    <w:rsid w:val="6FF4BE92"/>
    <w:rsid w:val="6FFB34F1"/>
    <w:rsid w:val="6FFBA647"/>
    <w:rsid w:val="6FFD0848"/>
    <w:rsid w:val="6FFD5ED7"/>
    <w:rsid w:val="6FFDDA83"/>
    <w:rsid w:val="6FFDE4BC"/>
    <w:rsid w:val="6FFF0CC7"/>
    <w:rsid w:val="6FFF1F73"/>
    <w:rsid w:val="6FFF3526"/>
    <w:rsid w:val="70FF38A2"/>
    <w:rsid w:val="713F6856"/>
    <w:rsid w:val="71BE5E8E"/>
    <w:rsid w:val="71E608C6"/>
    <w:rsid w:val="71FE16F0"/>
    <w:rsid w:val="723EC195"/>
    <w:rsid w:val="727B7064"/>
    <w:rsid w:val="72824E1C"/>
    <w:rsid w:val="729F2E62"/>
    <w:rsid w:val="72B960B6"/>
    <w:rsid w:val="72DFFB2B"/>
    <w:rsid w:val="73330E84"/>
    <w:rsid w:val="73379F7A"/>
    <w:rsid w:val="738B5D82"/>
    <w:rsid w:val="738C2220"/>
    <w:rsid w:val="73BE705A"/>
    <w:rsid w:val="73BF5CE6"/>
    <w:rsid w:val="73D3DED0"/>
    <w:rsid w:val="73ED764C"/>
    <w:rsid w:val="73EE3C0C"/>
    <w:rsid w:val="73F73A16"/>
    <w:rsid w:val="73FF2BE3"/>
    <w:rsid w:val="73FF82AC"/>
    <w:rsid w:val="749F44BE"/>
    <w:rsid w:val="74BA3B34"/>
    <w:rsid w:val="74EE63A8"/>
    <w:rsid w:val="75580E94"/>
    <w:rsid w:val="75F72CC2"/>
    <w:rsid w:val="75F7FF4D"/>
    <w:rsid w:val="75FE2734"/>
    <w:rsid w:val="75FF10BB"/>
    <w:rsid w:val="767FFC06"/>
    <w:rsid w:val="76BA51F0"/>
    <w:rsid w:val="76F089F6"/>
    <w:rsid w:val="76F641D5"/>
    <w:rsid w:val="76FAC1B0"/>
    <w:rsid w:val="773F1571"/>
    <w:rsid w:val="775907B2"/>
    <w:rsid w:val="775B2EEB"/>
    <w:rsid w:val="775E232D"/>
    <w:rsid w:val="775E6CC6"/>
    <w:rsid w:val="77656F00"/>
    <w:rsid w:val="777C0067"/>
    <w:rsid w:val="779EF1DA"/>
    <w:rsid w:val="77A55ECB"/>
    <w:rsid w:val="77BE8B58"/>
    <w:rsid w:val="77E502D9"/>
    <w:rsid w:val="77EEE32D"/>
    <w:rsid w:val="77EF29D9"/>
    <w:rsid w:val="77F325EC"/>
    <w:rsid w:val="77F3D7DB"/>
    <w:rsid w:val="77F7C3F7"/>
    <w:rsid w:val="77FDE96B"/>
    <w:rsid w:val="77FF1793"/>
    <w:rsid w:val="77FF6911"/>
    <w:rsid w:val="787795ED"/>
    <w:rsid w:val="78B7CC6B"/>
    <w:rsid w:val="78BFA5AC"/>
    <w:rsid w:val="79012094"/>
    <w:rsid w:val="79154E88"/>
    <w:rsid w:val="791EFFDF"/>
    <w:rsid w:val="79DFBE7D"/>
    <w:rsid w:val="79FD826E"/>
    <w:rsid w:val="79FDE8D8"/>
    <w:rsid w:val="7A006AB0"/>
    <w:rsid w:val="7A0B27B2"/>
    <w:rsid w:val="7A5F987D"/>
    <w:rsid w:val="7A97F3BC"/>
    <w:rsid w:val="7ADE45C2"/>
    <w:rsid w:val="7ADF8540"/>
    <w:rsid w:val="7AEFA031"/>
    <w:rsid w:val="7AF7571A"/>
    <w:rsid w:val="7AFB629E"/>
    <w:rsid w:val="7B1701B4"/>
    <w:rsid w:val="7B4FCC88"/>
    <w:rsid w:val="7B65F079"/>
    <w:rsid w:val="7B7754C9"/>
    <w:rsid w:val="7B95F20B"/>
    <w:rsid w:val="7B9D4738"/>
    <w:rsid w:val="7BB772B8"/>
    <w:rsid w:val="7BBE4E9F"/>
    <w:rsid w:val="7BBEF215"/>
    <w:rsid w:val="7BC3A594"/>
    <w:rsid w:val="7BCDFD2B"/>
    <w:rsid w:val="7BDB2B7A"/>
    <w:rsid w:val="7BEF3256"/>
    <w:rsid w:val="7BEF4E63"/>
    <w:rsid w:val="7BF01343"/>
    <w:rsid w:val="7BF72DAD"/>
    <w:rsid w:val="7BF7C9A6"/>
    <w:rsid w:val="7BFBD805"/>
    <w:rsid w:val="7BFD2E76"/>
    <w:rsid w:val="7BFF25B9"/>
    <w:rsid w:val="7BFF5B14"/>
    <w:rsid w:val="7BFF6D5A"/>
    <w:rsid w:val="7C7A14FD"/>
    <w:rsid w:val="7CCE1F66"/>
    <w:rsid w:val="7CD39E17"/>
    <w:rsid w:val="7CDF4FB5"/>
    <w:rsid w:val="7CEF12B7"/>
    <w:rsid w:val="7CFF122B"/>
    <w:rsid w:val="7D25FF91"/>
    <w:rsid w:val="7D31913F"/>
    <w:rsid w:val="7D56D797"/>
    <w:rsid w:val="7D736ECE"/>
    <w:rsid w:val="7D99BDBA"/>
    <w:rsid w:val="7D9B2492"/>
    <w:rsid w:val="7DCD56A8"/>
    <w:rsid w:val="7DDB1234"/>
    <w:rsid w:val="7DDBD993"/>
    <w:rsid w:val="7DDD7F74"/>
    <w:rsid w:val="7DDDF6CF"/>
    <w:rsid w:val="7DDF2208"/>
    <w:rsid w:val="7DDF770B"/>
    <w:rsid w:val="7DE2291A"/>
    <w:rsid w:val="7DE7562D"/>
    <w:rsid w:val="7DF3D431"/>
    <w:rsid w:val="7DF5F513"/>
    <w:rsid w:val="7DF7A212"/>
    <w:rsid w:val="7DFA0694"/>
    <w:rsid w:val="7DFBF85C"/>
    <w:rsid w:val="7DFC0D35"/>
    <w:rsid w:val="7DFEDE76"/>
    <w:rsid w:val="7E1DCA1A"/>
    <w:rsid w:val="7E397D4F"/>
    <w:rsid w:val="7E3F0DC4"/>
    <w:rsid w:val="7E470CA3"/>
    <w:rsid w:val="7E74B41A"/>
    <w:rsid w:val="7E7D3119"/>
    <w:rsid w:val="7E7D4BEF"/>
    <w:rsid w:val="7E7DD729"/>
    <w:rsid w:val="7E7E7D5D"/>
    <w:rsid w:val="7E843AFA"/>
    <w:rsid w:val="7E9DA55A"/>
    <w:rsid w:val="7EAEF2DD"/>
    <w:rsid w:val="7EAF737E"/>
    <w:rsid w:val="7EAF74CB"/>
    <w:rsid w:val="7EBFC1AD"/>
    <w:rsid w:val="7EC73D05"/>
    <w:rsid w:val="7EE5228D"/>
    <w:rsid w:val="7EEBB701"/>
    <w:rsid w:val="7EEE04B0"/>
    <w:rsid w:val="7EEF8C69"/>
    <w:rsid w:val="7EF21685"/>
    <w:rsid w:val="7EF64CE0"/>
    <w:rsid w:val="7EF91241"/>
    <w:rsid w:val="7EFE166E"/>
    <w:rsid w:val="7EFF3507"/>
    <w:rsid w:val="7EFF3EFF"/>
    <w:rsid w:val="7EFF8951"/>
    <w:rsid w:val="7EFFD986"/>
    <w:rsid w:val="7F1DCF09"/>
    <w:rsid w:val="7F3F933B"/>
    <w:rsid w:val="7F4E0328"/>
    <w:rsid w:val="7F6A4606"/>
    <w:rsid w:val="7F6B8E55"/>
    <w:rsid w:val="7F763DBA"/>
    <w:rsid w:val="7F7B9A12"/>
    <w:rsid w:val="7F7CA163"/>
    <w:rsid w:val="7F7D76DC"/>
    <w:rsid w:val="7F7E6066"/>
    <w:rsid w:val="7F7E6B16"/>
    <w:rsid w:val="7F7F37E2"/>
    <w:rsid w:val="7F7FC4F6"/>
    <w:rsid w:val="7F8EACB1"/>
    <w:rsid w:val="7F8F1401"/>
    <w:rsid w:val="7F96C8CE"/>
    <w:rsid w:val="7F979738"/>
    <w:rsid w:val="7F9F1247"/>
    <w:rsid w:val="7FA22EDF"/>
    <w:rsid w:val="7FA3DC6A"/>
    <w:rsid w:val="7FAE16B7"/>
    <w:rsid w:val="7FAE1A32"/>
    <w:rsid w:val="7FB78E32"/>
    <w:rsid w:val="7FB8D8D0"/>
    <w:rsid w:val="7FB96F10"/>
    <w:rsid w:val="7FBBEA93"/>
    <w:rsid w:val="7FBBEEFF"/>
    <w:rsid w:val="7FBCBED7"/>
    <w:rsid w:val="7FBDB719"/>
    <w:rsid w:val="7FBE9E7D"/>
    <w:rsid w:val="7FBF7616"/>
    <w:rsid w:val="7FBF837B"/>
    <w:rsid w:val="7FC32145"/>
    <w:rsid w:val="7FC35C5F"/>
    <w:rsid w:val="7FCF2FB5"/>
    <w:rsid w:val="7FCFD37A"/>
    <w:rsid w:val="7FD79640"/>
    <w:rsid w:val="7FD7D30A"/>
    <w:rsid w:val="7FDE928B"/>
    <w:rsid w:val="7FDF15A1"/>
    <w:rsid w:val="7FDFBACC"/>
    <w:rsid w:val="7FDFC46A"/>
    <w:rsid w:val="7FDFC838"/>
    <w:rsid w:val="7FDFF239"/>
    <w:rsid w:val="7FE675BF"/>
    <w:rsid w:val="7FE6EC44"/>
    <w:rsid w:val="7FE7A86A"/>
    <w:rsid w:val="7FEB3C86"/>
    <w:rsid w:val="7FED4ACB"/>
    <w:rsid w:val="7FEE2005"/>
    <w:rsid w:val="7FEF6B17"/>
    <w:rsid w:val="7FF21735"/>
    <w:rsid w:val="7FF46EBD"/>
    <w:rsid w:val="7FF505BB"/>
    <w:rsid w:val="7FF5D900"/>
    <w:rsid w:val="7FF72EB9"/>
    <w:rsid w:val="7FF8ABC2"/>
    <w:rsid w:val="7FFA25D2"/>
    <w:rsid w:val="7FFB07DF"/>
    <w:rsid w:val="7FFBA429"/>
    <w:rsid w:val="7FFC96E1"/>
    <w:rsid w:val="7FFC990B"/>
    <w:rsid w:val="7FFD0A5E"/>
    <w:rsid w:val="7FFD5187"/>
    <w:rsid w:val="7FFD80BE"/>
    <w:rsid w:val="7FFD9816"/>
    <w:rsid w:val="7FFDBD36"/>
    <w:rsid w:val="7FFE2848"/>
    <w:rsid w:val="7FFECC5B"/>
    <w:rsid w:val="7FFEFCD6"/>
    <w:rsid w:val="7FFF1631"/>
    <w:rsid w:val="7FFF2F70"/>
    <w:rsid w:val="7FFF826D"/>
    <w:rsid w:val="7FFFBE17"/>
    <w:rsid w:val="7FFFE0AE"/>
    <w:rsid w:val="7FFFEAF8"/>
    <w:rsid w:val="7FFFFA20"/>
    <w:rsid w:val="892F989D"/>
    <w:rsid w:val="8BF5380E"/>
    <w:rsid w:val="8EBFD73E"/>
    <w:rsid w:val="8FBF5E8A"/>
    <w:rsid w:val="8FBF6CE4"/>
    <w:rsid w:val="8FE6BDC2"/>
    <w:rsid w:val="8FF8A73C"/>
    <w:rsid w:val="936E52F6"/>
    <w:rsid w:val="937F7E04"/>
    <w:rsid w:val="969EE6C2"/>
    <w:rsid w:val="96DF8DD2"/>
    <w:rsid w:val="97DB55F6"/>
    <w:rsid w:val="97F75B38"/>
    <w:rsid w:val="97FEB177"/>
    <w:rsid w:val="98FDB1B3"/>
    <w:rsid w:val="99DFED1C"/>
    <w:rsid w:val="9ACFCF71"/>
    <w:rsid w:val="9AFE1492"/>
    <w:rsid w:val="9B368290"/>
    <w:rsid w:val="9BBA899A"/>
    <w:rsid w:val="9BBD3C93"/>
    <w:rsid w:val="9BFD4A43"/>
    <w:rsid w:val="9BFF7662"/>
    <w:rsid w:val="9DD7F808"/>
    <w:rsid w:val="9DEB30B9"/>
    <w:rsid w:val="9EBE002D"/>
    <w:rsid w:val="9EF98C88"/>
    <w:rsid w:val="9F4A0984"/>
    <w:rsid w:val="9FB73424"/>
    <w:rsid w:val="9FEFDF7D"/>
    <w:rsid w:val="9FF721FD"/>
    <w:rsid w:val="9FFD5EA3"/>
    <w:rsid w:val="9FFF8969"/>
    <w:rsid w:val="9FFFD14E"/>
    <w:rsid w:val="A5F15790"/>
    <w:rsid w:val="A5FDBDF3"/>
    <w:rsid w:val="A77F15A7"/>
    <w:rsid w:val="A7F31F50"/>
    <w:rsid w:val="A99260FC"/>
    <w:rsid w:val="A9EFD5AF"/>
    <w:rsid w:val="AA6FDCE8"/>
    <w:rsid w:val="ABB10A21"/>
    <w:rsid w:val="ABB77DB9"/>
    <w:rsid w:val="ABD9402B"/>
    <w:rsid w:val="ABF682BC"/>
    <w:rsid w:val="ACF916FA"/>
    <w:rsid w:val="AD601E1F"/>
    <w:rsid w:val="AD63AD33"/>
    <w:rsid w:val="ADE51B81"/>
    <w:rsid w:val="AEE9426D"/>
    <w:rsid w:val="AEEF0937"/>
    <w:rsid w:val="AF6292AA"/>
    <w:rsid w:val="AF69884B"/>
    <w:rsid w:val="AF7E0BD2"/>
    <w:rsid w:val="AF8A2564"/>
    <w:rsid w:val="AFC7A9E1"/>
    <w:rsid w:val="AFCD3790"/>
    <w:rsid w:val="AFD534F5"/>
    <w:rsid w:val="AFDB693C"/>
    <w:rsid w:val="AFDF5B51"/>
    <w:rsid w:val="AFDFDF27"/>
    <w:rsid w:val="AFEF01E9"/>
    <w:rsid w:val="AFEF47C3"/>
    <w:rsid w:val="AFFE875C"/>
    <w:rsid w:val="AFFEE579"/>
    <w:rsid w:val="B0DD56D0"/>
    <w:rsid w:val="B1774B92"/>
    <w:rsid w:val="B1BBDAE1"/>
    <w:rsid w:val="B2DE3CA4"/>
    <w:rsid w:val="B368AA8C"/>
    <w:rsid w:val="B3CF16B2"/>
    <w:rsid w:val="B3D38BDB"/>
    <w:rsid w:val="B3FD79E7"/>
    <w:rsid w:val="B4FDEEB2"/>
    <w:rsid w:val="B5BFFCA7"/>
    <w:rsid w:val="B5FEA936"/>
    <w:rsid w:val="B63FE01D"/>
    <w:rsid w:val="B66ECAE3"/>
    <w:rsid w:val="B67EF7AE"/>
    <w:rsid w:val="B6F9346F"/>
    <w:rsid w:val="B72E8067"/>
    <w:rsid w:val="B77FB49D"/>
    <w:rsid w:val="B7B74E27"/>
    <w:rsid w:val="B7F72485"/>
    <w:rsid w:val="B7FB7DEE"/>
    <w:rsid w:val="B7FF3D06"/>
    <w:rsid w:val="B7FF9EF3"/>
    <w:rsid w:val="BA5713B1"/>
    <w:rsid w:val="BA7FB7FB"/>
    <w:rsid w:val="BAEF67DB"/>
    <w:rsid w:val="BAF528FE"/>
    <w:rsid w:val="BB7D39F6"/>
    <w:rsid w:val="BB9E32B2"/>
    <w:rsid w:val="BBF68C1A"/>
    <w:rsid w:val="BCE8AAE1"/>
    <w:rsid w:val="BCFCEC9F"/>
    <w:rsid w:val="BD3BA0C0"/>
    <w:rsid w:val="BD9FBF90"/>
    <w:rsid w:val="BDBDC6A8"/>
    <w:rsid w:val="BDDB9574"/>
    <w:rsid w:val="BDEFE2F6"/>
    <w:rsid w:val="BDF7451E"/>
    <w:rsid w:val="BDFB732D"/>
    <w:rsid w:val="BDFE5C29"/>
    <w:rsid w:val="BDFFA903"/>
    <w:rsid w:val="BDFFC50F"/>
    <w:rsid w:val="BE3DC7AA"/>
    <w:rsid w:val="BEAF89A1"/>
    <w:rsid w:val="BEAF995B"/>
    <w:rsid w:val="BEAFA494"/>
    <w:rsid w:val="BEFB9F04"/>
    <w:rsid w:val="BEFC7EA3"/>
    <w:rsid w:val="BEFD2A6F"/>
    <w:rsid w:val="BEFF010B"/>
    <w:rsid w:val="BF1E2831"/>
    <w:rsid w:val="BF6F1F27"/>
    <w:rsid w:val="BF738C51"/>
    <w:rsid w:val="BF7780F0"/>
    <w:rsid w:val="BF7C871E"/>
    <w:rsid w:val="BF7F0DA8"/>
    <w:rsid w:val="BF9B6697"/>
    <w:rsid w:val="BFAEABB8"/>
    <w:rsid w:val="BFBDC9A7"/>
    <w:rsid w:val="BFC9388C"/>
    <w:rsid w:val="BFC9F3EE"/>
    <w:rsid w:val="BFCF1D13"/>
    <w:rsid w:val="BFCF3ED3"/>
    <w:rsid w:val="BFDE663F"/>
    <w:rsid w:val="BFDF9746"/>
    <w:rsid w:val="BFDFB8A0"/>
    <w:rsid w:val="BFDFF489"/>
    <w:rsid w:val="BFED9D75"/>
    <w:rsid w:val="BFEEC7BC"/>
    <w:rsid w:val="BFEF9332"/>
    <w:rsid w:val="BFF5513D"/>
    <w:rsid w:val="BFF7B5F8"/>
    <w:rsid w:val="BFFF514E"/>
    <w:rsid w:val="C1F75A8F"/>
    <w:rsid w:val="C3BF7F2D"/>
    <w:rsid w:val="C3FBE4D8"/>
    <w:rsid w:val="C3FFB655"/>
    <w:rsid w:val="C5B3DBD7"/>
    <w:rsid w:val="C5F32BFF"/>
    <w:rsid w:val="C677EA03"/>
    <w:rsid w:val="C6ADABEF"/>
    <w:rsid w:val="C7AAA22F"/>
    <w:rsid w:val="C7B35BBC"/>
    <w:rsid w:val="C7CD7901"/>
    <w:rsid w:val="C9AFB586"/>
    <w:rsid w:val="CAB5E25B"/>
    <w:rsid w:val="CBBBAEC4"/>
    <w:rsid w:val="CCDADC64"/>
    <w:rsid w:val="CE673E90"/>
    <w:rsid w:val="CEE71622"/>
    <w:rsid w:val="CF46A0F5"/>
    <w:rsid w:val="CF5DF36B"/>
    <w:rsid w:val="CF6FE5FF"/>
    <w:rsid w:val="CF8F3F96"/>
    <w:rsid w:val="CFBFD01D"/>
    <w:rsid w:val="CFE79606"/>
    <w:rsid w:val="CFFF96A4"/>
    <w:rsid w:val="CFFFB105"/>
    <w:rsid w:val="D18E1B3F"/>
    <w:rsid w:val="D3FF9BC7"/>
    <w:rsid w:val="D575E4AE"/>
    <w:rsid w:val="D5BE7405"/>
    <w:rsid w:val="D5EF6B4A"/>
    <w:rsid w:val="D6F0FF90"/>
    <w:rsid w:val="D7DE2EF8"/>
    <w:rsid w:val="D7E666E2"/>
    <w:rsid w:val="D7E79D75"/>
    <w:rsid w:val="D7F71974"/>
    <w:rsid w:val="D7FBB8F8"/>
    <w:rsid w:val="D7FE2EF9"/>
    <w:rsid w:val="D7FF8C4E"/>
    <w:rsid w:val="D7FFE748"/>
    <w:rsid w:val="D9FDE327"/>
    <w:rsid w:val="DA2B0336"/>
    <w:rsid w:val="DA9B3E3B"/>
    <w:rsid w:val="DB7C5E1B"/>
    <w:rsid w:val="DB7EBF00"/>
    <w:rsid w:val="DBF3D32E"/>
    <w:rsid w:val="DBF62F90"/>
    <w:rsid w:val="DBF7B322"/>
    <w:rsid w:val="DBF9B6CE"/>
    <w:rsid w:val="DBFE1056"/>
    <w:rsid w:val="DBFE1849"/>
    <w:rsid w:val="DBFE5D6E"/>
    <w:rsid w:val="DBFEA1E1"/>
    <w:rsid w:val="DC7FB1D3"/>
    <w:rsid w:val="DCBF8696"/>
    <w:rsid w:val="DCFFE4D0"/>
    <w:rsid w:val="DD7D4E72"/>
    <w:rsid w:val="DDAD916E"/>
    <w:rsid w:val="DDBB1BF9"/>
    <w:rsid w:val="DDBD45FE"/>
    <w:rsid w:val="DDEFB4E9"/>
    <w:rsid w:val="DDEFE05A"/>
    <w:rsid w:val="DDFF4279"/>
    <w:rsid w:val="DDFFC46C"/>
    <w:rsid w:val="DE7429F5"/>
    <w:rsid w:val="DE87B9FD"/>
    <w:rsid w:val="DEDF1555"/>
    <w:rsid w:val="DEF50CC7"/>
    <w:rsid w:val="DF09C4A3"/>
    <w:rsid w:val="DF5EC975"/>
    <w:rsid w:val="DF63E2E2"/>
    <w:rsid w:val="DF6614E5"/>
    <w:rsid w:val="DF79DE2F"/>
    <w:rsid w:val="DF7B91FD"/>
    <w:rsid w:val="DFAEB5F7"/>
    <w:rsid w:val="DFBB0A7F"/>
    <w:rsid w:val="DFCF00BD"/>
    <w:rsid w:val="DFD7FEDE"/>
    <w:rsid w:val="DFDDB170"/>
    <w:rsid w:val="DFDDD153"/>
    <w:rsid w:val="DFDE66CF"/>
    <w:rsid w:val="DFDF76DE"/>
    <w:rsid w:val="DFDFC157"/>
    <w:rsid w:val="DFEF823A"/>
    <w:rsid w:val="DFF58B42"/>
    <w:rsid w:val="DFF6061E"/>
    <w:rsid w:val="DFFB96CE"/>
    <w:rsid w:val="DFFF6D70"/>
    <w:rsid w:val="DFFFBFA2"/>
    <w:rsid w:val="E1B22645"/>
    <w:rsid w:val="E1DF0B9A"/>
    <w:rsid w:val="E37B6B01"/>
    <w:rsid w:val="E3BF9058"/>
    <w:rsid w:val="E3E8A49D"/>
    <w:rsid w:val="E3FAD2E6"/>
    <w:rsid w:val="E56D89A6"/>
    <w:rsid w:val="E5C7001B"/>
    <w:rsid w:val="E5FD8B6A"/>
    <w:rsid w:val="E5FEA88F"/>
    <w:rsid w:val="E6D9E9F9"/>
    <w:rsid w:val="E6EFD1AC"/>
    <w:rsid w:val="E75CCE88"/>
    <w:rsid w:val="E763BC2F"/>
    <w:rsid w:val="E7794BEB"/>
    <w:rsid w:val="E77C3354"/>
    <w:rsid w:val="E79D6115"/>
    <w:rsid w:val="E7BF4797"/>
    <w:rsid w:val="E7D468AF"/>
    <w:rsid w:val="E7DFAA11"/>
    <w:rsid w:val="E7E7B375"/>
    <w:rsid w:val="E7F74BE5"/>
    <w:rsid w:val="E7FB014E"/>
    <w:rsid w:val="E7FDCCDD"/>
    <w:rsid w:val="E7FF5F44"/>
    <w:rsid w:val="E7FFC9A1"/>
    <w:rsid w:val="E7FFECE8"/>
    <w:rsid w:val="E93F10D5"/>
    <w:rsid w:val="E9C8CBE1"/>
    <w:rsid w:val="E9DA6218"/>
    <w:rsid w:val="E9DEC454"/>
    <w:rsid w:val="E9DFA553"/>
    <w:rsid w:val="EA7D1015"/>
    <w:rsid w:val="EAFD44DD"/>
    <w:rsid w:val="EB77773F"/>
    <w:rsid w:val="EBCF1FC3"/>
    <w:rsid w:val="EBDA9389"/>
    <w:rsid w:val="EBDEB1DB"/>
    <w:rsid w:val="EBF72FF4"/>
    <w:rsid w:val="EBFB6A98"/>
    <w:rsid w:val="EC3D5804"/>
    <w:rsid w:val="ECFA903B"/>
    <w:rsid w:val="ED7DD759"/>
    <w:rsid w:val="EDB88819"/>
    <w:rsid w:val="EDBDBF8E"/>
    <w:rsid w:val="EDF672A8"/>
    <w:rsid w:val="EDFD71C4"/>
    <w:rsid w:val="EDFED8D4"/>
    <w:rsid w:val="EDFF7212"/>
    <w:rsid w:val="EE1D3B82"/>
    <w:rsid w:val="EE65DB88"/>
    <w:rsid w:val="EED8C002"/>
    <w:rsid w:val="EEDE3AD1"/>
    <w:rsid w:val="EEEECE36"/>
    <w:rsid w:val="EEFAB020"/>
    <w:rsid w:val="EEFBBD92"/>
    <w:rsid w:val="EEFFFACA"/>
    <w:rsid w:val="EF5ECB3C"/>
    <w:rsid w:val="EF62D709"/>
    <w:rsid w:val="EF6F6C37"/>
    <w:rsid w:val="EF717802"/>
    <w:rsid w:val="EF7D5544"/>
    <w:rsid w:val="EF7F8028"/>
    <w:rsid w:val="EF7F9EAF"/>
    <w:rsid w:val="EF8E2526"/>
    <w:rsid w:val="EFB75892"/>
    <w:rsid w:val="EFC5CD35"/>
    <w:rsid w:val="EFD7337E"/>
    <w:rsid w:val="EFDB1C91"/>
    <w:rsid w:val="EFDBE3C7"/>
    <w:rsid w:val="EFDF04B5"/>
    <w:rsid w:val="EFE595E8"/>
    <w:rsid w:val="EFED8F5D"/>
    <w:rsid w:val="EFEFA78F"/>
    <w:rsid w:val="EFF34C70"/>
    <w:rsid w:val="EFFF5FF2"/>
    <w:rsid w:val="EFFF6B99"/>
    <w:rsid w:val="F07F571A"/>
    <w:rsid w:val="F0B7D04A"/>
    <w:rsid w:val="F0CD7B2B"/>
    <w:rsid w:val="F1F76712"/>
    <w:rsid w:val="F257789A"/>
    <w:rsid w:val="F2B34292"/>
    <w:rsid w:val="F2EDD728"/>
    <w:rsid w:val="F2FD1739"/>
    <w:rsid w:val="F360D6A8"/>
    <w:rsid w:val="F36E43F6"/>
    <w:rsid w:val="F36F981C"/>
    <w:rsid w:val="F3BA8FD9"/>
    <w:rsid w:val="F3BF8EC2"/>
    <w:rsid w:val="F3DF995F"/>
    <w:rsid w:val="F3E49236"/>
    <w:rsid w:val="F3F768F7"/>
    <w:rsid w:val="F3FF30CA"/>
    <w:rsid w:val="F53E8CD7"/>
    <w:rsid w:val="F59FC5FD"/>
    <w:rsid w:val="F5BD261C"/>
    <w:rsid w:val="F5FDAC58"/>
    <w:rsid w:val="F5FEEFDB"/>
    <w:rsid w:val="F6DE17C4"/>
    <w:rsid w:val="F6DF1369"/>
    <w:rsid w:val="F6E879B8"/>
    <w:rsid w:val="F6FBD38E"/>
    <w:rsid w:val="F74F82C4"/>
    <w:rsid w:val="F756601A"/>
    <w:rsid w:val="F757C248"/>
    <w:rsid w:val="F75BD29A"/>
    <w:rsid w:val="F7671F4E"/>
    <w:rsid w:val="F79F8B84"/>
    <w:rsid w:val="F7A55393"/>
    <w:rsid w:val="F7B738E5"/>
    <w:rsid w:val="F7BBA5E1"/>
    <w:rsid w:val="F7BC2DF5"/>
    <w:rsid w:val="F7DF1C3F"/>
    <w:rsid w:val="F7DF6E1F"/>
    <w:rsid w:val="F7DFC5FE"/>
    <w:rsid w:val="F7DFD635"/>
    <w:rsid w:val="F7EF00AE"/>
    <w:rsid w:val="F7EFDCB1"/>
    <w:rsid w:val="F7F301CD"/>
    <w:rsid w:val="F7F57541"/>
    <w:rsid w:val="F7F59B1C"/>
    <w:rsid w:val="F7FB8E16"/>
    <w:rsid w:val="F7FDB8C6"/>
    <w:rsid w:val="F7FDCF0A"/>
    <w:rsid w:val="F7FDD753"/>
    <w:rsid w:val="F7FDE941"/>
    <w:rsid w:val="F7FE05C3"/>
    <w:rsid w:val="F7FEE5A0"/>
    <w:rsid w:val="F7FF4A21"/>
    <w:rsid w:val="F7FFEF14"/>
    <w:rsid w:val="F8AD63B7"/>
    <w:rsid w:val="F94FF49D"/>
    <w:rsid w:val="F9F14A7D"/>
    <w:rsid w:val="FA771F05"/>
    <w:rsid w:val="FA7D8AB0"/>
    <w:rsid w:val="FA93677F"/>
    <w:rsid w:val="FAA632A9"/>
    <w:rsid w:val="FAACDB39"/>
    <w:rsid w:val="FADD12F0"/>
    <w:rsid w:val="FAF3AADA"/>
    <w:rsid w:val="FB59A6F3"/>
    <w:rsid w:val="FB61D571"/>
    <w:rsid w:val="FB7B5643"/>
    <w:rsid w:val="FB7E5332"/>
    <w:rsid w:val="FB976C17"/>
    <w:rsid w:val="FBA37B28"/>
    <w:rsid w:val="FBBB4699"/>
    <w:rsid w:val="FBBB5C08"/>
    <w:rsid w:val="FBBDF55E"/>
    <w:rsid w:val="FBBF6DE2"/>
    <w:rsid w:val="FBC70946"/>
    <w:rsid w:val="FBD6F9E5"/>
    <w:rsid w:val="FBD9B888"/>
    <w:rsid w:val="FBDC405A"/>
    <w:rsid w:val="FBDF090D"/>
    <w:rsid w:val="FBDF35F5"/>
    <w:rsid w:val="FBDFB33B"/>
    <w:rsid w:val="FBF73403"/>
    <w:rsid w:val="FBF77586"/>
    <w:rsid w:val="FBF7DC97"/>
    <w:rsid w:val="FBFA7D32"/>
    <w:rsid w:val="FBFABD6C"/>
    <w:rsid w:val="FBFD06D5"/>
    <w:rsid w:val="FBFF36CC"/>
    <w:rsid w:val="FBFFE503"/>
    <w:rsid w:val="FBFFF24F"/>
    <w:rsid w:val="FC5DD485"/>
    <w:rsid w:val="FC76962A"/>
    <w:rsid w:val="FC7ECB6D"/>
    <w:rsid w:val="FC93318A"/>
    <w:rsid w:val="FCCB20A8"/>
    <w:rsid w:val="FCCDD3E5"/>
    <w:rsid w:val="FCEF839E"/>
    <w:rsid w:val="FCF7D8E7"/>
    <w:rsid w:val="FCFD6323"/>
    <w:rsid w:val="FCFF43ED"/>
    <w:rsid w:val="FD5DEBBE"/>
    <w:rsid w:val="FD642B5D"/>
    <w:rsid w:val="FD667B59"/>
    <w:rsid w:val="FD676BA0"/>
    <w:rsid w:val="FD7B74A0"/>
    <w:rsid w:val="FD7F83BF"/>
    <w:rsid w:val="FD7FC6DE"/>
    <w:rsid w:val="FDA3E77A"/>
    <w:rsid w:val="FDA7ECB8"/>
    <w:rsid w:val="FDADCF78"/>
    <w:rsid w:val="FDBE1B7D"/>
    <w:rsid w:val="FDD33BCE"/>
    <w:rsid w:val="FDD9607E"/>
    <w:rsid w:val="FDDB14B3"/>
    <w:rsid w:val="FDE7EE20"/>
    <w:rsid w:val="FDEFB77B"/>
    <w:rsid w:val="FDEFDB28"/>
    <w:rsid w:val="FDF77B84"/>
    <w:rsid w:val="FDF8512B"/>
    <w:rsid w:val="FDFB4878"/>
    <w:rsid w:val="FDFB5B1E"/>
    <w:rsid w:val="FDFEFBB6"/>
    <w:rsid w:val="FDFF5ED3"/>
    <w:rsid w:val="FDFF6232"/>
    <w:rsid w:val="FDFFAFBF"/>
    <w:rsid w:val="FE30947A"/>
    <w:rsid w:val="FE7B8CDF"/>
    <w:rsid w:val="FE7EDE1A"/>
    <w:rsid w:val="FE8C3203"/>
    <w:rsid w:val="FEBF3959"/>
    <w:rsid w:val="FEC0E693"/>
    <w:rsid w:val="FED32C4C"/>
    <w:rsid w:val="FEEBB72E"/>
    <w:rsid w:val="FEEBECEF"/>
    <w:rsid w:val="FEEC2E9A"/>
    <w:rsid w:val="FEEF71A0"/>
    <w:rsid w:val="FEF60B30"/>
    <w:rsid w:val="FEFD1156"/>
    <w:rsid w:val="FEFD7FBA"/>
    <w:rsid w:val="FEFE2BF7"/>
    <w:rsid w:val="FEFF0824"/>
    <w:rsid w:val="FEFFAA11"/>
    <w:rsid w:val="FEFFC857"/>
    <w:rsid w:val="FF2B2E53"/>
    <w:rsid w:val="FF3B678D"/>
    <w:rsid w:val="FF3F9AA8"/>
    <w:rsid w:val="FF5B0045"/>
    <w:rsid w:val="FF5F6947"/>
    <w:rsid w:val="FF6F7379"/>
    <w:rsid w:val="FF749536"/>
    <w:rsid w:val="FF771294"/>
    <w:rsid w:val="FF7712EB"/>
    <w:rsid w:val="FF77BBFD"/>
    <w:rsid w:val="FF77F0C3"/>
    <w:rsid w:val="FF7AAD92"/>
    <w:rsid w:val="FF7B6F6B"/>
    <w:rsid w:val="FF7FA006"/>
    <w:rsid w:val="FF7FC7B6"/>
    <w:rsid w:val="FF7FFFF8"/>
    <w:rsid w:val="FF81BFEA"/>
    <w:rsid w:val="FF9A4053"/>
    <w:rsid w:val="FF9F81DB"/>
    <w:rsid w:val="FF9F865C"/>
    <w:rsid w:val="FFA69B3E"/>
    <w:rsid w:val="FFA91F1E"/>
    <w:rsid w:val="FFAE2F32"/>
    <w:rsid w:val="FFB6472A"/>
    <w:rsid w:val="FFB7EA5A"/>
    <w:rsid w:val="FFBB831A"/>
    <w:rsid w:val="FFBF1646"/>
    <w:rsid w:val="FFBF98BE"/>
    <w:rsid w:val="FFBFE60F"/>
    <w:rsid w:val="FFBFF23C"/>
    <w:rsid w:val="FFCB8FAA"/>
    <w:rsid w:val="FFCF9D4F"/>
    <w:rsid w:val="FFD3CB86"/>
    <w:rsid w:val="FFD9D199"/>
    <w:rsid w:val="FFDB28AC"/>
    <w:rsid w:val="FFDB6F0A"/>
    <w:rsid w:val="FFDDCAB3"/>
    <w:rsid w:val="FFDEA0E0"/>
    <w:rsid w:val="FFDEE4A1"/>
    <w:rsid w:val="FFDEFA98"/>
    <w:rsid w:val="FFDF0FC7"/>
    <w:rsid w:val="FFDF4EB8"/>
    <w:rsid w:val="FFDFA3A5"/>
    <w:rsid w:val="FFDFE855"/>
    <w:rsid w:val="FFDFFCE7"/>
    <w:rsid w:val="FFE71057"/>
    <w:rsid w:val="FFECFFF6"/>
    <w:rsid w:val="FFED23C5"/>
    <w:rsid w:val="FFEFEA38"/>
    <w:rsid w:val="FFF16B7B"/>
    <w:rsid w:val="FFF72107"/>
    <w:rsid w:val="FFF7CFAE"/>
    <w:rsid w:val="FFF9F196"/>
    <w:rsid w:val="FFF9F61E"/>
    <w:rsid w:val="FFFB200B"/>
    <w:rsid w:val="FFFB2B96"/>
    <w:rsid w:val="FFFBABFB"/>
    <w:rsid w:val="FFFC0919"/>
    <w:rsid w:val="FFFC17BA"/>
    <w:rsid w:val="FFFCB741"/>
    <w:rsid w:val="FFFDC541"/>
    <w:rsid w:val="FFFE2698"/>
    <w:rsid w:val="FFFE6E72"/>
    <w:rsid w:val="FFFE794F"/>
    <w:rsid w:val="FFFEBCB2"/>
    <w:rsid w:val="FFFF276E"/>
    <w:rsid w:val="FFFF67EE"/>
    <w:rsid w:val="FFFF7B78"/>
    <w:rsid w:val="FFFFBC4B"/>
    <w:rsid w:val="FFFFC87D"/>
    <w:rsid w:val="FFFFCE1C"/>
    <w:rsid w:val="FFFFE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397"/>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outlineLvl w:val="0"/>
    </w:pPr>
    <w:rPr>
      <w:rFonts w:eastAsia="黑体"/>
      <w:b/>
      <w:bCs/>
      <w:kern w:val="44"/>
      <w:sz w:val="32"/>
      <w:szCs w:val="44"/>
    </w:rPr>
  </w:style>
  <w:style w:type="paragraph" w:styleId="4">
    <w:name w:val="heading 2"/>
    <w:basedOn w:val="1"/>
    <w:next w:val="1"/>
    <w:link w:val="21"/>
    <w:semiHidden/>
    <w:unhideWhenUsed/>
    <w:qFormat/>
    <w:uiPriority w:val="9"/>
    <w:pPr>
      <w:keepNext/>
      <w:keepLines/>
      <w:spacing w:before="260" w:after="260" w:line="416" w:lineRule="auto"/>
      <w:outlineLvl w:val="1"/>
    </w:pPr>
    <w:rPr>
      <w:rFonts w:eastAsia="楷体" w:asciiTheme="majorHAnsi" w:hAnsiTheme="majorHAnsi" w:cstheme="majorBidi"/>
      <w:b/>
      <w:bCs/>
      <w:sz w:val="32"/>
      <w:szCs w:val="32"/>
    </w:rPr>
  </w:style>
  <w:style w:type="paragraph" w:styleId="5">
    <w:name w:val="heading 3"/>
    <w:basedOn w:val="1"/>
    <w:next w:val="1"/>
    <w:qFormat/>
    <w:uiPriority w:val="9"/>
    <w:pPr>
      <w:keepNext/>
      <w:keepLines/>
      <w:outlineLvl w:val="2"/>
    </w:pPr>
    <w:rPr>
      <w:b/>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eastAsia="宋体" w:cs="Times New Roman"/>
      <w:szCs w:val="24"/>
    </w:rPr>
  </w:style>
  <w:style w:type="paragraph" w:styleId="6">
    <w:name w:val="caption"/>
    <w:basedOn w:val="1"/>
    <w:next w:val="1"/>
    <w:unhideWhenUsed/>
    <w:qFormat/>
    <w:uiPriority w:val="35"/>
    <w:rPr>
      <w:rFonts w:eastAsia="黑体" w:cstheme="majorBidi"/>
      <w:szCs w:val="20"/>
    </w:rPr>
  </w:style>
  <w:style w:type="paragraph" w:styleId="7">
    <w:name w:val="annotation text"/>
    <w:basedOn w:val="1"/>
    <w:link w:val="16"/>
    <w:semiHidden/>
    <w:unhideWhenUsed/>
    <w:qFormat/>
    <w:uiPriority w:val="99"/>
    <w:pPr>
      <w:ind w:firstLine="0"/>
      <w:jc w:val="left"/>
    </w:pPr>
    <w:rPr>
      <w:rFonts w:ascii="Times New Roman" w:hAnsi="Times New Roman" w:eastAsia="宋体" w:cs="Times New Roman"/>
      <w:szCs w:val="24"/>
    </w:rPr>
  </w:style>
  <w:style w:type="paragraph" w:styleId="8">
    <w:name w:val="Balloon Text"/>
    <w:basedOn w:val="1"/>
    <w:link w:val="17"/>
    <w:semiHidden/>
    <w:unhideWhenUsed/>
    <w:qFormat/>
    <w:uiPriority w:val="99"/>
    <w:rPr>
      <w:sz w:val="18"/>
      <w:szCs w:val="18"/>
    </w:rPr>
  </w:style>
  <w:style w:type="paragraph" w:styleId="9">
    <w:name w:val="footer"/>
    <w:basedOn w:val="1"/>
    <w:link w:val="14"/>
    <w:unhideWhenUsed/>
    <w:qFormat/>
    <w:uiPriority w:val="99"/>
    <w:pPr>
      <w:tabs>
        <w:tab w:val="center" w:pos="4153"/>
        <w:tab w:val="right" w:pos="8306"/>
      </w:tabs>
      <w:snapToGrid w:val="0"/>
      <w:ind w:firstLine="0"/>
      <w:jc w:val="left"/>
    </w:pPr>
    <w:rPr>
      <w:rFonts w:ascii="Times New Roman" w:hAnsi="Times New Roman" w:eastAsia="宋体" w:cs="Times New Roman"/>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annotation reference"/>
    <w:basedOn w:val="12"/>
    <w:semiHidden/>
    <w:unhideWhenUsed/>
    <w:qFormat/>
    <w:uiPriority w:val="99"/>
    <w:rPr>
      <w:sz w:val="21"/>
      <w:szCs w:val="21"/>
    </w:rPr>
  </w:style>
  <w:style w:type="character" w:customStyle="1" w:styleId="14">
    <w:name w:val="页脚 Char"/>
    <w:basedOn w:val="12"/>
    <w:link w:val="9"/>
    <w:qFormat/>
    <w:uiPriority w:val="99"/>
    <w:rPr>
      <w:rFonts w:ascii="Times New Roman" w:hAnsi="Times New Roman" w:eastAsia="宋体" w:cs="Times New Roman"/>
      <w:sz w:val="18"/>
      <w:szCs w:val="18"/>
    </w:rPr>
  </w:style>
  <w:style w:type="character" w:customStyle="1" w:styleId="15">
    <w:name w:val="批注文字 Char"/>
    <w:basedOn w:val="12"/>
    <w:semiHidden/>
    <w:qFormat/>
    <w:uiPriority w:val="99"/>
  </w:style>
  <w:style w:type="character" w:customStyle="1" w:styleId="16">
    <w:name w:val="批注文字 Char1"/>
    <w:link w:val="7"/>
    <w:semiHidden/>
    <w:qFormat/>
    <w:uiPriority w:val="99"/>
    <w:rPr>
      <w:rFonts w:ascii="Times New Roman" w:hAnsi="Times New Roman" w:eastAsia="宋体" w:cs="Times New Roman"/>
      <w:szCs w:val="24"/>
    </w:rPr>
  </w:style>
  <w:style w:type="character" w:customStyle="1" w:styleId="17">
    <w:name w:val="批注框文本 Char"/>
    <w:basedOn w:val="12"/>
    <w:link w:val="8"/>
    <w:semiHidden/>
    <w:qFormat/>
    <w:uiPriority w:val="99"/>
    <w:rPr>
      <w:sz w:val="18"/>
      <w:szCs w:val="18"/>
    </w:rPr>
  </w:style>
  <w:style w:type="paragraph" w:customStyle="1" w:styleId="18">
    <w:name w:val="111正文"/>
    <w:basedOn w:val="1"/>
    <w:qFormat/>
    <w:uiPriority w:val="0"/>
    <w:pPr>
      <w:snapToGrid w:val="0"/>
      <w:spacing w:line="600" w:lineRule="exact"/>
      <w:ind w:firstLine="560" w:firstLineChars="200"/>
    </w:pPr>
    <w:rPr>
      <w:rFonts w:ascii="Times New Romans" w:hAnsi="Times New Romans" w:eastAsia="宋体" w:cs="Times New Roman"/>
      <w:bCs/>
      <w:sz w:val="28"/>
      <w:szCs w:val="20"/>
    </w:rPr>
  </w:style>
  <w:style w:type="character" w:customStyle="1" w:styleId="19">
    <w:name w:val="页眉 Char"/>
    <w:basedOn w:val="12"/>
    <w:link w:val="10"/>
    <w:qFormat/>
    <w:uiPriority w:val="99"/>
    <w:rPr>
      <w:kern w:val="2"/>
      <w:sz w:val="18"/>
      <w:szCs w:val="18"/>
    </w:rPr>
  </w:style>
  <w:style w:type="paragraph" w:styleId="20">
    <w:name w:val="List Paragraph"/>
    <w:basedOn w:val="1"/>
    <w:qFormat/>
    <w:uiPriority w:val="99"/>
    <w:pPr>
      <w:ind w:firstLine="420" w:firstLineChars="200"/>
    </w:pPr>
  </w:style>
  <w:style w:type="character" w:customStyle="1" w:styleId="21">
    <w:name w:val="标题 2 Char"/>
    <w:basedOn w:val="12"/>
    <w:link w:val="4"/>
    <w:semiHidden/>
    <w:qFormat/>
    <w:uiPriority w:val="9"/>
    <w:rPr>
      <w:rFonts w:eastAsia="楷体"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552</Words>
  <Characters>3151</Characters>
  <Lines>26</Lines>
  <Paragraphs>7</Paragraphs>
  <TotalTime>58</TotalTime>
  <ScaleCrop>false</ScaleCrop>
  <LinksUpToDate>false</LinksUpToDate>
  <CharactersWithSpaces>3696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2019-10-30T22:41:00Z</dcterms:created>
  <dc:creator>系统管理员</dc:creator>
  <cp:lastModifiedBy>Administrator</cp:lastModifiedBy>
  <dcterms:modified xsi:type="dcterms:W3CDTF">2025-03-10T03:02:30Z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03F610FE3B674DE59AF9C8C9A542D688_13</vt:lpwstr>
  </property>
</Properties>
</file>