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CB238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cs="Times New Roman" w:asciiTheme="minorEastAsia" w:hAnsiTheme="minorEastAsia" w:eastAsiaTheme="minorEastAsia"/>
        </w:rPr>
      </w:pPr>
      <w:bookmarkStart w:id="0" w:name="_Toc35393809"/>
      <w:bookmarkStart w:id="1" w:name="_Toc28359022"/>
      <w:bookmarkStart w:id="2" w:name="OLE_LINK1"/>
      <w:r>
        <w:rPr>
          <w:rFonts w:hint="eastAsia" w:cs="Times New Roman" w:asciiTheme="minorEastAsia" w:hAnsiTheme="minorEastAsia" w:eastAsiaTheme="minorEastAsia"/>
          <w:lang w:eastAsia="zh-CN"/>
        </w:rPr>
        <w:t>山东省泰安市财政局地方金融组织监督检查专项审计</w:t>
      </w:r>
      <w:r>
        <w:rPr>
          <w:rFonts w:hint="eastAsia" w:cs="Times New Roman" w:asciiTheme="minorEastAsia" w:hAnsiTheme="minorEastAsia" w:eastAsiaTheme="minorEastAsia"/>
        </w:rPr>
        <w:t>项目成交结果公告</w:t>
      </w:r>
      <w:bookmarkEnd w:id="0"/>
      <w:bookmarkEnd w:id="1"/>
    </w:p>
    <w:p w14:paraId="793BF1C4">
      <w:pPr>
        <w:autoSpaceDE w:val="0"/>
        <w:autoSpaceDN w:val="0"/>
        <w:adjustRightInd w:val="0"/>
        <w:snapToGrid w:val="0"/>
        <w:spacing w:line="360" w:lineRule="auto"/>
        <w:rPr>
          <w:rFonts w:hint="eastAsia" w:cs="Times New Roman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一</w:t>
      </w:r>
      <w:r>
        <w:rPr>
          <w:rFonts w:asciiTheme="minorEastAsia" w:hAnsiTheme="minorEastAsia" w:eastAsiaTheme="minorEastAsia"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sz w:val="28"/>
          <w:szCs w:val="28"/>
        </w:rPr>
        <w:t>项目编号：</w:t>
      </w:r>
      <w:r>
        <w:rPr>
          <w:rFonts w:hint="eastAsia" w:cs="Times New Roman" w:asciiTheme="minorEastAsia" w:hAnsiTheme="minorEastAsia" w:eastAsiaTheme="minorEastAsia"/>
          <w:sz w:val="28"/>
          <w:szCs w:val="28"/>
          <w:lang w:eastAsia="zh-CN"/>
        </w:rPr>
        <w:t>SDGP370900000202502000150</w:t>
      </w:r>
    </w:p>
    <w:p w14:paraId="30EBC131"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二</w:t>
      </w:r>
      <w:r>
        <w:rPr>
          <w:rFonts w:asciiTheme="minorEastAsia" w:hAnsiTheme="minorEastAsia" w:eastAsiaTheme="minorEastAsia"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sz w:val="28"/>
          <w:szCs w:val="28"/>
        </w:rPr>
        <w:t>项目名称：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山东省泰安市财政局地方金融组织监督检查专项审计</w:t>
      </w:r>
      <w:r>
        <w:rPr>
          <w:rFonts w:hint="eastAsia" w:asciiTheme="minorEastAsia" w:hAnsiTheme="minorEastAsia" w:eastAsiaTheme="minorEastAsia"/>
          <w:sz w:val="28"/>
          <w:szCs w:val="28"/>
        </w:rPr>
        <w:t>项目</w:t>
      </w:r>
    </w:p>
    <w:p w14:paraId="4061CEC2"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三、中标信息</w:t>
      </w:r>
    </w:p>
    <w:p w14:paraId="52AD8FB9">
      <w:pPr>
        <w:adjustRightInd w:val="0"/>
        <w:snapToGrid w:val="0"/>
        <w:spacing w:line="360" w:lineRule="auto"/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第一标段：</w:t>
      </w:r>
    </w:p>
    <w:p w14:paraId="2CC7036C">
      <w:pPr>
        <w:adjustRightInd w:val="0"/>
        <w:snapToGrid w:val="0"/>
        <w:spacing w:line="360" w:lineRule="auto"/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供应商名称：山东鼎正会计师事务所（普通合伙）</w:t>
      </w:r>
    </w:p>
    <w:p w14:paraId="1281A835">
      <w:pPr>
        <w:adjustRightInd w:val="0"/>
        <w:snapToGrid w:val="0"/>
        <w:spacing w:line="360" w:lineRule="auto"/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供应商地址：山东省济南市市中区二环南路12918华润置地时代科创中心15号楼二楼222室</w:t>
      </w:r>
    </w:p>
    <w:p w14:paraId="4768E4BC">
      <w:pPr>
        <w:adjustRightInd w:val="0"/>
        <w:snapToGrid w:val="0"/>
        <w:spacing w:line="360" w:lineRule="auto"/>
        <w:ind w:firstLine="560" w:firstLineChars="200"/>
        <w:rPr>
          <w:rFonts w:hint="eastAsia" w:cs="宋体" w:asciiTheme="minorEastAsia" w:hAnsiTheme="minorEastAsia" w:eastAsiaTheme="minorEastAsia"/>
          <w:color w:val="auto"/>
          <w:kern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8"/>
          <w:szCs w:val="28"/>
        </w:rPr>
        <w:t>成交金额：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8"/>
          <w:szCs w:val="28"/>
          <w:lang w:val="en-US" w:eastAsia="zh-CN"/>
        </w:rPr>
        <w:t>60000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8"/>
          <w:szCs w:val="28"/>
        </w:rPr>
        <w:t>元</w:t>
      </w:r>
    </w:p>
    <w:p w14:paraId="04BA2D7E">
      <w:pPr>
        <w:adjustRightInd w:val="0"/>
        <w:snapToGrid w:val="0"/>
        <w:spacing w:line="360" w:lineRule="auto"/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第二标段：</w:t>
      </w:r>
    </w:p>
    <w:p w14:paraId="0C29C63F">
      <w:pPr>
        <w:adjustRightInd w:val="0"/>
        <w:snapToGrid w:val="0"/>
        <w:spacing w:line="360" w:lineRule="auto"/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供应商名称：泰安盈泰会计师事务所（普通合伙）</w:t>
      </w:r>
    </w:p>
    <w:p w14:paraId="0B6F908C">
      <w:pPr>
        <w:adjustRightInd w:val="0"/>
        <w:snapToGrid w:val="0"/>
        <w:spacing w:line="360" w:lineRule="auto"/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供应商地址：泰安市财源大街中段路南，青年路以西财源商务大厦1011、1012室</w:t>
      </w:r>
    </w:p>
    <w:p w14:paraId="68ED3865">
      <w:pPr>
        <w:adjustRightInd w:val="0"/>
        <w:snapToGrid w:val="0"/>
        <w:spacing w:line="360" w:lineRule="auto"/>
        <w:ind w:firstLine="560" w:firstLineChars="200"/>
        <w:rPr>
          <w:rFonts w:cs="宋体" w:asciiTheme="minorEastAsia" w:hAnsiTheme="minorEastAsia" w:eastAsiaTheme="minorEastAsia"/>
          <w:color w:val="auto"/>
          <w:kern w:val="0"/>
          <w:sz w:val="28"/>
          <w:szCs w:val="28"/>
          <w:highlight w:val="yellow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8"/>
          <w:szCs w:val="28"/>
        </w:rPr>
        <w:t>成交金额：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8"/>
          <w:szCs w:val="28"/>
          <w:lang w:val="en-US" w:eastAsia="zh-CN"/>
        </w:rPr>
        <w:t>56000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8"/>
          <w:szCs w:val="28"/>
        </w:rPr>
        <w:t>元</w:t>
      </w:r>
    </w:p>
    <w:p w14:paraId="7AF31BDF">
      <w:pPr>
        <w:adjustRightInd w:val="0"/>
        <w:snapToGrid w:val="0"/>
        <w:spacing w:line="360" w:lineRule="auto"/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第三标段：</w:t>
      </w:r>
    </w:p>
    <w:p w14:paraId="005D65F5">
      <w:pPr>
        <w:adjustRightInd w:val="0"/>
        <w:snapToGrid w:val="0"/>
        <w:spacing w:line="360" w:lineRule="auto"/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供应商名称：山东致信联合会计师事务所</w:t>
      </w:r>
    </w:p>
    <w:p w14:paraId="5D5F9BD5">
      <w:pPr>
        <w:adjustRightInd w:val="0"/>
        <w:snapToGrid w:val="0"/>
        <w:spacing w:line="360" w:lineRule="auto"/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供应商地址：山东省泰安市泰山区创业大街47号中天大厦5楼。</w:t>
      </w:r>
    </w:p>
    <w:p w14:paraId="318ABB17">
      <w:pPr>
        <w:adjustRightInd w:val="0"/>
        <w:snapToGrid w:val="0"/>
        <w:spacing w:line="360" w:lineRule="auto"/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成交金额：60000元</w:t>
      </w:r>
    </w:p>
    <w:p w14:paraId="52C797E9"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四、主要标的信息</w:t>
      </w:r>
    </w:p>
    <w:tbl>
      <w:tblPr>
        <w:tblStyle w:val="14"/>
        <w:tblW w:w="9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2"/>
      </w:tblGrid>
      <w:tr w14:paraId="640F5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9232" w:type="dxa"/>
          </w:tcPr>
          <w:p w14:paraId="07FF6164">
            <w:pPr>
              <w:jc w:val="center"/>
              <w:rPr>
                <w:rFonts w:asciiTheme="minorEastAsia" w:hAnsiTheme="minorEastAsia" w:eastAsiaTheme="minorEastAsia"/>
                <w:kern w:val="0"/>
                <w:sz w:val="28"/>
                <w:szCs w:val="28"/>
                <w:highlight w:val="yellow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服务类</w:t>
            </w:r>
          </w:p>
        </w:tc>
      </w:tr>
      <w:tr w14:paraId="0A1EA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9232" w:type="dxa"/>
          </w:tcPr>
          <w:p w14:paraId="24C198D2">
            <w:pPr>
              <w:adjustRightInd w:val="0"/>
              <w:snapToGrid w:val="0"/>
              <w:rPr>
                <w:rFonts w:hint="eastAsia" w:cs="仿宋_GB2312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_GB2312" w:asciiTheme="minorEastAsia" w:hAnsiTheme="minorEastAsia" w:eastAsiaTheme="minorEastAsia"/>
                <w:sz w:val="28"/>
                <w:szCs w:val="28"/>
              </w:rPr>
              <w:t>名称：</w:t>
            </w:r>
            <w:r>
              <w:rPr>
                <w:rFonts w:hint="eastAsia" w:cs="仿宋_GB2312" w:asciiTheme="minorEastAsia" w:hAnsiTheme="minorEastAsia" w:eastAsiaTheme="minorEastAsia"/>
                <w:sz w:val="28"/>
                <w:szCs w:val="28"/>
                <w:lang w:eastAsia="zh-CN"/>
              </w:rPr>
              <w:t>山东省泰安市财政局地方金融组织监督检查专项审计</w:t>
            </w:r>
            <w:r>
              <w:rPr>
                <w:rFonts w:hint="eastAsia" w:cs="仿宋_GB2312" w:asciiTheme="minorEastAsia" w:hAnsiTheme="minorEastAsia" w:eastAsiaTheme="minorEastAsia"/>
                <w:sz w:val="28"/>
                <w:szCs w:val="28"/>
              </w:rPr>
              <w:t>项目</w:t>
            </w:r>
          </w:p>
          <w:p w14:paraId="76E61A3A">
            <w:pPr>
              <w:adjustRightInd w:val="0"/>
              <w:snapToGrid w:val="0"/>
              <w:rPr>
                <w:rFonts w:hint="eastAsia" w:cs="仿宋_GB2312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_GB2312" w:asciiTheme="minorEastAsia" w:hAnsiTheme="minorEastAsia" w:eastAsiaTheme="minorEastAsia"/>
                <w:sz w:val="28"/>
                <w:szCs w:val="28"/>
              </w:rPr>
              <w:t>服务范围：详见竞争性磋商文件。</w:t>
            </w:r>
          </w:p>
          <w:p w14:paraId="210CA03F">
            <w:pPr>
              <w:adjustRightInd w:val="0"/>
              <w:snapToGrid w:val="0"/>
              <w:rPr>
                <w:rFonts w:hint="eastAsia" w:cs="仿宋_GB2312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_GB2312" w:asciiTheme="minorEastAsia" w:hAnsiTheme="minorEastAsia" w:eastAsiaTheme="minorEastAsia"/>
                <w:sz w:val="28"/>
                <w:szCs w:val="28"/>
              </w:rPr>
              <w:t>服务要求：满足采购人要求。</w:t>
            </w:r>
          </w:p>
          <w:p w14:paraId="2499BF6E">
            <w:pPr>
              <w:adjustRightInd w:val="0"/>
              <w:snapToGrid w:val="0"/>
              <w:rPr>
                <w:rFonts w:hint="eastAsia" w:cs="仿宋_GB2312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cs="仿宋_GB2312" w:asciiTheme="minorEastAsia" w:hAnsiTheme="minorEastAsia" w:eastAsiaTheme="minorEastAsia"/>
                <w:sz w:val="28"/>
                <w:szCs w:val="28"/>
              </w:rPr>
              <w:t>服务时间：</w:t>
            </w:r>
            <w:r>
              <w:rPr>
                <w:rFonts w:hint="eastAsia" w:cs="仿宋_GB2312" w:asciiTheme="minorEastAsia" w:hAnsiTheme="minorEastAsia" w:eastAsiaTheme="minorEastAsia"/>
                <w:sz w:val="28"/>
                <w:szCs w:val="28"/>
                <w:lang w:val="zh-CN"/>
              </w:rPr>
              <w:t>合同签订后至2025年8底前检查并提交审计报告</w:t>
            </w:r>
            <w:r>
              <w:rPr>
                <w:rFonts w:hint="eastAsia" w:cs="仿宋_GB2312" w:asciiTheme="minorEastAsia" w:hAnsiTheme="minorEastAsia" w:eastAsiaTheme="minorEastAsia"/>
                <w:sz w:val="28"/>
                <w:szCs w:val="28"/>
                <w:lang w:val="zh-CN" w:eastAsia="zh-CN"/>
              </w:rPr>
              <w:t>，</w:t>
            </w:r>
            <w:r>
              <w:rPr>
                <w:rFonts w:hint="eastAsia" w:cs="仿宋_GB2312" w:asciiTheme="minorEastAsia" w:hAnsiTheme="minorEastAsia" w:eastAsiaTheme="minorEastAsia"/>
                <w:sz w:val="28"/>
                <w:szCs w:val="28"/>
                <w:lang w:val="en-US" w:eastAsia="zh-CN"/>
              </w:rPr>
              <w:t>具体时间根据采购人要求</w:t>
            </w:r>
            <w:r>
              <w:rPr>
                <w:rFonts w:hint="eastAsia" w:cs="仿宋_GB2312" w:asciiTheme="minorEastAsia" w:hAnsiTheme="minorEastAsia" w:eastAsiaTheme="minorEastAsia"/>
                <w:sz w:val="28"/>
                <w:szCs w:val="28"/>
                <w:lang w:val="zh-CN"/>
              </w:rPr>
              <w:t>。</w:t>
            </w:r>
          </w:p>
          <w:p w14:paraId="070E9F41">
            <w:pPr>
              <w:adjustRightInd w:val="0"/>
              <w:snapToGrid w:val="0"/>
              <w:rPr>
                <w:rFonts w:asciiTheme="minorEastAsia" w:hAnsiTheme="minorEastAsia" w:eastAsiaTheme="minorEastAsia"/>
                <w:kern w:val="0"/>
                <w:sz w:val="28"/>
                <w:szCs w:val="28"/>
                <w:highlight w:val="yellow"/>
              </w:rPr>
            </w:pPr>
            <w:r>
              <w:rPr>
                <w:rFonts w:hint="eastAsia" w:cs="仿宋_GB2312" w:asciiTheme="minorEastAsia" w:hAnsiTheme="minorEastAsia" w:eastAsiaTheme="minorEastAsia"/>
                <w:sz w:val="28"/>
                <w:szCs w:val="28"/>
              </w:rPr>
              <w:t>服务标准：符合国家及行业相关标准规范。</w:t>
            </w:r>
          </w:p>
        </w:tc>
      </w:tr>
    </w:tbl>
    <w:p w14:paraId="25D0469A">
      <w:pPr>
        <w:adjustRightInd w:val="0"/>
        <w:snapToGrid w:val="0"/>
        <w:spacing w:line="360" w:lineRule="auto"/>
        <w:rPr>
          <w:rFonts w:hint="default" w:asciiTheme="minorEastAsia" w:hAnsiTheme="minorEastAsia" w:eastAsiaTheme="minorEastAsia"/>
          <w:color w:val="0000FF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五、评审专家名单：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  <w:lang w:val="en-US" w:eastAsia="zh-CN"/>
        </w:rPr>
        <w:t>吕玲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  <w:lang w:val="en-US" w:eastAsia="zh-CN"/>
        </w:rPr>
        <w:t>崔先涛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  <w:lang w:val="en-US" w:eastAsia="zh-CN"/>
        </w:rPr>
        <w:t>边丽晔</w:t>
      </w:r>
    </w:p>
    <w:p w14:paraId="67D3BAFB">
      <w:pPr>
        <w:autoSpaceDE w:val="0"/>
        <w:autoSpaceDN w:val="0"/>
        <w:adjustRightInd w:val="0"/>
        <w:snapToGrid w:val="0"/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六、代理服务收费标准及金额：代理服务费按照竞争性磋商文件的规定收取。金额：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第一标段</w:t>
      </w:r>
      <w:r>
        <w:rPr>
          <w:rFonts w:hint="eastAsia" w:asciiTheme="minorEastAsia" w:hAnsiTheme="minorEastAsia" w:eastAsiaTheme="minorEastAsia"/>
          <w:sz w:val="28"/>
          <w:szCs w:val="28"/>
        </w:rPr>
        <w:t>人民币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15</w:t>
      </w:r>
      <w:r>
        <w:rPr>
          <w:rFonts w:hint="eastAsia" w:asciiTheme="minorEastAsia" w:hAnsiTheme="minorEastAsia" w:eastAsiaTheme="minorEastAsia"/>
          <w:sz w:val="28"/>
          <w:szCs w:val="28"/>
        </w:rPr>
        <w:t>00元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第二标段</w:t>
      </w:r>
      <w:r>
        <w:rPr>
          <w:rFonts w:hint="eastAsia" w:asciiTheme="minorEastAsia" w:hAnsiTheme="minorEastAsia" w:eastAsiaTheme="minorEastAsia"/>
          <w:sz w:val="28"/>
          <w:szCs w:val="28"/>
        </w:rPr>
        <w:t>人民币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1050</w:t>
      </w:r>
      <w:r>
        <w:rPr>
          <w:rFonts w:hint="eastAsia" w:asciiTheme="minorEastAsia" w:hAnsiTheme="minorEastAsia" w:eastAsiaTheme="minorEastAsia"/>
          <w:sz w:val="28"/>
          <w:szCs w:val="28"/>
        </w:rPr>
        <w:t>元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第三标段人民币1050</w:t>
      </w:r>
      <w:r>
        <w:rPr>
          <w:rFonts w:hint="eastAsia" w:asciiTheme="minorEastAsia" w:hAnsiTheme="minorEastAsia" w:eastAsiaTheme="minorEastAsia"/>
          <w:sz w:val="28"/>
          <w:szCs w:val="28"/>
        </w:rPr>
        <w:t>元。</w:t>
      </w:r>
    </w:p>
    <w:p w14:paraId="796E5861">
      <w:pPr>
        <w:adjustRightInd w:val="0"/>
        <w:snapToGrid w:val="0"/>
        <w:spacing w:line="360" w:lineRule="auto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七、公告期限</w:t>
      </w:r>
    </w:p>
    <w:p w14:paraId="1D731094">
      <w:pPr>
        <w:adjustRightInd w:val="0"/>
        <w:snapToGrid w:val="0"/>
        <w:spacing w:line="360" w:lineRule="auto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自本公告发布之日起1个工作日。</w:t>
      </w:r>
      <w:bookmarkStart w:id="19" w:name="_GoBack"/>
      <w:bookmarkEnd w:id="19"/>
    </w:p>
    <w:p w14:paraId="5460C1A0">
      <w:pPr>
        <w:adjustRightInd w:val="0"/>
        <w:snapToGrid w:val="0"/>
        <w:spacing w:line="360" w:lineRule="auto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八、其他补充事宜</w:t>
      </w:r>
    </w:p>
    <w:p w14:paraId="641F4A2D">
      <w:pPr>
        <w:adjustRightInd w:val="0"/>
        <w:snapToGrid w:val="0"/>
        <w:spacing w:line="360" w:lineRule="auto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1.供应商汇总得分:</w:t>
      </w:r>
    </w:p>
    <w:p w14:paraId="150FFBD8">
      <w:pPr>
        <w:adjustRightInd w:val="0"/>
        <w:snapToGrid w:val="0"/>
        <w:spacing w:line="360" w:lineRule="auto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第一标段：</w:t>
      </w:r>
    </w:p>
    <w:tbl>
      <w:tblPr>
        <w:tblStyle w:val="13"/>
        <w:tblW w:w="105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2391"/>
        <w:gridCol w:w="1100"/>
        <w:gridCol w:w="1100"/>
        <w:gridCol w:w="1100"/>
        <w:gridCol w:w="1013"/>
        <w:gridCol w:w="869"/>
        <w:gridCol w:w="868"/>
        <w:gridCol w:w="967"/>
        <w:gridCol w:w="628"/>
      </w:tblGrid>
      <w:tr w14:paraId="6DA18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931802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序号</w:t>
            </w:r>
          </w:p>
        </w:tc>
        <w:tc>
          <w:tcPr>
            <w:tcW w:w="2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E5CC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供应商名称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84A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首轮报价</w:t>
            </w:r>
          </w:p>
          <w:p w14:paraId="757FA9C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（万元）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323D7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最终报价</w:t>
            </w:r>
          </w:p>
          <w:p w14:paraId="5228C3A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（万元）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310B3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评审报价</w:t>
            </w:r>
          </w:p>
          <w:p w14:paraId="0529F0BC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（万元）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05E7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报价</w:t>
            </w:r>
          </w:p>
          <w:p w14:paraId="66B9624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得分</w:t>
            </w:r>
          </w:p>
        </w:tc>
        <w:tc>
          <w:tcPr>
            <w:tcW w:w="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C4FC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技术</w:t>
            </w:r>
          </w:p>
          <w:p w14:paraId="31BB0495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得分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7E70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商务</w:t>
            </w:r>
          </w:p>
          <w:p w14:paraId="55147A24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得分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D934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总得分</w:t>
            </w:r>
          </w:p>
        </w:tc>
        <w:tc>
          <w:tcPr>
            <w:tcW w:w="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01E5D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排名</w:t>
            </w:r>
          </w:p>
        </w:tc>
      </w:tr>
      <w:tr w14:paraId="2B94D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B7F53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1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28050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山东鼎正会计师事务所（普通合伙）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C9435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9.99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A9937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6.00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74B7BE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6.00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E15AD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8.33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2380C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52.50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073E8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22.83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4088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83.66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E3893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</w:t>
            </w:r>
          </w:p>
        </w:tc>
      </w:tr>
      <w:tr w14:paraId="2407F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4F92C4C5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2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CE25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泰安盈泰会计师事务所（普通合伙）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66C03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9.00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68D9D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9.00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4567D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9.00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C5E3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5.56</w:t>
            </w:r>
          </w:p>
        </w:tc>
        <w:tc>
          <w:tcPr>
            <w:tcW w:w="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34F7E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54.00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A638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23.33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D1E1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82.89</w:t>
            </w:r>
          </w:p>
        </w:tc>
        <w:tc>
          <w:tcPr>
            <w:tcW w:w="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5052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</w:t>
            </w:r>
          </w:p>
        </w:tc>
      </w:tr>
      <w:tr w14:paraId="64C60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F4A0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3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1418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泰安立行会计师事务所（普通合伙）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67650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9.9870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5F5F1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7.00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C8A37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7.00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B5F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7.14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FC17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50.33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3AD5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22.50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D695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79.97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7A7B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3</w:t>
            </w:r>
          </w:p>
        </w:tc>
      </w:tr>
      <w:tr w14:paraId="2AA91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9CAD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4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5ED8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青岛仲勋志同有限责任会计师事务所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4CD10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9.90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6A0FA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7.90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AE734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7.90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7D29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6.33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BA3CD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47.33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1737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22.83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9D0E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76.49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F87E1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</w:t>
            </w:r>
          </w:p>
        </w:tc>
      </w:tr>
      <w:tr w14:paraId="5CCAE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FBAFD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734F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山东舜天信诚会计师事务所（特殊普通合伙）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8BB8F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9.70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3794F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5.00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BFD4A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5.00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FBF2E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10.00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BD838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47.17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1DA3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18.17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B1E6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75.34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0CC44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</w:t>
            </w:r>
          </w:p>
        </w:tc>
      </w:tr>
      <w:tr w14:paraId="1FDDB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9097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110E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山东光大恒泰会计师事务所有限责任公司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B5946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9.98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6CC9D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9.00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BE0252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9.00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285B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5.56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718A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43.33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8F38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22.00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E50D8C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70.89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325F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</w:t>
            </w:r>
          </w:p>
        </w:tc>
      </w:tr>
      <w:tr w14:paraId="4585E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F4AD9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8102C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汶水之滨（泰安）会计师事务所（普通合伙）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63C00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8.00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8C3E5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6.40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2BB04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6.40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4793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7.81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8D71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40.83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23AC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18.00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DCA5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66.64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028E1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</w:t>
            </w:r>
          </w:p>
        </w:tc>
      </w:tr>
    </w:tbl>
    <w:p w14:paraId="46A76190">
      <w:pPr>
        <w:adjustRightInd w:val="0"/>
        <w:snapToGrid w:val="0"/>
        <w:spacing w:line="360" w:lineRule="auto"/>
        <w:ind w:firstLine="560" w:firstLineChars="200"/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第二标段：</w:t>
      </w:r>
    </w:p>
    <w:tbl>
      <w:tblPr>
        <w:tblStyle w:val="13"/>
        <w:tblW w:w="105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2391"/>
        <w:gridCol w:w="1100"/>
        <w:gridCol w:w="1100"/>
        <w:gridCol w:w="1100"/>
        <w:gridCol w:w="1013"/>
        <w:gridCol w:w="869"/>
        <w:gridCol w:w="868"/>
        <w:gridCol w:w="967"/>
        <w:gridCol w:w="628"/>
      </w:tblGrid>
      <w:tr w14:paraId="4E5A5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CCF77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序号</w:t>
            </w:r>
          </w:p>
        </w:tc>
        <w:tc>
          <w:tcPr>
            <w:tcW w:w="2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3866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供应商名称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2A2AC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首轮报价</w:t>
            </w:r>
          </w:p>
          <w:p w14:paraId="4AE7D46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（万元）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AF0663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最终报价</w:t>
            </w:r>
          </w:p>
          <w:p w14:paraId="21D2AB21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（万元）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774E4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评审报价</w:t>
            </w:r>
          </w:p>
          <w:p w14:paraId="39E3F8C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（万元）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65D8E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报价</w:t>
            </w:r>
          </w:p>
          <w:p w14:paraId="4643239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得分</w:t>
            </w:r>
          </w:p>
        </w:tc>
        <w:tc>
          <w:tcPr>
            <w:tcW w:w="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35048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技术</w:t>
            </w:r>
          </w:p>
          <w:p w14:paraId="063DE045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得分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871A5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商务</w:t>
            </w:r>
          </w:p>
          <w:p w14:paraId="5494071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得分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2AF7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总得分</w:t>
            </w:r>
          </w:p>
        </w:tc>
        <w:tc>
          <w:tcPr>
            <w:tcW w:w="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E742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排名</w:t>
            </w:r>
          </w:p>
        </w:tc>
      </w:tr>
      <w:tr w14:paraId="63C7C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DF855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0906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山东鼎正会计师事务所（普通合伙）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3B6A4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6.99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E0EAB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4.20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3655A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4.20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A3735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9.52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6E90D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52.50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95B93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22.83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2373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84.85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EB9A2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</w:t>
            </w:r>
          </w:p>
        </w:tc>
      </w:tr>
      <w:tr w14:paraId="1CECA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33F3FFE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C453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泰安盈泰会计师事务所（普通合伙）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0AA33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6.30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F5600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5.60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DCAD3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5.60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3AB5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7.14</w:t>
            </w:r>
          </w:p>
        </w:tc>
        <w:tc>
          <w:tcPr>
            <w:tcW w:w="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46243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54.00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3B22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23.33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77F2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84.47</w:t>
            </w:r>
          </w:p>
        </w:tc>
        <w:tc>
          <w:tcPr>
            <w:tcW w:w="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50061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</w:t>
            </w:r>
          </w:p>
        </w:tc>
      </w:tr>
      <w:tr w14:paraId="00DBB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1573E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3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81A28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泰安立行会计师事务所（普通合伙）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F3E42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6.9690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F3F4E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5.46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41E29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5.46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64C7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7.33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C12B5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49.67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BC528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22.50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F9745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79.50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826C5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3</w:t>
            </w:r>
          </w:p>
        </w:tc>
      </w:tr>
      <w:tr w14:paraId="2206F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887A0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84978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青岛仲勋志同有限责任会计师事务所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4E1A0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6.90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0834C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5.59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21E14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5.59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8D16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7.16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FD23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48.00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26DC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22.83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2B3C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77.99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D931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</w:t>
            </w:r>
          </w:p>
        </w:tc>
      </w:tr>
      <w:tr w14:paraId="6EB37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23BE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2B11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山东舜天信诚会计师事务所（特殊普通合伙）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90759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6.70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1D010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4.00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753BF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4.00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1D46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10.00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A796D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47.00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452F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18.17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1300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75.17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FF61E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</w:t>
            </w:r>
          </w:p>
        </w:tc>
      </w:tr>
      <w:tr w14:paraId="6D081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7FDE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A999C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山东光大恒泰会计师事务所有限责任公司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DD357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6.98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58028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6.30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84728E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6.30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D43D1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6.35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D2E9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43.67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6330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22.00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796A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72.02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4E151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</w:t>
            </w:r>
          </w:p>
        </w:tc>
      </w:tr>
      <w:tr w14:paraId="3B8DB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F3EE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86DC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汶水之滨（泰安）会计师事务所（普通合伙）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B3F70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5.60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7A1A3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4.48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BACC7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4.48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1B614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8.93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06CC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41.50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69F7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18.00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B49F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68.43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53B8E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</w:t>
            </w:r>
          </w:p>
        </w:tc>
      </w:tr>
    </w:tbl>
    <w:p w14:paraId="7F5C2217">
      <w:pPr>
        <w:adjustRightInd w:val="0"/>
        <w:snapToGrid w:val="0"/>
        <w:spacing w:line="360" w:lineRule="auto"/>
        <w:ind w:firstLine="560" w:firstLineChars="200"/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第三标段：</w:t>
      </w:r>
    </w:p>
    <w:tbl>
      <w:tblPr>
        <w:tblStyle w:val="13"/>
        <w:tblW w:w="105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2391"/>
        <w:gridCol w:w="1100"/>
        <w:gridCol w:w="1100"/>
        <w:gridCol w:w="1100"/>
        <w:gridCol w:w="1013"/>
        <w:gridCol w:w="869"/>
        <w:gridCol w:w="868"/>
        <w:gridCol w:w="967"/>
        <w:gridCol w:w="628"/>
      </w:tblGrid>
      <w:tr w14:paraId="4DFA1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308C25">
            <w:pPr>
              <w:adjustRightInd w:val="0"/>
              <w:snapToGrid w:val="0"/>
              <w:jc w:val="center"/>
              <w:rPr>
                <w:rFonts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序号</w:t>
            </w:r>
          </w:p>
        </w:tc>
        <w:tc>
          <w:tcPr>
            <w:tcW w:w="2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2BE9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供应商名称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F5E93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首轮报价</w:t>
            </w:r>
          </w:p>
          <w:p w14:paraId="2592142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（万元）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AAB1E1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最终报价</w:t>
            </w:r>
          </w:p>
          <w:p w14:paraId="244C5DA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（万元）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E81C2C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评审报价</w:t>
            </w:r>
          </w:p>
          <w:p w14:paraId="08B6DB35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（万元）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5CC43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报价</w:t>
            </w:r>
          </w:p>
          <w:p w14:paraId="395557C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得分</w:t>
            </w:r>
          </w:p>
        </w:tc>
        <w:tc>
          <w:tcPr>
            <w:tcW w:w="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29A1D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技术</w:t>
            </w:r>
          </w:p>
          <w:p w14:paraId="4A094AA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得分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50C2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商务</w:t>
            </w:r>
          </w:p>
          <w:p w14:paraId="362335B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得分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4E51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总得分</w:t>
            </w:r>
          </w:p>
        </w:tc>
        <w:tc>
          <w:tcPr>
            <w:tcW w:w="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0324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排名</w:t>
            </w:r>
          </w:p>
        </w:tc>
      </w:tr>
      <w:tr w14:paraId="6A290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F920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1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193C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山东鼎正会计师事务所（普通合伙）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AE269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6.99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F7075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4.20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7C188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4.20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8380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9.52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B9313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52.33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B15B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22.83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99BE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84.68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A3376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</w:t>
            </w:r>
          </w:p>
        </w:tc>
      </w:tr>
      <w:tr w14:paraId="15878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302EDD4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2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92FB1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泰安盈泰会计师事务所（普通合伙）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44C63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6.30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B8328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5.60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ACC26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5.60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AF21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7.14</w:t>
            </w:r>
          </w:p>
        </w:tc>
        <w:tc>
          <w:tcPr>
            <w:tcW w:w="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98391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53.17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170D4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23.33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73B5D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83.64</w:t>
            </w:r>
          </w:p>
        </w:tc>
        <w:tc>
          <w:tcPr>
            <w:tcW w:w="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1E85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</w:t>
            </w:r>
          </w:p>
        </w:tc>
      </w:tr>
      <w:tr w14:paraId="7D385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29CC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3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2FAF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山东致信联合会计师事务所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AF97D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6.99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7B189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6.00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01045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6.00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F3FF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6.67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4EB2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52.50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5CD66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23.00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5528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82.17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EEAB4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3</w:t>
            </w:r>
          </w:p>
        </w:tc>
      </w:tr>
      <w:tr w14:paraId="78116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60D13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4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4270D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泰安立行会计师事务所（普通合伙）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73D3C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6.9720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D6440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5.46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1B013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5.46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2CCA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7.33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AB3C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49.67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2D7B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22.50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37411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79.50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758F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</w:t>
            </w:r>
          </w:p>
        </w:tc>
      </w:tr>
      <w:tr w14:paraId="6512E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A62FB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2EDC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青岛仲勋志同有限责任会计师事务所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718AD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6.90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13546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5.59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8BA0E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5.59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3C9C8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7.16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B0495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48.00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74741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22.83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EA40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77.99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ED968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</w:t>
            </w:r>
          </w:p>
        </w:tc>
      </w:tr>
      <w:tr w14:paraId="66944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034F0D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47301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山东舜天信诚会计师事务所（特殊普通合伙）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2CB6E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6.70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0964E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4.00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B1708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4.00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C6052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10.00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4265E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48.17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D6193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18.17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67293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76.34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DF0B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</w:t>
            </w:r>
          </w:p>
        </w:tc>
      </w:tr>
      <w:tr w14:paraId="76A72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009FC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F2E8E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山东光大恒泰会计师事务所有限责任公司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B0D7E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6.980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CFD39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6.30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55A7B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6.30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4BA0F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6.35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9FA59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44.17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9EE7C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22.00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64BD3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72.52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BF6D7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7</w:t>
            </w:r>
          </w:p>
        </w:tc>
      </w:tr>
      <w:tr w14:paraId="7E6EA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B852C1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6DC80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汶水之滨（泰安）会计师事务所（普通合伙）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0AFF1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5.60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205D2">
            <w:pPr>
              <w:adjustRightInd w:val="0"/>
              <w:snapToGrid w:val="0"/>
              <w:jc w:val="center"/>
              <w:rPr>
                <w:rFonts w:hint="default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4.48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DCF0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4.48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9F06D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8.93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EFD3C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42.33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A370A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18.00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C8E3B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69.26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BA61E">
            <w:pPr>
              <w:adjustRightInd w:val="0"/>
              <w:snapToGrid w:val="0"/>
              <w:jc w:val="center"/>
              <w:rPr>
                <w:rFonts w:hint="eastAsia" w:cs="仿宋_GB2312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val="en-US" w:eastAsia="zh-CN"/>
              </w:rPr>
              <w:t>8</w:t>
            </w:r>
          </w:p>
        </w:tc>
      </w:tr>
    </w:tbl>
    <w:p w14:paraId="6C34E5E9">
      <w:pPr>
        <w:adjustRightInd w:val="0"/>
        <w:snapToGrid w:val="0"/>
        <w:spacing w:line="360" w:lineRule="auto"/>
        <w:ind w:firstLine="560" w:firstLineChars="200"/>
        <w:rPr>
          <w:rFonts w:cs="仿宋_GB2312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</w:rPr>
        <w:t>2.未成交供应商的未成交原因：</w:t>
      </w:r>
    </w:p>
    <w:p w14:paraId="5091CB03">
      <w:pPr>
        <w:adjustRightInd w:val="0"/>
        <w:snapToGrid w:val="0"/>
        <w:spacing w:line="360" w:lineRule="auto"/>
        <w:ind w:firstLine="560" w:firstLineChars="200"/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</w:rPr>
        <w:t>①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山东鼎正会计师事务所（普通合伙）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：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依据磋商文件规定：供应商可就上述任意标段进行报价但最多只能中一个标段。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供应商可依照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磋商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文件要求对同一预算项下的多个标段进行报价,只允许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成交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一个标段。若所投多个标段的得分排位均第一的，由采购人按照竞争性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磋商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文件的标段顺序依次确定成交人；超出允许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成交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标段数量的，排序第一也不成交，中标结果顺延排序第二的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供应商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，依次类推。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山东鼎正会计师事务所（普通合伙）成交第一标段，其余标段不成交；</w:t>
      </w:r>
    </w:p>
    <w:p w14:paraId="10EED53A">
      <w:pPr>
        <w:adjustRightInd w:val="0"/>
        <w:snapToGrid w:val="0"/>
        <w:spacing w:line="360" w:lineRule="auto"/>
        <w:ind w:firstLine="560" w:firstLineChars="200"/>
        <w:rPr>
          <w:rFonts w:cs="仿宋_GB2312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②泰安盈泰会计师事务所（普通合伙）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：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依据磋商文件规定：供应商可就上述任意标段进行报价但最多只能中一个标段。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供应商可依照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磋商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文件要求对同一预算项下的多个标段进行报价,只允许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成交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一个标段。若所投多个标段的得分排位均第一的，由采购人按照竞争性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磋商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文件的标段顺序依次确定成交人；超出允许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成交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标段数量的，排序第一也不成交，中标结果顺延排序第二的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供应商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zh-CN" w:eastAsia="zh-CN"/>
        </w:rPr>
        <w:t>，依次类推。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泰安盈泰会计师事务所（普通合伙）成交第二标段，其余标段不成交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；</w:t>
      </w:r>
    </w:p>
    <w:p w14:paraId="1938A2AE">
      <w:pPr>
        <w:adjustRightInd w:val="0"/>
        <w:snapToGrid w:val="0"/>
        <w:spacing w:line="360" w:lineRule="auto"/>
        <w:ind w:firstLine="560" w:firstLineChars="200"/>
        <w:rPr>
          <w:rFonts w:hint="eastAsia" w:cs="仿宋_GB2312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③泰安立行会计师事务所（普通合伙）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：经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磋商小组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评审，综合得分较低。</w:t>
      </w:r>
    </w:p>
    <w:p w14:paraId="7272A898">
      <w:pPr>
        <w:adjustRightInd w:val="0"/>
        <w:snapToGrid w:val="0"/>
        <w:spacing w:line="360" w:lineRule="auto"/>
        <w:ind w:firstLine="560" w:firstLineChars="200"/>
        <w:rPr>
          <w:rFonts w:hint="eastAsia" w:cs="仿宋_GB2312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④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青岛仲勋志同有限责任会计师事务所</w:t>
      </w:r>
      <w:r>
        <w:rPr>
          <w:rFonts w:hint="eastAsia" w:cs="仿宋_GB2312" w:asciiTheme="minorEastAsia" w:hAnsiTheme="minorEastAsia" w:eastAsiaTheme="minorEastAsia"/>
          <w:sz w:val="28"/>
          <w:szCs w:val="28"/>
          <w:lang w:eastAsia="zh-CN"/>
        </w:rPr>
        <w:t>：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经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磋商小组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评审，综合得分较低。</w:t>
      </w:r>
    </w:p>
    <w:p w14:paraId="24F73F60">
      <w:pPr>
        <w:adjustRightInd w:val="0"/>
        <w:snapToGrid w:val="0"/>
        <w:spacing w:line="360" w:lineRule="auto"/>
        <w:ind w:firstLine="560" w:firstLineChars="200"/>
        <w:rPr>
          <w:rFonts w:hint="eastAsia" w:cs="仿宋_GB2312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⑤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山东舜天信诚会计师事务所（特殊普通合伙）</w:t>
      </w:r>
      <w:r>
        <w:rPr>
          <w:rFonts w:hint="eastAsia" w:cs="仿宋_GB2312" w:asciiTheme="minorEastAsia" w:hAnsiTheme="minorEastAsia" w:eastAsiaTheme="minorEastAsia"/>
          <w:sz w:val="28"/>
          <w:szCs w:val="28"/>
          <w:lang w:eastAsia="zh-CN"/>
        </w:rPr>
        <w:t>：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经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磋商小组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评审，综合得分较低。</w:t>
      </w:r>
    </w:p>
    <w:p w14:paraId="7856D0FA">
      <w:pPr>
        <w:adjustRightInd w:val="0"/>
        <w:snapToGrid w:val="0"/>
        <w:spacing w:line="360" w:lineRule="auto"/>
        <w:ind w:firstLine="560" w:firstLineChars="200"/>
        <w:rPr>
          <w:rFonts w:hint="eastAsia" w:cs="仿宋_GB2312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⑥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山东光大恒泰会计师事务所有限责任公司</w:t>
      </w:r>
      <w:r>
        <w:rPr>
          <w:rFonts w:hint="eastAsia" w:cs="仿宋_GB2312" w:asciiTheme="minorEastAsia" w:hAnsiTheme="minorEastAsia" w:eastAsiaTheme="minorEastAsia"/>
          <w:sz w:val="28"/>
          <w:szCs w:val="28"/>
          <w:lang w:eastAsia="zh-CN"/>
        </w:rPr>
        <w:t>：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经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磋商小组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评审，综合得分较低。</w:t>
      </w:r>
    </w:p>
    <w:p w14:paraId="1FFEAFC4">
      <w:pPr>
        <w:adjustRightInd w:val="0"/>
        <w:snapToGrid w:val="0"/>
        <w:spacing w:line="360" w:lineRule="auto"/>
        <w:ind w:firstLine="560" w:firstLineChars="200"/>
        <w:rPr>
          <w:rFonts w:hint="eastAsia" w:cs="仿宋_GB2312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⑦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汶水之滨（泰安）会计师事务所（普通合伙）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: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经</w:t>
      </w:r>
      <w:r>
        <w:rPr>
          <w:rFonts w:hint="eastAsia" w:cs="仿宋_GB2312" w:asciiTheme="minorEastAsia" w:hAnsiTheme="minorEastAsia" w:eastAsiaTheme="minorEastAsia"/>
          <w:sz w:val="28"/>
          <w:szCs w:val="28"/>
          <w:lang w:val="en-US" w:eastAsia="zh-CN"/>
        </w:rPr>
        <w:t>磋商小组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评审，综合得分较低。</w:t>
      </w:r>
    </w:p>
    <w:p w14:paraId="586E2DC4">
      <w:pPr>
        <w:rPr>
          <w:rFonts w:cs="宋体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九、凡对本次公告内容提出询问，请按以下方式联系。</w:t>
      </w:r>
    </w:p>
    <w:p w14:paraId="3B4A6FEC">
      <w:pPr>
        <w:ind w:firstLine="560" w:firstLineChars="200"/>
        <w:rPr>
          <w:rFonts w:cs="宋体" w:asciiTheme="minorEastAsia" w:hAnsiTheme="minorEastAsia" w:eastAsiaTheme="minorEastAsia"/>
          <w:kern w:val="0"/>
          <w:sz w:val="28"/>
          <w:szCs w:val="28"/>
        </w:rPr>
      </w:pPr>
      <w:bookmarkStart w:id="3" w:name="_Toc35393810"/>
      <w:bookmarkStart w:id="4" w:name="_Toc28359100"/>
      <w:bookmarkStart w:id="5" w:name="_Toc35393641"/>
      <w:bookmarkStart w:id="6" w:name="_Toc28359023"/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1.采购人信息</w:t>
      </w:r>
      <w:bookmarkEnd w:id="3"/>
      <w:bookmarkEnd w:id="4"/>
      <w:bookmarkEnd w:id="5"/>
      <w:bookmarkEnd w:id="6"/>
    </w:p>
    <w:p w14:paraId="5B67A2CB">
      <w:pPr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eastAsia="zh-CN"/>
        </w:rPr>
      </w:pPr>
      <w:bookmarkStart w:id="7" w:name="_Toc21230"/>
      <w:bookmarkStart w:id="8" w:name="_Toc6947"/>
      <w:bookmarkStart w:id="9" w:name="_Toc28359024"/>
      <w:bookmarkStart w:id="10" w:name="_Toc35393811"/>
      <w:bookmarkStart w:id="11" w:name="_Toc28359101"/>
      <w:bookmarkStart w:id="12" w:name="_Toc35393642"/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名    称：</w:t>
      </w:r>
      <w:bookmarkEnd w:id="7"/>
      <w:bookmarkEnd w:id="8"/>
      <w:bookmarkStart w:id="13" w:name="_Toc4896"/>
      <w:bookmarkStart w:id="14" w:name="_Toc31875"/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eastAsia="zh-CN"/>
        </w:rPr>
        <w:t>泰安市财政局</w:t>
      </w:r>
    </w:p>
    <w:p w14:paraId="76FAF777">
      <w:pPr>
        <w:ind w:firstLine="560" w:firstLineChars="200"/>
        <w:rPr>
          <w:rFonts w:hint="eastAsia" w:cs="宋体" w:asciiTheme="minorEastAsia" w:hAnsiTheme="minorEastAsia" w:eastAsiaTheme="minorEastAsia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地    址：</w:t>
      </w:r>
      <w:bookmarkEnd w:id="13"/>
      <w:bookmarkEnd w:id="14"/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泰安市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温泉路</w:t>
      </w:r>
    </w:p>
    <w:p w14:paraId="189F4ECD">
      <w:pPr>
        <w:ind w:firstLine="560" w:firstLineChars="200"/>
        <w:rPr>
          <w:rFonts w:hint="default" w:cs="宋体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zh-CN"/>
        </w:rPr>
        <w:t>联系人：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 xml:space="preserve">边科长  </w:t>
      </w:r>
    </w:p>
    <w:p w14:paraId="274C70C8">
      <w:pPr>
        <w:ind w:firstLine="560" w:firstLineChars="200"/>
        <w:rPr>
          <w:rFonts w:hint="default" w:cs="宋体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zh-CN"/>
        </w:rPr>
        <w:t>电话：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0538-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6220313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 xml:space="preserve"> </w:t>
      </w:r>
    </w:p>
    <w:p w14:paraId="7AB03AAA">
      <w:pPr>
        <w:ind w:firstLine="560" w:firstLineChars="200"/>
        <w:rPr>
          <w:rFonts w:cs="宋体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2.采购代理机构信息</w:t>
      </w:r>
      <w:bookmarkEnd w:id="9"/>
      <w:bookmarkEnd w:id="10"/>
      <w:bookmarkEnd w:id="11"/>
      <w:bookmarkEnd w:id="12"/>
    </w:p>
    <w:p w14:paraId="0A525F6A">
      <w:pPr>
        <w:ind w:firstLine="560" w:firstLineChars="200"/>
        <w:rPr>
          <w:rFonts w:cs="宋体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名    称：山东龙润项目管理有限公司</w:t>
      </w:r>
    </w:p>
    <w:p w14:paraId="2E483EB6">
      <w:pPr>
        <w:ind w:firstLine="560" w:firstLineChars="200"/>
        <w:rPr>
          <w:rFonts w:cs="宋体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地　  址：泰安市擂鼓石大街东段畜牧局东综合楼三楼</w:t>
      </w:r>
    </w:p>
    <w:p w14:paraId="43248607">
      <w:pPr>
        <w:ind w:firstLine="560" w:firstLineChars="200"/>
        <w:rPr>
          <w:rFonts w:cs="宋体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联系方式：0538-8588685</w:t>
      </w:r>
    </w:p>
    <w:p w14:paraId="1FA0B9E4">
      <w:pPr>
        <w:ind w:firstLine="560" w:firstLineChars="200"/>
        <w:rPr>
          <w:rFonts w:cs="宋体" w:asciiTheme="minorEastAsia" w:hAnsiTheme="minorEastAsia" w:eastAsiaTheme="minorEastAsia"/>
          <w:kern w:val="0"/>
          <w:sz w:val="28"/>
          <w:szCs w:val="28"/>
        </w:rPr>
      </w:pPr>
      <w:bookmarkStart w:id="15" w:name="_Toc28359102"/>
      <w:bookmarkStart w:id="16" w:name="_Toc35393812"/>
      <w:bookmarkStart w:id="17" w:name="_Toc28359025"/>
      <w:bookmarkStart w:id="18" w:name="_Toc35393643"/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3.项目</w:t>
      </w:r>
      <w:r>
        <w:rPr>
          <w:rFonts w:cs="宋体" w:asciiTheme="minorEastAsia" w:hAnsiTheme="minorEastAsia" w:eastAsiaTheme="minorEastAsia"/>
          <w:kern w:val="0"/>
          <w:sz w:val="28"/>
          <w:szCs w:val="28"/>
        </w:rPr>
        <w:t>联系方式</w:t>
      </w:r>
      <w:bookmarkEnd w:id="15"/>
      <w:bookmarkEnd w:id="16"/>
      <w:bookmarkEnd w:id="17"/>
      <w:bookmarkEnd w:id="18"/>
    </w:p>
    <w:p w14:paraId="2CFF0A35">
      <w:pPr>
        <w:ind w:firstLine="560" w:firstLineChars="200"/>
        <w:rPr>
          <w:rFonts w:cs="宋体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项目联系人：李经理          电  话：0538-8588685</w:t>
      </w:r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D6702"/>
    <w:rsid w:val="000236D2"/>
    <w:rsid w:val="00095118"/>
    <w:rsid w:val="000A313F"/>
    <w:rsid w:val="000B427A"/>
    <w:rsid w:val="000B75C8"/>
    <w:rsid w:val="001303EA"/>
    <w:rsid w:val="00160561"/>
    <w:rsid w:val="001730E3"/>
    <w:rsid w:val="001737F7"/>
    <w:rsid w:val="00175526"/>
    <w:rsid w:val="001A3F0D"/>
    <w:rsid w:val="001C08B1"/>
    <w:rsid w:val="001D0A0E"/>
    <w:rsid w:val="001F1D81"/>
    <w:rsid w:val="00221957"/>
    <w:rsid w:val="00241B81"/>
    <w:rsid w:val="002471F0"/>
    <w:rsid w:val="00271078"/>
    <w:rsid w:val="00276BBE"/>
    <w:rsid w:val="00287B4F"/>
    <w:rsid w:val="00291849"/>
    <w:rsid w:val="002C1979"/>
    <w:rsid w:val="002E0796"/>
    <w:rsid w:val="002E7876"/>
    <w:rsid w:val="002F52C7"/>
    <w:rsid w:val="003112CF"/>
    <w:rsid w:val="00316818"/>
    <w:rsid w:val="0034323B"/>
    <w:rsid w:val="00346372"/>
    <w:rsid w:val="00364DBF"/>
    <w:rsid w:val="003821E2"/>
    <w:rsid w:val="003B4DD8"/>
    <w:rsid w:val="003B78DA"/>
    <w:rsid w:val="003C1777"/>
    <w:rsid w:val="003E3394"/>
    <w:rsid w:val="0042729D"/>
    <w:rsid w:val="004472EE"/>
    <w:rsid w:val="00452604"/>
    <w:rsid w:val="00472803"/>
    <w:rsid w:val="004754CE"/>
    <w:rsid w:val="004802EE"/>
    <w:rsid w:val="00482D41"/>
    <w:rsid w:val="00496ED9"/>
    <w:rsid w:val="004A305A"/>
    <w:rsid w:val="004B6993"/>
    <w:rsid w:val="004C62DD"/>
    <w:rsid w:val="004D23CC"/>
    <w:rsid w:val="005033A8"/>
    <w:rsid w:val="00506C1D"/>
    <w:rsid w:val="00507E8F"/>
    <w:rsid w:val="0054442B"/>
    <w:rsid w:val="00561A54"/>
    <w:rsid w:val="0057562D"/>
    <w:rsid w:val="005A369A"/>
    <w:rsid w:val="005B3CA0"/>
    <w:rsid w:val="005C1999"/>
    <w:rsid w:val="006042A5"/>
    <w:rsid w:val="00673BEE"/>
    <w:rsid w:val="006B39B2"/>
    <w:rsid w:val="006C1E5C"/>
    <w:rsid w:val="00702A21"/>
    <w:rsid w:val="00722DC9"/>
    <w:rsid w:val="007A4E61"/>
    <w:rsid w:val="007C632D"/>
    <w:rsid w:val="00807282"/>
    <w:rsid w:val="00811107"/>
    <w:rsid w:val="00811C07"/>
    <w:rsid w:val="00837E66"/>
    <w:rsid w:val="00847292"/>
    <w:rsid w:val="00870A7F"/>
    <w:rsid w:val="00876203"/>
    <w:rsid w:val="0087752D"/>
    <w:rsid w:val="009026ED"/>
    <w:rsid w:val="00904C6C"/>
    <w:rsid w:val="00923050"/>
    <w:rsid w:val="00942041"/>
    <w:rsid w:val="00945E64"/>
    <w:rsid w:val="00981575"/>
    <w:rsid w:val="009D6702"/>
    <w:rsid w:val="00A050EB"/>
    <w:rsid w:val="00A44624"/>
    <w:rsid w:val="00A70DCD"/>
    <w:rsid w:val="00AB4B44"/>
    <w:rsid w:val="00AC44C4"/>
    <w:rsid w:val="00AD41ED"/>
    <w:rsid w:val="00AE35F7"/>
    <w:rsid w:val="00AF6CB3"/>
    <w:rsid w:val="00B03495"/>
    <w:rsid w:val="00B64222"/>
    <w:rsid w:val="00B76ECF"/>
    <w:rsid w:val="00BC7E6A"/>
    <w:rsid w:val="00BD4975"/>
    <w:rsid w:val="00BF38DA"/>
    <w:rsid w:val="00C30B15"/>
    <w:rsid w:val="00C406F0"/>
    <w:rsid w:val="00C432EB"/>
    <w:rsid w:val="00C520AA"/>
    <w:rsid w:val="00C70F25"/>
    <w:rsid w:val="00CA47AC"/>
    <w:rsid w:val="00CB02CF"/>
    <w:rsid w:val="00CB1E71"/>
    <w:rsid w:val="00CB442A"/>
    <w:rsid w:val="00CD1BF9"/>
    <w:rsid w:val="00CE3B4B"/>
    <w:rsid w:val="00CE7651"/>
    <w:rsid w:val="00D82507"/>
    <w:rsid w:val="00D87FCE"/>
    <w:rsid w:val="00D91F08"/>
    <w:rsid w:val="00DC4932"/>
    <w:rsid w:val="00DC6D5B"/>
    <w:rsid w:val="00DF5D53"/>
    <w:rsid w:val="00E01913"/>
    <w:rsid w:val="00E0301C"/>
    <w:rsid w:val="00E44D76"/>
    <w:rsid w:val="00EA612D"/>
    <w:rsid w:val="00EB458C"/>
    <w:rsid w:val="00EB6839"/>
    <w:rsid w:val="00EF2300"/>
    <w:rsid w:val="00F022BE"/>
    <w:rsid w:val="00F1036D"/>
    <w:rsid w:val="00F14713"/>
    <w:rsid w:val="00F22DFE"/>
    <w:rsid w:val="00F36700"/>
    <w:rsid w:val="00F53766"/>
    <w:rsid w:val="00F83327"/>
    <w:rsid w:val="00F86D59"/>
    <w:rsid w:val="00FC1B19"/>
    <w:rsid w:val="00FE1B19"/>
    <w:rsid w:val="00FF1839"/>
    <w:rsid w:val="01130A51"/>
    <w:rsid w:val="02E24893"/>
    <w:rsid w:val="038A7E04"/>
    <w:rsid w:val="03BD1C71"/>
    <w:rsid w:val="068E7FB9"/>
    <w:rsid w:val="0A8455AD"/>
    <w:rsid w:val="0AB4752B"/>
    <w:rsid w:val="0D2E4F6C"/>
    <w:rsid w:val="0E1D3611"/>
    <w:rsid w:val="0E452E2E"/>
    <w:rsid w:val="0F466297"/>
    <w:rsid w:val="112430F1"/>
    <w:rsid w:val="11A27DCE"/>
    <w:rsid w:val="13CE5865"/>
    <w:rsid w:val="13DE3D99"/>
    <w:rsid w:val="140A4F79"/>
    <w:rsid w:val="16265B64"/>
    <w:rsid w:val="17681271"/>
    <w:rsid w:val="18546358"/>
    <w:rsid w:val="1A657D8F"/>
    <w:rsid w:val="1AED48A1"/>
    <w:rsid w:val="1BB05B40"/>
    <w:rsid w:val="1C191EA3"/>
    <w:rsid w:val="1DF83506"/>
    <w:rsid w:val="1EB90A68"/>
    <w:rsid w:val="1EDB2398"/>
    <w:rsid w:val="1F9E3C2C"/>
    <w:rsid w:val="1FB70055"/>
    <w:rsid w:val="1FE068A6"/>
    <w:rsid w:val="20527127"/>
    <w:rsid w:val="21314B95"/>
    <w:rsid w:val="217174A3"/>
    <w:rsid w:val="22A21EDD"/>
    <w:rsid w:val="25341020"/>
    <w:rsid w:val="27A053FE"/>
    <w:rsid w:val="28C13F8B"/>
    <w:rsid w:val="29B51326"/>
    <w:rsid w:val="2A566C68"/>
    <w:rsid w:val="2D631F96"/>
    <w:rsid w:val="2FCB0D35"/>
    <w:rsid w:val="31796865"/>
    <w:rsid w:val="31981F6B"/>
    <w:rsid w:val="31B5575C"/>
    <w:rsid w:val="32272117"/>
    <w:rsid w:val="354506C6"/>
    <w:rsid w:val="36723C5D"/>
    <w:rsid w:val="36E745D8"/>
    <w:rsid w:val="39AF3215"/>
    <w:rsid w:val="3AA04C81"/>
    <w:rsid w:val="3C0579A8"/>
    <w:rsid w:val="3C182A15"/>
    <w:rsid w:val="3DF17B5D"/>
    <w:rsid w:val="3E643D8F"/>
    <w:rsid w:val="41350BBA"/>
    <w:rsid w:val="417408B5"/>
    <w:rsid w:val="41BF4141"/>
    <w:rsid w:val="424454A7"/>
    <w:rsid w:val="44E73A68"/>
    <w:rsid w:val="457D4135"/>
    <w:rsid w:val="45C0220C"/>
    <w:rsid w:val="47B75BB2"/>
    <w:rsid w:val="4977185E"/>
    <w:rsid w:val="49C86EE3"/>
    <w:rsid w:val="4BC11C93"/>
    <w:rsid w:val="4C080E93"/>
    <w:rsid w:val="4E0D52D5"/>
    <w:rsid w:val="4E9B5B93"/>
    <w:rsid w:val="4ECF38F0"/>
    <w:rsid w:val="503B0234"/>
    <w:rsid w:val="51EF0B75"/>
    <w:rsid w:val="52B33BB6"/>
    <w:rsid w:val="53455EE7"/>
    <w:rsid w:val="55142657"/>
    <w:rsid w:val="574020A3"/>
    <w:rsid w:val="57880708"/>
    <w:rsid w:val="58E57437"/>
    <w:rsid w:val="5A031A03"/>
    <w:rsid w:val="5A3C19E4"/>
    <w:rsid w:val="5A794996"/>
    <w:rsid w:val="5D1453EE"/>
    <w:rsid w:val="5D1F49B4"/>
    <w:rsid w:val="5D2E2113"/>
    <w:rsid w:val="5E8415F3"/>
    <w:rsid w:val="5FAF0F9B"/>
    <w:rsid w:val="60601E5E"/>
    <w:rsid w:val="62353A15"/>
    <w:rsid w:val="647B4B61"/>
    <w:rsid w:val="64C10B81"/>
    <w:rsid w:val="64CB3A4E"/>
    <w:rsid w:val="65F97E0D"/>
    <w:rsid w:val="66185370"/>
    <w:rsid w:val="66CB6C64"/>
    <w:rsid w:val="6727626F"/>
    <w:rsid w:val="68384161"/>
    <w:rsid w:val="6840349D"/>
    <w:rsid w:val="69CD022B"/>
    <w:rsid w:val="6A7C062B"/>
    <w:rsid w:val="6C1825D5"/>
    <w:rsid w:val="6C6B4DFB"/>
    <w:rsid w:val="6D411B6C"/>
    <w:rsid w:val="6DB76B03"/>
    <w:rsid w:val="71642D21"/>
    <w:rsid w:val="724F423F"/>
    <w:rsid w:val="72CF30E2"/>
    <w:rsid w:val="72FB39A5"/>
    <w:rsid w:val="746A3BEA"/>
    <w:rsid w:val="75A265BB"/>
    <w:rsid w:val="77F511BD"/>
    <w:rsid w:val="7904460D"/>
    <w:rsid w:val="7A084E3C"/>
    <w:rsid w:val="7C9D267F"/>
    <w:rsid w:val="7CF07CA8"/>
    <w:rsid w:val="7F2668CC"/>
    <w:rsid w:val="7FBB2E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6">
    <w:name w:val="Plain Text"/>
    <w:basedOn w:val="1"/>
    <w:link w:val="32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semiHidden/>
    <w:unhideWhenUsed/>
    <w:uiPriority w:val="99"/>
    <w:rPr>
      <w:sz w:val="24"/>
    </w:rPr>
  </w:style>
  <w:style w:type="paragraph" w:styleId="11">
    <w:name w:val="Body Text First Indent"/>
    <w:basedOn w:val="4"/>
    <w:qFormat/>
    <w:uiPriority w:val="0"/>
    <w:pPr>
      <w:tabs>
        <w:tab w:val="left" w:pos="420"/>
      </w:tabs>
      <w:ind w:firstLine="420" w:firstLineChars="100"/>
    </w:pPr>
    <w:rPr>
      <w:rFonts w:ascii="Calibri"/>
      <w:sz w:val="24"/>
      <w:szCs w:val="24"/>
    </w:rPr>
  </w:style>
  <w:style w:type="paragraph" w:styleId="12">
    <w:name w:val="Body Text First Indent 2"/>
    <w:basedOn w:val="5"/>
    <w:next w:val="11"/>
    <w:qFormat/>
    <w:uiPriority w:val="99"/>
    <w:pPr>
      <w:ind w:firstLine="420" w:firstLineChars="200"/>
    </w:pPr>
    <w:rPr>
      <w:szCs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FollowedHyperlink"/>
    <w:basedOn w:val="15"/>
    <w:semiHidden/>
    <w:unhideWhenUsed/>
    <w:qFormat/>
    <w:uiPriority w:val="99"/>
    <w:rPr>
      <w:color w:val="800080"/>
      <w:u w:val="none"/>
    </w:rPr>
  </w:style>
  <w:style w:type="character" w:styleId="18">
    <w:name w:val="Emphasis"/>
    <w:basedOn w:val="15"/>
    <w:qFormat/>
    <w:uiPriority w:val="20"/>
    <w:rPr>
      <w:b/>
    </w:rPr>
  </w:style>
  <w:style w:type="character" w:styleId="19">
    <w:name w:val="HTML Definition"/>
    <w:basedOn w:val="15"/>
    <w:semiHidden/>
    <w:unhideWhenUsed/>
    <w:qFormat/>
    <w:uiPriority w:val="99"/>
  </w:style>
  <w:style w:type="character" w:styleId="20">
    <w:name w:val="HTML Typewriter"/>
    <w:basedOn w:val="15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1">
    <w:name w:val="HTML Acronym"/>
    <w:basedOn w:val="15"/>
    <w:semiHidden/>
    <w:unhideWhenUsed/>
    <w:qFormat/>
    <w:uiPriority w:val="99"/>
  </w:style>
  <w:style w:type="character" w:styleId="22">
    <w:name w:val="HTML Variable"/>
    <w:basedOn w:val="15"/>
    <w:semiHidden/>
    <w:unhideWhenUsed/>
    <w:qFormat/>
    <w:uiPriority w:val="99"/>
  </w:style>
  <w:style w:type="character" w:styleId="23">
    <w:name w:val="Hyperlink"/>
    <w:basedOn w:val="15"/>
    <w:semiHidden/>
    <w:unhideWhenUsed/>
    <w:qFormat/>
    <w:uiPriority w:val="99"/>
    <w:rPr>
      <w:color w:val="0000FF"/>
      <w:u w:val="none"/>
    </w:rPr>
  </w:style>
  <w:style w:type="character" w:styleId="24">
    <w:name w:val="HTML Code"/>
    <w:basedOn w:val="15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5">
    <w:name w:val="HTML Cite"/>
    <w:basedOn w:val="15"/>
    <w:semiHidden/>
    <w:unhideWhenUsed/>
    <w:qFormat/>
    <w:uiPriority w:val="99"/>
  </w:style>
  <w:style w:type="character" w:styleId="26">
    <w:name w:val="HTML Keyboard"/>
    <w:basedOn w:val="15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Sample"/>
    <w:basedOn w:val="15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8">
    <w:name w:val="页眉 字符"/>
    <w:basedOn w:val="15"/>
    <w:link w:val="9"/>
    <w:qFormat/>
    <w:uiPriority w:val="99"/>
    <w:rPr>
      <w:sz w:val="18"/>
      <w:szCs w:val="18"/>
    </w:rPr>
  </w:style>
  <w:style w:type="character" w:customStyle="1" w:styleId="29">
    <w:name w:val="页脚 字符"/>
    <w:basedOn w:val="15"/>
    <w:link w:val="8"/>
    <w:qFormat/>
    <w:uiPriority w:val="99"/>
    <w:rPr>
      <w:sz w:val="18"/>
      <w:szCs w:val="18"/>
    </w:rPr>
  </w:style>
  <w:style w:type="character" w:customStyle="1" w:styleId="30">
    <w:name w:val="标题 1 字符"/>
    <w:basedOn w:val="15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1">
    <w:name w:val="标题 2 字符"/>
    <w:basedOn w:val="15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32">
    <w:name w:val="纯文本 字符"/>
    <w:basedOn w:val="15"/>
    <w:link w:val="6"/>
    <w:qFormat/>
    <w:uiPriority w:val="0"/>
    <w:rPr>
      <w:rFonts w:ascii="宋体" w:hAnsi="Courier New"/>
    </w:rPr>
  </w:style>
  <w:style w:type="character" w:customStyle="1" w:styleId="33">
    <w:name w:val="批注框文本 字符"/>
    <w:basedOn w:val="15"/>
    <w:link w:val="7"/>
    <w:semiHidden/>
    <w:qFormat/>
    <w:uiPriority w:val="99"/>
    <w:rPr>
      <w:kern w:val="2"/>
      <w:sz w:val="18"/>
      <w:szCs w:val="18"/>
    </w:rPr>
  </w:style>
  <w:style w:type="character" w:customStyle="1" w:styleId="34">
    <w:name w:val="c-icon26"/>
    <w:basedOn w:val="15"/>
    <w:uiPriority w:val="0"/>
  </w:style>
  <w:style w:type="character" w:customStyle="1" w:styleId="35">
    <w:name w:val="hover32"/>
    <w:basedOn w:val="15"/>
    <w:uiPriority w:val="0"/>
  </w:style>
  <w:style w:type="character" w:customStyle="1" w:styleId="36">
    <w:name w:val="hover33"/>
    <w:basedOn w:val="15"/>
    <w:uiPriority w:val="0"/>
    <w:rPr>
      <w:color w:val="315EFB"/>
    </w:rPr>
  </w:style>
  <w:style w:type="character" w:customStyle="1" w:styleId="37">
    <w:name w:val="hover34"/>
    <w:basedOn w:val="15"/>
    <w:uiPriority w:val="0"/>
    <w:rPr>
      <w:color w:val="335BFF"/>
    </w:rPr>
  </w:style>
  <w:style w:type="character" w:customStyle="1" w:styleId="38">
    <w:name w:val="hover35"/>
    <w:basedOn w:val="15"/>
    <w:uiPriority w:val="0"/>
  </w:style>
  <w:style w:type="character" w:customStyle="1" w:styleId="39">
    <w:name w:val="hover36"/>
    <w:basedOn w:val="15"/>
    <w:uiPriority w:val="0"/>
    <w:rPr>
      <w:color w:val="315EFB"/>
    </w:rPr>
  </w:style>
  <w:style w:type="character" w:customStyle="1" w:styleId="40">
    <w:name w:val="c-icon"/>
    <w:basedOn w:val="15"/>
    <w:uiPriority w:val="0"/>
  </w:style>
  <w:style w:type="character" w:customStyle="1" w:styleId="41">
    <w:name w:val="hover25"/>
    <w:basedOn w:val="15"/>
    <w:uiPriority w:val="0"/>
  </w:style>
  <w:style w:type="character" w:customStyle="1" w:styleId="42">
    <w:name w:val="hover26"/>
    <w:basedOn w:val="15"/>
    <w:uiPriority w:val="0"/>
    <w:rPr>
      <w:color w:val="315EFB"/>
    </w:rPr>
  </w:style>
  <w:style w:type="character" w:customStyle="1" w:styleId="43">
    <w:name w:val="hover27"/>
    <w:basedOn w:val="15"/>
    <w:uiPriority w:val="0"/>
    <w:rPr>
      <w:color w:val="335BFF"/>
    </w:rPr>
  </w:style>
  <w:style w:type="character" w:customStyle="1" w:styleId="44">
    <w:name w:val="hover28"/>
    <w:basedOn w:val="15"/>
    <w:uiPriority w:val="0"/>
  </w:style>
  <w:style w:type="character" w:customStyle="1" w:styleId="45">
    <w:name w:val="hover29"/>
    <w:basedOn w:val="15"/>
    <w:uiPriority w:val="0"/>
    <w:rPr>
      <w:color w:val="315EF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5</Pages>
  <Words>2006</Words>
  <Characters>2645</Characters>
  <Lines>7</Lines>
  <Paragraphs>2</Paragraphs>
  <TotalTime>4</TotalTime>
  <ScaleCrop>false</ScaleCrop>
  <LinksUpToDate>false</LinksUpToDate>
  <CharactersWithSpaces>2675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2020-06-30T08:55:00Z</dcterms:created>
  <dc:creator>NTKO</dc:creator>
  <cp:lastModifiedBy>SDLR</cp:lastModifiedBy>
  <cp:lastPrinted>2025-04-12T02:39:00Z</cp:lastPrinted>
  <dcterms:modified xsi:type="dcterms:W3CDTF">2025-06-24T00:26:17Z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eyJoZGlkIjoiYzIzNjhjZjkxMjg2OGJjOTQ0NThhNzBhOGI4YTVmYWYiLCJ1c2VySWQiOiI1MTA5NDI2ODgifQ==</vt:lpwstr>
  </property>
  <property fmtid="{D5CDD505-2E9C-101B-9397-08002B2CF9AE}" pid="4" name="ICV">
    <vt:lpwstr>6832755BD2734E55A645D712AD578675_12</vt:lpwstr>
  </property>
</Properties>
</file>