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B23B2E">
      <w:pPr>
        <w:pageBreakBefore/>
        <w:widowControl/>
        <w:tabs>
          <w:tab w:val="left" w:pos="851"/>
        </w:tabs>
        <w:spacing w:line="360" w:lineRule="auto"/>
        <w:ind w:left="482"/>
        <w:jc w:val="left"/>
        <w:rPr>
          <w:rFonts w:hint="eastAsia" w:ascii="宋体" w:hAnsi="宋体"/>
          <w:color w:val="000000" w:themeColor="text1"/>
          <w:sz w:val="24"/>
          <w:highlight w:val="none"/>
          <w14:textFill>
            <w14:solidFill>
              <w14:schemeClr w14:val="tx1"/>
            </w14:solidFill>
          </w14:textFill>
        </w:rPr>
      </w:pPr>
    </w:p>
    <w:p w14:paraId="4C9564C7">
      <w:pPr>
        <w:pStyle w:val="31"/>
        <w:spacing w:line="360" w:lineRule="auto"/>
        <w:jc w:val="center"/>
        <w:rPr>
          <w:rFonts w:ascii="仿宋" w:hAnsi="仿宋" w:eastAsia="仿宋"/>
          <w:b/>
          <w:color w:val="000000" w:themeColor="text1"/>
          <w:sz w:val="44"/>
          <w:szCs w:val="44"/>
          <w:highlight w:val="none"/>
          <w:u w:val="none"/>
          <w14:textFill>
            <w14:solidFill>
              <w14:schemeClr w14:val="tx1"/>
            </w14:solidFill>
          </w14:textFill>
        </w:rPr>
      </w:pPr>
    </w:p>
    <w:p w14:paraId="4A741FAD">
      <w:pPr>
        <w:pStyle w:val="31"/>
        <w:spacing w:line="360" w:lineRule="auto"/>
        <w:jc w:val="center"/>
        <w:rPr>
          <w:rFonts w:ascii="仿宋" w:hAnsi="仿宋" w:eastAsia="仿宋"/>
          <w:b/>
          <w:color w:val="000000" w:themeColor="text1"/>
          <w:sz w:val="44"/>
          <w:szCs w:val="44"/>
          <w:highlight w:val="none"/>
          <w14:textFill>
            <w14:solidFill>
              <w14:schemeClr w14:val="tx1"/>
            </w14:solidFill>
          </w14:textFill>
        </w:rPr>
      </w:pPr>
      <w:r>
        <w:rPr>
          <w:rFonts w:hint="eastAsia" w:ascii="仿宋" w:hAnsi="仿宋" w:eastAsia="仿宋"/>
          <w:b/>
          <w:color w:val="000000" w:themeColor="text1"/>
          <w:sz w:val="44"/>
          <w:szCs w:val="44"/>
          <w:highlight w:val="none"/>
          <w:lang w:val="en-US" w:eastAsia="zh-CN"/>
          <w14:textFill>
            <w14:solidFill>
              <w14:schemeClr w14:val="tx1"/>
            </w14:solidFill>
          </w14:textFill>
        </w:rPr>
        <w:t>2024年中区片区内街管网改造工程（北京南等8个片区）施工总承包项目</w:t>
      </w:r>
    </w:p>
    <w:p w14:paraId="601751CA">
      <w:pPr>
        <w:pStyle w:val="31"/>
        <w:spacing w:line="360" w:lineRule="auto"/>
        <w:jc w:val="center"/>
        <w:rPr>
          <w:rFonts w:ascii="仿宋" w:hAnsi="仿宋" w:eastAsia="仿宋"/>
          <w:b/>
          <w:color w:val="000000" w:themeColor="text1"/>
          <w:sz w:val="44"/>
          <w:szCs w:val="44"/>
          <w:highlight w:val="none"/>
          <w14:textFill>
            <w14:solidFill>
              <w14:schemeClr w14:val="tx1"/>
            </w14:solidFill>
          </w14:textFill>
        </w:rPr>
      </w:pPr>
    </w:p>
    <w:p w14:paraId="4DA74FCB">
      <w:pPr>
        <w:pStyle w:val="31"/>
        <w:spacing w:line="360" w:lineRule="auto"/>
        <w:jc w:val="center"/>
        <w:rPr>
          <w:rFonts w:ascii="仿宋" w:hAnsi="仿宋" w:eastAsia="仿宋"/>
          <w:b/>
          <w:color w:val="000000" w:themeColor="text1"/>
          <w:sz w:val="44"/>
          <w:szCs w:val="44"/>
          <w:highlight w:val="none"/>
          <w14:textFill>
            <w14:solidFill>
              <w14:schemeClr w14:val="tx1"/>
            </w14:solidFill>
          </w14:textFill>
        </w:rPr>
      </w:pPr>
    </w:p>
    <w:p w14:paraId="14A438FD">
      <w:pPr>
        <w:spacing w:line="360" w:lineRule="auto"/>
        <w:jc w:val="center"/>
        <w:rPr>
          <w:rFonts w:ascii="仿宋_GB2312" w:hAnsi="宋体" w:eastAsia="仿宋_GB2312"/>
          <w:b/>
          <w:bCs/>
          <w:color w:val="000000" w:themeColor="text1"/>
          <w:spacing w:val="26"/>
          <w:sz w:val="110"/>
          <w:szCs w:val="110"/>
          <w:highlight w:val="none"/>
          <w14:textFill>
            <w14:solidFill>
              <w14:schemeClr w14:val="tx1"/>
            </w14:solidFill>
          </w14:textFill>
        </w:rPr>
      </w:pPr>
      <w:r>
        <w:rPr>
          <w:rFonts w:hint="eastAsia" w:ascii="仿宋_GB2312" w:hAnsi="宋体" w:eastAsia="仿宋_GB2312"/>
          <w:b/>
          <w:bCs/>
          <w:color w:val="000000" w:themeColor="text1"/>
          <w:spacing w:val="26"/>
          <w:sz w:val="110"/>
          <w:szCs w:val="110"/>
          <w:highlight w:val="none"/>
          <w14:textFill>
            <w14:solidFill>
              <w14:schemeClr w14:val="tx1"/>
            </w14:solidFill>
          </w14:textFill>
        </w:rPr>
        <w:t>招标文件</w:t>
      </w:r>
    </w:p>
    <w:p w14:paraId="13382360">
      <w:pPr>
        <w:pStyle w:val="31"/>
        <w:spacing w:line="360" w:lineRule="auto"/>
        <w:jc w:val="center"/>
        <w:rPr>
          <w:rFonts w:ascii="仿宋" w:hAnsi="仿宋" w:eastAsia="仿宋"/>
          <w:b/>
          <w:color w:val="000000" w:themeColor="text1"/>
          <w:sz w:val="44"/>
          <w:szCs w:val="44"/>
          <w:highlight w:val="none"/>
          <w14:textFill>
            <w14:solidFill>
              <w14:schemeClr w14:val="tx1"/>
            </w14:solidFill>
          </w14:textFill>
        </w:rPr>
      </w:pPr>
    </w:p>
    <w:p w14:paraId="3A1FA8C5">
      <w:pPr>
        <w:pStyle w:val="31"/>
        <w:spacing w:line="360" w:lineRule="auto"/>
        <w:jc w:val="center"/>
        <w:rPr>
          <w:rFonts w:ascii="仿宋" w:hAnsi="仿宋" w:eastAsia="仿宋"/>
          <w:b/>
          <w:color w:val="000000" w:themeColor="text1"/>
          <w:sz w:val="44"/>
          <w:szCs w:val="44"/>
          <w:highlight w:val="none"/>
          <w14:textFill>
            <w14:solidFill>
              <w14:schemeClr w14:val="tx1"/>
            </w14:solidFill>
          </w14:textFill>
        </w:rPr>
      </w:pPr>
    </w:p>
    <w:p w14:paraId="223A1CD7">
      <w:pPr>
        <w:pStyle w:val="31"/>
        <w:spacing w:line="360" w:lineRule="auto"/>
        <w:jc w:val="center"/>
        <w:rPr>
          <w:rFonts w:hint="eastAsia" w:ascii="仿宋" w:hAnsi="仿宋" w:eastAsia="仿宋"/>
          <w:b/>
          <w:color w:val="000000" w:themeColor="text1"/>
          <w:sz w:val="44"/>
          <w:szCs w:val="44"/>
          <w:highlight w:val="none"/>
          <w14:textFill>
            <w14:solidFill>
              <w14:schemeClr w14:val="tx1"/>
            </w14:solidFill>
          </w14:textFill>
        </w:rPr>
      </w:pPr>
    </w:p>
    <w:p w14:paraId="527D9CBB">
      <w:pPr>
        <w:widowControl/>
        <w:ind w:firstLine="600" w:firstLineChars="200"/>
        <w:jc w:val="center"/>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招标人：</w:t>
      </w:r>
      <w:r>
        <w:rPr>
          <w:rFonts w:hint="eastAsia" w:ascii="宋体" w:hAnsi="宋体" w:eastAsia="宋体" w:cs="宋体"/>
          <w:color w:val="000000" w:themeColor="text1"/>
          <w:sz w:val="30"/>
          <w:szCs w:val="30"/>
          <w:highlight w:val="none"/>
          <w:u w:val="single"/>
          <w14:textFill>
            <w14:solidFill>
              <w14:schemeClr w14:val="tx1"/>
            </w14:solidFill>
          </w14:textFill>
        </w:rPr>
        <w:t>广州市自来水有限公司</w:t>
      </w:r>
      <w:r>
        <w:rPr>
          <w:rFonts w:hint="eastAsia" w:ascii="宋体" w:hAnsi="宋体" w:eastAsia="宋体" w:cs="宋体"/>
          <w:color w:val="000000" w:themeColor="text1"/>
          <w:sz w:val="30"/>
          <w:szCs w:val="30"/>
          <w:highlight w:val="none"/>
          <w14:textFill>
            <w14:solidFill>
              <w14:schemeClr w14:val="tx1"/>
            </w14:solidFill>
          </w14:textFill>
        </w:rPr>
        <w:t>（盖单位章）</w:t>
      </w:r>
    </w:p>
    <w:p w14:paraId="7642A157">
      <w:pPr>
        <w:pStyle w:val="37"/>
        <w:rPr>
          <w:rFonts w:hint="eastAsia" w:ascii="宋体" w:hAnsi="宋体" w:eastAsia="宋体" w:cs="宋体"/>
          <w:color w:val="000000" w:themeColor="text1"/>
          <w:sz w:val="30"/>
          <w:szCs w:val="30"/>
          <w:highlight w:val="none"/>
          <w14:textFill>
            <w14:solidFill>
              <w14:schemeClr w14:val="tx1"/>
            </w14:solidFill>
          </w14:textFill>
        </w:rPr>
      </w:pPr>
    </w:p>
    <w:p w14:paraId="5AA5ABF2">
      <w:pPr>
        <w:widowControl/>
        <w:jc w:val="center"/>
        <w:rPr>
          <w:rFonts w:ascii="宋体" w:hAnsi="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招标代理机构：</w:t>
      </w:r>
      <w:r>
        <w:rPr>
          <w:rFonts w:hint="eastAsia" w:ascii="宋体" w:hAnsi="宋体" w:eastAsia="宋体" w:cs="宋体"/>
          <w:color w:val="000000" w:themeColor="text1"/>
          <w:sz w:val="30"/>
          <w:szCs w:val="30"/>
          <w:highlight w:val="none"/>
          <w:u w:val="single"/>
          <w:lang w:val="en-US" w:eastAsia="zh-CN"/>
          <w14:textFill>
            <w14:solidFill>
              <w14:schemeClr w14:val="tx1"/>
            </w14:solidFill>
          </w14:textFill>
        </w:rPr>
        <w:t>广东省城规建设监理有限公司</w:t>
      </w:r>
      <w:r>
        <w:rPr>
          <w:rFonts w:hint="eastAsia" w:ascii="宋体" w:hAnsi="宋体" w:eastAsia="宋体" w:cs="宋体"/>
          <w:color w:val="000000" w:themeColor="text1"/>
          <w:sz w:val="30"/>
          <w:szCs w:val="30"/>
          <w:highlight w:val="none"/>
          <w14:textFill>
            <w14:solidFill>
              <w14:schemeClr w14:val="tx1"/>
            </w14:solidFill>
          </w14:textFill>
        </w:rPr>
        <w:t>（盖单位章）</w:t>
      </w:r>
    </w:p>
    <w:p w14:paraId="54D8807F">
      <w:pPr>
        <w:spacing w:line="360" w:lineRule="auto"/>
        <w:ind w:firstLine="900" w:firstLineChars="300"/>
        <w:jc w:val="center"/>
        <w:rPr>
          <w:rFonts w:hint="eastAsia" w:ascii="宋体" w:hAnsi="宋体"/>
          <w:color w:val="000000" w:themeColor="text1"/>
          <w:sz w:val="30"/>
          <w:szCs w:val="30"/>
          <w:highlight w:val="none"/>
          <w:u w:val="single"/>
          <w14:textFill>
            <w14:solidFill>
              <w14:schemeClr w14:val="tx1"/>
            </w14:solidFill>
          </w14:textFill>
        </w:rPr>
      </w:pPr>
    </w:p>
    <w:p w14:paraId="63AF1993">
      <w:pPr>
        <w:spacing w:line="360" w:lineRule="auto"/>
        <w:ind w:firstLine="0" w:firstLineChars="0"/>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u w:val="single"/>
          <w:lang w:val="en-US" w:eastAsia="zh-CN"/>
          <w14:textFill>
            <w14:solidFill>
              <w14:schemeClr w14:val="tx1"/>
            </w14:solidFill>
          </w14:textFill>
        </w:rPr>
        <w:t>2026</w:t>
      </w:r>
      <w:r>
        <w:rPr>
          <w:rFonts w:hint="eastAsia" w:ascii="宋体" w:hAnsi="宋体"/>
          <w:color w:val="000000" w:themeColor="text1"/>
          <w:sz w:val="30"/>
          <w:szCs w:val="30"/>
          <w:highlight w:val="none"/>
          <w14:textFill>
            <w14:solidFill>
              <w14:schemeClr w14:val="tx1"/>
            </w14:solidFill>
          </w14:textFill>
        </w:rPr>
        <w:t>年</w:t>
      </w:r>
      <w:r>
        <w:rPr>
          <w:rFonts w:hint="eastAsia" w:ascii="宋体" w:hAnsi="宋体"/>
          <w:color w:val="000000" w:themeColor="text1"/>
          <w:sz w:val="30"/>
          <w:szCs w:val="30"/>
          <w:highlight w:val="none"/>
          <w:u w:val="single"/>
          <w:lang w:val="en-US" w:eastAsia="zh-CN"/>
          <w14:textFill>
            <w14:solidFill>
              <w14:schemeClr w14:val="tx1"/>
            </w14:solidFill>
          </w14:textFill>
        </w:rPr>
        <w:t>2</w:t>
      </w:r>
      <w:r>
        <w:rPr>
          <w:rFonts w:hint="eastAsia" w:ascii="宋体" w:hAnsi="宋体"/>
          <w:color w:val="000000" w:themeColor="text1"/>
          <w:sz w:val="30"/>
          <w:szCs w:val="30"/>
          <w:highlight w:val="none"/>
          <w14:textFill>
            <w14:solidFill>
              <w14:schemeClr w14:val="tx1"/>
            </w14:solidFill>
          </w14:textFill>
        </w:rPr>
        <w:t>月</w:t>
      </w:r>
    </w:p>
    <w:p w14:paraId="06CF863A">
      <w:pPr>
        <w:widowControl/>
        <w:tabs>
          <w:tab w:val="left" w:pos="851"/>
        </w:tabs>
        <w:spacing w:line="360" w:lineRule="auto"/>
        <w:ind w:left="480"/>
        <w:jc w:val="left"/>
        <w:rPr>
          <w:rFonts w:hint="eastAsia" w:ascii="宋体" w:hAnsi="宋体"/>
          <w:color w:val="000000" w:themeColor="text1"/>
          <w:sz w:val="24"/>
          <w:highlight w:val="none"/>
          <w14:textFill>
            <w14:solidFill>
              <w14:schemeClr w14:val="tx1"/>
            </w14:solidFill>
          </w14:textFill>
        </w:rPr>
      </w:pPr>
    </w:p>
    <w:p w14:paraId="3CBB4895">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p>
    <w:p w14:paraId="04A6EE76">
      <w:pPr>
        <w:spacing w:before="0" w:beforeLines="0" w:after="0" w:afterLines="0" w:line="240" w:lineRule="auto"/>
        <w:ind w:left="0" w:leftChars="0" w:right="0" w:rightChars="0" w:firstLine="0" w:firstLineChars="0"/>
        <w:jc w:val="center"/>
        <w:rPr>
          <w:color w:val="000000" w:themeColor="text1"/>
          <w:highlight w:val="none"/>
          <w14:textFill>
            <w14:solidFill>
              <w14:schemeClr w14:val="tx1"/>
            </w14:solidFill>
          </w14:textFill>
        </w:rPr>
      </w:pPr>
      <w:r>
        <w:rPr>
          <w:rFonts w:ascii="宋体" w:hAnsi="宋体" w:eastAsia="宋体"/>
          <w:color w:val="000000" w:themeColor="text1"/>
          <w:sz w:val="32"/>
          <w:szCs w:val="32"/>
          <w:highlight w:val="none"/>
          <w14:textFill>
            <w14:solidFill>
              <w14:schemeClr w14:val="tx1"/>
            </w14:solidFill>
          </w14:textFill>
        </w:rPr>
        <w:br w:type="page"/>
      </w:r>
      <w:r>
        <w:rPr>
          <w:rFonts w:ascii="宋体" w:hAnsi="宋体" w:eastAsia="宋体"/>
          <w:color w:val="000000" w:themeColor="text1"/>
          <w:sz w:val="32"/>
          <w:szCs w:val="32"/>
          <w:highlight w:val="none"/>
          <w14:textFill>
            <w14:solidFill>
              <w14:schemeClr w14:val="tx1"/>
            </w14:solidFill>
          </w14:textFill>
        </w:rPr>
        <w:t>目录</w:t>
      </w:r>
    </w:p>
    <w:p w14:paraId="32547C5F">
      <w:pPr>
        <w:pStyle w:val="28"/>
        <w:tabs>
          <w:tab w:val="right" w:leader="dot" w:pos="8305"/>
          <w:tab w:val="clear" w:pos="9060"/>
        </w:tabs>
        <w:rPr>
          <w:rFonts w:hint="eastAsia" w:ascii="宋体" w:hAnsi="宋体" w:eastAsia="宋体" w:cs="宋体"/>
          <w:b w:val="0"/>
          <w:bCs w:val="0"/>
          <w:color w:val="000000" w:themeColor="text1"/>
          <w:sz w:val="24"/>
          <w:szCs w:val="24"/>
          <w:highlight w:val="none"/>
          <w14:textFill>
            <w14:solidFill>
              <w14:schemeClr w14:val="tx1"/>
            </w14:solidFill>
          </w14:textFill>
        </w:rPr>
      </w:pPr>
    </w:p>
    <w:p w14:paraId="02C34A1C">
      <w:pPr>
        <w:pStyle w:val="28"/>
        <w:tabs>
          <w:tab w:val="right" w:leader="dot" w:pos="8305"/>
          <w:tab w:val="clear" w:pos="9060"/>
        </w:tabs>
        <w:rPr>
          <w:color w:val="000000" w:themeColor="text1"/>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TOC \o "1-1" \h \u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Cs w:val="0"/>
          <w:color w:val="000000" w:themeColor="text1"/>
          <w:szCs w:val="24"/>
          <w:highlight w:val="none"/>
          <w14:textFill>
            <w14:solidFill>
              <w14:schemeClr w14:val="tx1"/>
            </w14:solidFill>
          </w14:textFill>
        </w:rPr>
        <w:fldChar w:fldCharType="begin"/>
      </w:r>
      <w:r>
        <w:rPr>
          <w:rFonts w:hint="eastAsia" w:ascii="宋体" w:hAnsi="宋体" w:eastAsia="宋体" w:cs="宋体"/>
          <w:bCs w:val="0"/>
          <w:color w:val="000000" w:themeColor="text1"/>
          <w:szCs w:val="24"/>
          <w:highlight w:val="none"/>
          <w14:textFill>
            <w14:solidFill>
              <w14:schemeClr w14:val="tx1"/>
            </w14:solidFill>
          </w14:textFill>
        </w:rPr>
        <w:instrText xml:space="preserve"> HYPERLINK \l _Toc24219 </w:instrText>
      </w:r>
      <w:r>
        <w:rPr>
          <w:rFonts w:hint="eastAsia" w:ascii="宋体" w:hAnsi="宋体" w:eastAsia="宋体" w:cs="宋体"/>
          <w:bCs w:val="0"/>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第一章 招标公告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_Toc24219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r>
        <w:rPr>
          <w:rFonts w:hint="eastAsia" w:ascii="宋体" w:hAnsi="宋体" w:eastAsia="宋体" w:cs="宋体"/>
          <w:bCs w:val="0"/>
          <w:color w:val="000000" w:themeColor="text1"/>
          <w:szCs w:val="24"/>
          <w:highlight w:val="none"/>
          <w14:textFill>
            <w14:solidFill>
              <w14:schemeClr w14:val="tx1"/>
            </w14:solidFill>
          </w14:textFill>
        </w:rPr>
        <w:fldChar w:fldCharType="end"/>
      </w:r>
    </w:p>
    <w:p w14:paraId="1EA70787">
      <w:pPr>
        <w:pStyle w:val="28"/>
        <w:tabs>
          <w:tab w:val="right" w:leader="dot" w:pos="8305"/>
          <w:tab w:val="clear" w:pos="9060"/>
        </w:tabs>
        <w:rPr>
          <w:color w:val="000000" w:themeColor="text1"/>
          <w:highlight w:val="none"/>
          <w14:textFill>
            <w14:solidFill>
              <w14:schemeClr w14:val="tx1"/>
            </w14:solidFill>
          </w14:textFill>
        </w:rPr>
      </w:pPr>
      <w:r>
        <w:rPr>
          <w:rFonts w:hint="eastAsia" w:ascii="宋体" w:hAnsi="宋体" w:eastAsia="宋体" w:cs="宋体"/>
          <w:bCs w:val="0"/>
          <w:color w:val="000000" w:themeColor="text1"/>
          <w:szCs w:val="24"/>
          <w:highlight w:val="none"/>
          <w14:textFill>
            <w14:solidFill>
              <w14:schemeClr w14:val="tx1"/>
            </w14:solidFill>
          </w14:textFill>
        </w:rPr>
        <w:fldChar w:fldCharType="begin"/>
      </w:r>
      <w:r>
        <w:rPr>
          <w:rFonts w:hint="eastAsia" w:ascii="宋体" w:hAnsi="宋体" w:eastAsia="宋体" w:cs="宋体"/>
          <w:bCs w:val="0"/>
          <w:color w:val="000000" w:themeColor="text1"/>
          <w:szCs w:val="24"/>
          <w:highlight w:val="none"/>
          <w14:textFill>
            <w14:solidFill>
              <w14:schemeClr w14:val="tx1"/>
            </w14:solidFill>
          </w14:textFill>
        </w:rPr>
        <w:instrText xml:space="preserve"> HYPERLINK \l _Toc5193 </w:instrText>
      </w:r>
      <w:r>
        <w:rPr>
          <w:rFonts w:hint="eastAsia" w:ascii="宋体" w:hAnsi="宋体" w:eastAsia="宋体" w:cs="宋体"/>
          <w:bCs w:val="0"/>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第二章 投标</w:t>
      </w:r>
      <w:r>
        <w:rPr>
          <w:rFonts w:hint="eastAsia"/>
          <w:color w:val="000000" w:themeColor="text1"/>
          <w:highlight w:val="none"/>
          <w:lang w:val="en-US" w:eastAsia="zh-CN"/>
          <w14:textFill>
            <w14:solidFill>
              <w14:schemeClr w14:val="tx1"/>
            </w14:solidFill>
          </w14:textFill>
        </w:rPr>
        <w:t>人</w:t>
      </w:r>
      <w:r>
        <w:rPr>
          <w:rFonts w:hint="eastAsia"/>
          <w:color w:val="000000" w:themeColor="text1"/>
          <w:highlight w:val="none"/>
          <w14:textFill>
            <w14:solidFill>
              <w14:schemeClr w14:val="tx1"/>
            </w14:solidFill>
          </w14:textFill>
        </w:rPr>
        <w:t>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_Toc5193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rFonts w:hint="eastAsia" w:ascii="宋体" w:hAnsi="宋体" w:eastAsia="宋体" w:cs="宋体"/>
          <w:bCs w:val="0"/>
          <w:color w:val="000000" w:themeColor="text1"/>
          <w:szCs w:val="24"/>
          <w:highlight w:val="none"/>
          <w14:textFill>
            <w14:solidFill>
              <w14:schemeClr w14:val="tx1"/>
            </w14:solidFill>
          </w14:textFill>
        </w:rPr>
        <w:fldChar w:fldCharType="end"/>
      </w:r>
    </w:p>
    <w:p w14:paraId="7F6A5CEB">
      <w:pPr>
        <w:pStyle w:val="28"/>
        <w:tabs>
          <w:tab w:val="right" w:leader="dot" w:pos="8305"/>
          <w:tab w:val="clear" w:pos="9060"/>
        </w:tabs>
        <w:rPr>
          <w:color w:val="000000" w:themeColor="text1"/>
          <w:highlight w:val="none"/>
          <w14:textFill>
            <w14:solidFill>
              <w14:schemeClr w14:val="tx1"/>
            </w14:solidFill>
          </w14:textFill>
        </w:rPr>
      </w:pPr>
      <w:r>
        <w:rPr>
          <w:rFonts w:hint="eastAsia" w:ascii="宋体" w:hAnsi="宋体" w:eastAsia="宋体" w:cs="宋体"/>
          <w:bCs w:val="0"/>
          <w:color w:val="000000" w:themeColor="text1"/>
          <w:szCs w:val="24"/>
          <w:highlight w:val="none"/>
          <w14:textFill>
            <w14:solidFill>
              <w14:schemeClr w14:val="tx1"/>
            </w14:solidFill>
          </w14:textFill>
        </w:rPr>
        <w:fldChar w:fldCharType="begin"/>
      </w:r>
      <w:r>
        <w:rPr>
          <w:rFonts w:hint="eastAsia" w:ascii="宋体" w:hAnsi="宋体" w:eastAsia="宋体" w:cs="宋体"/>
          <w:bCs w:val="0"/>
          <w:color w:val="000000" w:themeColor="text1"/>
          <w:szCs w:val="24"/>
          <w:highlight w:val="none"/>
          <w14:textFill>
            <w14:solidFill>
              <w14:schemeClr w14:val="tx1"/>
            </w14:solidFill>
          </w14:textFill>
        </w:rPr>
        <w:instrText xml:space="preserve"> HYPERLINK \l _Toc27 </w:instrText>
      </w:r>
      <w:r>
        <w:rPr>
          <w:rFonts w:hint="eastAsia" w:ascii="宋体" w:hAnsi="宋体" w:eastAsia="宋体" w:cs="宋体"/>
          <w:bCs w:val="0"/>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第三章 评标及定标办法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59</w:t>
      </w:r>
      <w:r>
        <w:rPr>
          <w:color w:val="000000" w:themeColor="text1"/>
          <w:highlight w:val="none"/>
          <w14:textFill>
            <w14:solidFill>
              <w14:schemeClr w14:val="tx1"/>
            </w14:solidFill>
          </w14:textFill>
        </w:rPr>
        <w:fldChar w:fldCharType="end"/>
      </w:r>
      <w:r>
        <w:rPr>
          <w:rFonts w:hint="eastAsia" w:ascii="宋体" w:hAnsi="宋体" w:eastAsia="宋体" w:cs="宋体"/>
          <w:bCs w:val="0"/>
          <w:color w:val="000000" w:themeColor="text1"/>
          <w:szCs w:val="24"/>
          <w:highlight w:val="none"/>
          <w14:textFill>
            <w14:solidFill>
              <w14:schemeClr w14:val="tx1"/>
            </w14:solidFill>
          </w14:textFill>
        </w:rPr>
        <w:fldChar w:fldCharType="end"/>
      </w:r>
    </w:p>
    <w:p w14:paraId="3612518E">
      <w:pPr>
        <w:pStyle w:val="28"/>
        <w:tabs>
          <w:tab w:val="right" w:leader="dot" w:pos="8305"/>
          <w:tab w:val="clear" w:pos="9060"/>
        </w:tabs>
        <w:rPr>
          <w:color w:val="000000" w:themeColor="text1"/>
          <w:highlight w:val="none"/>
          <w14:textFill>
            <w14:solidFill>
              <w14:schemeClr w14:val="tx1"/>
            </w14:solidFill>
          </w14:textFill>
        </w:rPr>
      </w:pPr>
      <w:r>
        <w:rPr>
          <w:rFonts w:hint="eastAsia" w:ascii="宋体" w:hAnsi="宋体" w:eastAsia="宋体" w:cs="宋体"/>
          <w:bCs w:val="0"/>
          <w:color w:val="000000" w:themeColor="text1"/>
          <w:szCs w:val="24"/>
          <w:highlight w:val="none"/>
          <w14:textFill>
            <w14:solidFill>
              <w14:schemeClr w14:val="tx1"/>
            </w14:solidFill>
          </w14:textFill>
        </w:rPr>
        <w:fldChar w:fldCharType="begin"/>
      </w:r>
      <w:r>
        <w:rPr>
          <w:rFonts w:hint="eastAsia" w:ascii="宋体" w:hAnsi="宋体" w:eastAsia="宋体" w:cs="宋体"/>
          <w:bCs w:val="0"/>
          <w:color w:val="000000" w:themeColor="text1"/>
          <w:szCs w:val="24"/>
          <w:highlight w:val="none"/>
          <w14:textFill>
            <w14:solidFill>
              <w14:schemeClr w14:val="tx1"/>
            </w14:solidFill>
          </w14:textFill>
        </w:rPr>
        <w:instrText xml:space="preserve"> HYPERLINK \l _Toc18245 </w:instrText>
      </w:r>
      <w:r>
        <w:rPr>
          <w:rFonts w:hint="eastAsia" w:ascii="宋体" w:hAnsi="宋体" w:eastAsia="宋体" w:cs="宋体"/>
          <w:bCs w:val="0"/>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第四章 合同条款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_Toc18245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79</w:t>
      </w:r>
      <w:r>
        <w:rPr>
          <w:color w:val="000000" w:themeColor="text1"/>
          <w:highlight w:val="none"/>
          <w14:textFill>
            <w14:solidFill>
              <w14:schemeClr w14:val="tx1"/>
            </w14:solidFill>
          </w14:textFill>
        </w:rPr>
        <w:fldChar w:fldCharType="end"/>
      </w:r>
      <w:r>
        <w:rPr>
          <w:rFonts w:hint="eastAsia" w:ascii="宋体" w:hAnsi="宋体" w:eastAsia="宋体" w:cs="宋体"/>
          <w:bCs w:val="0"/>
          <w:color w:val="000000" w:themeColor="text1"/>
          <w:szCs w:val="24"/>
          <w:highlight w:val="none"/>
          <w14:textFill>
            <w14:solidFill>
              <w14:schemeClr w14:val="tx1"/>
            </w14:solidFill>
          </w14:textFill>
        </w:rPr>
        <w:fldChar w:fldCharType="end"/>
      </w:r>
    </w:p>
    <w:p w14:paraId="1ADD2A0A">
      <w:pPr>
        <w:pStyle w:val="28"/>
        <w:tabs>
          <w:tab w:val="right" w:leader="dot" w:pos="8305"/>
          <w:tab w:val="clear" w:pos="9060"/>
        </w:tabs>
        <w:rPr>
          <w:color w:val="000000" w:themeColor="text1"/>
          <w:highlight w:val="none"/>
          <w14:textFill>
            <w14:solidFill>
              <w14:schemeClr w14:val="tx1"/>
            </w14:solidFill>
          </w14:textFill>
        </w:rPr>
      </w:pPr>
      <w:r>
        <w:rPr>
          <w:rFonts w:hint="eastAsia" w:ascii="宋体" w:hAnsi="宋体" w:eastAsia="宋体" w:cs="宋体"/>
          <w:bCs w:val="0"/>
          <w:color w:val="000000" w:themeColor="text1"/>
          <w:szCs w:val="24"/>
          <w:highlight w:val="none"/>
          <w14:textFill>
            <w14:solidFill>
              <w14:schemeClr w14:val="tx1"/>
            </w14:solidFill>
          </w14:textFill>
        </w:rPr>
        <w:fldChar w:fldCharType="begin"/>
      </w:r>
      <w:r>
        <w:rPr>
          <w:rFonts w:hint="eastAsia" w:ascii="宋体" w:hAnsi="宋体" w:eastAsia="宋体" w:cs="宋体"/>
          <w:bCs w:val="0"/>
          <w:color w:val="000000" w:themeColor="text1"/>
          <w:szCs w:val="24"/>
          <w:highlight w:val="none"/>
          <w14:textFill>
            <w14:solidFill>
              <w14:schemeClr w14:val="tx1"/>
            </w14:solidFill>
          </w14:textFill>
        </w:rPr>
        <w:instrText xml:space="preserve"> HYPERLINK \l _Toc21598 </w:instrText>
      </w:r>
      <w:r>
        <w:rPr>
          <w:rFonts w:hint="eastAsia" w:ascii="宋体" w:hAnsi="宋体" w:eastAsia="宋体" w:cs="宋体"/>
          <w:bCs w:val="0"/>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第五章 工程量清单（综合单价承包）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_Toc21598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362</w:t>
      </w:r>
      <w:r>
        <w:rPr>
          <w:color w:val="000000" w:themeColor="text1"/>
          <w:highlight w:val="none"/>
          <w14:textFill>
            <w14:solidFill>
              <w14:schemeClr w14:val="tx1"/>
            </w14:solidFill>
          </w14:textFill>
        </w:rPr>
        <w:fldChar w:fldCharType="end"/>
      </w:r>
      <w:r>
        <w:rPr>
          <w:rFonts w:hint="eastAsia" w:ascii="宋体" w:hAnsi="宋体" w:eastAsia="宋体" w:cs="宋体"/>
          <w:bCs w:val="0"/>
          <w:color w:val="000000" w:themeColor="text1"/>
          <w:szCs w:val="24"/>
          <w:highlight w:val="none"/>
          <w14:textFill>
            <w14:solidFill>
              <w14:schemeClr w14:val="tx1"/>
            </w14:solidFill>
          </w14:textFill>
        </w:rPr>
        <w:fldChar w:fldCharType="end"/>
      </w:r>
    </w:p>
    <w:p w14:paraId="11FB14CB">
      <w:pPr>
        <w:pStyle w:val="28"/>
        <w:tabs>
          <w:tab w:val="right" w:leader="dot" w:pos="8305"/>
          <w:tab w:val="clear" w:pos="9060"/>
        </w:tabs>
        <w:rPr>
          <w:color w:val="000000" w:themeColor="text1"/>
          <w:highlight w:val="none"/>
          <w14:textFill>
            <w14:solidFill>
              <w14:schemeClr w14:val="tx1"/>
            </w14:solidFill>
          </w14:textFill>
        </w:rPr>
      </w:pPr>
      <w:r>
        <w:rPr>
          <w:rFonts w:hint="eastAsia" w:ascii="宋体" w:hAnsi="宋体" w:eastAsia="宋体" w:cs="宋体"/>
          <w:bCs w:val="0"/>
          <w:color w:val="000000" w:themeColor="text1"/>
          <w:szCs w:val="24"/>
          <w:highlight w:val="none"/>
          <w14:textFill>
            <w14:solidFill>
              <w14:schemeClr w14:val="tx1"/>
            </w14:solidFill>
          </w14:textFill>
        </w:rPr>
        <w:fldChar w:fldCharType="begin"/>
      </w:r>
      <w:r>
        <w:rPr>
          <w:rFonts w:hint="eastAsia" w:ascii="宋体" w:hAnsi="宋体" w:eastAsia="宋体" w:cs="宋体"/>
          <w:bCs w:val="0"/>
          <w:color w:val="000000" w:themeColor="text1"/>
          <w:szCs w:val="24"/>
          <w:highlight w:val="none"/>
          <w14:textFill>
            <w14:solidFill>
              <w14:schemeClr w14:val="tx1"/>
            </w14:solidFill>
          </w14:textFill>
        </w:rPr>
        <w:instrText xml:space="preserve"> HYPERLINK \l _Toc23992 </w:instrText>
      </w:r>
      <w:r>
        <w:rPr>
          <w:rFonts w:hint="eastAsia" w:ascii="宋体" w:hAnsi="宋体" w:eastAsia="宋体" w:cs="宋体"/>
          <w:bCs w:val="0"/>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第六章 图纸（招标图纸）</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_Toc23992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363</w:t>
      </w:r>
      <w:r>
        <w:rPr>
          <w:color w:val="000000" w:themeColor="text1"/>
          <w:highlight w:val="none"/>
          <w14:textFill>
            <w14:solidFill>
              <w14:schemeClr w14:val="tx1"/>
            </w14:solidFill>
          </w14:textFill>
        </w:rPr>
        <w:fldChar w:fldCharType="end"/>
      </w:r>
      <w:r>
        <w:rPr>
          <w:rFonts w:hint="eastAsia" w:ascii="宋体" w:hAnsi="宋体" w:eastAsia="宋体" w:cs="宋体"/>
          <w:bCs w:val="0"/>
          <w:color w:val="000000" w:themeColor="text1"/>
          <w:szCs w:val="24"/>
          <w:highlight w:val="none"/>
          <w14:textFill>
            <w14:solidFill>
              <w14:schemeClr w14:val="tx1"/>
            </w14:solidFill>
          </w14:textFill>
        </w:rPr>
        <w:fldChar w:fldCharType="end"/>
      </w:r>
    </w:p>
    <w:p w14:paraId="3119AADA">
      <w:pPr>
        <w:pStyle w:val="28"/>
        <w:tabs>
          <w:tab w:val="right" w:leader="dot" w:pos="8305"/>
          <w:tab w:val="clear" w:pos="9060"/>
        </w:tabs>
        <w:rPr>
          <w:color w:val="000000" w:themeColor="text1"/>
          <w:highlight w:val="none"/>
          <w14:textFill>
            <w14:solidFill>
              <w14:schemeClr w14:val="tx1"/>
            </w14:solidFill>
          </w14:textFill>
        </w:rPr>
      </w:pPr>
      <w:r>
        <w:rPr>
          <w:rFonts w:hint="eastAsia" w:ascii="宋体" w:hAnsi="宋体" w:eastAsia="宋体" w:cs="宋体"/>
          <w:bCs w:val="0"/>
          <w:color w:val="000000" w:themeColor="text1"/>
          <w:szCs w:val="24"/>
          <w:highlight w:val="none"/>
          <w14:textFill>
            <w14:solidFill>
              <w14:schemeClr w14:val="tx1"/>
            </w14:solidFill>
          </w14:textFill>
        </w:rPr>
        <w:fldChar w:fldCharType="begin"/>
      </w:r>
      <w:r>
        <w:rPr>
          <w:rFonts w:hint="eastAsia" w:ascii="宋体" w:hAnsi="宋体" w:eastAsia="宋体" w:cs="宋体"/>
          <w:bCs w:val="0"/>
          <w:color w:val="000000" w:themeColor="text1"/>
          <w:szCs w:val="24"/>
          <w:highlight w:val="none"/>
          <w14:textFill>
            <w14:solidFill>
              <w14:schemeClr w14:val="tx1"/>
            </w14:solidFill>
          </w14:textFill>
        </w:rPr>
        <w:instrText xml:space="preserve"> HYPERLINK \l _Toc30358 </w:instrText>
      </w:r>
      <w:r>
        <w:rPr>
          <w:rFonts w:hint="eastAsia" w:ascii="宋体" w:hAnsi="宋体" w:eastAsia="宋体" w:cs="宋体"/>
          <w:bCs w:val="0"/>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第七章 技术标准和要求（合同技术条款）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364</w:t>
      </w:r>
      <w:r>
        <w:rPr>
          <w:color w:val="000000" w:themeColor="text1"/>
          <w:highlight w:val="none"/>
          <w14:textFill>
            <w14:solidFill>
              <w14:schemeClr w14:val="tx1"/>
            </w14:solidFill>
          </w14:textFill>
        </w:rPr>
        <w:fldChar w:fldCharType="end"/>
      </w:r>
      <w:r>
        <w:rPr>
          <w:rFonts w:hint="eastAsia" w:ascii="宋体" w:hAnsi="宋体" w:eastAsia="宋体" w:cs="宋体"/>
          <w:bCs w:val="0"/>
          <w:color w:val="000000" w:themeColor="text1"/>
          <w:szCs w:val="24"/>
          <w:highlight w:val="none"/>
          <w14:textFill>
            <w14:solidFill>
              <w14:schemeClr w14:val="tx1"/>
            </w14:solidFill>
          </w14:textFill>
        </w:rPr>
        <w:fldChar w:fldCharType="end"/>
      </w:r>
    </w:p>
    <w:p w14:paraId="4BE3CBD1">
      <w:pPr>
        <w:pStyle w:val="28"/>
        <w:tabs>
          <w:tab w:val="right" w:leader="dot" w:pos="8305"/>
          <w:tab w:val="clear" w:pos="9060"/>
        </w:tabs>
        <w:rPr>
          <w:color w:val="000000" w:themeColor="text1"/>
          <w:highlight w:val="none"/>
          <w14:textFill>
            <w14:solidFill>
              <w14:schemeClr w14:val="tx1"/>
            </w14:solidFill>
          </w14:textFill>
        </w:rPr>
      </w:pPr>
      <w:r>
        <w:rPr>
          <w:rFonts w:hint="eastAsia" w:ascii="宋体" w:hAnsi="宋体" w:eastAsia="宋体" w:cs="宋体"/>
          <w:bCs w:val="0"/>
          <w:color w:val="000000" w:themeColor="text1"/>
          <w:szCs w:val="24"/>
          <w:highlight w:val="none"/>
          <w14:textFill>
            <w14:solidFill>
              <w14:schemeClr w14:val="tx1"/>
            </w14:solidFill>
          </w14:textFill>
        </w:rPr>
        <w:fldChar w:fldCharType="begin"/>
      </w:r>
      <w:r>
        <w:rPr>
          <w:rFonts w:hint="eastAsia" w:ascii="宋体" w:hAnsi="宋体" w:eastAsia="宋体" w:cs="宋体"/>
          <w:bCs w:val="0"/>
          <w:color w:val="000000" w:themeColor="text1"/>
          <w:szCs w:val="24"/>
          <w:highlight w:val="none"/>
          <w14:textFill>
            <w14:solidFill>
              <w14:schemeClr w14:val="tx1"/>
            </w14:solidFill>
          </w14:textFill>
        </w:rPr>
        <w:instrText xml:space="preserve"> HYPERLINK \l _Toc12973 </w:instrText>
      </w:r>
      <w:r>
        <w:rPr>
          <w:rFonts w:hint="eastAsia" w:ascii="宋体" w:hAnsi="宋体" w:eastAsia="宋体" w:cs="宋体"/>
          <w:bCs w:val="0"/>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第八章 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_Toc12973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365</w:t>
      </w:r>
      <w:r>
        <w:rPr>
          <w:color w:val="000000" w:themeColor="text1"/>
          <w:highlight w:val="none"/>
          <w14:textFill>
            <w14:solidFill>
              <w14:schemeClr w14:val="tx1"/>
            </w14:solidFill>
          </w14:textFill>
        </w:rPr>
        <w:fldChar w:fldCharType="end"/>
      </w:r>
      <w:r>
        <w:rPr>
          <w:rFonts w:hint="eastAsia" w:ascii="宋体" w:hAnsi="宋体" w:eastAsia="宋体" w:cs="宋体"/>
          <w:bCs w:val="0"/>
          <w:color w:val="000000" w:themeColor="text1"/>
          <w:szCs w:val="24"/>
          <w:highlight w:val="none"/>
          <w14:textFill>
            <w14:solidFill>
              <w14:schemeClr w14:val="tx1"/>
            </w14:solidFill>
          </w14:textFill>
        </w:rPr>
        <w:fldChar w:fldCharType="end"/>
      </w:r>
    </w:p>
    <w:p w14:paraId="6B76A154">
      <w:pPr>
        <w:pStyle w:val="28"/>
        <w:tabs>
          <w:tab w:val="right" w:leader="dot" w:pos="8305"/>
          <w:tab w:val="clear" w:pos="9060"/>
        </w:tabs>
        <w:rPr>
          <w:color w:val="000000" w:themeColor="text1"/>
          <w:highlight w:val="none"/>
          <w14:textFill>
            <w14:solidFill>
              <w14:schemeClr w14:val="tx1"/>
            </w14:solidFill>
          </w14:textFill>
        </w:rPr>
      </w:pPr>
      <w:r>
        <w:rPr>
          <w:rFonts w:hint="eastAsia" w:ascii="宋体" w:hAnsi="宋体" w:eastAsia="宋体" w:cs="宋体"/>
          <w:bCs w:val="0"/>
          <w:color w:val="000000" w:themeColor="text1"/>
          <w:szCs w:val="24"/>
          <w:highlight w:val="none"/>
          <w14:textFill>
            <w14:solidFill>
              <w14:schemeClr w14:val="tx1"/>
            </w14:solidFill>
          </w14:textFill>
        </w:rPr>
        <w:fldChar w:fldCharType="begin"/>
      </w:r>
      <w:r>
        <w:rPr>
          <w:rFonts w:hint="eastAsia" w:ascii="宋体" w:hAnsi="宋体" w:eastAsia="宋体" w:cs="宋体"/>
          <w:bCs w:val="0"/>
          <w:color w:val="000000" w:themeColor="text1"/>
          <w:szCs w:val="24"/>
          <w:highlight w:val="none"/>
          <w14:textFill>
            <w14:solidFill>
              <w14:schemeClr w14:val="tx1"/>
            </w14:solidFill>
          </w14:textFill>
        </w:rPr>
        <w:instrText xml:space="preserve"> HYPERLINK \l _Toc14855 </w:instrText>
      </w:r>
      <w:r>
        <w:rPr>
          <w:rFonts w:hint="eastAsia" w:ascii="宋体" w:hAnsi="宋体" w:eastAsia="宋体" w:cs="宋体"/>
          <w:bCs w:val="0"/>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第九章 否决性条款汇总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_Toc14855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395</w:t>
      </w:r>
      <w:r>
        <w:rPr>
          <w:color w:val="000000" w:themeColor="text1"/>
          <w:highlight w:val="none"/>
          <w14:textFill>
            <w14:solidFill>
              <w14:schemeClr w14:val="tx1"/>
            </w14:solidFill>
          </w14:textFill>
        </w:rPr>
        <w:fldChar w:fldCharType="end"/>
      </w:r>
      <w:r>
        <w:rPr>
          <w:rFonts w:hint="eastAsia" w:ascii="宋体" w:hAnsi="宋体" w:eastAsia="宋体" w:cs="宋体"/>
          <w:bCs w:val="0"/>
          <w:color w:val="000000" w:themeColor="text1"/>
          <w:szCs w:val="24"/>
          <w:highlight w:val="none"/>
          <w14:textFill>
            <w14:solidFill>
              <w14:schemeClr w14:val="tx1"/>
            </w14:solidFill>
          </w14:textFill>
        </w:rPr>
        <w:fldChar w:fldCharType="end"/>
      </w:r>
    </w:p>
    <w:p w14:paraId="6D2D55DF">
      <w:pPr>
        <w:pStyle w:val="28"/>
        <w:tabs>
          <w:tab w:val="right" w:leader="dot" w:pos="8305"/>
          <w:tab w:val="clear" w:pos="9060"/>
        </w:tabs>
        <w:rPr>
          <w:color w:val="000000" w:themeColor="text1"/>
          <w:highlight w:val="none"/>
          <w14:textFill>
            <w14:solidFill>
              <w14:schemeClr w14:val="tx1"/>
            </w14:solidFill>
          </w14:textFill>
        </w:rPr>
      </w:pPr>
      <w:r>
        <w:rPr>
          <w:rFonts w:hint="eastAsia" w:ascii="宋体" w:hAnsi="宋体" w:eastAsia="宋体" w:cs="宋体"/>
          <w:bCs w:val="0"/>
          <w:color w:val="000000" w:themeColor="text1"/>
          <w:szCs w:val="24"/>
          <w:highlight w:val="none"/>
          <w14:textFill>
            <w14:solidFill>
              <w14:schemeClr w14:val="tx1"/>
            </w14:solidFill>
          </w14:textFill>
        </w:rPr>
        <w:fldChar w:fldCharType="begin"/>
      </w:r>
      <w:r>
        <w:rPr>
          <w:rFonts w:hint="eastAsia" w:ascii="宋体" w:hAnsi="宋体" w:eastAsia="宋体" w:cs="宋体"/>
          <w:bCs w:val="0"/>
          <w:color w:val="000000" w:themeColor="text1"/>
          <w:szCs w:val="24"/>
          <w:highlight w:val="none"/>
          <w14:textFill>
            <w14:solidFill>
              <w14:schemeClr w14:val="tx1"/>
            </w14:solidFill>
          </w14:textFill>
        </w:rPr>
        <w:instrText xml:space="preserve"> HYPERLINK \l _Toc16906 </w:instrText>
      </w:r>
      <w:r>
        <w:rPr>
          <w:rFonts w:hint="eastAsia" w:ascii="宋体" w:hAnsi="宋体" w:eastAsia="宋体" w:cs="宋体"/>
          <w:bCs w:val="0"/>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第十章</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最高投标限价（招标控制价）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_Toc16906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397</w:t>
      </w:r>
      <w:r>
        <w:rPr>
          <w:color w:val="000000" w:themeColor="text1"/>
          <w:highlight w:val="none"/>
          <w14:textFill>
            <w14:solidFill>
              <w14:schemeClr w14:val="tx1"/>
            </w14:solidFill>
          </w14:textFill>
        </w:rPr>
        <w:fldChar w:fldCharType="end"/>
      </w:r>
      <w:r>
        <w:rPr>
          <w:rFonts w:hint="eastAsia" w:ascii="宋体" w:hAnsi="宋体" w:eastAsia="宋体" w:cs="宋体"/>
          <w:bCs w:val="0"/>
          <w:color w:val="000000" w:themeColor="text1"/>
          <w:szCs w:val="24"/>
          <w:highlight w:val="none"/>
          <w14:textFill>
            <w14:solidFill>
              <w14:schemeClr w14:val="tx1"/>
            </w14:solidFill>
          </w14:textFill>
        </w:rPr>
        <w:fldChar w:fldCharType="end"/>
      </w:r>
    </w:p>
    <w:p w14:paraId="6CDD5431">
      <w:pPr>
        <w:pStyle w:val="28"/>
        <w:tabs>
          <w:tab w:val="right" w:leader="dot" w:pos="8305"/>
          <w:tab w:val="clear" w:pos="9060"/>
        </w:tabs>
        <w:rPr>
          <w:color w:val="000000" w:themeColor="text1"/>
          <w:highlight w:val="none"/>
          <w14:textFill>
            <w14:solidFill>
              <w14:schemeClr w14:val="tx1"/>
            </w14:solidFill>
          </w14:textFill>
        </w:rPr>
      </w:pPr>
      <w:r>
        <w:rPr>
          <w:rFonts w:hint="eastAsia" w:ascii="宋体" w:hAnsi="宋体" w:eastAsia="宋体" w:cs="宋体"/>
          <w:bCs w:val="0"/>
          <w:color w:val="000000" w:themeColor="text1"/>
          <w:szCs w:val="24"/>
          <w:highlight w:val="none"/>
          <w14:textFill>
            <w14:solidFill>
              <w14:schemeClr w14:val="tx1"/>
            </w14:solidFill>
          </w14:textFill>
        </w:rPr>
        <w:fldChar w:fldCharType="begin"/>
      </w:r>
      <w:r>
        <w:rPr>
          <w:rFonts w:hint="eastAsia" w:ascii="宋体" w:hAnsi="宋体" w:eastAsia="宋体" w:cs="宋体"/>
          <w:bCs w:val="0"/>
          <w:color w:val="000000" w:themeColor="text1"/>
          <w:szCs w:val="24"/>
          <w:highlight w:val="none"/>
          <w14:textFill>
            <w14:solidFill>
              <w14:schemeClr w14:val="tx1"/>
            </w14:solidFill>
          </w14:textFill>
        </w:rPr>
        <w:instrText xml:space="preserve"> HYPERLINK \l _Toc7422 </w:instrText>
      </w:r>
      <w:r>
        <w:rPr>
          <w:rFonts w:hint="eastAsia" w:ascii="宋体" w:hAnsi="宋体" w:eastAsia="宋体" w:cs="宋体"/>
          <w:bCs w:val="0"/>
          <w:color w:val="000000" w:themeColor="text1"/>
          <w:szCs w:val="24"/>
          <w:highlight w:val="none"/>
          <w14:textFill>
            <w14:solidFill>
              <w14:schemeClr w14:val="tx1"/>
            </w14:solidFill>
          </w14:textFill>
        </w:rPr>
        <w:fldChar w:fldCharType="separate"/>
      </w:r>
      <w:r>
        <w:rPr>
          <w:rFonts w:hint="eastAsia" w:ascii="Times New Roman" w:hAnsi="Times New Roman" w:eastAsia="宋体" w:cs="Times New Roman"/>
          <w:bCs/>
          <w:color w:val="000000" w:themeColor="text1"/>
          <w:kern w:val="2"/>
          <w:szCs w:val="24"/>
          <w:highlight w:val="none"/>
          <w:lang w:val="en-US" w:eastAsia="zh-CN" w:bidi="ar-SA"/>
          <w14:textFill>
            <w14:solidFill>
              <w14:schemeClr w14:val="tx1"/>
            </w14:solidFill>
          </w14:textFill>
        </w:rPr>
        <w:t>第十一章</w:t>
      </w:r>
      <w:r>
        <w:rPr>
          <w:rFonts w:hint="eastAsia" w:cs="Times New Roman"/>
          <w:bCs/>
          <w:color w:val="000000" w:themeColor="text1"/>
          <w:kern w:val="2"/>
          <w:szCs w:val="24"/>
          <w:highlight w:val="none"/>
          <w:lang w:val="en-US" w:eastAsia="zh-CN" w:bidi="ar-SA"/>
          <w14:textFill>
            <w14:solidFill>
              <w14:schemeClr w14:val="tx1"/>
            </w14:solidFill>
          </w14:textFill>
        </w:rPr>
        <w:t xml:space="preserve">  </w:t>
      </w:r>
      <w:r>
        <w:rPr>
          <w:rFonts w:hint="eastAsia"/>
          <w:color w:val="000000" w:themeColor="text1"/>
          <w:highlight w:val="none"/>
          <w14:textFill>
            <w14:solidFill>
              <w14:schemeClr w14:val="tx1"/>
            </w14:solidFill>
          </w14:textFill>
        </w:rPr>
        <w:t>招标人声明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_Toc7422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398</w:t>
      </w:r>
      <w:r>
        <w:rPr>
          <w:color w:val="000000" w:themeColor="text1"/>
          <w:highlight w:val="none"/>
          <w14:textFill>
            <w14:solidFill>
              <w14:schemeClr w14:val="tx1"/>
            </w14:solidFill>
          </w14:textFill>
        </w:rPr>
        <w:fldChar w:fldCharType="end"/>
      </w:r>
      <w:r>
        <w:rPr>
          <w:rFonts w:hint="eastAsia" w:ascii="宋体" w:hAnsi="宋体" w:eastAsia="宋体" w:cs="宋体"/>
          <w:bCs w:val="0"/>
          <w:color w:val="000000" w:themeColor="text1"/>
          <w:szCs w:val="24"/>
          <w:highlight w:val="none"/>
          <w14:textFill>
            <w14:solidFill>
              <w14:schemeClr w14:val="tx1"/>
            </w14:solidFill>
          </w14:textFill>
        </w:rPr>
        <w:fldChar w:fldCharType="end"/>
      </w:r>
    </w:p>
    <w:p w14:paraId="61C0ED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val="0"/>
          <w:color w:val="000000" w:themeColor="text1"/>
          <w:szCs w:val="24"/>
          <w:highlight w:val="none"/>
          <w14:textFill>
            <w14:solidFill>
              <w14:schemeClr w14:val="tx1"/>
            </w14:solidFill>
          </w14:textFill>
        </w:rPr>
      </w:pPr>
      <w:r>
        <w:rPr>
          <w:rFonts w:hint="eastAsia" w:ascii="宋体" w:hAnsi="宋体" w:eastAsia="宋体" w:cs="宋体"/>
          <w:bCs w:val="0"/>
          <w:color w:val="000000" w:themeColor="text1"/>
          <w:szCs w:val="24"/>
          <w:highlight w:val="none"/>
          <w14:textFill>
            <w14:solidFill>
              <w14:schemeClr w14:val="tx1"/>
            </w14:solidFill>
          </w14:textFill>
        </w:rPr>
        <w:fldChar w:fldCharType="end"/>
      </w:r>
    </w:p>
    <w:p w14:paraId="37D4DC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val="0"/>
          <w:color w:val="000000" w:themeColor="text1"/>
          <w:szCs w:val="24"/>
          <w:highlight w:val="none"/>
          <w14:textFill>
            <w14:solidFill>
              <w14:schemeClr w14:val="tx1"/>
            </w14:solidFill>
          </w14:textFill>
        </w:rPr>
      </w:pPr>
    </w:p>
    <w:p w14:paraId="1DF2D1F2">
      <w:pPr>
        <w:rPr>
          <w:color w:val="000000" w:themeColor="text1"/>
          <w:highlight w:val="none"/>
          <w14:textFill>
            <w14:solidFill>
              <w14:schemeClr w14:val="tx1"/>
            </w14:solidFill>
          </w14:textFill>
        </w:rPr>
      </w:pPr>
    </w:p>
    <w:p w14:paraId="218B4049">
      <w:pPr>
        <w:pStyle w:val="2"/>
        <w:rPr>
          <w:color w:val="000000" w:themeColor="text1"/>
          <w:highlight w:val="none"/>
          <w14:textFill>
            <w14:solidFill>
              <w14:schemeClr w14:val="tx1"/>
            </w14:solidFill>
          </w14:textFill>
        </w:rPr>
      </w:pPr>
      <w:bookmarkStart w:id="0" w:name="_Toc17451091"/>
      <w:bookmarkEnd w:id="0"/>
      <w:bookmarkStart w:id="1" w:name="_Toc17556866"/>
      <w:bookmarkEnd w:id="1"/>
      <w:bookmarkStart w:id="2" w:name="_Toc17450710"/>
      <w:bookmarkEnd w:id="2"/>
      <w:bookmarkStart w:id="3" w:name="_Toc17451196"/>
      <w:bookmarkEnd w:id="3"/>
      <w:bookmarkStart w:id="4" w:name="_Toc17451090"/>
      <w:bookmarkEnd w:id="4"/>
      <w:bookmarkStart w:id="5" w:name="_Toc17556867"/>
      <w:bookmarkEnd w:id="5"/>
      <w:bookmarkStart w:id="6" w:name="_Toc17451195"/>
      <w:bookmarkEnd w:id="6"/>
      <w:bookmarkStart w:id="7" w:name="_Toc17556865"/>
      <w:bookmarkEnd w:id="7"/>
      <w:bookmarkStart w:id="8" w:name="_Toc17450791"/>
      <w:bookmarkEnd w:id="8"/>
      <w:bookmarkStart w:id="9" w:name="_Toc17451194"/>
      <w:bookmarkEnd w:id="9"/>
      <w:bookmarkStart w:id="10" w:name="_Toc17450790"/>
      <w:bookmarkEnd w:id="10"/>
      <w:bookmarkStart w:id="11" w:name="_Toc17451092"/>
      <w:bookmarkEnd w:id="11"/>
      <w:bookmarkStart w:id="12" w:name="_Toc17450792"/>
      <w:bookmarkEnd w:id="12"/>
      <w:bookmarkStart w:id="13" w:name="_Toc17450711"/>
      <w:bookmarkEnd w:id="13"/>
      <w:bookmarkStart w:id="14" w:name="_Toc17450712"/>
      <w:bookmarkEnd w:id="14"/>
      <w:bookmarkStart w:id="15" w:name="_Toc17556774"/>
      <w:bookmarkEnd w:id="15"/>
      <w:r>
        <w:rPr>
          <w:color w:val="000000" w:themeColor="text1"/>
          <w:highlight w:val="none"/>
          <w14:textFill>
            <w14:solidFill>
              <w14:schemeClr w14:val="tx1"/>
            </w14:solidFill>
          </w14:textFill>
        </w:rPr>
        <w:br w:type="page"/>
      </w:r>
      <w:bookmarkStart w:id="16" w:name="_Toc17556872"/>
      <w:bookmarkEnd w:id="16"/>
      <w:bookmarkStart w:id="17" w:name="_Toc17450794"/>
      <w:bookmarkEnd w:id="17"/>
      <w:bookmarkStart w:id="18" w:name="_Toc17451199"/>
      <w:bookmarkEnd w:id="18"/>
      <w:bookmarkStart w:id="19" w:name="_Toc17451097"/>
      <w:bookmarkEnd w:id="19"/>
      <w:bookmarkStart w:id="20" w:name="_Toc17450715"/>
      <w:bookmarkEnd w:id="20"/>
      <w:bookmarkStart w:id="21" w:name="_Toc17451201"/>
      <w:bookmarkEnd w:id="21"/>
      <w:bookmarkStart w:id="22" w:name="_Toc17556871"/>
      <w:bookmarkEnd w:id="22"/>
      <w:bookmarkStart w:id="23" w:name="_Toc17556869"/>
      <w:bookmarkEnd w:id="23"/>
      <w:bookmarkStart w:id="24" w:name="_Toc17451198"/>
      <w:bookmarkEnd w:id="24"/>
      <w:bookmarkStart w:id="25" w:name="_Toc17450797"/>
      <w:bookmarkEnd w:id="25"/>
      <w:bookmarkStart w:id="26" w:name="_Toc17451095"/>
      <w:bookmarkEnd w:id="26"/>
      <w:bookmarkStart w:id="27" w:name="_Toc17451197"/>
      <w:bookmarkEnd w:id="27"/>
      <w:bookmarkStart w:id="28" w:name="_Toc17450714"/>
      <w:bookmarkEnd w:id="28"/>
      <w:bookmarkStart w:id="29" w:name="_Toc17451094"/>
      <w:bookmarkEnd w:id="29"/>
      <w:bookmarkStart w:id="30" w:name="_Toc17556870"/>
      <w:bookmarkEnd w:id="30"/>
      <w:bookmarkStart w:id="31" w:name="_Toc17450793"/>
      <w:bookmarkEnd w:id="31"/>
      <w:bookmarkStart w:id="32" w:name="_Toc17451096"/>
      <w:bookmarkEnd w:id="32"/>
      <w:bookmarkStart w:id="33" w:name="_Toc17450716"/>
      <w:bookmarkEnd w:id="33"/>
      <w:bookmarkStart w:id="34" w:name="_Toc17450796"/>
      <w:bookmarkEnd w:id="34"/>
      <w:bookmarkStart w:id="35" w:name="_Toc17451200"/>
      <w:bookmarkEnd w:id="35"/>
      <w:bookmarkStart w:id="36" w:name="_Toc17451093"/>
      <w:bookmarkEnd w:id="36"/>
      <w:bookmarkStart w:id="37" w:name="_Toc17450795"/>
      <w:bookmarkEnd w:id="37"/>
      <w:bookmarkStart w:id="38" w:name="_Toc17556868"/>
      <w:bookmarkEnd w:id="38"/>
      <w:bookmarkStart w:id="39" w:name="_Toc17450713"/>
      <w:bookmarkEnd w:id="39"/>
      <w:bookmarkStart w:id="40" w:name="_Toc17450717"/>
      <w:bookmarkEnd w:id="40"/>
      <w:bookmarkStart w:id="41" w:name="_Toc14892"/>
      <w:bookmarkStart w:id="42" w:name="_Toc11129"/>
      <w:bookmarkStart w:id="43" w:name="_Toc17451620"/>
      <w:bookmarkStart w:id="44" w:name="_Toc17454868"/>
      <w:bookmarkStart w:id="45" w:name="_Toc13253"/>
      <w:bookmarkStart w:id="46" w:name="_Toc24219"/>
      <w:bookmarkStart w:id="47" w:name="_Toc17452661"/>
      <w:bookmarkStart w:id="48" w:name="_Toc17451098"/>
      <w:bookmarkStart w:id="49" w:name="_Toc3066"/>
      <w:bookmarkStart w:id="50" w:name="_Toc9433"/>
      <w:bookmarkStart w:id="51" w:name="_Toc19178"/>
      <w:bookmarkStart w:id="52" w:name="_Toc17556873"/>
      <w:bookmarkStart w:id="53" w:name="_Toc17451575"/>
      <w:bookmarkStart w:id="54" w:name="_Toc17454919"/>
      <w:r>
        <w:rPr>
          <w:rFonts w:hint="eastAsia"/>
          <w:color w:val="000000" w:themeColor="text1"/>
          <w:highlight w:val="none"/>
          <w14:textFill>
            <w14:solidFill>
              <w14:schemeClr w14:val="tx1"/>
            </w14:solidFill>
          </w14:textFill>
        </w:rPr>
        <w:t>第一章 招标公告</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26C49B23">
      <w:pPr>
        <w:pStyle w:val="31"/>
        <w:spacing w:line="360" w:lineRule="auto"/>
        <w:jc w:val="center"/>
        <w:rPr>
          <w:rFonts w:hint="eastAsia" w:eastAsia="宋体"/>
          <w:b/>
          <w:color w:val="000000" w:themeColor="text1"/>
          <w:sz w:val="32"/>
          <w:szCs w:val="32"/>
          <w:highlight w:val="none"/>
          <w:u w:val="none"/>
          <w:lang w:val="en-US" w:eastAsia="zh-CN"/>
          <w14:textFill>
            <w14:solidFill>
              <w14:schemeClr w14:val="tx1"/>
            </w14:solidFill>
          </w14:textFill>
        </w:rPr>
      </w:pPr>
    </w:p>
    <w:p w14:paraId="421DDB63">
      <w:pPr>
        <w:pStyle w:val="31"/>
        <w:spacing w:line="360" w:lineRule="auto"/>
        <w:jc w:val="center"/>
        <w:outlineLvl w:val="9"/>
        <w:rPr>
          <w:rFonts w:hint="eastAsia" w:eastAsia="宋体"/>
          <w:b/>
          <w:color w:val="000000" w:themeColor="text1"/>
          <w:sz w:val="32"/>
          <w:szCs w:val="32"/>
          <w:highlight w:val="none"/>
          <w:u w:val="none"/>
          <w:lang w:val="en-US" w:eastAsia="zh-CN"/>
          <w14:textFill>
            <w14:solidFill>
              <w14:schemeClr w14:val="tx1"/>
            </w14:solidFill>
          </w14:textFill>
        </w:rPr>
      </w:pPr>
      <w:bookmarkStart w:id="55" w:name="_Toc26836"/>
      <w:bookmarkStart w:id="56" w:name="_Toc21282"/>
      <w:bookmarkStart w:id="57" w:name="_Toc6382"/>
      <w:r>
        <w:rPr>
          <w:rFonts w:hint="eastAsia" w:eastAsia="宋体"/>
          <w:b/>
          <w:color w:val="000000" w:themeColor="text1"/>
          <w:sz w:val="32"/>
          <w:szCs w:val="32"/>
          <w:highlight w:val="none"/>
          <w:u w:val="none"/>
          <w:lang w:val="en-US" w:eastAsia="zh-CN"/>
          <w14:textFill>
            <w14:solidFill>
              <w14:schemeClr w14:val="tx1"/>
            </w14:solidFill>
          </w14:textFill>
        </w:rPr>
        <w:t>2024年中区片区内街管网改造工程（北京南等8个片区）</w:t>
      </w:r>
      <w:bookmarkEnd w:id="55"/>
      <w:bookmarkEnd w:id="56"/>
      <w:bookmarkEnd w:id="57"/>
    </w:p>
    <w:p w14:paraId="0D21410E">
      <w:pPr>
        <w:pStyle w:val="31"/>
        <w:spacing w:line="360" w:lineRule="auto"/>
        <w:jc w:val="center"/>
        <w:outlineLvl w:val="9"/>
        <w:rPr>
          <w:rFonts w:eastAsia="宋体"/>
          <w:b/>
          <w:color w:val="000000" w:themeColor="text1"/>
          <w:sz w:val="32"/>
          <w:szCs w:val="32"/>
          <w:highlight w:val="none"/>
          <w:u w:val="none"/>
          <w14:textFill>
            <w14:solidFill>
              <w14:schemeClr w14:val="tx1"/>
            </w14:solidFill>
          </w14:textFill>
        </w:rPr>
      </w:pPr>
      <w:bookmarkStart w:id="58" w:name="_Toc7110"/>
      <w:bookmarkStart w:id="59" w:name="_Toc27925"/>
      <w:bookmarkStart w:id="60" w:name="_Toc10288"/>
      <w:r>
        <w:rPr>
          <w:rFonts w:hint="eastAsia" w:eastAsia="宋体"/>
          <w:b/>
          <w:color w:val="000000" w:themeColor="text1"/>
          <w:sz w:val="32"/>
          <w:szCs w:val="32"/>
          <w:highlight w:val="none"/>
          <w:u w:val="none"/>
          <w:lang w:val="en-US" w:eastAsia="zh-CN"/>
          <w14:textFill>
            <w14:solidFill>
              <w14:schemeClr w14:val="tx1"/>
            </w14:solidFill>
          </w14:textFill>
        </w:rPr>
        <w:t>施工总承包项目</w:t>
      </w:r>
      <w:r>
        <w:rPr>
          <w:rFonts w:hint="eastAsia" w:eastAsia="宋体"/>
          <w:b/>
          <w:color w:val="000000" w:themeColor="text1"/>
          <w:sz w:val="32"/>
          <w:szCs w:val="32"/>
          <w:highlight w:val="none"/>
          <w:u w:val="none"/>
          <w14:textFill>
            <w14:solidFill>
              <w14:schemeClr w14:val="tx1"/>
            </w14:solidFill>
          </w14:textFill>
        </w:rPr>
        <w:t>招标公告</w:t>
      </w:r>
      <w:bookmarkEnd w:id="58"/>
      <w:bookmarkEnd w:id="59"/>
      <w:bookmarkEnd w:id="60"/>
    </w:p>
    <w:p w14:paraId="0A029C32">
      <w:pPr>
        <w:spacing w:line="360" w:lineRule="auto"/>
        <w:ind w:firstLine="542" w:firstLineChars="225"/>
        <w:outlineLvl w:val="9"/>
        <w:rPr>
          <w:rFonts w:ascii="宋体" w:hAnsi="宋体"/>
          <w:b/>
          <w:color w:val="000000" w:themeColor="text1"/>
          <w:sz w:val="24"/>
          <w:szCs w:val="24"/>
          <w:highlight w:val="none"/>
          <w14:textFill>
            <w14:solidFill>
              <w14:schemeClr w14:val="tx1"/>
            </w14:solidFill>
          </w14:textFill>
        </w:rPr>
      </w:pPr>
      <w:bookmarkStart w:id="61" w:name="_Toc32470"/>
      <w:bookmarkStart w:id="62" w:name="_Toc25179"/>
      <w:bookmarkStart w:id="63" w:name="_Toc10390"/>
      <w:bookmarkStart w:id="64" w:name="_Toc221949923"/>
      <w:r>
        <w:rPr>
          <w:rFonts w:hint="eastAsia" w:ascii="宋体" w:hAnsi="宋体"/>
          <w:b/>
          <w:color w:val="000000" w:themeColor="text1"/>
          <w:sz w:val="24"/>
          <w:szCs w:val="24"/>
          <w:highlight w:val="none"/>
          <w14:textFill>
            <w14:solidFill>
              <w14:schemeClr w14:val="tx1"/>
            </w14:solidFill>
          </w14:textFill>
        </w:rPr>
        <w:t>1</w:t>
      </w:r>
      <w:r>
        <w:rPr>
          <w:rFonts w:ascii="宋体" w:hAnsi="宋体"/>
          <w:b/>
          <w:color w:val="000000" w:themeColor="text1"/>
          <w:sz w:val="24"/>
          <w:szCs w:val="24"/>
          <w:highlight w:val="none"/>
          <w14:textFill>
            <w14:solidFill>
              <w14:schemeClr w14:val="tx1"/>
            </w14:solidFill>
          </w14:textFill>
        </w:rPr>
        <w:t>.招标</w:t>
      </w:r>
      <w:r>
        <w:rPr>
          <w:rFonts w:hint="eastAsia" w:ascii="宋体" w:hAnsi="宋体"/>
          <w:b/>
          <w:color w:val="000000" w:themeColor="text1"/>
          <w:sz w:val="24"/>
          <w:szCs w:val="24"/>
          <w:highlight w:val="none"/>
          <w14:textFill>
            <w14:solidFill>
              <w14:schemeClr w14:val="tx1"/>
            </w14:solidFill>
          </w14:textFill>
        </w:rPr>
        <w:t>条件</w:t>
      </w:r>
      <w:bookmarkEnd w:id="61"/>
      <w:bookmarkEnd w:id="62"/>
      <w:bookmarkEnd w:id="63"/>
    </w:p>
    <w:p w14:paraId="3C2FF94D">
      <w:pPr>
        <w:wordWrap w:val="0"/>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本招标项目</w:t>
      </w:r>
      <w:r>
        <w:rPr>
          <w:rFonts w:hint="eastAsia" w:ascii="宋体" w:hAnsi="宋体"/>
          <w:color w:val="000000" w:themeColor="text1"/>
          <w:sz w:val="24"/>
          <w:szCs w:val="24"/>
          <w:highlight w:val="none"/>
          <w:u w:val="single"/>
          <w:lang w:val="en-US" w:eastAsia="zh-CN"/>
          <w14:textFill>
            <w14:solidFill>
              <w14:schemeClr w14:val="tx1"/>
            </w14:solidFill>
          </w14:textFill>
        </w:rPr>
        <w:t>2024年中区片区内街管网改造工程（北京南等8个片区）施工总承包项目</w:t>
      </w:r>
      <w:r>
        <w:rPr>
          <w:rFonts w:ascii="宋体" w:hAnsi="宋体"/>
          <w:color w:val="000000" w:themeColor="text1"/>
          <w:sz w:val="24"/>
          <w:szCs w:val="24"/>
          <w:highlight w:val="none"/>
          <w14:textFill>
            <w14:solidFill>
              <w14:schemeClr w14:val="tx1"/>
            </w14:solidFill>
          </w14:textFill>
        </w:rPr>
        <w:t>已由</w:t>
      </w:r>
      <w:r>
        <w:rPr>
          <w:rFonts w:hint="eastAsia" w:ascii="宋体" w:hAnsi="宋体"/>
          <w:color w:val="000000" w:themeColor="text1"/>
          <w:sz w:val="24"/>
          <w:szCs w:val="24"/>
          <w:highlight w:val="none"/>
          <w:lang w:val="en-US" w:eastAsia="zh-CN"/>
          <w14:textFill>
            <w14:solidFill>
              <w14:schemeClr w14:val="tx1"/>
            </w14:solidFill>
          </w14:textFill>
        </w:rPr>
        <w:t>广州市越秀区科技工业和信息化局</w:t>
      </w:r>
      <w:r>
        <w:rPr>
          <w:rFonts w:ascii="宋体" w:hAnsi="宋体"/>
          <w:color w:val="000000" w:themeColor="text1"/>
          <w:sz w:val="24"/>
          <w:szCs w:val="24"/>
          <w:highlight w:val="none"/>
          <w14:textFill>
            <w14:solidFill>
              <w14:schemeClr w14:val="tx1"/>
            </w14:solidFill>
          </w14:textFill>
        </w:rPr>
        <w:t>以</w:t>
      </w:r>
      <w:r>
        <w:rPr>
          <w:rFonts w:hint="eastAsia" w:ascii="宋体" w:hAnsi="宋体"/>
          <w:color w:val="000000" w:themeColor="text1"/>
          <w:sz w:val="24"/>
          <w:szCs w:val="24"/>
          <w:highlight w:val="none"/>
          <w:u w:val="single"/>
          <w14:textFill>
            <w14:solidFill>
              <w14:schemeClr w14:val="tx1"/>
            </w14:solidFill>
          </w14:textFill>
        </w:rPr>
        <w:t>广东省技术改造投资项目备案证：2505-440100-04-02-451586</w:t>
      </w:r>
      <w:r>
        <w:rPr>
          <w:rFonts w:ascii="宋体" w:hAnsi="宋体"/>
          <w:color w:val="000000" w:themeColor="text1"/>
          <w:sz w:val="24"/>
          <w:szCs w:val="24"/>
          <w:highlight w:val="none"/>
          <w14:textFill>
            <w14:solidFill>
              <w14:schemeClr w14:val="tx1"/>
            </w14:solidFill>
          </w14:textFill>
        </w:rPr>
        <w:t>批准建设</w:t>
      </w:r>
      <w:r>
        <w:rPr>
          <w:rFonts w:hint="eastAsia" w:ascii="宋体" w:hAnsi="宋体"/>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项目业主为</w:t>
      </w:r>
      <w:r>
        <w:rPr>
          <w:rFonts w:hint="eastAsia"/>
          <w:color w:val="000000" w:themeColor="text1"/>
          <w:sz w:val="24"/>
          <w:szCs w:val="24"/>
          <w:highlight w:val="none"/>
          <w:u w:val="single"/>
          <w14:textFill>
            <w14:solidFill>
              <w14:schemeClr w14:val="tx1"/>
            </w14:solidFill>
          </w14:textFill>
        </w:rPr>
        <w:t>广州市自来水有限公司</w:t>
      </w:r>
      <w:r>
        <w:rPr>
          <w:color w:val="000000" w:themeColor="text1"/>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建设资金来自</w:t>
      </w:r>
      <w:r>
        <w:rPr>
          <w:rFonts w:hint="eastAsia" w:ascii="宋体" w:hAnsi="宋体"/>
          <w:color w:val="000000" w:themeColor="text1"/>
          <w:sz w:val="24"/>
          <w:szCs w:val="24"/>
          <w:highlight w:val="none"/>
          <w:u w:val="single"/>
          <w14:textFill>
            <w14:solidFill>
              <w14:schemeClr w14:val="tx1"/>
            </w14:solidFill>
          </w14:textFill>
        </w:rPr>
        <w:t>自筹资金</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eastAsia="zh-CN"/>
          <w14:textFill>
            <w14:solidFill>
              <w14:schemeClr w14:val="tx1"/>
            </w14:solidFill>
          </w14:textFill>
        </w:rPr>
        <w:t>资金来源已落实，</w:t>
      </w:r>
      <w:r>
        <w:rPr>
          <w:rFonts w:ascii="宋体" w:hAnsi="宋体"/>
          <w:color w:val="000000" w:themeColor="text1"/>
          <w:sz w:val="24"/>
          <w:szCs w:val="24"/>
          <w:highlight w:val="none"/>
          <w14:textFill>
            <w14:solidFill>
              <w14:schemeClr w14:val="tx1"/>
            </w14:solidFill>
          </w14:textFill>
        </w:rPr>
        <w:t>项目出资比例为</w:t>
      </w:r>
      <w:r>
        <w:rPr>
          <w:rFonts w:hint="eastAsia" w:ascii="宋体" w:hAnsi="宋体"/>
          <w:color w:val="000000" w:themeColor="text1"/>
          <w:sz w:val="24"/>
          <w:szCs w:val="24"/>
          <w:highlight w:val="none"/>
          <w:u w:val="single"/>
          <w14:textFill>
            <w14:solidFill>
              <w14:schemeClr w14:val="tx1"/>
            </w14:solidFill>
          </w14:textFill>
        </w:rPr>
        <w:t>100%</w:t>
      </w:r>
      <w:r>
        <w:rPr>
          <w:rFonts w:ascii="宋体" w:hAnsi="宋体"/>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招标人为</w:t>
      </w:r>
      <w:r>
        <w:rPr>
          <w:rFonts w:hint="eastAsia"/>
          <w:color w:val="000000" w:themeColor="text1"/>
          <w:sz w:val="24"/>
          <w:szCs w:val="24"/>
          <w:highlight w:val="none"/>
          <w:u w:val="single"/>
          <w14:textFill>
            <w14:solidFill>
              <w14:schemeClr w14:val="tx1"/>
            </w14:solidFill>
          </w14:textFill>
        </w:rPr>
        <w:t>广州市自来水有限公司</w:t>
      </w:r>
      <w:r>
        <w:rPr>
          <w:rFonts w:ascii="宋体" w:hAnsi="宋体"/>
          <w:color w:val="000000" w:themeColor="text1"/>
          <w:sz w:val="24"/>
          <w:szCs w:val="24"/>
          <w:highlight w:val="none"/>
          <w14:textFill>
            <w14:solidFill>
              <w14:schemeClr w14:val="tx1"/>
            </w14:solidFill>
          </w14:textFill>
        </w:rPr>
        <w:t>。项目已具备招标条件，现对该项目施工进行公开招标。</w:t>
      </w:r>
      <w:bookmarkEnd w:id="64"/>
    </w:p>
    <w:p w14:paraId="540B0149">
      <w:pPr>
        <w:spacing w:line="360" w:lineRule="auto"/>
        <w:ind w:firstLine="542" w:firstLineChars="225"/>
        <w:outlineLvl w:val="9"/>
        <w:rPr>
          <w:rFonts w:ascii="宋体" w:hAnsi="宋体"/>
          <w:b/>
          <w:color w:val="000000" w:themeColor="text1"/>
          <w:sz w:val="24"/>
          <w:szCs w:val="24"/>
          <w:highlight w:val="none"/>
          <w14:textFill>
            <w14:solidFill>
              <w14:schemeClr w14:val="tx1"/>
            </w14:solidFill>
          </w14:textFill>
        </w:rPr>
      </w:pPr>
      <w:bookmarkStart w:id="65" w:name="_Toc144974481"/>
      <w:bookmarkStart w:id="66" w:name="_Toc28550"/>
      <w:bookmarkStart w:id="67" w:name="_Toc221949924"/>
      <w:bookmarkStart w:id="68" w:name="_Toc10764"/>
      <w:bookmarkStart w:id="69" w:name="_Toc222032633"/>
      <w:bookmarkStart w:id="70" w:name="_Toc168476030"/>
      <w:bookmarkStart w:id="71" w:name="_Toc222030966"/>
      <w:bookmarkStart w:id="72" w:name="_Toc24890"/>
      <w:bookmarkStart w:id="73" w:name="_Toc222029464"/>
      <w:bookmarkStart w:id="74" w:name="_Toc229305324"/>
      <w:bookmarkStart w:id="75" w:name="_Toc168475627"/>
      <w:bookmarkStart w:id="76" w:name="_Toc222033815"/>
      <w:bookmarkStart w:id="77" w:name="_Toc259524297"/>
      <w:r>
        <w:rPr>
          <w:rFonts w:hint="eastAsia" w:ascii="宋体" w:hAnsi="宋体"/>
          <w:b/>
          <w:color w:val="000000" w:themeColor="text1"/>
          <w:sz w:val="24"/>
          <w:szCs w:val="24"/>
          <w:highlight w:val="none"/>
          <w14:textFill>
            <w14:solidFill>
              <w14:schemeClr w14:val="tx1"/>
            </w14:solidFill>
          </w14:textFill>
        </w:rPr>
        <w:t>2</w:t>
      </w:r>
      <w:r>
        <w:rPr>
          <w:rFonts w:ascii="宋体" w:hAnsi="宋体"/>
          <w:b/>
          <w:color w:val="000000" w:themeColor="text1"/>
          <w:sz w:val="24"/>
          <w:szCs w:val="24"/>
          <w:highlight w:val="none"/>
          <w14:textFill>
            <w14:solidFill>
              <w14:schemeClr w14:val="tx1"/>
            </w14:solidFill>
          </w14:textFill>
        </w:rPr>
        <w:t>. 项目概况与招标范围</w:t>
      </w:r>
      <w:bookmarkEnd w:id="65"/>
      <w:bookmarkEnd w:id="66"/>
      <w:bookmarkEnd w:id="67"/>
      <w:bookmarkEnd w:id="68"/>
      <w:bookmarkEnd w:id="69"/>
      <w:bookmarkEnd w:id="70"/>
      <w:bookmarkEnd w:id="71"/>
      <w:bookmarkEnd w:id="72"/>
      <w:bookmarkEnd w:id="73"/>
      <w:bookmarkEnd w:id="74"/>
      <w:bookmarkEnd w:id="75"/>
      <w:bookmarkEnd w:id="76"/>
      <w:bookmarkEnd w:id="77"/>
    </w:p>
    <w:p w14:paraId="75DFC82D">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2.1建设地点：</w:t>
      </w:r>
      <w:r>
        <w:rPr>
          <w:rFonts w:hint="eastAsia" w:ascii="宋体" w:hAnsi="宋体"/>
          <w:color w:val="000000" w:themeColor="text1"/>
          <w:sz w:val="24"/>
          <w:szCs w:val="24"/>
          <w:highlight w:val="none"/>
          <w:u w:val="single"/>
          <w:lang w:val="en-US" w:eastAsia="zh-CN"/>
          <w14:textFill>
            <w14:solidFill>
              <w14:schemeClr w14:val="tx1"/>
            </w14:solidFill>
          </w14:textFill>
        </w:rPr>
        <w:t>本次改造涉及广州市越秀区北京南、长兴直街、状元坊、解放中路云台里、广九大马路、南岸埗头、东风小区、水荫四横路合计8个片区</w:t>
      </w:r>
      <w:r>
        <w:rPr>
          <w:rFonts w:hint="eastAsia" w:ascii="宋体" w:hAnsi="宋体"/>
          <w:color w:val="000000" w:themeColor="text1"/>
          <w:sz w:val="24"/>
          <w:szCs w:val="24"/>
          <w:highlight w:val="none"/>
          <w14:textFill>
            <w14:solidFill>
              <w14:schemeClr w14:val="tx1"/>
            </w14:solidFill>
          </w14:textFill>
        </w:rPr>
        <w:t>。</w:t>
      </w:r>
    </w:p>
    <w:p w14:paraId="0E6E35A7">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2.2项目规模：</w:t>
      </w:r>
      <w:r>
        <w:rPr>
          <w:rFonts w:hint="eastAsia" w:ascii="宋体" w:hAnsi="宋体"/>
          <w:color w:val="000000" w:themeColor="text1"/>
          <w:sz w:val="24"/>
          <w:szCs w:val="24"/>
          <w:highlight w:val="none"/>
          <w:u w:val="single"/>
          <w:lang w:val="en-US" w:eastAsia="zh-CN"/>
          <w14:textFill>
            <w14:solidFill>
              <w14:schemeClr w14:val="tx1"/>
            </w14:solidFill>
          </w14:textFill>
        </w:rPr>
        <w:t>新建DN400-15管约61670米：新建DN400管1395米、DN300管2583米、DN200管5120米、DN150管4945米、DN100管7765米、DN50管19317米、DN40管2239米、DN25管1515米、DN20管13299米、DN15管3492米；DN400阀门1个、DN300阀门30个、DN200阀门56个、DN150阀门85个、DN100阀门247个、DN50阀门933个；DN100消火栓78组；新建DN400电磁流量计1组、DN300超声波水表14组、DN200超声波水表14组、DN150超声波水表7组、DN100超声波水表1组；</w:t>
      </w:r>
    </w:p>
    <w:p w14:paraId="23151F02">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迁移DN50水表232组、DN40水表240组、DN25水表226组、DN20水表1066组、DN15水表1870组。</w:t>
      </w:r>
      <w:r>
        <w:rPr>
          <w:rFonts w:hint="eastAsia" w:ascii="宋体" w:hAnsi="宋体"/>
          <w:color w:val="000000" w:themeColor="text1"/>
          <w:sz w:val="24"/>
          <w:szCs w:val="24"/>
          <w:highlight w:val="none"/>
          <w:u w:val="single"/>
          <w:rtl w:val="0"/>
          <w:lang w:val="en-US" w:eastAsia="zh-CN"/>
          <w14:textFill>
            <w14:solidFill>
              <w14:schemeClr w14:val="tx1"/>
            </w14:solidFill>
          </w14:textFill>
        </w:rPr>
        <w:t>工作内容包括废除原有老旧内街管网及其设施（含对原管网截塞）。</w:t>
      </w:r>
    </w:p>
    <w:p w14:paraId="08795FBD">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 xml:space="preserve">各片区具体工程量如下： </w:t>
      </w:r>
    </w:p>
    <w:p w14:paraId="33E6B5A4">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(1)北京南片（新建DN400-15管约11445米）：</w:t>
      </w:r>
    </w:p>
    <w:p w14:paraId="1FFD3F41">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新建DN400管572米、DN300管702米、DN200管722米、DN150管1163米、DN100管1509米、DN50管4060米、DN40管633米、DN25管258米、DN20管1226米、DN15管600米；DN300阀门6个、DN200阀门8个、DN150阀门15个、DN100阀门28个、DN50阀门128个；DN100消火栓4组；迁移DN50水表39组、DN40水表23组、DN25水表37组、DN20水表129组、DN15水表310组；新建DN300超声波水表4组、DN200超声波水表1组。新建远传压力监测装置5套。</w:t>
      </w:r>
    </w:p>
    <w:p w14:paraId="518719E3">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(2)长兴直街片（新建DN300-15管约5715米）：</w:t>
      </w:r>
    </w:p>
    <w:p w14:paraId="6F639E6C">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新建DN300管310米、DN200管380米、DN150管493米、DN100管1650米、DN50管1563米、DN40管87米、DN25管34米、DN20管967米、DN15管231米；DN300阀门5个、DN200阀门5个、DN150阀门4个、DN100阀门36个、DN50阀门67个；DN100消火栓7组；迁移DN50水表13组、DN40水表11组、DN25水表5组、DN20水表65组、DN15水表143组；新建DN300超声波水表4组、DN200超声波水表2组、DN150超声波水表1组、DN100超声波水表1组。新建远传压力监测装置4套。</w:t>
      </w:r>
    </w:p>
    <w:p w14:paraId="32BF15B8">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(3)状元坊片（新建DN400-15管约16096米）：</w:t>
      </w:r>
    </w:p>
    <w:p w14:paraId="1F4B80C6">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新建DN400管247米、DN300管195米、DN200管1391米、DN150管1280米、DN100管1371米、DN50管4975米、DN40管207米、DN25管642米、DN20管5788米；DN300阀门4个、DN200阀门11个、DN150阀门11个、DN100阀门47个、DN50阀门284个；DN100消火栓20组；迁移DN50水表41组、DN40水表35组、DN25水表104组、DN20水表454组、DN15水表551组，新建DN300超声波水表2组、DN200超声波水表7组、DN150超声波水表2组。新建远传压力监测装置4套。</w:t>
      </w:r>
    </w:p>
    <w:p w14:paraId="40419451">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(4)越秀区云台里片（新建DN300-15管约2633米）：</w:t>
      </w:r>
    </w:p>
    <w:p w14:paraId="3DF49F73">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新建DN300管2米、DN200管181米、DN150管154米、DN100管319米、DN50管651米、DN40管168米、DN25管112米、DN20管779米、DN15管267米；DN200阀门2个、DN150阀门2个、DN100阀门19个、DN50阀门31个、DN20阀门5个；DN100消火栓4组；迁移DN50水表6组、DN40水表8组、DN25水表10组、DN20水表74组、DN15水表68组；新建DN200超声波水表2组、DN150超声波水表1组。新建远传压力监测装置3套。</w:t>
      </w:r>
    </w:p>
    <w:p w14:paraId="69B1879D">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(5)越秀区广九大马路片（新建DN400-15管约611米）：</w:t>
      </w:r>
    </w:p>
    <w:p w14:paraId="0A64885E">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新建DN400管4米、DN200管36米、DN150管150米、DN100管220米、DN50管129米、DN40管14米、DN25管5米、DN20管52米、DN15管1米；DN200阀门1个、DN150阀门3个、DN100阀门7个、DN50阀门19个；DN100消火栓2组；迁移DN50水表10组、DN40水表2组、DN15水表2组；新建DN200超声波水表1组、DN150超声波水表1组。新建远传压力监测装置2套。</w:t>
      </w:r>
    </w:p>
    <w:p w14:paraId="13D8880A">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(6)荔湾区南岸埗头片（新建DN400-15管约12233米）：</w:t>
      </w:r>
    </w:p>
    <w:p w14:paraId="08E3832E">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新建DN300管98米、DN200管1574米、DN150管355米、DN100管1100米、DN50管3487米、DN40管447米、DN25管189米、DN20管3201米、DN15管1782米；DN200阀门12个、DN150阀门6个、DN100阀门40个、DN50阀门107个；DN100消火栓7组；迁移DN50水表19组、DN40水表26组、DN25水表24组、DN20水表202组、DN15水表594组。</w:t>
      </w:r>
    </w:p>
    <w:p w14:paraId="3E84FF02">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（7）荔湾区东风小区片（新建DN300-15管约1492米）：</w:t>
      </w:r>
    </w:p>
    <w:p w14:paraId="257E10A7">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新建DN300管574米、DN200管114米、DN150管187米、DN100管87米、DN50管392米、DN40管50米、DN25管17米、DN20管60米、DN15管11米；DN300阀门4个、DN200阀门1个、DN150阀门9个、DN100阀门10个、DN50阀门16个；DN100消火栓6组；迁移DN50水表8组、DN40水表6组、DN25水表1组、DN20水表10组、DN15水表2组。</w:t>
      </w:r>
    </w:p>
    <w:p w14:paraId="67F16056">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（8）天河区水荫四横路片（新建DN400-15管约11445米）：</w:t>
      </w:r>
    </w:p>
    <w:p w14:paraId="5940BE1D">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新建DN400管572米、DN300管702米、DN200管722米、DN150管1163米、DN100管1509米、DN50管4060米、DN40管633米、DN25管258米、DN20管1226米、DN15管600米；DN400阀门1个、DN300阀门11个、DN200阀门16个、DN150阀门35个、DN100阀门60个、DN50阀门281个；DN100消火栓28组；迁移DN50水表96组、DN40水表129组、DN25水表45组、DN20水表132组、DN15水表200组；新建DN400电磁流量计1组、DN300超声波水表4组、DN200超声波水表1组、DN150超声波水表2组。</w:t>
      </w:r>
    </w:p>
    <w:p w14:paraId="1C717014">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球墨铸铁管、钢管和钢塑管是本次项目主要管材。废除原有老旧内街管网（含对原管网截塞）。</w:t>
      </w:r>
    </w:p>
    <w:p w14:paraId="3E5607B4">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2.3本次最高投标限价（招标控制价）：</w:t>
      </w:r>
      <w:r>
        <w:rPr>
          <w:rFonts w:hint="eastAsia" w:ascii="宋体" w:hAnsi="宋体" w:eastAsia="宋体" w:cs="Times New Roman"/>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Times New Roman"/>
          <w:color w:val="000000" w:themeColor="text1"/>
          <w:sz w:val="24"/>
          <w:szCs w:val="24"/>
          <w:highlight w:val="none"/>
          <w:u w:val="single"/>
          <w:lang w:val="en-US" w:eastAsia="zh-CN"/>
          <w14:textFill>
            <w14:solidFill>
              <w14:schemeClr w14:val="tx1"/>
            </w14:solidFill>
          </w14:textFill>
        </w:rPr>
        <w:t>38,096,352.49</w:t>
      </w:r>
      <w:r>
        <w:rPr>
          <w:rFonts w:hint="eastAsia" w:ascii="宋体" w:hAnsi="宋体" w:eastAsia="宋体" w:cs="Times New Roman"/>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元。</w:t>
      </w:r>
    </w:p>
    <w:p w14:paraId="197337E0">
      <w:pPr>
        <w:spacing w:line="360" w:lineRule="auto"/>
        <w:ind w:firstLine="480" w:firstLineChars="200"/>
        <w:rPr>
          <w:rFonts w:hint="eastAsia" w:ascii="宋体" w:hAnsi="宋体" w:eastAsia="宋体" w:cs="Times New Roman"/>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2.4计划工期：</w:t>
      </w:r>
      <w:r>
        <w:rPr>
          <w:rFonts w:hint="eastAsia" w:ascii="宋体" w:hAnsi="宋体"/>
          <w:color w:val="000000" w:themeColor="text1"/>
          <w:sz w:val="24"/>
          <w:szCs w:val="24"/>
          <w:highlight w:val="none"/>
          <w:u w:val="single"/>
          <w:lang w:val="en-US" w:eastAsia="zh-CN"/>
          <w14:textFill>
            <w14:solidFill>
              <w14:schemeClr w14:val="tx1"/>
            </w14:solidFill>
          </w14:textFill>
        </w:rPr>
        <w:t>本项目竣工工期为466个日历天，其中施工工期为366个日历天，开工日期暂定为2026年3月31日</w:t>
      </w:r>
      <w:r>
        <w:rPr>
          <w:rFonts w:hint="eastAsia" w:ascii="宋体" w:hAnsi="宋体" w:eastAsia="宋体" w:cs="Times New Roman"/>
          <w:color w:val="000000" w:themeColor="text1"/>
          <w:sz w:val="24"/>
          <w:szCs w:val="24"/>
          <w:highlight w:val="none"/>
          <w:u w:val="single"/>
          <w:lang w:val="en-US" w:eastAsia="zh-CN"/>
          <w14:textFill>
            <w14:solidFill>
              <w14:schemeClr w14:val="tx1"/>
            </w14:solidFill>
          </w14:textFill>
        </w:rPr>
        <w:t>（实际开工日期以监理发出的开工报告为准，实际施工工期根据该项目的实际要求为准）。</w:t>
      </w:r>
    </w:p>
    <w:p w14:paraId="29F7AD22">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u w:val="single"/>
          <w14:textFill>
            <w14:solidFill>
              <w14:schemeClr w14:val="tx1"/>
            </w14:solidFill>
          </w14:textFill>
        </w:rPr>
        <w:t>质量保修服务期：</w:t>
      </w:r>
      <w:r>
        <w:rPr>
          <w:rFonts w:hint="eastAsia" w:ascii="宋体" w:hAnsi="宋体"/>
          <w:color w:val="000000" w:themeColor="text1"/>
          <w:sz w:val="24"/>
          <w:szCs w:val="24"/>
          <w:highlight w:val="none"/>
          <w:u w:val="single"/>
          <w:lang w:val="en-US" w:eastAsia="zh-CN"/>
          <w14:textFill>
            <w14:solidFill>
              <w14:schemeClr w14:val="tx1"/>
            </w14:solidFill>
          </w14:textFill>
        </w:rPr>
        <w:t>自工程竣工验收合格之日起两年</w:t>
      </w:r>
      <w:r>
        <w:rPr>
          <w:rFonts w:hint="eastAsia" w:ascii="宋体" w:hAnsi="宋体"/>
          <w:color w:val="000000" w:themeColor="text1"/>
          <w:sz w:val="24"/>
          <w:szCs w:val="24"/>
          <w:highlight w:val="none"/>
          <w:u w:val="single"/>
          <w14:textFill>
            <w14:solidFill>
              <w14:schemeClr w14:val="tx1"/>
            </w14:solidFill>
          </w14:textFill>
        </w:rPr>
        <w:t>。</w:t>
      </w:r>
    </w:p>
    <w:p w14:paraId="3F21CCC6">
      <w:pPr>
        <w:spacing w:line="360" w:lineRule="auto"/>
        <w:ind w:firstLine="480" w:firstLineChars="200"/>
        <w:rPr>
          <w:rFonts w:hint="eastAsia" w:ascii="宋体" w:hAnsi="宋体"/>
          <w:color w:val="000000" w:themeColor="text1"/>
          <w:sz w:val="24"/>
          <w:szCs w:val="24"/>
          <w:highlight w:val="none"/>
          <w:u w:val="singl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2.5招标内容：</w:t>
      </w:r>
      <w:r>
        <w:rPr>
          <w:rFonts w:hint="eastAsia" w:ascii="宋体" w:hAnsi="宋体"/>
          <w:color w:val="000000" w:themeColor="text1"/>
          <w:sz w:val="24"/>
          <w:szCs w:val="24"/>
          <w:highlight w:val="none"/>
          <w:u w:val="single"/>
          <w:lang w:eastAsia="zh-CN"/>
          <w14:textFill>
            <w14:solidFill>
              <w14:schemeClr w14:val="tx1"/>
            </w14:solidFill>
          </w14:textFill>
        </w:rPr>
        <w:t>（</w:t>
      </w:r>
      <w:r>
        <w:rPr>
          <w:rFonts w:hint="eastAsia" w:ascii="宋体" w:hAnsi="宋体"/>
          <w:color w:val="000000" w:themeColor="text1"/>
          <w:sz w:val="24"/>
          <w:szCs w:val="24"/>
          <w:highlight w:val="none"/>
          <w:u w:val="single"/>
          <w:lang w:val="en-US" w:eastAsia="zh-CN"/>
          <w14:textFill>
            <w14:solidFill>
              <w14:schemeClr w14:val="tx1"/>
            </w14:solidFill>
          </w14:textFill>
        </w:rPr>
        <w:t>1）</w:t>
      </w:r>
      <w:r>
        <w:rPr>
          <w:rFonts w:hint="eastAsia" w:ascii="宋体" w:hAnsi="宋体"/>
          <w:color w:val="000000" w:themeColor="text1"/>
          <w:sz w:val="24"/>
          <w:szCs w:val="24"/>
          <w:highlight w:val="none"/>
          <w:u w:val="single"/>
          <w14:textFill>
            <w14:solidFill>
              <w14:schemeClr w14:val="tx1"/>
            </w14:solidFill>
          </w14:textFill>
        </w:rPr>
        <w:t>工程施工范围：</w:t>
      </w:r>
      <w:r>
        <w:rPr>
          <w:rFonts w:hint="eastAsia" w:ascii="宋体" w:hAnsi="宋体"/>
          <w:color w:val="000000" w:themeColor="text1"/>
          <w:sz w:val="24"/>
          <w:szCs w:val="24"/>
          <w:highlight w:val="none"/>
          <w:u w:val="single"/>
          <w:lang w:val="en-US" w:eastAsia="zh-CN"/>
          <w14:textFill>
            <w14:solidFill>
              <w14:schemeClr w14:val="tx1"/>
            </w14:solidFill>
          </w14:textFill>
        </w:rPr>
        <w:t>包括但不限于本项目施工图纸内的施工内容，包括实施供水管道基坑开挖、支护、沟槽回填、管道吊放、管道安装、开叉接驳、试压、冲洗、消毒；路面修复、临时路面修复、交通疏解、现状设施查探及地下管线保护、土建施工。具体工作量以经审图单位审查的施工图设计文件及工程量清单为准。</w:t>
      </w:r>
    </w:p>
    <w:p w14:paraId="50355C36">
      <w:pPr>
        <w:spacing w:line="360" w:lineRule="auto"/>
        <w:ind w:firstLine="480" w:firstLineChars="200"/>
        <w:rPr>
          <w:rFonts w:hint="eastAsia" w:ascii="宋体" w:hAnsi="宋体"/>
          <w:color w:val="000000" w:themeColor="text1"/>
          <w:sz w:val="24"/>
          <w:szCs w:val="24"/>
          <w:highlight w:val="none"/>
          <w:u w:val="single"/>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承包单位应做好本项目施工图纸内的所有工程内容的施工（包工、包料（除甲供材料外）、包安装、包工期、包质量、采取有效措施不发生安全事故、包文明施工、包劳保、包验收、包保修。包承包范围内工程验收通过、包移交、包结算、包资料整理、包施工承包管理和现场整体组织、包专业协调及配合等）；本项目施工范围内安全文明措施、道路安全评估、交通疏解、路面修复、耗水费代缴、土建、设备安装施工、完工验收、结算、保修、竣工验收、档案资料移交等施工过程管理，绿化树木保护，绘制竣工图，负责与本项目相关的沟通协调等工作、报批报建配合，竣工备案等。</w:t>
      </w:r>
    </w:p>
    <w:p w14:paraId="20ECF8DD">
      <w:pPr>
        <w:spacing w:line="360" w:lineRule="auto"/>
        <w:ind w:firstLine="480" w:firstLineChars="200"/>
        <w:rPr>
          <w:rFonts w:hint="eastAsia" w:ascii="宋体" w:hAnsi="宋体"/>
          <w:color w:val="000000" w:themeColor="text1"/>
          <w:sz w:val="24"/>
          <w:szCs w:val="24"/>
          <w:highlight w:val="none"/>
          <w:u w:val="single"/>
          <w14:textFill>
            <w14:solidFill>
              <w14:schemeClr w14:val="tx1"/>
            </w14:solidFill>
          </w14:textFill>
        </w:rPr>
      </w:pPr>
      <w:r>
        <w:rPr>
          <w:rFonts w:hint="eastAsia" w:ascii="宋体" w:hAnsi="宋体"/>
          <w:color w:val="000000" w:themeColor="text1"/>
          <w:sz w:val="24"/>
          <w:szCs w:val="24"/>
          <w:highlight w:val="none"/>
          <w:u w:val="single"/>
          <w:lang w:eastAsia="zh-CN"/>
          <w14:textFill>
            <w14:solidFill>
              <w14:schemeClr w14:val="tx1"/>
            </w14:solidFill>
          </w14:textFill>
        </w:rPr>
        <w:t>（</w:t>
      </w:r>
      <w:r>
        <w:rPr>
          <w:rFonts w:hint="eastAsia" w:ascii="宋体" w:hAnsi="宋体"/>
          <w:color w:val="000000" w:themeColor="text1"/>
          <w:sz w:val="24"/>
          <w:szCs w:val="24"/>
          <w:highlight w:val="none"/>
          <w:u w:val="single"/>
          <w:lang w:val="en-US" w:eastAsia="zh-CN"/>
          <w14:textFill>
            <w14:solidFill>
              <w14:schemeClr w14:val="tx1"/>
            </w14:solidFill>
          </w14:textFill>
        </w:rPr>
        <w:t>2）本项目在施工过程中，如遇燃气、电力通信、航道、石油、地铁等重点设施，应积极协调对应的管理部门，开展安全评估及施工过程中的监测等工作，配合管线迁改及迁移等施工过程管理，相关费用由承包人综合考虑在投标报价的下浮率中，不再单独计取。</w:t>
      </w:r>
    </w:p>
    <w:p w14:paraId="3AFFDFB3">
      <w:pPr>
        <w:spacing w:line="360" w:lineRule="auto"/>
        <w:ind w:firstLine="480" w:firstLineChars="200"/>
        <w:rPr>
          <w:rFonts w:hint="eastAsia" w:ascii="宋体" w:hAnsi="宋体"/>
          <w:color w:val="000000" w:themeColor="text1"/>
          <w:sz w:val="24"/>
          <w:szCs w:val="24"/>
          <w:highlight w:val="none"/>
          <w:u w:val="single"/>
          <w:lang w:val="en-US" w:eastAsia="zh-CN"/>
          <w14:textFill>
            <w14:solidFill>
              <w14:schemeClr w14:val="tx1"/>
            </w14:solidFill>
          </w14:textFill>
        </w:rPr>
      </w:pPr>
      <w:r>
        <w:rPr>
          <w:rFonts w:hint="eastAsia" w:ascii="宋体" w:hAnsi="宋体"/>
          <w:color w:val="000000" w:themeColor="text1"/>
          <w:sz w:val="24"/>
          <w:szCs w:val="24"/>
          <w:highlight w:val="none"/>
          <w:u w:val="single"/>
          <w:lang w:eastAsia="zh-CN"/>
          <w14:textFill>
            <w14:solidFill>
              <w14:schemeClr w14:val="tx1"/>
            </w14:solidFill>
          </w14:textFill>
        </w:rPr>
        <w:t>（</w:t>
      </w:r>
      <w:r>
        <w:rPr>
          <w:rFonts w:hint="eastAsia" w:ascii="宋体" w:hAnsi="宋体"/>
          <w:color w:val="000000" w:themeColor="text1"/>
          <w:sz w:val="24"/>
          <w:szCs w:val="24"/>
          <w:highlight w:val="none"/>
          <w:u w:val="single"/>
          <w:lang w:val="en-US" w:eastAsia="zh-CN"/>
          <w14:textFill>
            <w14:solidFill>
              <w14:schemeClr w14:val="tx1"/>
            </w14:solidFill>
          </w14:textFill>
        </w:rPr>
        <w:t>3）</w:t>
      </w:r>
      <w:r>
        <w:rPr>
          <w:rFonts w:hint="eastAsia" w:ascii="宋体" w:hAnsi="宋体"/>
          <w:color w:val="000000" w:themeColor="text1"/>
          <w:sz w:val="24"/>
          <w:szCs w:val="24"/>
          <w:highlight w:val="none"/>
          <w:u w:val="single"/>
          <w14:textFill>
            <w14:solidFill>
              <w14:schemeClr w14:val="tx1"/>
            </w14:solidFill>
          </w14:textFill>
        </w:rPr>
        <w:t>开工前准备：</w:t>
      </w:r>
      <w:r>
        <w:rPr>
          <w:rFonts w:hint="eastAsia" w:ascii="宋体" w:hAnsi="宋体"/>
          <w:color w:val="000000" w:themeColor="text1"/>
          <w:sz w:val="24"/>
          <w:szCs w:val="24"/>
          <w:highlight w:val="none"/>
          <w:u w:val="single"/>
          <w:lang w:val="en-US" w:eastAsia="zh-CN"/>
          <w14:textFill>
            <w14:solidFill>
              <w14:schemeClr w14:val="tx1"/>
            </w14:solidFill>
          </w14:textFill>
        </w:rPr>
        <w:t>①承包人应做好施工放线工作，做好地下管线会签交底。②负责编制交通疏导方案（含交通疏导流量评估）报项目所在交通管理部门审批并取得批复意见，配合道路安全评价单位根据道路行政管理部门的要求进行道路安全评估并出具项目涉路、桥梁、隧道、地铁等安全评估报告，取得本项目涉路、桥梁、隧道、地铁等权属单位的意见。③按照所属道路行政管理部门要求，编制符合要求的专项施工组织方案、路面修复方案等，报所属道路行政管理部门，并取得项目占道挖掘申请等行政许可。④承包人负责办理本项目质量登记监督备案及并办理取得项目监管部门的开工批复。⑤项目涉及地铁、河涌、城市绿化范围的，承包人应配合编制专项评估及保护方案，完善开工前准备工作。⑥承包人应做好各项水务质监在建工地的视频监控等信息化建设，落实扬尘防治六个百分百要求，落实海绵城市建设等要求，落实行政部门关于安全文明施工、标准化围蔽、疫情防控等要求，相关费用由承包人综合考虑在投标报价的下浮率中，不再单独计取。</w:t>
      </w:r>
    </w:p>
    <w:p w14:paraId="04539861">
      <w:pPr>
        <w:spacing w:line="360" w:lineRule="auto"/>
        <w:ind w:firstLine="480" w:firstLineChars="200"/>
        <w:rPr>
          <w:rFonts w:hint="eastAsia" w:ascii="宋体" w:hAnsi="宋体"/>
          <w:color w:val="000000" w:themeColor="text1"/>
          <w:sz w:val="24"/>
          <w:szCs w:val="24"/>
          <w:highlight w:val="none"/>
          <w:u w:val="single"/>
          <w14:textFill>
            <w14:solidFill>
              <w14:schemeClr w14:val="tx1"/>
            </w14:solidFill>
          </w14:textFill>
        </w:rPr>
      </w:pPr>
      <w:r>
        <w:rPr>
          <w:rFonts w:hint="eastAsia" w:ascii="宋体" w:hAnsi="宋体" w:eastAsia="宋体" w:cs="宋体"/>
          <w:i w:val="0"/>
          <w:iCs w:val="0"/>
          <w:caps w:val="0"/>
          <w:color w:val="000000" w:themeColor="text1"/>
          <w:spacing w:val="0"/>
          <w:sz w:val="24"/>
          <w:szCs w:val="24"/>
          <w:highlight w:val="none"/>
          <w:shd w:val="clear" w:color="auto" w:fill="auto"/>
          <w:lang w:val="en-US" w:eastAsia="zh-CN"/>
          <w14:textFill>
            <w14:solidFill>
              <w14:schemeClr w14:val="tx1"/>
            </w14:solidFill>
          </w14:textFill>
        </w:rPr>
        <w:t>对于</w:t>
      </w:r>
      <w:r>
        <w:rPr>
          <w:rFonts w:hint="eastAsia" w:ascii="宋体" w:hAnsi="宋体" w:eastAsia="宋体" w:cs="宋体"/>
          <w:i w:val="0"/>
          <w:iCs w:val="0"/>
          <w:caps w:val="0"/>
          <w:color w:val="000000" w:themeColor="text1"/>
          <w:spacing w:val="0"/>
          <w:sz w:val="24"/>
          <w:szCs w:val="24"/>
          <w:highlight w:val="none"/>
          <w:shd w:val="clear" w:color="auto" w:fill="auto"/>
          <w14:textFill>
            <w14:solidFill>
              <w14:schemeClr w14:val="tx1"/>
            </w14:solidFill>
          </w14:textFill>
        </w:rPr>
        <w:t>超过一定规模</w:t>
      </w:r>
      <w:r>
        <w:rPr>
          <w:rFonts w:hint="eastAsia" w:ascii="宋体" w:hAnsi="宋体" w:eastAsia="宋体" w:cs="宋体"/>
          <w:i w:val="0"/>
          <w:iCs w:val="0"/>
          <w:caps w:val="0"/>
          <w:color w:val="000000" w:themeColor="text1"/>
          <w:spacing w:val="0"/>
          <w:sz w:val="24"/>
          <w:szCs w:val="24"/>
          <w:highlight w:val="none"/>
          <w:shd w:val="clear" w:color="auto" w:fill="auto"/>
          <w:lang w:val="en-US" w:eastAsia="zh-CN"/>
          <w14:textFill>
            <w14:solidFill>
              <w14:schemeClr w14:val="tx1"/>
            </w14:solidFill>
          </w14:textFill>
        </w:rPr>
        <w:t>的</w:t>
      </w:r>
      <w:r>
        <w:rPr>
          <w:rFonts w:hint="eastAsia" w:ascii="宋体" w:hAnsi="宋体" w:eastAsia="宋体" w:cs="宋体"/>
          <w:i w:val="0"/>
          <w:iCs w:val="0"/>
          <w:caps w:val="0"/>
          <w:color w:val="000000" w:themeColor="text1"/>
          <w:spacing w:val="0"/>
          <w:sz w:val="24"/>
          <w:szCs w:val="24"/>
          <w:highlight w:val="none"/>
          <w:shd w:val="clear" w:color="auto" w:fill="auto"/>
          <w14:textFill>
            <w14:solidFill>
              <w14:schemeClr w14:val="tx1"/>
            </w14:solidFill>
          </w14:textFill>
        </w:rPr>
        <w:t>危险性较大的分部分项工程</w:t>
      </w:r>
      <w:r>
        <w:rPr>
          <w:rFonts w:hint="default" w:ascii="宋体" w:hAnsi="宋体" w:eastAsia="宋体" w:cs="宋体"/>
          <w:i w:val="0"/>
          <w:iCs w:val="0"/>
          <w:caps w:val="0"/>
          <w:color w:val="000000" w:themeColor="text1"/>
          <w:spacing w:val="0"/>
          <w:sz w:val="24"/>
          <w:szCs w:val="24"/>
          <w:highlight w:val="none"/>
          <w:shd w:val="clear" w:color="auto" w:fill="auto"/>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highlight w:val="none"/>
          <w:shd w:val="clear" w:color="auto" w:fill="auto"/>
          <w:lang w:eastAsia="zh-CN"/>
          <w14:textFill>
            <w14:solidFill>
              <w14:schemeClr w14:val="tx1"/>
            </w14:solidFill>
          </w14:textFill>
        </w:rPr>
        <w:t>《</w:t>
      </w:r>
      <w:r>
        <w:rPr>
          <w:rStyle w:val="43"/>
          <w:rFonts w:hint="default" w:ascii="宋体" w:hAnsi="宋体" w:eastAsia="宋体" w:cs="宋体"/>
          <w:i w:val="0"/>
          <w:iCs w:val="0"/>
          <w:caps w:val="0"/>
          <w:color w:val="000000" w:themeColor="text1"/>
          <w:spacing w:val="0"/>
          <w:sz w:val="24"/>
          <w:szCs w:val="24"/>
          <w:highlight w:val="none"/>
          <w:u w:val="none"/>
          <w:shd w:val="clear" w:color="auto" w:fill="auto"/>
          <w14:textFill>
            <w14:solidFill>
              <w14:schemeClr w14:val="tx1"/>
            </w14:solidFill>
          </w14:textFill>
        </w:rPr>
        <w:t>广东省住房和城乡建设厅关于印发房屋市政工程危险性较大的分部分项工程安全管理实施细则的通知</w:t>
      </w:r>
      <w:r>
        <w:rPr>
          <w:rStyle w:val="43"/>
          <w:rFonts w:hint="default" w:ascii="宋体" w:hAnsi="宋体" w:eastAsia="宋体" w:cs="宋体"/>
          <w:i w:val="0"/>
          <w:iCs w:val="0"/>
          <w:caps w:val="0"/>
          <w:color w:val="000000" w:themeColor="text1"/>
          <w:spacing w:val="0"/>
          <w:sz w:val="24"/>
          <w:szCs w:val="24"/>
          <w:highlight w:val="none"/>
          <w:u w:val="none"/>
          <w:shd w:val="clear" w:color="auto" w:fill="auto"/>
          <w:lang w:val="en-US"/>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highlight w:val="none"/>
          <w:u w:val="none"/>
          <w:shd w:val="clear" w:color="auto" w:fill="auto"/>
          <w:lang w:val="en-US" w:eastAsia="zh-CN"/>
          <w14:textFill>
            <w14:solidFill>
              <w14:schemeClr w14:val="tx1"/>
            </w14:solidFill>
          </w14:textFill>
        </w:rPr>
        <w:t>》</w:t>
      </w:r>
      <w:r>
        <w:rPr>
          <w:rFonts w:hint="default" w:ascii="宋体" w:hAnsi="宋体" w:eastAsia="宋体" w:cs="宋体"/>
          <w:i w:val="0"/>
          <w:iCs w:val="0"/>
          <w:caps w:val="0"/>
          <w:color w:val="000000" w:themeColor="text1"/>
          <w:spacing w:val="0"/>
          <w:sz w:val="24"/>
          <w:szCs w:val="24"/>
          <w:highlight w:val="none"/>
          <w:u w:val="none"/>
          <w:shd w:val="clear" w:color="auto" w:fill="auto"/>
          <w14:textFill>
            <w14:solidFill>
              <w14:schemeClr w14:val="tx1"/>
            </w14:solidFill>
          </w14:textFill>
        </w:rPr>
        <w:t>粤建规范〔2019〕2号</w:t>
      </w:r>
      <w:r>
        <w:rPr>
          <w:rFonts w:hint="default" w:ascii="宋体" w:hAnsi="宋体" w:eastAsia="宋体" w:cs="宋体"/>
          <w:i w:val="0"/>
          <w:iCs w:val="0"/>
          <w:caps w:val="0"/>
          <w:color w:val="000000" w:themeColor="text1"/>
          <w:spacing w:val="0"/>
          <w:sz w:val="24"/>
          <w:szCs w:val="24"/>
          <w:highlight w:val="none"/>
          <w:u w:val="none"/>
          <w:shd w:val="clear" w:color="auto" w:fill="auto"/>
          <w:lang w:eastAsia="zh-CN"/>
          <w14:textFill>
            <w14:solidFill>
              <w14:schemeClr w14:val="tx1"/>
            </w14:solidFill>
          </w14:textFill>
        </w:rPr>
        <w:t>）</w:t>
      </w:r>
      <w:r>
        <w:rPr>
          <w:rFonts w:hint="default" w:ascii="宋体" w:hAnsi="宋体" w:eastAsia="宋体" w:cs="宋体"/>
          <w:i w:val="0"/>
          <w:iCs w:val="0"/>
          <w:caps w:val="0"/>
          <w:color w:val="000000" w:themeColor="text1"/>
          <w:spacing w:val="0"/>
          <w:sz w:val="24"/>
          <w:szCs w:val="24"/>
          <w:highlight w:val="none"/>
          <w:shd w:val="clear" w:color="auto" w:fill="auto"/>
          <w:lang w:eastAsia="zh-CN"/>
          <w14:textFill>
            <w14:solidFill>
              <w14:schemeClr w14:val="tx1"/>
            </w14:solidFill>
          </w14:textFill>
        </w:rPr>
        <w:t>，</w:t>
      </w:r>
      <w:r>
        <w:rPr>
          <w:rFonts w:hint="default" w:ascii="宋体" w:hAnsi="宋体" w:eastAsia="宋体" w:cs="宋体"/>
          <w:i w:val="0"/>
          <w:iCs w:val="0"/>
          <w:caps w:val="0"/>
          <w:color w:val="000000" w:themeColor="text1"/>
          <w:spacing w:val="0"/>
          <w:sz w:val="24"/>
          <w:szCs w:val="24"/>
          <w:highlight w:val="none"/>
          <w:shd w:val="clear" w:color="auto" w:fill="auto"/>
          <w:lang w:val="en-US" w:eastAsia="zh-CN"/>
          <w14:textFill>
            <w14:solidFill>
              <w14:schemeClr w14:val="tx1"/>
            </w14:solidFill>
          </w14:textFill>
        </w:rPr>
        <w:t>承包人应组织</w:t>
      </w:r>
      <w:r>
        <w:rPr>
          <w:rFonts w:hint="eastAsia" w:ascii="宋体" w:hAnsi="宋体" w:eastAsia="宋体" w:cs="宋体"/>
          <w:i w:val="0"/>
          <w:iCs w:val="0"/>
          <w:caps w:val="0"/>
          <w:color w:val="000000" w:themeColor="text1"/>
          <w:spacing w:val="0"/>
          <w:sz w:val="24"/>
          <w:szCs w:val="24"/>
          <w:highlight w:val="none"/>
          <w:shd w:val="clear" w:color="auto" w:fill="auto"/>
          <w14:textFill>
            <w14:solidFill>
              <w14:schemeClr w14:val="tx1"/>
            </w14:solidFill>
          </w14:textFill>
        </w:rPr>
        <w:t>安全专项施工方案</w:t>
      </w:r>
      <w:r>
        <w:rPr>
          <w:rFonts w:ascii="宋体" w:hAnsi="宋体" w:eastAsia="宋体" w:cs="宋体"/>
          <w:i w:val="0"/>
          <w:iCs w:val="0"/>
          <w:caps w:val="0"/>
          <w:color w:val="000000" w:themeColor="text1"/>
          <w:spacing w:val="0"/>
          <w:sz w:val="24"/>
          <w:szCs w:val="24"/>
          <w:highlight w:val="none"/>
          <w:shd w:val="clear" w:color="auto" w:fill="auto"/>
          <w14:textFill>
            <w14:solidFill>
              <w14:schemeClr w14:val="tx1"/>
            </w14:solidFill>
          </w14:textFill>
        </w:rPr>
        <w:t>专家论证会</w:t>
      </w:r>
      <w:r>
        <w:rPr>
          <w:rFonts w:hint="default" w:ascii="宋体" w:hAnsi="宋体" w:eastAsia="宋体" w:cs="宋体"/>
          <w:i w:val="0"/>
          <w:iCs w:val="0"/>
          <w:caps w:val="0"/>
          <w:color w:val="000000" w:themeColor="text1"/>
          <w:spacing w:val="0"/>
          <w:sz w:val="24"/>
          <w:szCs w:val="24"/>
          <w:highlight w:val="none"/>
          <w:shd w:val="clear" w:color="auto" w:fill="auto"/>
          <w:lang w:eastAsia="zh-CN"/>
          <w14:textFill>
            <w14:solidFill>
              <w14:schemeClr w14:val="tx1"/>
            </w14:solidFill>
          </w14:textFill>
        </w:rPr>
        <w:t>，</w:t>
      </w:r>
      <w:r>
        <w:rPr>
          <w:rFonts w:hint="default" w:ascii="宋体" w:hAnsi="宋体" w:eastAsia="宋体" w:cs="宋体"/>
          <w:i w:val="0"/>
          <w:iCs w:val="0"/>
          <w:caps w:val="0"/>
          <w:color w:val="000000" w:themeColor="text1"/>
          <w:spacing w:val="0"/>
          <w:sz w:val="24"/>
          <w:szCs w:val="24"/>
          <w:highlight w:val="none"/>
          <w:shd w:val="clear" w:color="auto" w:fill="auto"/>
          <w:lang w:val="en-US" w:eastAsia="zh-CN"/>
          <w14:textFill>
            <w14:solidFill>
              <w14:schemeClr w14:val="tx1"/>
            </w14:solidFill>
          </w14:textFill>
        </w:rPr>
        <w:t>组</w:t>
      </w:r>
      <w:r>
        <w:rPr>
          <w:rFonts w:hint="default" w:ascii="宋体" w:hAnsi="宋体" w:eastAsia="宋体" w:cs="宋体"/>
          <w:color w:val="000000" w:themeColor="text1"/>
          <w:sz w:val="24"/>
          <w:szCs w:val="24"/>
          <w:highlight w:val="none"/>
          <w14:textFill>
            <w14:solidFill>
              <w14:schemeClr w14:val="tx1"/>
            </w14:solidFill>
          </w14:textFill>
        </w:rPr>
        <w:t>织专家评审相关费用由承包人综合考虑在投标报价的下浮率中，不再单独计取。</w:t>
      </w:r>
    </w:p>
    <w:p w14:paraId="7D2742B0">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u w:val="single"/>
          <w14:textFill>
            <w14:solidFill>
              <w14:schemeClr w14:val="tx1"/>
            </w14:solidFill>
          </w14:textFill>
        </w:rPr>
        <w:t>（具体工作内容详见施工设计图纸和工程量清单）。</w:t>
      </w:r>
    </w:p>
    <w:p w14:paraId="4D31E0F3">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2.6标段划分：</w:t>
      </w:r>
      <w:r>
        <w:rPr>
          <w:rFonts w:hint="eastAsia" w:ascii="宋体" w:hAnsi="宋体"/>
          <w:color w:val="000000" w:themeColor="text1"/>
          <w:sz w:val="24"/>
          <w:szCs w:val="24"/>
          <w:highlight w:val="none"/>
          <w:u w:val="single"/>
          <w:lang w:val="en-US" w:eastAsia="zh-CN"/>
          <w14:textFill>
            <w14:solidFill>
              <w14:schemeClr w14:val="tx1"/>
            </w14:solidFill>
          </w14:textFill>
        </w:rPr>
        <w:t>不划分</w:t>
      </w:r>
      <w:r>
        <w:rPr>
          <w:rFonts w:hint="eastAsia" w:ascii="宋体" w:hAnsi="宋体"/>
          <w:color w:val="000000" w:themeColor="text1"/>
          <w:sz w:val="24"/>
          <w:szCs w:val="24"/>
          <w:highlight w:val="none"/>
          <w14:textFill>
            <w14:solidFill>
              <w14:schemeClr w14:val="tx1"/>
            </w14:solidFill>
          </w14:textFill>
        </w:rPr>
        <w:t>标段。</w:t>
      </w:r>
    </w:p>
    <w:p w14:paraId="40378732">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2.7承包方式：</w:t>
      </w:r>
      <w:r>
        <w:rPr>
          <w:rFonts w:hint="eastAsia" w:ascii="宋体" w:hAnsi="宋体"/>
          <w:color w:val="000000" w:themeColor="text1"/>
          <w:sz w:val="24"/>
          <w:szCs w:val="24"/>
          <w:highlight w:val="none"/>
          <w:u w:val="single"/>
          <w:lang w:val="en-US" w:eastAsia="zh-CN"/>
          <w14:textFill>
            <w14:solidFill>
              <w14:schemeClr w14:val="tx1"/>
            </w14:solidFill>
          </w14:textFill>
        </w:rPr>
        <w:t>包工、包料（除甲供材料外）、包安装、包工期、包质量、采取有效措施不发生安全事故、包文明施工、包劳保、包验收、包保修。包承包范围内工程验收通过、包移交、包结算、包资料整理、包施工承包管理和现场整体组织、包专业协调及配合等</w:t>
      </w:r>
      <w:r>
        <w:rPr>
          <w:rFonts w:hint="eastAsia" w:ascii="宋体" w:hAnsi="宋体"/>
          <w:color w:val="000000" w:themeColor="text1"/>
          <w:sz w:val="24"/>
          <w:szCs w:val="24"/>
          <w:highlight w:val="none"/>
          <w:u w:val="single"/>
          <w14:textFill>
            <w14:solidFill>
              <w14:schemeClr w14:val="tx1"/>
            </w14:solidFill>
          </w14:textFill>
        </w:rPr>
        <w:t>。</w:t>
      </w:r>
    </w:p>
    <w:p w14:paraId="5DBD36E3">
      <w:pPr>
        <w:pStyle w:val="82"/>
        <w:spacing w:before="0" w:after="0" w:line="360" w:lineRule="auto"/>
        <w:ind w:firstLine="540"/>
        <w:outlineLvl w:val="9"/>
        <w:rPr>
          <w:rFonts w:hint="eastAsia"/>
          <w:color w:val="000000" w:themeColor="text1"/>
          <w:sz w:val="21"/>
          <w:szCs w:val="21"/>
          <w:highlight w:val="none"/>
          <w14:textFill>
            <w14:solidFill>
              <w14:schemeClr w14:val="tx1"/>
            </w14:solidFill>
          </w14:textFill>
        </w:rPr>
      </w:pPr>
      <w:bookmarkStart w:id="78" w:name="_Toc7662"/>
      <w:bookmarkStart w:id="79" w:name="_Toc222029465"/>
      <w:bookmarkStart w:id="80" w:name="_Toc144974482"/>
      <w:bookmarkStart w:id="81" w:name="_Toc168476031"/>
      <w:bookmarkStart w:id="82" w:name="_Toc168475628"/>
      <w:bookmarkStart w:id="83" w:name="_Toc229305325"/>
      <w:bookmarkStart w:id="84" w:name="_Toc221949926"/>
      <w:bookmarkStart w:id="85" w:name="_Toc222030967"/>
      <w:bookmarkStart w:id="86" w:name="_Toc22919"/>
      <w:bookmarkStart w:id="87" w:name="_Toc222032634"/>
      <w:bookmarkStart w:id="88" w:name="_Toc13867"/>
      <w:bookmarkStart w:id="89" w:name="_Toc222033816"/>
      <w:bookmarkStart w:id="90" w:name="_Toc259524298"/>
      <w:r>
        <w:rPr>
          <w:rFonts w:hint="eastAsia"/>
          <w:b/>
          <w:color w:val="000000" w:themeColor="text1"/>
          <w:highlight w:val="none"/>
          <w14:textFill>
            <w14:solidFill>
              <w14:schemeClr w14:val="tx1"/>
            </w14:solidFill>
          </w14:textFill>
        </w:rPr>
        <w:t>3</w:t>
      </w:r>
      <w:r>
        <w:rPr>
          <w:b/>
          <w:color w:val="000000" w:themeColor="text1"/>
          <w:highlight w:val="none"/>
          <w14:textFill>
            <w14:solidFill>
              <w14:schemeClr w14:val="tx1"/>
            </w14:solidFill>
          </w14:textFill>
        </w:rPr>
        <w:t>. 投标人资格要求</w:t>
      </w:r>
      <w:bookmarkEnd w:id="78"/>
      <w:bookmarkEnd w:id="79"/>
      <w:bookmarkEnd w:id="80"/>
      <w:bookmarkEnd w:id="81"/>
      <w:bookmarkEnd w:id="82"/>
      <w:bookmarkEnd w:id="83"/>
      <w:bookmarkEnd w:id="84"/>
      <w:bookmarkEnd w:id="85"/>
      <w:bookmarkEnd w:id="86"/>
      <w:bookmarkEnd w:id="87"/>
      <w:bookmarkEnd w:id="88"/>
      <w:bookmarkEnd w:id="89"/>
      <w:bookmarkEnd w:id="90"/>
    </w:p>
    <w:p w14:paraId="02E21688">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w:t>
      </w:r>
      <w:r>
        <w:rPr>
          <w:rFonts w:hint="eastAsia" w:ascii="宋体" w:hAnsi="宋体"/>
          <w:bCs/>
          <w:color w:val="000000" w:themeColor="text1"/>
          <w:sz w:val="24"/>
          <w:highlight w:val="none"/>
          <w14:textFill>
            <w14:solidFill>
              <w14:schemeClr w14:val="tx1"/>
            </w14:solidFill>
          </w14:textFill>
        </w:rPr>
        <w:t>投标人应具备承担本项目施工的资质条件、能力和信誉。</w:t>
      </w:r>
    </w:p>
    <w:p w14:paraId="7FE1DD70">
      <w:pPr>
        <w:pStyle w:val="82"/>
        <w:spacing w:before="0" w:after="0" w:line="360" w:lineRule="auto"/>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w:t>
      </w:r>
      <w:r>
        <w:rPr>
          <w:rFonts w:ascii="宋体" w:hAnsi="宋体" w:eastAsia="宋体" w:cs="宋体"/>
          <w:color w:val="000000" w:themeColor="text1"/>
          <w:sz w:val="24"/>
          <w:szCs w:val="24"/>
          <w:highlight w:val="none"/>
          <w14:textFill>
            <w14:solidFill>
              <w14:schemeClr w14:val="tx1"/>
            </w14:solidFill>
          </w14:textFill>
        </w:rPr>
        <w:t>投标人是法人或其他组织，按国家法律经营</w:t>
      </w:r>
      <w:r>
        <w:rPr>
          <w:rFonts w:hint="eastAsia"/>
          <w:color w:val="000000" w:themeColor="text1"/>
          <w:highlight w:val="none"/>
          <w14:textFill>
            <w14:solidFill>
              <w14:schemeClr w14:val="tx1"/>
            </w14:solidFill>
          </w14:textFill>
        </w:rPr>
        <w:t>，投标人具有承接本工程所需的</w:t>
      </w:r>
      <w:r>
        <w:rPr>
          <w:rFonts w:hint="eastAsia" w:ascii="宋体" w:hAnsi="宋体" w:cs="宋体"/>
          <w:color w:val="000000" w:themeColor="text1"/>
          <w:kern w:val="0"/>
          <w:sz w:val="24"/>
          <w:szCs w:val="24"/>
          <w:highlight w:val="none"/>
          <w:u w:val="single"/>
          <w14:textFill>
            <w14:solidFill>
              <w14:schemeClr w14:val="tx1"/>
            </w14:solidFill>
          </w14:textFill>
        </w:rPr>
        <w:t>市政公用工程施工总承包</w:t>
      </w:r>
      <w:r>
        <w:rPr>
          <w:rFonts w:hint="eastAsia" w:cs="宋体"/>
          <w:color w:val="000000" w:themeColor="text1"/>
          <w:kern w:val="0"/>
          <w:sz w:val="24"/>
          <w:szCs w:val="24"/>
          <w:highlight w:val="none"/>
          <w:u w:val="single"/>
          <w:lang w:val="en-US" w:eastAsia="zh-CN"/>
          <w14:textFill>
            <w14:solidFill>
              <w14:schemeClr w14:val="tx1"/>
            </w14:solidFill>
          </w14:textFill>
        </w:rPr>
        <w:t>叁</w:t>
      </w:r>
      <w:r>
        <w:rPr>
          <w:rFonts w:hint="eastAsia" w:ascii="宋体" w:hAnsi="宋体" w:cs="宋体"/>
          <w:color w:val="000000" w:themeColor="text1"/>
          <w:kern w:val="0"/>
          <w:sz w:val="24"/>
          <w:szCs w:val="24"/>
          <w:highlight w:val="none"/>
          <w:u w:val="single"/>
          <w14:textFill>
            <w14:solidFill>
              <w14:schemeClr w14:val="tx1"/>
            </w14:solidFill>
          </w14:textFill>
        </w:rPr>
        <w:t>级</w:t>
      </w:r>
      <w:r>
        <w:rPr>
          <w:rFonts w:hint="eastAsia"/>
          <w:color w:val="000000" w:themeColor="text1"/>
          <w:highlight w:val="none"/>
          <w14:textFill>
            <w14:solidFill>
              <w14:schemeClr w14:val="tx1"/>
            </w14:solidFill>
          </w14:textFill>
        </w:rPr>
        <w:t>或以上级别施工总承包资质。</w:t>
      </w:r>
    </w:p>
    <w:p w14:paraId="152BC78F">
      <w:pPr>
        <w:pStyle w:val="9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（注：资质内容按照建市〔2014〕159号文颁布的新版《建筑业企业资质标准》中对应的资质类别及等级的承包工程范围和《住房城乡建设部关于建筑业企业资质管理有关问题的通知》（建市〔201</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〕154号）、《住房城乡建设部关于简化建筑业企业资质标准部分指标的通知》(建市〔201</w:t>
      </w: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〕226号)、</w:t>
      </w:r>
      <w:r>
        <w:rPr>
          <w:rFonts w:hint="eastAsia" w:ascii="宋体" w:hAnsi="宋体" w:eastAsia="宋体" w:cs="宋体"/>
          <w:color w:val="000000" w:themeColor="text1"/>
          <w:highlight w:val="none"/>
          <w:lang w:val="en-US" w:eastAsia="zh-CN"/>
          <w14:textFill>
            <w14:solidFill>
              <w14:schemeClr w14:val="tx1"/>
            </w14:solidFill>
          </w14:textFill>
        </w:rPr>
        <w:t>《住房和城乡建设部关于印发建设工程企业资质管理制度改革方案的通知》（</w:t>
      </w:r>
      <w:r>
        <w:rPr>
          <w:rFonts w:hint="eastAsia" w:ascii="宋体" w:hAnsi="宋体" w:eastAsia="宋体" w:cs="宋体"/>
          <w:color w:val="000000" w:themeColor="text1"/>
          <w:highlight w:val="none"/>
          <w14:textFill>
            <w14:solidFill>
              <w14:schemeClr w14:val="tx1"/>
            </w14:solidFill>
          </w14:textFill>
        </w:rPr>
        <w:t>建市〔2020〕94号</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住房和城乡建设部办公厅关于做好建筑业“证照分离”改革衔接有关工作的通知》（建办市〔2021〕30号）、《住房和城乡建设部办公厅关于建设工程企业资质有关事宜的通知》（建办市函〔2022〕361号）、《广东省住房和城乡建设厅关于建设工程企业资质有关事宜的通知》（粤建许函〔2022〕846号）</w:t>
      </w:r>
      <w:r>
        <w:rPr>
          <w:rFonts w:hint="eastAsia" w:ascii="宋体" w:hAnsi="宋体" w:eastAsia="宋体" w:cs="宋体"/>
          <w:color w:val="000000" w:themeColor="text1"/>
          <w:highlight w:val="none"/>
          <w:lang w:eastAsia="zh-CN"/>
          <w14:textFill>
            <w14:solidFill>
              <w14:schemeClr w14:val="tx1"/>
            </w14:solidFill>
          </w14:textFill>
        </w:rPr>
        <w:t>、《住房城乡建设部建筑市场监管司关于建设工程企业资质延续有关事项的通知》（建司局函市〔2023〕116号）、</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广东省住房和城乡建设厅关于建设工程企业资质延续有关事项的通知</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（粤建许函〔2023〕820号）、广东省住房和城乡建设厅关于做好有关建设工程企业资质证书换领工作的通知（粤建许函〔2024〕124号）</w:t>
      </w:r>
      <w:r>
        <w:rPr>
          <w:rFonts w:hint="eastAsia" w:ascii="宋体" w:hAnsi="宋体" w:eastAsia="宋体" w:cs="宋体"/>
          <w:color w:val="000000" w:themeColor="text1"/>
          <w:highlight w:val="none"/>
          <w14:textFill>
            <w14:solidFill>
              <w14:schemeClr w14:val="tx1"/>
            </w14:solidFill>
          </w14:textFill>
        </w:rPr>
        <w:t>的要求设置。</w:t>
      </w:r>
    </w:p>
    <w:p w14:paraId="48689E80">
      <w:pPr>
        <w:pStyle w:val="82"/>
        <w:spacing w:before="0" w:after="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3.1.2安全生产许可证：投标人需具有有效的建设行政主管部门颁发的安全生产许可证。</w:t>
      </w:r>
    </w:p>
    <w:p w14:paraId="54ACDA56">
      <w:pPr>
        <w:spacing w:line="360" w:lineRule="auto"/>
        <w:ind w:firstLine="480" w:firstLineChars="200"/>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3.1.3</w:t>
      </w:r>
      <w:r>
        <w:rPr>
          <w:rFonts w:hint="eastAsia" w:ascii="宋体" w:hAnsi="宋体"/>
          <w:bCs/>
          <w:color w:val="000000" w:themeColor="text1"/>
          <w:sz w:val="24"/>
          <w:szCs w:val="24"/>
          <w:highlight w:val="none"/>
          <w14:textFill>
            <w14:solidFill>
              <w14:schemeClr w14:val="tx1"/>
            </w14:solidFill>
          </w14:textFill>
        </w:rPr>
        <w:t>投标人拟担任本工程项目负责人的人员须具有</w:t>
      </w:r>
      <w:r>
        <w:rPr>
          <w:rFonts w:hint="eastAsia" w:ascii="宋体" w:hAnsi="宋体" w:cs="宋体"/>
          <w:color w:val="000000" w:themeColor="text1"/>
          <w:kern w:val="0"/>
          <w:sz w:val="24"/>
          <w:szCs w:val="24"/>
          <w:highlight w:val="none"/>
          <w:u w:val="single"/>
          <w14:textFill>
            <w14:solidFill>
              <w14:schemeClr w14:val="tx1"/>
            </w14:solidFill>
          </w14:textFill>
        </w:rPr>
        <w:t>市政公用工程专业</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壹</w:t>
      </w:r>
      <w:r>
        <w:rPr>
          <w:rFonts w:hint="eastAsia" w:ascii="宋体" w:hAnsi="宋体" w:cs="宋体"/>
          <w:color w:val="000000" w:themeColor="text1"/>
          <w:kern w:val="0"/>
          <w:sz w:val="24"/>
          <w:szCs w:val="24"/>
          <w:highlight w:val="none"/>
          <w:u w:val="single"/>
          <w14:textFill>
            <w14:solidFill>
              <w14:schemeClr w14:val="tx1"/>
            </w14:solidFill>
          </w14:textFill>
        </w:rPr>
        <w:t>级</w:t>
      </w:r>
      <w:r>
        <w:rPr>
          <w:rFonts w:hint="eastAsia" w:ascii="宋体" w:hAnsi="宋体"/>
          <w:color w:val="000000" w:themeColor="text1"/>
          <w:sz w:val="24"/>
          <w:szCs w:val="24"/>
          <w:highlight w:val="none"/>
          <w14:textFill>
            <w14:solidFill>
              <w14:schemeClr w14:val="tx1"/>
            </w14:solidFill>
          </w14:textFill>
        </w:rPr>
        <w:t>级别的注册建造师</w:t>
      </w:r>
      <w:r>
        <w:rPr>
          <w:color w:val="000000" w:themeColor="text1"/>
          <w:sz w:val="24"/>
          <w:szCs w:val="24"/>
          <w:highlight w:val="none"/>
          <w14:textFill>
            <w14:solidFill>
              <w14:schemeClr w14:val="tx1"/>
            </w14:solidFill>
          </w14:textFill>
        </w:rPr>
        <w:t>。</w:t>
      </w:r>
    </w:p>
    <w:p w14:paraId="23482147">
      <w:pPr>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项目负责人持有</w:t>
      </w:r>
      <w:r>
        <w:rPr>
          <w:rFonts w:hint="eastAsia"/>
          <w:color w:val="000000" w:themeColor="text1"/>
          <w:sz w:val="24"/>
          <w:szCs w:val="24"/>
          <w:highlight w:val="none"/>
          <w:lang w:eastAsia="zh-CN"/>
          <w14:textFill>
            <w14:solidFill>
              <w14:schemeClr w14:val="tx1"/>
            </w14:solidFill>
          </w14:textFill>
        </w:rPr>
        <w:t>安全生产考核合格证</w:t>
      </w:r>
      <w:r>
        <w:rPr>
          <w:rFonts w:hint="eastAsia"/>
          <w:color w:val="000000" w:themeColor="text1"/>
          <w:sz w:val="24"/>
          <w:szCs w:val="24"/>
          <w:highlight w:val="none"/>
          <w14:textFill>
            <w14:solidFill>
              <w14:schemeClr w14:val="tx1"/>
            </w14:solidFill>
          </w14:textFill>
        </w:rPr>
        <w:t>（B 类）或建筑施工企业项目负责人安全生产考核合格证书</w:t>
      </w:r>
      <w:r>
        <w:rPr>
          <w:color w:val="000000" w:themeColor="text1"/>
          <w:sz w:val="24"/>
          <w:szCs w:val="24"/>
          <w:highlight w:val="none"/>
          <w14:textFill>
            <w14:solidFill>
              <w14:schemeClr w14:val="tx1"/>
            </w14:solidFill>
          </w14:textFill>
        </w:rPr>
        <w:t xml:space="preserve">。 </w:t>
      </w:r>
    </w:p>
    <w:p w14:paraId="16117195">
      <w:pPr>
        <w:spacing w:line="360" w:lineRule="auto"/>
        <w:ind w:firstLine="480" w:firstLineChars="200"/>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pacing w:val="0"/>
          <w:kern w:val="0"/>
          <w:sz w:val="24"/>
          <w:szCs w:val="24"/>
          <w:highlight w:val="none"/>
          <w14:textFill>
            <w14:solidFill>
              <w14:schemeClr w14:val="tx1"/>
            </w14:solidFill>
          </w14:textFill>
        </w:rPr>
        <w:t>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1）根据广东省住建厅《关于明确二级建造师注册执业有关问题的通知》（粤建市函〔2023〕469号），二级建造师应在考试取得执业资格的省、自治区、直辖市申请注册，二级注册建造师可随注册企业在全国范围内执业。项目负责人在任职期间不得担任专职安全员，项目专职安全员在任职期间也不得担任项目负责人，项目负责人和专职安全员不为同一人。</w:t>
      </w:r>
    </w:p>
    <w:p w14:paraId="5699B374">
      <w:pPr>
        <w:spacing w:line="360" w:lineRule="auto"/>
        <w:ind w:firstLine="480" w:firstLineChars="200"/>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根据《住房和城乡建设部办公厅关于全面实行一级建造师电子注册证书的通知》（建办市〔2021〕40号），自2022年1月1日起，一级建造师统一使用电子证书，纸质证书作废。广东、北京、福建、四川等地二级建造师已实行电子证书，电子证书下载、签字等具体操作流程可查阅相关文件。根据规定二级建造师纸质证书未作废的，资格审查时不得以投标人未提供电子证书为由，认定投标人资格审查不通过。</w:t>
      </w:r>
    </w:p>
    <w:p w14:paraId="087BB8BB">
      <w:pPr>
        <w:pStyle w:val="82"/>
        <w:spacing w:before="0" w:after="0" w:line="360" w:lineRule="auto"/>
        <w:ind w:firstLine="480" w:firstLineChars="200"/>
        <w:rPr>
          <w:rFonts w:hint="eastAsia" w:ascii="仿宋" w:hAnsi="仿宋" w:eastAsia="仿宋" w:cs="仿宋"/>
          <w:b w:val="0"/>
          <w:bCs/>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若投标人提供的注册建造师电子证书超过使用有效期、未在个人签名处手写签名或手写签名与签名图像笔迹存在差异的，资格审查时应通过“全国建筑市场监管公共服务平台”或各省规定的查询渠道查询持证人注册建造师注册信息，注册信息与投标文件所附电子证书一致的，上述情形不影响投标人通过资格审查。评标结束后，若该投标人为中标候选人的，投标人应在招标人规定的时限内提交符合要求的电子证书打印件和持证人出具的知情承诺。投标人未按时提交或提交资料不符合上述要求的，视为放弃中标资格。</w:t>
      </w:r>
    </w:p>
    <w:p w14:paraId="5C606F7F">
      <w:pPr>
        <w:pStyle w:val="82"/>
        <w:spacing w:before="0" w:after="0" w:line="360" w:lineRule="auto"/>
        <w:ind w:firstLine="480" w:firstLineChars="200"/>
        <w:rPr>
          <w:rFonts w:hint="eastAsia"/>
          <w:i/>
          <w:color w:val="000000" w:themeColor="text1"/>
          <w:sz w:val="2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3.1.4专职安全员资格要求：</w:t>
      </w:r>
      <w:r>
        <w:rPr>
          <w:rFonts w:hint="eastAsia" w:ascii="宋体" w:hAnsi="宋体" w:eastAsia="宋体" w:cs="宋体"/>
          <w:color w:val="000000" w:themeColor="text1"/>
          <w:spacing w:val="0"/>
          <w:sz w:val="24"/>
          <w:szCs w:val="24"/>
          <w:highlight w:val="none"/>
          <w14:textFill>
            <w14:solidFill>
              <w14:schemeClr w14:val="tx1"/>
            </w14:solidFill>
          </w14:textFill>
        </w:rPr>
        <w:t>要求专职安全员不少于</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pacing w:val="0"/>
          <w:sz w:val="24"/>
          <w:szCs w:val="24"/>
          <w:highlight w:val="none"/>
          <w14:textFill>
            <w14:solidFill>
              <w14:schemeClr w14:val="tx1"/>
            </w14:solidFill>
          </w14:textFill>
        </w:rPr>
        <w:t>人。专职安全员须安全生产考核合格证（C类）或建筑施工企业专职安全生产管理人员安全生产考核合格证书(C3类)。（注：专职安全员数量不少于建质〔2008〕91号文的规定）</w:t>
      </w:r>
    </w:p>
    <w:p w14:paraId="6FCEB3AD">
      <w:pPr>
        <w:pStyle w:val="82"/>
        <w:snapToGrid w:val="0"/>
        <w:spacing w:before="0" w:after="0" w:line="360" w:lineRule="auto"/>
        <w:ind w:firstLine="480" w:firstLineChars="200"/>
        <w:rPr>
          <w:rFonts w:hint="default"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3.1.5类似项目业绩要求：</w:t>
      </w:r>
      <w:r>
        <w:rPr>
          <w:rFonts w:hint="eastAsia"/>
          <w:color w:val="000000" w:themeColor="text1"/>
          <w:highlight w:val="none"/>
          <w:lang w:val="en-US" w:eastAsia="zh-CN"/>
          <w14:textFill>
            <w14:solidFill>
              <w14:schemeClr w14:val="tx1"/>
            </w14:solidFill>
          </w14:textFill>
        </w:rPr>
        <w:t>无。</w:t>
      </w:r>
    </w:p>
    <w:p w14:paraId="5FDB6EB4">
      <w:pPr>
        <w:pStyle w:val="82"/>
        <w:spacing w:before="0" w:after="0" w:line="360" w:lineRule="auto"/>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3.1.6提交社保文件的要求：投标申请人须保证授权的委托代理人及项目部主要组成人员（项目负责人、专职安全员）均为本单位的正式职工，必须具有离投标截止时间最近</w:t>
      </w:r>
      <w:r>
        <w:rPr>
          <w:rFonts w:hint="eastAsia"/>
          <w:color w:val="000000" w:themeColor="text1"/>
          <w:highlight w:val="none"/>
          <w:lang w:val="en-US" w:eastAsia="zh-CN"/>
          <w14:textFill>
            <w14:solidFill>
              <w14:schemeClr w14:val="tx1"/>
            </w14:solidFill>
          </w14:textFill>
        </w:rPr>
        <w:t>的至少1</w:t>
      </w:r>
      <w:r>
        <w:rPr>
          <w:rFonts w:hint="eastAsia"/>
          <w:color w:val="000000" w:themeColor="text1"/>
          <w:highlight w:val="none"/>
          <w14:textFill>
            <w14:solidFill>
              <w14:schemeClr w14:val="tx1"/>
            </w14:solidFill>
          </w14:textFill>
        </w:rPr>
        <w:t>个月</w:t>
      </w:r>
      <w:r>
        <w:rPr>
          <w:rFonts w:hint="eastAsia" w:ascii="宋体" w:hAnsi="宋体" w:eastAsia="宋体" w:cs="宋体"/>
          <w:color w:val="000000" w:themeColor="text1"/>
          <w:spacing w:val="0"/>
          <w:sz w:val="24"/>
          <w:szCs w:val="24"/>
          <w:highlight w:val="none"/>
          <w14:textFill>
            <w14:solidFill>
              <w14:schemeClr w14:val="tx1"/>
            </w14:solidFill>
          </w14:textFill>
        </w:rPr>
        <w:t>(时间为：</w:t>
      </w:r>
      <w:r>
        <w:rPr>
          <w:rFonts w:hint="eastAsia" w:eastAsia="宋体" w:cs="宋体"/>
          <w:color w:val="000000" w:themeColor="text1"/>
          <w:spacing w:val="0"/>
          <w:sz w:val="24"/>
          <w:szCs w:val="24"/>
          <w:highlight w:val="none"/>
          <w:lang w:val="en-US" w:eastAsia="zh-CN"/>
          <w14:textFill>
            <w14:solidFill>
              <w14:schemeClr w14:val="tx1"/>
            </w14:solidFill>
          </w14:textFill>
        </w:rPr>
        <w:t>202</w:t>
      </w:r>
      <w:r>
        <w:rPr>
          <w:rFonts w:hint="eastAsia" w:cs="宋体"/>
          <w:color w:val="000000" w:themeColor="text1"/>
          <w:spacing w:val="0"/>
          <w:sz w:val="24"/>
          <w:szCs w:val="24"/>
          <w:highlight w:val="none"/>
          <w:lang w:val="en-US" w:eastAsia="zh-CN"/>
          <w14:textFill>
            <w14:solidFill>
              <w14:schemeClr w14:val="tx1"/>
            </w14:solidFill>
          </w14:textFill>
        </w:rPr>
        <w:t>6</w:t>
      </w:r>
      <w:r>
        <w:rPr>
          <w:rFonts w:hint="eastAsia" w:eastAsia="宋体" w:cs="宋体"/>
          <w:color w:val="000000" w:themeColor="text1"/>
          <w:spacing w:val="0"/>
          <w:sz w:val="24"/>
          <w:szCs w:val="24"/>
          <w:highlight w:val="none"/>
          <w:lang w:val="en-US" w:eastAsia="zh-CN"/>
          <w14:textFill>
            <w14:solidFill>
              <w14:schemeClr w14:val="tx1"/>
            </w14:solidFill>
          </w14:textFill>
        </w:rPr>
        <w:t>年</w:t>
      </w:r>
      <w:r>
        <w:rPr>
          <w:rFonts w:hint="eastAsia" w:cs="宋体"/>
          <w:color w:val="000000" w:themeColor="text1"/>
          <w:spacing w:val="0"/>
          <w:sz w:val="24"/>
          <w:szCs w:val="24"/>
          <w:highlight w:val="none"/>
          <w:lang w:val="en-US" w:eastAsia="zh-CN"/>
          <w14:textFill>
            <w14:solidFill>
              <w14:schemeClr w14:val="tx1"/>
            </w14:solidFill>
          </w14:textFill>
        </w:rPr>
        <w:t>1</w:t>
      </w:r>
      <w:r>
        <w:rPr>
          <w:rFonts w:hint="eastAsia" w:eastAsia="宋体" w:cs="宋体"/>
          <w:color w:val="000000" w:themeColor="text1"/>
          <w:spacing w:val="0"/>
          <w:sz w:val="24"/>
          <w:szCs w:val="24"/>
          <w:highlight w:val="none"/>
          <w:lang w:val="en-US" w:eastAsia="zh-CN"/>
          <w14:textFill>
            <w14:solidFill>
              <w14:schemeClr w14:val="tx1"/>
            </w14:solidFill>
          </w14:textFill>
        </w:rPr>
        <w:t>月</w:t>
      </w:r>
      <w:r>
        <w:rPr>
          <w:rFonts w:hint="eastAsia" w:ascii="宋体" w:hAnsi="宋体" w:eastAsia="宋体" w:cs="宋体"/>
          <w:color w:val="000000" w:themeColor="text1"/>
          <w:spacing w:val="0"/>
          <w:sz w:val="24"/>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在本单位缴纳的社保证明文件</w:t>
      </w:r>
      <w:r>
        <w:rPr>
          <w:rFonts w:hint="eastAsia" w:ascii="宋体" w:hAnsi="宋体" w:eastAsia="宋体" w:cs="宋体"/>
          <w:color w:val="000000" w:themeColor="text1"/>
          <w:spacing w:val="0"/>
          <w:sz w:val="24"/>
          <w:szCs w:val="24"/>
          <w:highlight w:val="none"/>
          <w14:textFill>
            <w14:solidFill>
              <w14:schemeClr w14:val="tx1"/>
            </w14:solidFill>
          </w14:textFill>
        </w:rPr>
        <w:t>(以加盖社会保险基金管理中心印章的《投保单》或《社会保险参保人员证明》资料为准)</w:t>
      </w:r>
      <w:r>
        <w:rPr>
          <w:rFonts w:hint="eastAsia"/>
          <w:color w:val="000000" w:themeColor="text1"/>
          <w:highlight w:val="none"/>
          <w14:textFill>
            <w14:solidFill>
              <w14:schemeClr w14:val="tx1"/>
            </w14:solidFill>
          </w14:textFill>
        </w:rPr>
        <w:t>。</w:t>
      </w:r>
    </w:p>
    <w:p w14:paraId="65909028">
      <w:pPr>
        <w:pStyle w:val="82"/>
        <w:spacing w:before="0"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w:t>
      </w:r>
      <w:r>
        <w:rPr>
          <w:rFonts w:hint="eastAsia" w:ascii="宋体" w:hAnsi="宋体" w:eastAsia="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投标人提交的《投标人声明》（格式见本公告附件一）内容及签署盖章与招标文件要求一致，</w:t>
      </w:r>
      <w:r>
        <w:rPr>
          <w:rFonts w:hint="eastAsia" w:ascii="宋体" w:hAnsi="宋体" w:eastAsia="宋体" w:cs="宋体"/>
          <w:b w:val="0"/>
          <w:bCs w:val="0"/>
          <w:color w:val="000000" w:themeColor="text1"/>
          <w:kern w:val="0"/>
          <w:sz w:val="24"/>
          <w:szCs w:val="24"/>
          <w:highlight w:val="none"/>
          <w:lang w:val="en-US" w:eastAsia="zh-CN" w:bidi="ar-SA"/>
          <w14:textFill>
            <w14:solidFill>
              <w14:schemeClr w14:val="tx1"/>
            </w14:solidFill>
          </w14:textFill>
        </w:rPr>
        <w:t>法定代表人、项目负责人、技术负责人</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均必须签字，没有签字不予通过资格审查。</w:t>
      </w:r>
    </w:p>
    <w:p w14:paraId="78E2DDDF">
      <w:pPr>
        <w:snapToGrid w:val="0"/>
        <w:spacing w:line="360" w:lineRule="auto"/>
        <w:ind w:firstLine="480" w:firstLineChars="200"/>
        <w:rPr>
          <w:rFonts w:hint="default" w:ascii="宋体" w:hAnsi="宋体" w:eastAsia="宋体" w:cs="Times New Roman"/>
          <w:color w:val="000000" w:themeColor="text1"/>
          <w:sz w:val="24"/>
          <w:szCs w:val="24"/>
          <w:highlight w:val="none"/>
          <w:u w:val="none"/>
          <w14:textFill>
            <w14:solidFill>
              <w14:schemeClr w14:val="tx1"/>
            </w14:solidFill>
          </w14:textFill>
        </w:rPr>
      </w:pPr>
      <w:r>
        <w:rPr>
          <w:rFonts w:hint="default" w:ascii="宋体" w:hAnsi="宋体" w:eastAsia="宋体" w:cs="Times New Roman"/>
          <w:color w:val="000000" w:themeColor="text1"/>
          <w:sz w:val="24"/>
          <w:szCs w:val="24"/>
          <w:highlight w:val="none"/>
          <w:u w:val="none"/>
          <w:lang w:val="en-US" w:eastAsia="zh-CN"/>
          <w14:textFill>
            <w14:solidFill>
              <w14:schemeClr w14:val="tx1"/>
            </w14:solidFill>
          </w14:textFill>
        </w:rPr>
        <w:t>3.</w:t>
      </w:r>
      <w:r>
        <w:rPr>
          <w:rFonts w:hint="eastAsia" w:ascii="宋体" w:hAnsi="宋体" w:eastAsia="宋体" w:cs="Times New Roman"/>
          <w:color w:val="000000" w:themeColor="text1"/>
          <w:sz w:val="24"/>
          <w:szCs w:val="24"/>
          <w:highlight w:val="none"/>
          <w:u w:val="none"/>
          <w:lang w:val="en-US" w:eastAsia="zh-CN"/>
          <w14:textFill>
            <w14:solidFill>
              <w14:schemeClr w14:val="tx1"/>
            </w14:solidFill>
          </w14:textFill>
        </w:rPr>
        <w:t>1.8</w:t>
      </w:r>
      <w:r>
        <w:rPr>
          <w:rFonts w:hint="default" w:ascii="宋体" w:hAnsi="宋体" w:eastAsia="宋体" w:cs="Times New Roman"/>
          <w:color w:val="000000" w:themeColor="text1"/>
          <w:sz w:val="24"/>
          <w:szCs w:val="24"/>
          <w:highlight w:val="none"/>
          <w:u w:val="none"/>
          <w14:textFill>
            <w14:solidFill>
              <w14:schemeClr w14:val="tx1"/>
            </w14:solidFill>
          </w14:textFill>
        </w:rPr>
        <w:t>投标人未被列入“在一定期限内依法取消参加依法必须进行招标的项目的投标资格”，具体名单以递交投标文件截止时间“信用广州”公布的“黑名单”为准。</w:t>
      </w:r>
    </w:p>
    <w:p w14:paraId="6852A2E9">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3.2本次招标不接受联合体投标。</w:t>
      </w:r>
    </w:p>
    <w:p w14:paraId="6B9585A1">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投标人须在投标文件中按招标文件要求提交签署盖章的《投标人廉洁承诺书》。</w:t>
      </w:r>
    </w:p>
    <w:p w14:paraId="32260B44">
      <w:pPr>
        <w:spacing w:line="360" w:lineRule="auto"/>
        <w:ind w:firstLine="480" w:firstLineChars="200"/>
        <w:rPr>
          <w:rFonts w:hint="eastAsia" w:ascii="宋体" w:hAnsi="宋体" w:eastAsia="宋体" w:cs="Times New Roman"/>
          <w:color w:val="000000" w:themeColor="text1"/>
          <w:kern w:val="2"/>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r>
        <w:rPr>
          <w:rFonts w:hint="eastAsia" w:ascii="宋体" w:hAnsi="宋体"/>
          <w:color w:val="000000" w:themeColor="text1"/>
          <w:sz w:val="24"/>
          <w:szCs w:val="24"/>
          <w:highlight w:val="none"/>
          <w:lang w:val="en-US" w:eastAsia="zh-CN"/>
          <w14:textFill>
            <w14:solidFill>
              <w14:schemeClr w14:val="tx1"/>
            </w14:solidFill>
          </w14:textFill>
        </w:rPr>
        <w:t>4</w:t>
      </w:r>
      <w:r>
        <w:rPr>
          <w:rFonts w:hint="eastAsia" w:ascii="宋体" w:hAnsi="宋体"/>
          <w:color w:val="000000" w:themeColor="text1"/>
          <w:sz w:val="24"/>
          <w:szCs w:val="24"/>
          <w:highlight w:val="none"/>
          <w14:textFill>
            <w14:solidFill>
              <w14:schemeClr w14:val="tx1"/>
            </w14:solidFill>
          </w14:textFill>
        </w:rPr>
        <w:t>本次招标实行资格后审,资格审查不合格的投标人投标文件将按无效投标处理被否决。</w:t>
      </w:r>
    </w:p>
    <w:p w14:paraId="69E9828D">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kern w:val="2"/>
          <w:sz w:val="24"/>
          <w:szCs w:val="24"/>
          <w:highlight w:val="none"/>
          <w14:textFill>
            <w14:solidFill>
              <w14:schemeClr w14:val="tx1"/>
            </w14:solidFill>
          </w14:textFill>
        </w:rPr>
        <w:t>3.</w:t>
      </w:r>
      <w:r>
        <w:rPr>
          <w:rFonts w:hint="eastAsia" w:ascii="宋体" w:hAnsi="宋体" w:eastAsia="宋体" w:cs="Times New Roman"/>
          <w:color w:val="000000" w:themeColor="text1"/>
          <w:kern w:val="2"/>
          <w:sz w:val="24"/>
          <w:szCs w:val="24"/>
          <w:highlight w:val="none"/>
          <w:lang w:val="en-US" w:eastAsia="zh-CN"/>
          <w14:textFill>
            <w14:solidFill>
              <w14:schemeClr w14:val="tx1"/>
            </w14:solidFill>
          </w14:textFill>
        </w:rPr>
        <w:t>5</w:t>
      </w:r>
      <w:r>
        <w:rPr>
          <w:rFonts w:hint="eastAsia" w:ascii="宋体" w:hAnsi="宋体" w:eastAsia="宋体" w:cs="Times New Roman"/>
          <w:color w:val="000000" w:themeColor="text1"/>
          <w:kern w:val="2"/>
          <w:sz w:val="24"/>
          <w:szCs w:val="24"/>
          <w:highlight w:val="none"/>
          <w14:textFill>
            <w14:solidFill>
              <w14:schemeClr w14:val="tx1"/>
            </w14:solidFill>
          </w14:textFill>
        </w:rPr>
        <w:t>投标文件中的投标人应与企业库信息库中的信息一致，项目负责人、安全员应与投标登记时的信息一致。</w:t>
      </w:r>
    </w:p>
    <w:p w14:paraId="7B676D85">
      <w:pPr>
        <w:spacing w:line="360" w:lineRule="auto"/>
        <w:ind w:firstLine="542" w:firstLineChars="225"/>
        <w:outlineLvl w:val="9"/>
        <w:rPr>
          <w:rFonts w:ascii="宋体" w:hAnsi="宋体"/>
          <w:b/>
          <w:color w:val="000000" w:themeColor="text1"/>
          <w:sz w:val="24"/>
          <w:szCs w:val="24"/>
          <w:highlight w:val="none"/>
          <w14:textFill>
            <w14:solidFill>
              <w14:schemeClr w14:val="tx1"/>
            </w14:solidFill>
          </w14:textFill>
        </w:rPr>
      </w:pPr>
      <w:bookmarkStart w:id="91" w:name="_Toc168475629"/>
      <w:bookmarkStart w:id="92" w:name="_Toc222033817"/>
      <w:bookmarkStart w:id="93" w:name="_Toc222029466"/>
      <w:bookmarkStart w:id="94" w:name="_Toc1973"/>
      <w:bookmarkStart w:id="95" w:name="_Toc144974483"/>
      <w:bookmarkStart w:id="96" w:name="_Toc7903"/>
      <w:bookmarkStart w:id="97" w:name="_Toc259524299"/>
      <w:bookmarkStart w:id="98" w:name="_Toc13870"/>
      <w:bookmarkStart w:id="99" w:name="_Toc229305326"/>
      <w:bookmarkStart w:id="100" w:name="_Toc222032635"/>
      <w:bookmarkStart w:id="101" w:name="_Toc168476032"/>
      <w:bookmarkStart w:id="102" w:name="_Toc222030968"/>
      <w:bookmarkStart w:id="103" w:name="_Toc221949930"/>
      <w:r>
        <w:rPr>
          <w:rFonts w:hint="eastAsia" w:ascii="宋体" w:hAnsi="宋体"/>
          <w:b/>
          <w:color w:val="000000" w:themeColor="text1"/>
          <w:sz w:val="24"/>
          <w:szCs w:val="24"/>
          <w:highlight w:val="none"/>
          <w14:textFill>
            <w14:solidFill>
              <w14:schemeClr w14:val="tx1"/>
            </w14:solidFill>
          </w14:textFill>
        </w:rPr>
        <w:t>4</w:t>
      </w:r>
      <w:r>
        <w:rPr>
          <w:rFonts w:ascii="宋体" w:hAnsi="宋体"/>
          <w:b/>
          <w:color w:val="000000" w:themeColor="text1"/>
          <w:sz w:val="24"/>
          <w:szCs w:val="24"/>
          <w:highlight w:val="none"/>
          <w14:textFill>
            <w14:solidFill>
              <w14:schemeClr w14:val="tx1"/>
            </w14:solidFill>
          </w14:textFill>
        </w:rPr>
        <w:t xml:space="preserve">. </w:t>
      </w:r>
      <w:r>
        <w:rPr>
          <w:rFonts w:hint="eastAsia" w:ascii="宋体" w:hAnsi="宋体"/>
          <w:b/>
          <w:color w:val="000000" w:themeColor="text1"/>
          <w:sz w:val="24"/>
          <w:szCs w:val="24"/>
          <w:highlight w:val="none"/>
          <w:lang w:eastAsia="zh-CN"/>
          <w14:textFill>
            <w14:solidFill>
              <w14:schemeClr w14:val="tx1"/>
            </w14:solidFill>
          </w14:textFill>
        </w:rPr>
        <w:t>招标公告发布和</w:t>
      </w:r>
      <w:r>
        <w:rPr>
          <w:rFonts w:ascii="宋体" w:hAnsi="宋体"/>
          <w:b/>
          <w:color w:val="000000" w:themeColor="text1"/>
          <w:sz w:val="24"/>
          <w:szCs w:val="24"/>
          <w:highlight w:val="none"/>
          <w14:textFill>
            <w14:solidFill>
              <w14:schemeClr w14:val="tx1"/>
            </w14:solidFill>
          </w14:textFill>
        </w:rPr>
        <w:t>招标文件的获取</w:t>
      </w:r>
      <w:bookmarkEnd w:id="91"/>
      <w:bookmarkEnd w:id="92"/>
      <w:bookmarkEnd w:id="93"/>
      <w:bookmarkEnd w:id="94"/>
      <w:bookmarkEnd w:id="95"/>
      <w:bookmarkEnd w:id="96"/>
      <w:bookmarkEnd w:id="97"/>
      <w:bookmarkEnd w:id="98"/>
      <w:bookmarkEnd w:id="99"/>
      <w:bookmarkEnd w:id="100"/>
      <w:bookmarkEnd w:id="101"/>
      <w:bookmarkEnd w:id="102"/>
      <w:bookmarkEnd w:id="103"/>
    </w:p>
    <w:p w14:paraId="382A5070">
      <w:pPr>
        <w:widowControl/>
        <w:numPr>
          <w:ilvl w:val="0"/>
          <w:numId w:val="0"/>
        </w:numPr>
        <w:shd w:val="clear" w:color="auto" w:fill="auto"/>
        <w:snapToGrid w:val="0"/>
        <w:spacing w:line="360" w:lineRule="auto"/>
        <w:ind w:left="0" w:firstLine="480" w:firstLineChars="200"/>
        <w:rPr>
          <w:rFonts w:ascii="宋体" w:hAnsi="宋体"/>
          <w:bCs/>
          <w:color w:val="000000" w:themeColor="text1"/>
          <w:sz w:val="24"/>
          <w:highlight w:val="none"/>
          <w14:textFill>
            <w14:solidFill>
              <w14:schemeClr w14:val="tx1"/>
            </w14:solidFill>
          </w14:textFill>
        </w:rPr>
      </w:pPr>
      <w:bookmarkStart w:id="104" w:name="_Toc221949931"/>
      <w:r>
        <w:rPr>
          <w:rFonts w:hint="eastAsia" w:ascii="宋体" w:hAnsi="宋体"/>
          <w:color w:val="000000" w:themeColor="text1"/>
          <w:sz w:val="24"/>
          <w:szCs w:val="24"/>
          <w:highlight w:val="none"/>
          <w14:textFill>
            <w14:solidFill>
              <w14:schemeClr w14:val="tx1"/>
            </w14:solidFill>
          </w14:textFill>
        </w:rPr>
        <w:t>4</w:t>
      </w:r>
      <w:r>
        <w:rPr>
          <w:rFonts w:ascii="宋体" w:hAnsi="宋体"/>
          <w:color w:val="000000" w:themeColor="text1"/>
          <w:sz w:val="24"/>
          <w:szCs w:val="24"/>
          <w:highlight w:val="none"/>
          <w14:textFill>
            <w14:solidFill>
              <w14:schemeClr w14:val="tx1"/>
            </w14:solidFill>
          </w14:textFill>
        </w:rPr>
        <w:t>.1</w:t>
      </w:r>
      <w:r>
        <w:rPr>
          <w:rFonts w:hint="eastAsia" w:ascii="宋体" w:hAnsi="宋体"/>
          <w:bCs/>
          <w:color w:val="000000" w:themeColor="text1"/>
          <w:sz w:val="24"/>
          <w:highlight w:val="none"/>
          <w14:textFill>
            <w14:solidFill>
              <w14:schemeClr w14:val="tx1"/>
            </w14:solidFill>
          </w14:textFill>
        </w:rPr>
        <w:t>招标公告发布时间</w:t>
      </w:r>
    </w:p>
    <w:p w14:paraId="1365F5A6">
      <w:pPr>
        <w:spacing w:line="360" w:lineRule="auto"/>
        <w:ind w:firstLine="480" w:firstLineChars="20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从</w:t>
      </w:r>
      <w:r>
        <w:rPr>
          <w:rFonts w:hint="eastAsia" w:ascii="宋体" w:hAnsi="宋体"/>
          <w:bCs/>
          <w:color w:val="000000" w:themeColor="text1"/>
          <w:sz w:val="24"/>
          <w:highlight w:val="none"/>
          <w:lang w:val="en-US" w:eastAsia="zh-CN"/>
          <w14:textFill>
            <w14:solidFill>
              <w14:schemeClr w14:val="tx1"/>
            </w14:solidFill>
          </w14:textFill>
        </w:rPr>
        <w:t>2026</w:t>
      </w:r>
      <w:r>
        <w:rPr>
          <w:rFonts w:hint="eastAsia" w:ascii="宋体" w:hAnsi="宋体"/>
          <w:bCs/>
          <w:color w:val="000000" w:themeColor="text1"/>
          <w:sz w:val="24"/>
          <w:highlight w:val="none"/>
          <w14:textFill>
            <w14:solidFill>
              <w14:schemeClr w14:val="tx1"/>
            </w14:solidFill>
          </w14:textFill>
        </w:rPr>
        <w:t>年____月____日至</w:t>
      </w:r>
      <w:r>
        <w:rPr>
          <w:rFonts w:hint="eastAsia" w:ascii="宋体" w:hAnsi="宋体"/>
          <w:bCs/>
          <w:color w:val="000000" w:themeColor="text1"/>
          <w:sz w:val="24"/>
          <w:highlight w:val="none"/>
          <w:lang w:val="en-US" w:eastAsia="zh-CN"/>
          <w14:textFill>
            <w14:solidFill>
              <w14:schemeClr w14:val="tx1"/>
            </w14:solidFill>
          </w14:textFill>
        </w:rPr>
        <w:t>2026</w:t>
      </w:r>
      <w:r>
        <w:rPr>
          <w:rFonts w:hint="eastAsia" w:ascii="宋体" w:hAnsi="宋体"/>
          <w:bCs/>
          <w:color w:val="000000" w:themeColor="text1"/>
          <w:sz w:val="24"/>
          <w:highlight w:val="none"/>
          <w14:textFill>
            <w14:solidFill>
              <w14:schemeClr w14:val="tx1"/>
            </w14:solidFill>
          </w14:textFill>
        </w:rPr>
        <w:t>年____月____日___时____分</w:t>
      </w:r>
      <w:r>
        <w:rPr>
          <w:rFonts w:hint="eastAsia" w:ascii="宋体" w:hAnsi="宋体"/>
          <w:bCs/>
          <w:color w:val="000000" w:themeColor="text1"/>
          <w:sz w:val="24"/>
          <w:highlight w:val="none"/>
          <w:lang w:eastAsia="zh-CN"/>
          <w14:textFill>
            <w14:solidFill>
              <w14:schemeClr w14:val="tx1"/>
            </w14:solidFill>
          </w14:textFill>
        </w:rPr>
        <w:t>，凡有意参加投标者，请登录</w:t>
      </w:r>
      <w:r>
        <w:rPr>
          <w:rFonts w:hint="eastAsia" w:ascii="宋体" w:hAnsi="宋体" w:eastAsia="宋体"/>
          <w:color w:val="000000" w:themeColor="text1"/>
          <w:sz w:val="24"/>
          <w:szCs w:val="24"/>
          <w:highlight w:val="none"/>
          <w:lang w:eastAsia="zh-CN"/>
          <w14:textFill>
            <w14:solidFill>
              <w14:schemeClr w14:val="tx1"/>
            </w14:solidFill>
          </w14:textFill>
        </w:rPr>
        <w:t>广州交易集团有限公司（广州公共资源交易中心）</w:t>
      </w:r>
      <w:r>
        <w:rPr>
          <w:rFonts w:hint="eastAsia" w:ascii="宋体" w:hAnsi="宋体" w:eastAsia="宋体"/>
          <w:color w:val="000000" w:themeColor="text1"/>
          <w:sz w:val="24"/>
          <w:szCs w:val="24"/>
          <w:highlight w:val="none"/>
          <w:u w:val="none"/>
          <w:lang w:eastAsia="zh-CN"/>
          <w14:textFill>
            <w14:solidFill>
              <w14:schemeClr w14:val="tx1"/>
            </w14:solidFill>
          </w14:textFill>
        </w:rPr>
        <w:t>网站</w:t>
      </w:r>
      <w:r>
        <w:rPr>
          <w:rFonts w:hint="eastAsia" w:ascii="宋体" w:hAnsi="宋体"/>
          <w:bCs/>
          <w:color w:val="000000" w:themeColor="text1"/>
          <w:sz w:val="24"/>
          <w:highlight w:val="none"/>
          <w:lang w:eastAsia="zh-CN"/>
          <w14:textFill>
            <w14:solidFill>
              <w14:schemeClr w14:val="tx1"/>
            </w14:solidFill>
          </w14:textFill>
        </w:rPr>
        <w:t>下载电子招标文件。</w:t>
      </w:r>
      <w:r>
        <w:rPr>
          <w:rFonts w:hint="eastAsia" w:ascii="宋体" w:hAnsi="宋体"/>
          <w:bCs/>
          <w:color w:val="000000" w:themeColor="text1"/>
          <w:sz w:val="24"/>
          <w:highlight w:val="none"/>
          <w14:textFill>
            <w14:solidFill>
              <w14:schemeClr w14:val="tx1"/>
            </w14:solidFill>
          </w14:textFill>
        </w:rPr>
        <w:t>（注：发布招标公告的时间为招标公告发出之日起至投标截止时间止）。</w:t>
      </w:r>
    </w:p>
    <w:p w14:paraId="39DAB995">
      <w:pPr>
        <w:widowControl/>
        <w:numPr>
          <w:ilvl w:val="0"/>
          <w:numId w:val="0"/>
        </w:numPr>
        <w:shd w:val="clear" w:color="auto" w:fill="auto"/>
        <w:snapToGrid w:val="0"/>
        <w:spacing w:line="360" w:lineRule="auto"/>
        <w:ind w:left="0"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lang w:val="en-US" w:eastAsia="zh-CN"/>
          <w14:textFill>
            <w14:solidFill>
              <w14:schemeClr w14:val="tx1"/>
            </w14:solidFill>
          </w14:textFill>
        </w:rPr>
        <w:t>4.2</w:t>
      </w:r>
      <w:r>
        <w:rPr>
          <w:rFonts w:hint="eastAsia" w:ascii="宋体" w:hAnsi="宋体"/>
          <w:bCs/>
          <w:color w:val="000000" w:themeColor="text1"/>
          <w:sz w:val="24"/>
          <w:highlight w:val="none"/>
          <w14:textFill>
            <w14:solidFill>
              <w14:schemeClr w14:val="tx1"/>
            </w14:solidFill>
          </w14:textFill>
        </w:rPr>
        <w:t>招标文件获取方式</w:t>
      </w:r>
    </w:p>
    <w:p w14:paraId="4C1D6A23">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本项</w:t>
      </w:r>
      <w:r>
        <w:rPr>
          <w:rFonts w:hint="eastAsia" w:ascii="宋体" w:hAnsi="宋体" w:eastAsia="宋体" w:cs="Times New Roman"/>
          <w:color w:val="000000" w:themeColor="text1"/>
          <w:kern w:val="2"/>
          <w:sz w:val="24"/>
          <w:szCs w:val="24"/>
          <w:highlight w:val="none"/>
          <w14:textFill>
            <w14:solidFill>
              <w14:schemeClr w14:val="tx1"/>
            </w14:solidFill>
          </w14:textFill>
        </w:rPr>
        <w:t>目招标文件随招标公告一并在</w:t>
      </w:r>
      <w:r>
        <w:rPr>
          <w:rFonts w:hint="eastAsia" w:ascii="宋体" w:hAnsi="宋体" w:eastAsia="宋体"/>
          <w:color w:val="000000" w:themeColor="text1"/>
          <w:sz w:val="24"/>
          <w:szCs w:val="24"/>
          <w:highlight w:val="none"/>
          <w:lang w:eastAsia="zh-CN"/>
          <w14:textFill>
            <w14:solidFill>
              <w14:schemeClr w14:val="tx1"/>
            </w14:solidFill>
          </w14:textFill>
        </w:rPr>
        <w:t>广州交易集团有限公司（广州公共资源交易中心）</w:t>
      </w:r>
      <w:r>
        <w:rPr>
          <w:rFonts w:hint="eastAsia" w:ascii="宋体" w:hAnsi="宋体" w:eastAsia="宋体"/>
          <w:color w:val="000000" w:themeColor="text1"/>
          <w:sz w:val="24"/>
          <w:szCs w:val="24"/>
          <w:highlight w:val="none"/>
          <w:u w:val="none"/>
          <w:lang w:eastAsia="zh-CN"/>
          <w14:textFill>
            <w14:solidFill>
              <w14:schemeClr w14:val="tx1"/>
            </w14:solidFill>
          </w14:textFill>
        </w:rPr>
        <w:t>网站</w:t>
      </w:r>
      <w:r>
        <w:rPr>
          <w:rFonts w:hint="eastAsia" w:ascii="宋体" w:hAnsi="宋体" w:eastAsia="宋体"/>
          <w:color w:val="000000" w:themeColor="text1"/>
          <w:sz w:val="24"/>
          <w:szCs w:val="24"/>
          <w:highlight w:val="none"/>
          <w14:textFill>
            <w14:solidFill>
              <w14:schemeClr w14:val="tx1"/>
            </w14:solidFill>
          </w14:textFill>
        </w:rPr>
        <w:t>发布</w:t>
      </w:r>
      <w:r>
        <w:rPr>
          <w:rFonts w:hint="eastAsia" w:ascii="宋体" w:hAnsi="宋体" w:eastAsia="宋体" w:cs="Times New Roman"/>
          <w:color w:val="000000" w:themeColor="text1"/>
          <w:kern w:val="2"/>
          <w:sz w:val="24"/>
          <w:szCs w:val="24"/>
          <w:highlight w:val="none"/>
          <w14:textFill>
            <w14:solidFill>
              <w14:schemeClr w14:val="tx1"/>
            </w14:solidFill>
          </w14:textFill>
        </w:rPr>
        <w:t>，由投标人自行下载。</w:t>
      </w:r>
    </w:p>
    <w:bookmarkEnd w:id="104"/>
    <w:p w14:paraId="4F0B3449">
      <w:pPr>
        <w:spacing w:line="360" w:lineRule="auto"/>
        <w:ind w:firstLine="480" w:firstLineChars="200"/>
        <w:rPr>
          <w:rFonts w:ascii="宋体" w:hAnsi="宋体"/>
          <w:color w:val="000000" w:themeColor="text1"/>
          <w:sz w:val="24"/>
          <w:szCs w:val="24"/>
          <w:highlight w:val="none"/>
          <w14:textFill>
            <w14:solidFill>
              <w14:schemeClr w14:val="tx1"/>
            </w14:solidFill>
          </w14:textFill>
        </w:rPr>
      </w:pPr>
      <w:bookmarkStart w:id="105" w:name="_Toc221949933"/>
      <w:r>
        <w:rPr>
          <w:rFonts w:hint="eastAsia" w:ascii="宋体" w:hAnsi="宋体"/>
          <w:color w:val="000000" w:themeColor="text1"/>
          <w:sz w:val="24"/>
          <w:szCs w:val="24"/>
          <w:highlight w:val="none"/>
          <w:lang w:val="en-US" w:eastAsia="zh-CN"/>
          <w14:textFill>
            <w14:solidFill>
              <w14:schemeClr w14:val="tx1"/>
            </w14:solidFill>
          </w14:textFill>
        </w:rPr>
        <w:t>4.3</w:t>
      </w:r>
      <w:r>
        <w:rPr>
          <w:rFonts w:hint="eastAsia" w:ascii="宋体" w:hAnsi="宋体"/>
          <w:color w:val="000000" w:themeColor="text1"/>
          <w:sz w:val="24"/>
          <w:szCs w:val="24"/>
          <w:highlight w:val="none"/>
          <w14:textFill>
            <w14:solidFill>
              <w14:schemeClr w14:val="tx1"/>
            </w14:solidFill>
          </w14:textFill>
        </w:rPr>
        <w:t>招标公告网上发布时，</w:t>
      </w:r>
      <w:r>
        <w:rPr>
          <w:rFonts w:hint="eastAsia" w:ascii="宋体" w:hAnsi="宋体"/>
          <w:bCs/>
          <w:color w:val="000000" w:themeColor="text1"/>
          <w:sz w:val="24"/>
          <w:highlight w:val="none"/>
          <w14:textFill>
            <w14:solidFill>
              <w14:schemeClr w14:val="tx1"/>
            </w14:solidFill>
          </w14:textFill>
        </w:rPr>
        <w:t>同时</w:t>
      </w:r>
      <w:r>
        <w:rPr>
          <w:rFonts w:hint="eastAsia" w:ascii="宋体" w:hAnsi="宋体" w:eastAsia="宋体" w:cs="Times New Roman"/>
          <w:color w:val="000000" w:themeColor="text1"/>
          <w:kern w:val="2"/>
          <w:sz w:val="24"/>
          <w:szCs w:val="24"/>
          <w:highlight w:val="none"/>
          <w14:textFill>
            <w14:solidFill>
              <w14:schemeClr w14:val="tx1"/>
            </w14:solidFill>
          </w14:textFill>
        </w:rPr>
        <w:t>在</w:t>
      </w:r>
      <w:r>
        <w:rPr>
          <w:rFonts w:hint="eastAsia" w:ascii="宋体" w:hAnsi="宋体" w:eastAsia="宋体"/>
          <w:color w:val="000000" w:themeColor="text1"/>
          <w:sz w:val="24"/>
          <w:szCs w:val="24"/>
          <w:highlight w:val="none"/>
          <w:lang w:eastAsia="zh-CN"/>
          <w14:textFill>
            <w14:solidFill>
              <w14:schemeClr w14:val="tx1"/>
            </w14:solidFill>
          </w14:textFill>
        </w:rPr>
        <w:t>广州交易集团有限公司（广州公共资源交易中心）</w:t>
      </w:r>
      <w:r>
        <w:rPr>
          <w:rFonts w:hint="eastAsia" w:ascii="宋体" w:hAnsi="宋体" w:eastAsia="宋体"/>
          <w:color w:val="000000" w:themeColor="text1"/>
          <w:sz w:val="24"/>
          <w:szCs w:val="24"/>
          <w:highlight w:val="none"/>
          <w:u w:val="none"/>
          <w:lang w:eastAsia="zh-CN"/>
          <w14:textFill>
            <w14:solidFill>
              <w14:schemeClr w14:val="tx1"/>
            </w14:solidFill>
          </w14:textFill>
        </w:rPr>
        <w:t>网站</w:t>
      </w:r>
      <w:r>
        <w:rPr>
          <w:rFonts w:hint="eastAsia" w:ascii="宋体" w:hAnsi="宋体"/>
          <w:bCs/>
          <w:color w:val="000000" w:themeColor="text1"/>
          <w:sz w:val="24"/>
          <w:highlight w:val="none"/>
          <w14:textFill>
            <w14:solidFill>
              <w14:schemeClr w14:val="tx1"/>
            </w14:solidFill>
          </w14:textFill>
        </w:rPr>
        <w:t>发布招标文件、施工图纸、</w:t>
      </w:r>
      <w:r>
        <w:rPr>
          <w:rFonts w:hint="eastAsia" w:ascii="宋体" w:hAnsi="宋体"/>
          <w:bCs/>
          <w:color w:val="000000" w:themeColor="text1"/>
          <w:sz w:val="24"/>
          <w:highlight w:val="none"/>
          <w:lang w:eastAsia="zh-CN"/>
          <w14:textFill>
            <w14:solidFill>
              <w14:schemeClr w14:val="tx1"/>
            </w14:solidFill>
          </w14:textFill>
        </w:rPr>
        <w:t>最高投标限价</w:t>
      </w:r>
      <w:r>
        <w:rPr>
          <w:rFonts w:hint="eastAsia" w:ascii="宋体" w:hAnsi="宋体"/>
          <w:color w:val="000000" w:themeColor="text1"/>
          <w:sz w:val="24"/>
          <w:szCs w:val="24"/>
          <w:highlight w:val="none"/>
          <w14:textFill>
            <w14:solidFill>
              <w14:schemeClr w14:val="tx1"/>
            </w14:solidFill>
          </w14:textFill>
        </w:rPr>
        <w:t>。</w:t>
      </w:r>
    </w:p>
    <w:p w14:paraId="0A6D161A">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w:t>
      </w:r>
      <w:r>
        <w:rPr>
          <w:rFonts w:hint="eastAsia" w:ascii="宋体" w:hAnsi="宋体"/>
          <w:color w:val="000000" w:themeColor="text1"/>
          <w:sz w:val="24"/>
          <w:szCs w:val="24"/>
          <w:highlight w:val="none"/>
          <w:lang w:val="en-US" w:eastAsia="zh-CN"/>
          <w14:textFill>
            <w14:solidFill>
              <w14:schemeClr w14:val="tx1"/>
            </w14:solidFill>
          </w14:textFill>
        </w:rPr>
        <w:t>4</w:t>
      </w:r>
      <w:r>
        <w:rPr>
          <w:rFonts w:hint="eastAsia" w:ascii="宋体" w:hAnsi="宋体"/>
          <w:color w:val="000000" w:themeColor="text1"/>
          <w:sz w:val="24"/>
          <w:szCs w:val="24"/>
          <w:highlight w:val="none"/>
          <w14:textFill>
            <w14:solidFill>
              <w14:schemeClr w14:val="tx1"/>
            </w14:solidFill>
          </w14:textFill>
        </w:rPr>
        <w:t>如招标人需发布补充公告的，以最后发布的补充公告的时间起计算编制投标文件时间，并需在招标答疑中明确说明。</w:t>
      </w:r>
      <w:bookmarkEnd w:id="105"/>
    </w:p>
    <w:p w14:paraId="1FCAABBB">
      <w:pPr>
        <w:spacing w:line="360" w:lineRule="auto"/>
        <w:ind w:firstLine="542" w:firstLineChars="225"/>
        <w:outlineLvl w:val="9"/>
        <w:rPr>
          <w:rFonts w:ascii="宋体" w:hAnsi="宋体"/>
          <w:b/>
          <w:color w:val="000000" w:themeColor="text1"/>
          <w:sz w:val="24"/>
          <w:szCs w:val="24"/>
          <w:highlight w:val="none"/>
          <w14:textFill>
            <w14:solidFill>
              <w14:schemeClr w14:val="tx1"/>
            </w14:solidFill>
          </w14:textFill>
        </w:rPr>
      </w:pPr>
      <w:bookmarkStart w:id="106" w:name="_Toc222033818"/>
      <w:bookmarkStart w:id="107" w:name="_Toc31508"/>
      <w:bookmarkStart w:id="108" w:name="_Toc259524300"/>
      <w:bookmarkStart w:id="109" w:name="_Toc168476033"/>
      <w:bookmarkStart w:id="110" w:name="_Toc24078"/>
      <w:bookmarkStart w:id="111" w:name="_Toc144974484"/>
      <w:bookmarkStart w:id="112" w:name="_Toc222029467"/>
      <w:bookmarkStart w:id="113" w:name="_Toc229305327"/>
      <w:bookmarkStart w:id="114" w:name="_Toc21362"/>
      <w:bookmarkStart w:id="115" w:name="_Toc222030969"/>
      <w:bookmarkStart w:id="116" w:name="_Toc221949934"/>
      <w:bookmarkStart w:id="117" w:name="_Toc168475630"/>
      <w:bookmarkStart w:id="118" w:name="_Toc222032636"/>
      <w:r>
        <w:rPr>
          <w:rFonts w:hint="eastAsia" w:ascii="宋体" w:hAnsi="宋体"/>
          <w:b/>
          <w:color w:val="000000" w:themeColor="text1"/>
          <w:sz w:val="24"/>
          <w:szCs w:val="24"/>
          <w:highlight w:val="none"/>
          <w14:textFill>
            <w14:solidFill>
              <w14:schemeClr w14:val="tx1"/>
            </w14:solidFill>
          </w14:textFill>
        </w:rPr>
        <w:t>5</w:t>
      </w:r>
      <w:r>
        <w:rPr>
          <w:rFonts w:ascii="宋体" w:hAnsi="宋体"/>
          <w:b/>
          <w:color w:val="000000" w:themeColor="text1"/>
          <w:sz w:val="24"/>
          <w:szCs w:val="24"/>
          <w:highlight w:val="none"/>
          <w14:textFill>
            <w14:solidFill>
              <w14:schemeClr w14:val="tx1"/>
            </w14:solidFill>
          </w14:textFill>
        </w:rPr>
        <w:t>. 投标文件的递交</w:t>
      </w:r>
      <w:bookmarkEnd w:id="106"/>
      <w:bookmarkEnd w:id="107"/>
      <w:bookmarkEnd w:id="108"/>
      <w:bookmarkEnd w:id="109"/>
      <w:bookmarkEnd w:id="110"/>
      <w:bookmarkEnd w:id="111"/>
      <w:bookmarkEnd w:id="112"/>
      <w:bookmarkEnd w:id="113"/>
      <w:bookmarkEnd w:id="114"/>
      <w:bookmarkEnd w:id="115"/>
      <w:bookmarkEnd w:id="116"/>
      <w:bookmarkEnd w:id="117"/>
      <w:bookmarkEnd w:id="118"/>
    </w:p>
    <w:p w14:paraId="02678653">
      <w:pPr>
        <w:numPr>
          <w:ilvl w:val="0"/>
          <w:numId w:val="0"/>
        </w:numPr>
        <w:spacing w:line="360" w:lineRule="auto"/>
        <w:ind w:left="0" w:firstLine="480" w:firstLineChars="200"/>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kern w:val="2"/>
          <w:sz w:val="24"/>
          <w:szCs w:val="24"/>
          <w:highlight w:val="none"/>
          <w:lang w:val="en-US" w:eastAsia="zh-CN" w:bidi="ar-SA"/>
          <w14:textFill>
            <w14:solidFill>
              <w14:schemeClr w14:val="tx1"/>
            </w14:solidFill>
          </w14:textFill>
        </w:rPr>
        <w:t>5.1</w:t>
      </w:r>
      <w:r>
        <w:rPr>
          <w:rFonts w:hint="eastAsia" w:ascii="宋体" w:hAnsi="宋体"/>
          <w:color w:val="000000" w:themeColor="text1"/>
          <w:sz w:val="24"/>
          <w:szCs w:val="24"/>
          <w:highlight w:val="none"/>
          <w14:textFill>
            <w14:solidFill>
              <w14:schemeClr w14:val="tx1"/>
            </w14:solidFill>
          </w14:textFill>
        </w:rPr>
        <w:t>递交投标文件</w:t>
      </w:r>
      <w:r>
        <w:rPr>
          <w:rFonts w:hint="eastAsia" w:ascii="宋体" w:hAnsi="宋体"/>
          <w:color w:val="000000" w:themeColor="text1"/>
          <w:sz w:val="24"/>
          <w:szCs w:val="24"/>
          <w:highlight w:val="none"/>
          <w:lang w:eastAsia="zh-CN"/>
          <w14:textFill>
            <w14:solidFill>
              <w14:schemeClr w14:val="tx1"/>
            </w14:solidFill>
          </w14:textFill>
        </w:rPr>
        <w:t>起始时间：</w:t>
      </w:r>
      <w:r>
        <w:rPr>
          <w:rFonts w:hint="eastAsia" w:ascii="宋体" w:hAnsi="宋体"/>
          <w:color w:val="000000" w:themeColor="text1"/>
          <w:sz w:val="24"/>
          <w:szCs w:val="24"/>
          <w:highlight w:val="none"/>
          <w:u w:val="single"/>
          <w:lang w:val="en-US" w:eastAsia="zh-CN"/>
          <w14:textFill>
            <w14:solidFill>
              <w14:schemeClr w14:val="tx1"/>
            </w14:solidFill>
          </w14:textFill>
        </w:rPr>
        <w:t>2026</w:t>
      </w:r>
      <w:r>
        <w:rPr>
          <w:rFonts w:hint="eastAsia" w:ascii="宋体" w:hAnsi="宋体"/>
          <w:color w:val="000000" w:themeColor="text1"/>
          <w:sz w:val="24"/>
          <w:szCs w:val="24"/>
          <w:highlight w:val="none"/>
          <w14:textFill>
            <w14:solidFill>
              <w14:schemeClr w14:val="tx1"/>
            </w14:solidFill>
          </w14:textFill>
        </w:rPr>
        <w:t>年</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时</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分</w:t>
      </w:r>
    </w:p>
    <w:p w14:paraId="5D42B029">
      <w:pPr>
        <w:numPr>
          <w:ilvl w:val="0"/>
          <w:numId w:val="0"/>
        </w:numPr>
        <w:spacing w:line="360" w:lineRule="auto"/>
        <w:ind w:left="0" w:firstLine="480" w:firstLineChars="200"/>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截止时间</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u w:val="single"/>
          <w:lang w:val="en-US" w:eastAsia="zh-CN"/>
          <w14:textFill>
            <w14:solidFill>
              <w14:schemeClr w14:val="tx1"/>
            </w14:solidFill>
          </w14:textFill>
        </w:rPr>
        <w:t>2026</w:t>
      </w:r>
      <w:r>
        <w:rPr>
          <w:rFonts w:hint="eastAsia" w:ascii="宋体" w:hAnsi="宋体"/>
          <w:color w:val="000000" w:themeColor="text1"/>
          <w:sz w:val="24"/>
          <w:szCs w:val="24"/>
          <w:highlight w:val="none"/>
          <w14:textFill>
            <w14:solidFill>
              <w14:schemeClr w14:val="tx1"/>
            </w14:solidFill>
          </w14:textFill>
        </w:rPr>
        <w:t>年</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时</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分</w:t>
      </w:r>
    </w:p>
    <w:p w14:paraId="657F5F56">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在投标截止时间后半小时内，投标人通过</w:t>
      </w:r>
      <w:r>
        <w:rPr>
          <w:rFonts w:hint="eastAsia" w:ascii="宋体" w:hAnsi="宋体" w:cs="宋体"/>
          <w:color w:val="000000" w:themeColor="text1"/>
          <w:sz w:val="24"/>
          <w:szCs w:val="24"/>
          <w:highlight w:val="none"/>
          <w:u w:val="single"/>
          <w:lang w:eastAsia="zh-CN"/>
          <w14:textFill>
            <w14:solidFill>
              <w14:schemeClr w14:val="tx1"/>
            </w14:solidFill>
          </w14:textFill>
        </w:rPr>
        <w:t>广州交易集团有限公司（广州公共资源交易中心）</w:t>
      </w:r>
      <w:r>
        <w:rPr>
          <w:rFonts w:hint="eastAsia" w:ascii="宋体" w:hAnsi="宋体" w:cs="宋体"/>
          <w:color w:val="000000" w:themeColor="text1"/>
          <w:sz w:val="24"/>
          <w:szCs w:val="24"/>
          <w:highlight w:val="none"/>
          <w:lang w:eastAsia="zh-CN"/>
          <w14:textFill>
            <w14:solidFill>
              <w14:schemeClr w14:val="tx1"/>
            </w14:solidFill>
          </w14:textFill>
        </w:rPr>
        <w:t>网站</w:t>
      </w:r>
      <w:r>
        <w:rPr>
          <w:rFonts w:hint="eastAsia" w:ascii="宋体" w:hAnsi="宋体" w:cs="宋体"/>
          <w:color w:val="000000" w:themeColor="text1"/>
          <w:sz w:val="24"/>
          <w:szCs w:val="24"/>
          <w:highlight w:val="none"/>
          <w14:textFill>
            <w14:solidFill>
              <w14:schemeClr w14:val="tx1"/>
            </w14:solidFill>
          </w14:textFill>
        </w:rPr>
        <w:t>对已递交的电子投标文件进行解密。</w:t>
      </w:r>
    </w:p>
    <w:p w14:paraId="74925DBD">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5.2开标</w:t>
      </w:r>
      <w:r>
        <w:rPr>
          <w:rFonts w:hint="eastAsia" w:ascii="宋体" w:hAnsi="宋体"/>
          <w:color w:val="000000" w:themeColor="text1"/>
          <w:sz w:val="24"/>
          <w:szCs w:val="24"/>
          <w:highlight w:val="none"/>
          <w:lang w:eastAsia="zh-CN"/>
          <w14:textFill>
            <w14:solidFill>
              <w14:schemeClr w14:val="tx1"/>
            </w14:solidFill>
          </w14:textFill>
        </w:rPr>
        <w:t>开始</w:t>
      </w:r>
      <w:r>
        <w:rPr>
          <w:rFonts w:hint="eastAsia" w:ascii="宋体" w:hAnsi="宋体"/>
          <w:color w:val="000000" w:themeColor="text1"/>
          <w:sz w:val="24"/>
          <w:szCs w:val="24"/>
          <w:highlight w:val="none"/>
          <w14:textFill>
            <w14:solidFill>
              <w14:schemeClr w14:val="tx1"/>
            </w14:solidFill>
          </w14:textFill>
        </w:rPr>
        <w:t>时间：</w:t>
      </w:r>
      <w:r>
        <w:rPr>
          <w:rFonts w:hint="eastAsia" w:ascii="宋体" w:hAnsi="宋体"/>
          <w:color w:val="000000" w:themeColor="text1"/>
          <w:sz w:val="24"/>
          <w:szCs w:val="24"/>
          <w:highlight w:val="none"/>
          <w:lang w:val="en-US" w:eastAsia="zh-CN"/>
          <w14:textFill>
            <w14:solidFill>
              <w14:schemeClr w14:val="tx1"/>
            </w14:solidFill>
          </w14:textFill>
        </w:rPr>
        <w:t>2026</w:t>
      </w:r>
      <w:r>
        <w:rPr>
          <w:rFonts w:hint="eastAsia" w:ascii="宋体" w:hAnsi="宋体"/>
          <w:color w:val="000000" w:themeColor="text1"/>
          <w:sz w:val="24"/>
          <w:szCs w:val="24"/>
          <w:highlight w:val="none"/>
          <w14:textFill>
            <w14:solidFill>
              <w14:schemeClr w14:val="tx1"/>
            </w14:solidFill>
          </w14:textFill>
        </w:rPr>
        <w:t>年_</w:t>
      </w:r>
      <w:r>
        <w:rPr>
          <w:rFonts w:ascii="宋体" w:hAnsi="宋体"/>
          <w:color w:val="000000" w:themeColor="text1"/>
          <w:sz w:val="24"/>
          <w:szCs w:val="24"/>
          <w:highlight w:val="none"/>
          <w14:textFill>
            <w14:solidFill>
              <w14:schemeClr w14:val="tx1"/>
            </w14:solidFill>
          </w14:textFill>
        </w:rPr>
        <w:t>_</w:t>
      </w:r>
      <w:r>
        <w:rPr>
          <w:rFonts w:hint="eastAsia" w:ascii="宋体" w:hAnsi="宋体"/>
          <w:color w:val="000000" w:themeColor="text1"/>
          <w:sz w:val="24"/>
          <w:szCs w:val="24"/>
          <w:highlight w:val="none"/>
          <w14:textFill>
            <w14:solidFill>
              <w14:schemeClr w14:val="tx1"/>
            </w14:solidFill>
          </w14:textFill>
        </w:rPr>
        <w:t>_月_</w:t>
      </w:r>
      <w:r>
        <w:rPr>
          <w:rFonts w:ascii="宋体" w:hAnsi="宋体"/>
          <w:color w:val="000000" w:themeColor="text1"/>
          <w:sz w:val="24"/>
          <w:szCs w:val="24"/>
          <w:highlight w:val="none"/>
          <w14:textFill>
            <w14:solidFill>
              <w14:schemeClr w14:val="tx1"/>
            </w14:solidFill>
          </w14:textFill>
        </w:rPr>
        <w:t>_</w:t>
      </w:r>
      <w:r>
        <w:rPr>
          <w:rFonts w:hint="eastAsia" w:ascii="宋体" w:hAnsi="宋体"/>
          <w:color w:val="000000" w:themeColor="text1"/>
          <w:sz w:val="24"/>
          <w:szCs w:val="24"/>
          <w:highlight w:val="none"/>
          <w14:textFill>
            <w14:solidFill>
              <w14:schemeClr w14:val="tx1"/>
            </w14:solidFill>
          </w14:textFill>
        </w:rPr>
        <w:t>_日_</w:t>
      </w:r>
      <w:r>
        <w:rPr>
          <w:rFonts w:ascii="宋体" w:hAnsi="宋体"/>
          <w:color w:val="000000" w:themeColor="text1"/>
          <w:sz w:val="24"/>
          <w:szCs w:val="24"/>
          <w:highlight w:val="none"/>
          <w14:textFill>
            <w14:solidFill>
              <w14:schemeClr w14:val="tx1"/>
            </w14:solidFill>
          </w14:textFill>
        </w:rPr>
        <w:t>_</w:t>
      </w:r>
      <w:r>
        <w:rPr>
          <w:rFonts w:hint="eastAsia" w:ascii="宋体" w:hAnsi="宋体"/>
          <w:color w:val="000000" w:themeColor="text1"/>
          <w:sz w:val="24"/>
          <w:szCs w:val="24"/>
          <w:highlight w:val="none"/>
          <w14:textFill>
            <w14:solidFill>
              <w14:schemeClr w14:val="tx1"/>
            </w14:solidFill>
          </w14:textFill>
        </w:rPr>
        <w:t>_时_</w:t>
      </w:r>
      <w:r>
        <w:rPr>
          <w:rFonts w:ascii="宋体" w:hAnsi="宋体"/>
          <w:color w:val="000000" w:themeColor="text1"/>
          <w:sz w:val="24"/>
          <w:szCs w:val="24"/>
          <w:highlight w:val="none"/>
          <w14:textFill>
            <w14:solidFill>
              <w14:schemeClr w14:val="tx1"/>
            </w14:solidFill>
          </w14:textFill>
        </w:rPr>
        <w:t>_</w:t>
      </w:r>
      <w:r>
        <w:rPr>
          <w:rFonts w:hint="eastAsia" w:ascii="宋体" w:hAnsi="宋体"/>
          <w:color w:val="000000" w:themeColor="text1"/>
          <w:sz w:val="24"/>
          <w:szCs w:val="24"/>
          <w:highlight w:val="none"/>
          <w14:textFill>
            <w14:solidFill>
              <w14:schemeClr w14:val="tx1"/>
            </w14:solidFill>
          </w14:textFill>
        </w:rPr>
        <w:t>_分</w:t>
      </w:r>
    </w:p>
    <w:p w14:paraId="3C9D519F">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5.3递交投标文件截止时间与开标开始时间是否有变化，请密切留意招标答疑中的相关信息。递交投标文件截止时间后，开标开始时间因故推迟的，相关评标信息仍以原递交投标文件截止时间的信息为准。</w:t>
      </w:r>
    </w:p>
    <w:p w14:paraId="5E2CF983">
      <w:pPr>
        <w:widowControl/>
        <w:spacing w:line="360" w:lineRule="auto"/>
        <w:ind w:firstLine="480" w:firstLineChars="200"/>
        <w:jc w:val="left"/>
        <w:rPr>
          <w:rFonts w:hint="default"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5.4</w:t>
      </w:r>
      <w:r>
        <w:rPr>
          <w:rFonts w:hint="eastAsia" w:ascii="宋体" w:hAnsi="宋体"/>
          <w:color w:val="000000" w:themeColor="text1"/>
          <w:sz w:val="24"/>
          <w:szCs w:val="24"/>
          <w:highlight w:val="none"/>
          <w14:textFill>
            <w14:solidFill>
              <w14:schemeClr w14:val="tx1"/>
            </w14:solidFill>
          </w14:textFill>
        </w:rPr>
        <w:t>投标人通过</w:t>
      </w:r>
      <w:r>
        <w:rPr>
          <w:rFonts w:hint="eastAsia" w:ascii="宋体" w:hAnsi="宋体" w:eastAsia="宋体"/>
          <w:color w:val="000000" w:themeColor="text1"/>
          <w:sz w:val="24"/>
          <w:szCs w:val="24"/>
          <w:highlight w:val="none"/>
          <w:lang w:eastAsia="zh-CN"/>
          <w14:textFill>
            <w14:solidFill>
              <w14:schemeClr w14:val="tx1"/>
            </w14:solidFill>
          </w14:textFill>
        </w:rPr>
        <w:t>广州交易集团有限公司（广州公共资源交易中心）</w:t>
      </w:r>
      <w:r>
        <w:rPr>
          <w:rFonts w:hint="eastAsia" w:ascii="宋体" w:hAnsi="宋体" w:eastAsia="宋体"/>
          <w:color w:val="000000" w:themeColor="text1"/>
          <w:sz w:val="24"/>
          <w:szCs w:val="24"/>
          <w:highlight w:val="none"/>
          <w:u w:val="none"/>
          <w:lang w:eastAsia="zh-CN"/>
          <w14:textFill>
            <w14:solidFill>
              <w14:schemeClr w14:val="tx1"/>
            </w14:solidFill>
          </w14:textFill>
        </w:rPr>
        <w:t>网站</w:t>
      </w:r>
      <w:r>
        <w:rPr>
          <w:rFonts w:hint="eastAsia" w:ascii="宋体" w:hAnsi="宋体"/>
          <w:color w:val="000000" w:themeColor="text1"/>
          <w:sz w:val="24"/>
          <w:szCs w:val="24"/>
          <w:highlight w:val="none"/>
          <w14:textFill>
            <w14:solidFill>
              <w14:schemeClr w14:val="tx1"/>
            </w14:solidFill>
          </w14:textFill>
        </w:rPr>
        <w:t>递交电子投标文件。投标人应在递交投标文件截止时间前，登录</w:t>
      </w:r>
      <w:r>
        <w:rPr>
          <w:rFonts w:hint="eastAsia" w:ascii="宋体" w:hAnsi="宋体" w:eastAsia="宋体"/>
          <w:color w:val="000000" w:themeColor="text1"/>
          <w:sz w:val="24"/>
          <w:szCs w:val="24"/>
          <w:highlight w:val="none"/>
          <w:lang w:eastAsia="zh-CN"/>
          <w14:textFill>
            <w14:solidFill>
              <w14:schemeClr w14:val="tx1"/>
            </w14:solidFill>
          </w14:textFill>
        </w:rPr>
        <w:t>广州交易集团有限公司（广州公共资源交易中心）</w:t>
      </w:r>
      <w:r>
        <w:rPr>
          <w:rFonts w:hint="eastAsia" w:ascii="宋体" w:hAnsi="宋体" w:eastAsia="宋体"/>
          <w:color w:val="000000" w:themeColor="text1"/>
          <w:sz w:val="24"/>
          <w:szCs w:val="24"/>
          <w:highlight w:val="none"/>
          <w:u w:val="none"/>
          <w:lang w:eastAsia="zh-CN"/>
          <w14:textFill>
            <w14:solidFill>
              <w14:schemeClr w14:val="tx1"/>
            </w14:solidFill>
          </w14:textFill>
        </w:rPr>
        <w:t>网站</w:t>
      </w:r>
      <w:r>
        <w:rPr>
          <w:rFonts w:hint="eastAsia" w:ascii="宋体" w:hAnsi="宋体"/>
          <w:color w:val="000000" w:themeColor="text1"/>
          <w:sz w:val="24"/>
          <w:szCs w:val="24"/>
          <w:highlight w:val="none"/>
          <w14:textFill>
            <w14:solidFill>
              <w14:schemeClr w14:val="tx1"/>
            </w14:solidFill>
          </w14:textFill>
        </w:rPr>
        <w:t>办理网上投标登记手续</w:t>
      </w:r>
      <w:r>
        <w:rPr>
          <w:rFonts w:hint="eastAsia" w:ascii="宋体" w:hAnsi="宋体"/>
          <w:color w:val="000000" w:themeColor="text1"/>
          <w:sz w:val="24"/>
          <w:szCs w:val="24"/>
          <w:highlight w:val="none"/>
          <w:lang w:eastAsia="zh-CN"/>
          <w14:textFill>
            <w14:solidFill>
              <w14:schemeClr w14:val="tx1"/>
            </w14:solidFill>
          </w14:textFill>
        </w:rPr>
        <w:t>。按照</w:t>
      </w:r>
      <w:r>
        <w:rPr>
          <w:rFonts w:hint="eastAsia" w:ascii="宋体" w:hAnsi="宋体" w:eastAsia="宋体"/>
          <w:color w:val="000000" w:themeColor="text1"/>
          <w:sz w:val="24"/>
          <w:szCs w:val="24"/>
          <w:highlight w:val="none"/>
          <w:lang w:eastAsia="zh-CN"/>
          <w14:textFill>
            <w14:solidFill>
              <w14:schemeClr w14:val="tx1"/>
            </w14:solidFill>
          </w14:textFill>
        </w:rPr>
        <w:t>广州交易集团有限公司（广州公共资源交易中心）</w:t>
      </w:r>
      <w:r>
        <w:rPr>
          <w:rFonts w:hint="eastAsia" w:ascii="宋体" w:hAnsi="宋体" w:eastAsia="宋体"/>
          <w:color w:val="000000" w:themeColor="text1"/>
          <w:sz w:val="24"/>
          <w:szCs w:val="24"/>
          <w:highlight w:val="none"/>
          <w:u w:val="none"/>
          <w:lang w:eastAsia="zh-CN"/>
          <w14:textFill>
            <w14:solidFill>
              <w14:schemeClr w14:val="tx1"/>
            </w14:solidFill>
          </w14:textFill>
        </w:rPr>
        <w:t>网站</w:t>
      </w:r>
      <w:r>
        <w:rPr>
          <w:rFonts w:hint="eastAsia" w:ascii="宋体" w:hAnsi="宋体"/>
          <w:color w:val="000000" w:themeColor="text1"/>
          <w:sz w:val="24"/>
          <w:szCs w:val="24"/>
          <w:highlight w:val="none"/>
          <w:lang w:eastAsia="zh-CN"/>
          <w14:textFill>
            <w14:solidFill>
              <w14:schemeClr w14:val="tx1"/>
            </w14:solidFill>
          </w14:textFill>
        </w:rPr>
        <w:t>关于全流程电子化项目的相关指南进行操作</w:t>
      </w:r>
      <w:r>
        <w:rPr>
          <w:rFonts w:hint="eastAsia" w:ascii="宋体" w:hAnsi="宋体"/>
          <w:color w:val="000000" w:themeColor="text1"/>
          <w:sz w:val="24"/>
          <w:szCs w:val="24"/>
          <w:highlight w:val="none"/>
          <w14:textFill>
            <w14:solidFill>
              <w14:schemeClr w14:val="tx1"/>
            </w14:solidFill>
          </w14:textFill>
        </w:rPr>
        <w:t>。</w:t>
      </w:r>
    </w:p>
    <w:p w14:paraId="5DCC4D4D">
      <w:pPr>
        <w:widowControl/>
        <w:spacing w:line="360" w:lineRule="auto"/>
        <w:ind w:firstLine="480" w:firstLineChars="20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w:t>
      </w:r>
      <w:r>
        <w:rPr>
          <w:rFonts w:hint="eastAsia" w:ascii="宋体" w:hAnsi="宋体"/>
          <w:color w:val="000000" w:themeColor="text1"/>
          <w:sz w:val="24"/>
          <w:szCs w:val="24"/>
          <w:highlight w:val="none"/>
          <w:lang w:val="en-US" w:eastAsia="zh-CN"/>
          <w14:textFill>
            <w14:solidFill>
              <w14:schemeClr w14:val="tx1"/>
            </w14:solidFill>
          </w14:textFill>
        </w:rPr>
        <w:t>5</w:t>
      </w:r>
      <w:r>
        <w:rPr>
          <w:rFonts w:hint="eastAsia" w:ascii="宋体" w:hAnsi="宋体"/>
          <w:color w:val="000000" w:themeColor="text1"/>
          <w:sz w:val="24"/>
          <w:szCs w:val="24"/>
          <w:highlight w:val="none"/>
          <w14:textFill>
            <w14:solidFill>
              <w14:schemeClr w14:val="tx1"/>
            </w14:solidFill>
          </w14:textFill>
        </w:rPr>
        <w:t>投标人应自行检查</w:t>
      </w:r>
      <w:r>
        <w:rPr>
          <w:rFonts w:hint="eastAsia" w:ascii="宋体" w:hAnsi="宋体"/>
          <w:color w:val="000000" w:themeColor="text1"/>
          <w:sz w:val="24"/>
          <w:szCs w:val="24"/>
          <w:highlight w:val="none"/>
          <w:lang w:eastAsia="zh-CN"/>
          <w14:textFill>
            <w14:solidFill>
              <w14:schemeClr w14:val="tx1"/>
            </w14:solidFill>
          </w14:textFill>
        </w:rPr>
        <w:t>广州交易集团有限公司（广州公共资源交易中心）</w:t>
      </w:r>
      <w:r>
        <w:rPr>
          <w:rFonts w:hint="eastAsia" w:ascii="宋体" w:hAnsi="宋体"/>
          <w:color w:val="000000" w:themeColor="text1"/>
          <w:sz w:val="24"/>
          <w:szCs w:val="24"/>
          <w:highlight w:val="none"/>
          <w14:textFill>
            <w14:solidFill>
              <w14:schemeClr w14:val="tx1"/>
            </w14:solidFill>
          </w14:textFill>
        </w:rPr>
        <w:t>信息登记中的企业基础信息扫描件（包括企业资质证书、企业营业执照、企业安全生产许可证、项目负责人相关证书、</w:t>
      </w:r>
      <w:r>
        <w:rPr>
          <w:rFonts w:hint="eastAsia" w:ascii="宋体" w:hAnsi="宋体"/>
          <w:color w:val="000000" w:themeColor="text1"/>
          <w:sz w:val="24"/>
          <w:szCs w:val="24"/>
          <w:highlight w:val="none"/>
          <w:lang w:val="en-US" w:eastAsia="zh-CN"/>
          <w14:textFill>
            <w14:solidFill>
              <w14:schemeClr w14:val="tx1"/>
            </w14:solidFill>
          </w14:textFill>
        </w:rPr>
        <w:t>专职</w:t>
      </w:r>
      <w:r>
        <w:rPr>
          <w:rFonts w:hint="eastAsia" w:ascii="宋体" w:hAnsi="宋体"/>
          <w:color w:val="000000" w:themeColor="text1"/>
          <w:sz w:val="24"/>
          <w:szCs w:val="24"/>
          <w:highlight w:val="none"/>
          <w14:textFill>
            <w14:solidFill>
              <w14:schemeClr w14:val="tx1"/>
            </w14:solidFill>
          </w14:textFill>
        </w:rPr>
        <w:t>安全员</w:t>
      </w:r>
      <w:r>
        <w:rPr>
          <w:rFonts w:hint="eastAsia" w:ascii="宋体" w:hAnsi="宋体"/>
          <w:color w:val="000000" w:themeColor="text1"/>
          <w:sz w:val="24"/>
          <w:szCs w:val="24"/>
          <w:highlight w:val="none"/>
          <w:lang w:eastAsia="zh-CN"/>
          <w14:textFill>
            <w14:solidFill>
              <w14:schemeClr w14:val="tx1"/>
            </w14:solidFill>
          </w14:textFill>
        </w:rPr>
        <w:t>安全生产考核合格证</w:t>
      </w:r>
      <w:r>
        <w:rPr>
          <w:rFonts w:hint="eastAsia" w:ascii="宋体" w:hAnsi="宋体"/>
          <w:color w:val="000000" w:themeColor="text1"/>
          <w:sz w:val="24"/>
          <w:szCs w:val="24"/>
          <w:highlight w:val="none"/>
          <w14:textFill>
            <w14:solidFill>
              <w14:schemeClr w14:val="tx1"/>
            </w14:solidFill>
          </w14:textFill>
        </w:rPr>
        <w:t>等），评标委员会对上述资料的审查将以递交投标文件截止时间在</w:t>
      </w:r>
      <w:r>
        <w:rPr>
          <w:rFonts w:hint="eastAsia" w:ascii="宋体" w:hAnsi="宋体"/>
          <w:color w:val="000000" w:themeColor="text1"/>
          <w:sz w:val="24"/>
          <w:szCs w:val="24"/>
          <w:highlight w:val="none"/>
          <w:lang w:eastAsia="zh-CN"/>
          <w14:textFill>
            <w14:solidFill>
              <w14:schemeClr w14:val="tx1"/>
            </w14:solidFill>
          </w14:textFill>
        </w:rPr>
        <w:t>广州交易集团有限公司（广州公共资源交易中心）</w:t>
      </w:r>
      <w:r>
        <w:rPr>
          <w:rFonts w:hint="eastAsia" w:ascii="宋体" w:hAnsi="宋体"/>
          <w:color w:val="000000" w:themeColor="text1"/>
          <w:sz w:val="24"/>
          <w:szCs w:val="24"/>
          <w:highlight w:val="none"/>
          <w14:textFill>
            <w14:solidFill>
              <w14:schemeClr w14:val="tx1"/>
            </w14:solidFill>
          </w14:textFill>
        </w:rPr>
        <w:t>信息登记的信息为依据。投标人应及时维护其在</w:t>
      </w:r>
      <w:r>
        <w:rPr>
          <w:rFonts w:hint="eastAsia" w:ascii="宋体" w:hAnsi="宋体"/>
          <w:color w:val="000000" w:themeColor="text1"/>
          <w:sz w:val="24"/>
          <w:szCs w:val="24"/>
          <w:highlight w:val="none"/>
          <w:lang w:eastAsia="zh-CN"/>
          <w14:textFill>
            <w14:solidFill>
              <w14:schemeClr w14:val="tx1"/>
            </w14:solidFill>
          </w14:textFill>
        </w:rPr>
        <w:t>广州交易集团有限公司（广州公共资源交易中心）</w:t>
      </w:r>
      <w:r>
        <w:rPr>
          <w:rFonts w:hint="eastAsia" w:ascii="宋体" w:hAnsi="宋体"/>
          <w:color w:val="000000" w:themeColor="text1"/>
          <w:sz w:val="24"/>
          <w:szCs w:val="24"/>
          <w:highlight w:val="none"/>
          <w14:textFill>
            <w14:solidFill>
              <w14:schemeClr w14:val="tx1"/>
            </w14:solidFill>
          </w14:textFill>
        </w:rPr>
        <w:t>信息登记的信息，确保各项信息在有效期内。如因投标单位资料缺失导致资格审查不通过，责任由投标单位自行承担。</w:t>
      </w:r>
    </w:p>
    <w:p w14:paraId="2EEFE02B">
      <w:pPr>
        <w:spacing w:line="360" w:lineRule="auto"/>
        <w:ind w:firstLine="542" w:firstLineChars="225"/>
        <w:outlineLvl w:val="9"/>
        <w:rPr>
          <w:rFonts w:hint="eastAsia" w:ascii="宋体" w:hAnsi="宋体" w:eastAsia="宋体"/>
          <w:b/>
          <w:color w:val="000000" w:themeColor="text1"/>
          <w:sz w:val="24"/>
          <w:szCs w:val="24"/>
          <w:highlight w:val="none"/>
          <w:lang w:eastAsia="zh-CN"/>
          <w14:textFill>
            <w14:solidFill>
              <w14:schemeClr w14:val="tx1"/>
            </w14:solidFill>
          </w14:textFill>
        </w:rPr>
      </w:pPr>
      <w:bookmarkStart w:id="119" w:name="_Toc6218"/>
      <w:bookmarkStart w:id="120" w:name="_Toc25868"/>
      <w:bookmarkStart w:id="121" w:name="_Toc19442"/>
      <w:bookmarkStart w:id="122" w:name="_Toc222030970"/>
      <w:bookmarkStart w:id="123" w:name="_Toc222032637"/>
      <w:bookmarkStart w:id="124" w:name="_Toc222033819"/>
      <w:bookmarkStart w:id="125" w:name="_Toc259524301"/>
      <w:bookmarkStart w:id="126" w:name="_Toc229305328"/>
      <w:bookmarkStart w:id="127" w:name="_Toc221949937"/>
      <w:bookmarkStart w:id="128" w:name="_Toc222029468"/>
      <w:r>
        <w:rPr>
          <w:rFonts w:hint="eastAsia" w:ascii="宋体" w:hAnsi="宋体"/>
          <w:b/>
          <w:color w:val="000000" w:themeColor="text1"/>
          <w:sz w:val="24"/>
          <w:szCs w:val="24"/>
          <w:highlight w:val="none"/>
          <w14:textFill>
            <w14:solidFill>
              <w14:schemeClr w14:val="tx1"/>
            </w14:solidFill>
          </w14:textFill>
        </w:rPr>
        <w:t>6、办理</w:t>
      </w:r>
      <w:r>
        <w:rPr>
          <w:rFonts w:hint="eastAsia" w:ascii="宋体" w:hAnsi="宋体"/>
          <w:b/>
          <w:color w:val="000000" w:themeColor="text1"/>
          <w:sz w:val="24"/>
          <w:szCs w:val="24"/>
          <w:highlight w:val="none"/>
          <w:lang w:eastAsia="zh-CN"/>
          <w14:textFill>
            <w14:solidFill>
              <w14:schemeClr w14:val="tx1"/>
            </w14:solidFill>
          </w14:textFill>
        </w:rPr>
        <w:t>企业信息登记</w:t>
      </w:r>
      <w:bookmarkEnd w:id="119"/>
      <w:bookmarkEnd w:id="120"/>
      <w:bookmarkEnd w:id="121"/>
    </w:p>
    <w:p w14:paraId="34B6AA4A">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本次招标要求投标人办理网上投标登记前，须在</w:t>
      </w:r>
      <w:r>
        <w:rPr>
          <w:rFonts w:hint="eastAsia" w:ascii="宋体" w:hAnsi="宋体" w:eastAsia="宋体"/>
          <w:color w:val="000000" w:themeColor="text1"/>
          <w:sz w:val="24"/>
          <w:szCs w:val="24"/>
          <w:highlight w:val="none"/>
          <w:lang w:eastAsia="zh-CN"/>
          <w14:textFill>
            <w14:solidFill>
              <w14:schemeClr w14:val="tx1"/>
            </w14:solidFill>
          </w14:textFill>
        </w:rPr>
        <w:t>广州交易集团有限公司（广州公共资源交易中心）</w:t>
      </w:r>
      <w:r>
        <w:rPr>
          <w:rFonts w:hint="eastAsia" w:ascii="宋体" w:hAnsi="宋体" w:eastAsia="宋体"/>
          <w:color w:val="000000" w:themeColor="text1"/>
          <w:sz w:val="24"/>
          <w:szCs w:val="24"/>
          <w:highlight w:val="none"/>
          <w:u w:val="none"/>
          <w:lang w:eastAsia="zh-CN"/>
          <w14:textFill>
            <w14:solidFill>
              <w14:schemeClr w14:val="tx1"/>
            </w14:solidFill>
          </w14:textFill>
        </w:rPr>
        <w:t>网站</w:t>
      </w:r>
      <w:r>
        <w:rPr>
          <w:rFonts w:hint="eastAsia"/>
          <w:color w:val="000000" w:themeColor="text1"/>
          <w:sz w:val="24"/>
          <w:highlight w:val="none"/>
          <w14:textFill>
            <w14:solidFill>
              <w14:schemeClr w14:val="tx1"/>
            </w14:solidFill>
          </w14:textFill>
        </w:rPr>
        <w:t>完成企业信息登记，及拟担任本工程项目负责人、专职安全员须是本企业信息登记中的在册人员。</w:t>
      </w:r>
      <w:r>
        <w:rPr>
          <w:rFonts w:hint="eastAsia" w:ascii="宋体" w:hAnsi="宋体" w:cs="宋体"/>
          <w:color w:val="000000" w:themeColor="text1"/>
          <w:kern w:val="0"/>
          <w:sz w:val="24"/>
          <w:szCs w:val="24"/>
          <w:highlight w:val="none"/>
          <w14:textFill>
            <w14:solidFill>
              <w14:schemeClr w14:val="tx1"/>
            </w14:solidFill>
          </w14:textFill>
        </w:rPr>
        <w:t>企业信息登记应按照</w:t>
      </w:r>
      <w:r>
        <w:rPr>
          <w:rFonts w:hint="eastAsia" w:ascii="宋体" w:hAnsi="宋体" w:eastAsia="宋体"/>
          <w:color w:val="000000" w:themeColor="text1"/>
          <w:sz w:val="24"/>
          <w:szCs w:val="24"/>
          <w:highlight w:val="none"/>
          <w:lang w:eastAsia="zh-CN"/>
          <w14:textFill>
            <w14:solidFill>
              <w14:schemeClr w14:val="tx1"/>
            </w14:solidFill>
          </w14:textFill>
        </w:rPr>
        <w:t>广州交易集团有限公司（广州公共资源交易中心）</w:t>
      </w:r>
      <w:r>
        <w:rPr>
          <w:rFonts w:hint="eastAsia" w:ascii="宋体" w:hAnsi="宋体" w:eastAsia="宋体"/>
          <w:color w:val="000000" w:themeColor="text1"/>
          <w:sz w:val="24"/>
          <w:szCs w:val="24"/>
          <w:highlight w:val="none"/>
          <w:u w:val="none"/>
          <w:lang w:eastAsia="zh-CN"/>
          <w14:textFill>
            <w14:solidFill>
              <w14:schemeClr w14:val="tx1"/>
            </w14:solidFill>
          </w14:textFill>
        </w:rPr>
        <w:t>网站</w:t>
      </w:r>
      <w:r>
        <w:rPr>
          <w:rFonts w:hint="eastAsia" w:ascii="宋体" w:hAnsi="宋体" w:cs="宋体"/>
          <w:color w:val="000000" w:themeColor="text1"/>
          <w:kern w:val="0"/>
          <w:sz w:val="24"/>
          <w:szCs w:val="24"/>
          <w:highlight w:val="none"/>
          <w14:textFill>
            <w14:solidFill>
              <w14:schemeClr w14:val="tx1"/>
            </w14:solidFill>
          </w14:textFill>
        </w:rPr>
        <w:t>关于企业信息登记的相关指南进行操作。</w:t>
      </w:r>
    </w:p>
    <w:p w14:paraId="754E9B06">
      <w:pPr>
        <w:ind w:firstLine="482" w:firstLineChars="200"/>
        <w:outlineLvl w:val="9"/>
        <w:rPr>
          <w:rFonts w:hint="eastAsia" w:ascii="宋体" w:hAnsi="宋体" w:cs="宋体"/>
          <w:b/>
          <w:color w:val="000000" w:themeColor="text1"/>
          <w:kern w:val="0"/>
          <w:sz w:val="24"/>
          <w:szCs w:val="24"/>
          <w:highlight w:val="none"/>
          <w14:textFill>
            <w14:solidFill>
              <w14:schemeClr w14:val="tx1"/>
            </w14:solidFill>
          </w14:textFill>
        </w:rPr>
      </w:pPr>
      <w:bookmarkStart w:id="129" w:name="_Toc28566"/>
      <w:bookmarkStart w:id="130" w:name="_Toc1969"/>
      <w:bookmarkStart w:id="131" w:name="_Toc18373"/>
      <w:r>
        <w:rPr>
          <w:rFonts w:hint="eastAsia" w:ascii="宋体" w:hAnsi="宋体" w:cs="宋体"/>
          <w:b/>
          <w:color w:val="000000" w:themeColor="text1"/>
          <w:kern w:val="0"/>
          <w:sz w:val="24"/>
          <w:szCs w:val="24"/>
          <w:highlight w:val="none"/>
          <w:lang w:val="en-US" w:eastAsia="zh-CN"/>
          <w14:textFill>
            <w14:solidFill>
              <w14:schemeClr w14:val="tx1"/>
            </w14:solidFill>
          </w14:textFill>
        </w:rPr>
        <w:t>7</w:t>
      </w:r>
      <w:r>
        <w:rPr>
          <w:rFonts w:hint="eastAsia" w:ascii="宋体" w:hAnsi="宋体" w:cs="宋体"/>
          <w:b/>
          <w:color w:val="000000" w:themeColor="text1"/>
          <w:kern w:val="0"/>
          <w:sz w:val="24"/>
          <w:szCs w:val="24"/>
          <w:highlight w:val="none"/>
          <w14:textFill>
            <w14:solidFill>
              <w14:schemeClr w14:val="tx1"/>
            </w14:solidFill>
          </w14:textFill>
        </w:rPr>
        <w:t>. 疑问、异议和投诉处理</w:t>
      </w:r>
      <w:bookmarkEnd w:id="129"/>
      <w:bookmarkEnd w:id="130"/>
      <w:bookmarkEnd w:id="131"/>
    </w:p>
    <w:p w14:paraId="4D1D95C9">
      <w:pPr>
        <w:widowControl/>
        <w:spacing w:before="94" w:after="94"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7</w:t>
      </w:r>
      <w:r>
        <w:rPr>
          <w:rFonts w:hint="eastAsia" w:ascii="宋体" w:hAnsi="宋体" w:cs="宋体"/>
          <w:color w:val="000000" w:themeColor="text1"/>
          <w:kern w:val="0"/>
          <w:sz w:val="24"/>
          <w:szCs w:val="24"/>
          <w:highlight w:val="none"/>
          <w14:textFill>
            <w14:solidFill>
              <w14:schemeClr w14:val="tx1"/>
            </w14:solidFill>
          </w14:textFill>
        </w:rPr>
        <w:t>.1</w:t>
      </w:r>
      <w:r>
        <w:rPr>
          <w:rFonts w:hint="eastAsia"/>
          <w:color w:val="000000" w:themeColor="text1"/>
          <w:sz w:val="24"/>
          <w:highlight w:val="none"/>
          <w14:textFill>
            <w14:solidFill>
              <w14:schemeClr w14:val="tx1"/>
            </w14:solidFill>
          </w14:textFill>
        </w:rPr>
        <w:t>关于疑问、异议、投诉的基本概念和处理程序详见</w:t>
      </w:r>
      <w:r>
        <w:rPr>
          <w:rFonts w:hint="eastAsia"/>
          <w:color w:val="000000" w:themeColor="text1"/>
          <w:sz w:val="24"/>
          <w:highlight w:val="none"/>
          <w:lang w:eastAsia="zh-CN"/>
          <w14:textFill>
            <w14:solidFill>
              <w14:schemeClr w14:val="tx1"/>
            </w14:solidFill>
          </w14:textFill>
        </w:rPr>
        <w:t>《中华人民共和国招标投标法》、《中华人民共和国招标投标法实施条例》、《工程建设项目招标投标活动投诉处理办法》</w:t>
      </w:r>
      <w:r>
        <w:rPr>
          <w:rFonts w:hint="eastAsia"/>
          <w:color w:val="000000" w:themeColor="text1"/>
          <w:sz w:val="24"/>
          <w:szCs w:val="24"/>
          <w:highlight w:val="none"/>
          <w:lang w:eastAsia="zh-CN"/>
          <w14:textFill>
            <w14:solidFill>
              <w14:schemeClr w14:val="tx1"/>
            </w14:solidFill>
          </w14:textFill>
        </w:rPr>
        <w:t>和</w:t>
      </w:r>
      <w:r>
        <w:rPr>
          <w:rFonts w:hint="eastAsia" w:ascii="宋体" w:hAnsi="宋体" w:eastAsia="宋体" w:cs="宋体"/>
          <w:color w:val="000000" w:themeColor="text1"/>
          <w:sz w:val="24"/>
          <w:szCs w:val="24"/>
          <w:highlight w:val="none"/>
          <w14:textFill>
            <w14:solidFill>
              <w14:schemeClr w14:val="tx1"/>
            </w14:solidFill>
          </w14:textFill>
        </w:rPr>
        <w:t>《广州市水务局关于进一步加强水务工程项目招标投标活动监督管理工作的通知》（穗水建管〔2023〕78号）</w:t>
      </w:r>
      <w:r>
        <w:rPr>
          <w:rFonts w:hint="eastAsia"/>
          <w:color w:val="000000" w:themeColor="text1"/>
          <w:sz w:val="24"/>
          <w:highlight w:val="none"/>
          <w14:textFill>
            <w14:solidFill>
              <w14:schemeClr w14:val="tx1"/>
            </w14:solidFill>
          </w14:textFill>
        </w:rPr>
        <w:t>。</w:t>
      </w:r>
    </w:p>
    <w:p w14:paraId="0AA8654C">
      <w:pPr>
        <w:widowControl/>
        <w:spacing w:before="94" w:after="94"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7</w:t>
      </w:r>
      <w:r>
        <w:rPr>
          <w:rFonts w:hint="eastAsia" w:ascii="宋体" w:hAnsi="宋体" w:cs="宋体"/>
          <w:color w:val="000000" w:themeColor="text1"/>
          <w:kern w:val="0"/>
          <w:sz w:val="24"/>
          <w:szCs w:val="24"/>
          <w:highlight w:val="none"/>
          <w14:textFill>
            <w14:solidFill>
              <w14:schemeClr w14:val="tx1"/>
            </w14:solidFill>
          </w14:textFill>
        </w:rPr>
        <w:t>.2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14:paraId="4B35F0BD">
      <w:pPr>
        <w:widowControl/>
        <w:spacing w:before="94" w:after="94"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7</w:t>
      </w:r>
      <w:r>
        <w:rPr>
          <w:rFonts w:hint="eastAsia" w:ascii="宋体" w:hAnsi="宋体" w:cs="宋体"/>
          <w:color w:val="000000" w:themeColor="text1"/>
          <w:kern w:val="0"/>
          <w:sz w:val="24"/>
          <w:szCs w:val="24"/>
          <w:highlight w:val="none"/>
          <w14:textFill>
            <w14:solidFill>
              <w14:schemeClr w14:val="tx1"/>
            </w14:solidFill>
          </w14:textFill>
        </w:rPr>
        <w:t>.3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14:paraId="19220BAE">
      <w:pPr>
        <w:widowControl/>
        <w:spacing w:before="94" w:after="94"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14:paraId="4028C930">
      <w:pPr>
        <w:widowControl/>
        <w:spacing w:before="94" w:after="94"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注：潜在投标人或利害关系人可以通过线下或线上的形式提出异议。线上提出异议的，应通过交易平台提交，招标人也应通过交易平台答复线上提出的异议。具体按照交易平台相关指南进行操作。作出答复前，应当暂停招标投标活动。</w:t>
      </w:r>
    </w:p>
    <w:bookmarkEnd w:id="122"/>
    <w:bookmarkEnd w:id="123"/>
    <w:bookmarkEnd w:id="124"/>
    <w:bookmarkEnd w:id="125"/>
    <w:bookmarkEnd w:id="126"/>
    <w:bookmarkEnd w:id="127"/>
    <w:bookmarkEnd w:id="128"/>
    <w:p w14:paraId="11986E27">
      <w:pPr>
        <w:spacing w:line="360" w:lineRule="auto"/>
        <w:ind w:firstLine="542" w:firstLineChars="225"/>
        <w:outlineLvl w:val="9"/>
        <w:rPr>
          <w:rFonts w:ascii="宋体" w:hAnsi="宋体"/>
          <w:b/>
          <w:color w:val="000000" w:themeColor="text1"/>
          <w:sz w:val="24"/>
          <w:szCs w:val="24"/>
          <w:highlight w:val="none"/>
          <w14:textFill>
            <w14:solidFill>
              <w14:schemeClr w14:val="tx1"/>
            </w14:solidFill>
          </w14:textFill>
        </w:rPr>
      </w:pPr>
      <w:bookmarkStart w:id="132" w:name="_Toc259524302"/>
      <w:bookmarkStart w:id="133" w:name="_Toc221949939"/>
      <w:bookmarkStart w:id="134" w:name="_Toc222032638"/>
      <w:bookmarkStart w:id="135" w:name="_Toc222029469"/>
      <w:bookmarkStart w:id="136" w:name="_Toc229305329"/>
      <w:bookmarkStart w:id="137" w:name="_Toc15462"/>
      <w:bookmarkStart w:id="138" w:name="_Toc22609"/>
      <w:bookmarkStart w:id="139" w:name="_Toc222030971"/>
      <w:bookmarkStart w:id="140" w:name="_Toc168475631"/>
      <w:bookmarkStart w:id="141" w:name="_Toc891"/>
      <w:bookmarkStart w:id="142" w:name="_Toc222033820"/>
      <w:bookmarkStart w:id="143" w:name="_Toc168476034"/>
      <w:r>
        <w:rPr>
          <w:rFonts w:hint="eastAsia" w:ascii="宋体" w:hAnsi="宋体"/>
          <w:b/>
          <w:color w:val="000000" w:themeColor="text1"/>
          <w:sz w:val="24"/>
          <w:szCs w:val="24"/>
          <w:highlight w:val="none"/>
          <w:lang w:val="en-US" w:eastAsia="zh-CN"/>
          <w14:textFill>
            <w14:solidFill>
              <w14:schemeClr w14:val="tx1"/>
            </w14:solidFill>
          </w14:textFill>
        </w:rPr>
        <w:t>8</w:t>
      </w:r>
      <w:r>
        <w:rPr>
          <w:rFonts w:ascii="宋体" w:hAnsi="宋体"/>
          <w:b/>
          <w:color w:val="000000" w:themeColor="text1"/>
          <w:sz w:val="24"/>
          <w:szCs w:val="24"/>
          <w:highlight w:val="none"/>
          <w14:textFill>
            <w14:solidFill>
              <w14:schemeClr w14:val="tx1"/>
            </w14:solidFill>
          </w14:textFill>
        </w:rPr>
        <w:t xml:space="preserve">. </w:t>
      </w:r>
      <w:r>
        <w:rPr>
          <w:rFonts w:hint="eastAsia" w:ascii="宋体" w:hAnsi="宋体"/>
          <w:b/>
          <w:color w:val="000000" w:themeColor="text1"/>
          <w:sz w:val="24"/>
          <w:szCs w:val="24"/>
          <w:highlight w:val="none"/>
          <w14:textFill>
            <w14:solidFill>
              <w14:schemeClr w14:val="tx1"/>
            </w14:solidFill>
          </w14:textFill>
        </w:rPr>
        <w:t>发布公告的媒介</w:t>
      </w:r>
      <w:bookmarkEnd w:id="132"/>
      <w:bookmarkEnd w:id="133"/>
      <w:bookmarkEnd w:id="134"/>
      <w:bookmarkEnd w:id="135"/>
      <w:bookmarkEnd w:id="136"/>
      <w:bookmarkEnd w:id="137"/>
      <w:bookmarkEnd w:id="138"/>
      <w:bookmarkEnd w:id="139"/>
      <w:bookmarkEnd w:id="140"/>
      <w:bookmarkEnd w:id="141"/>
      <w:bookmarkEnd w:id="142"/>
      <w:bookmarkEnd w:id="143"/>
    </w:p>
    <w:p w14:paraId="163A988D">
      <w:pPr>
        <w:spacing w:line="360" w:lineRule="auto"/>
        <w:ind w:firstLine="480" w:firstLineChars="200"/>
        <w:rPr>
          <w:rFonts w:ascii="宋体" w:hAnsi="宋体"/>
          <w:color w:val="000000" w:themeColor="text1"/>
          <w:sz w:val="24"/>
          <w:szCs w:val="24"/>
          <w:highlight w:val="none"/>
          <w14:textFill>
            <w14:solidFill>
              <w14:schemeClr w14:val="tx1"/>
            </w14:solidFill>
          </w14:textFill>
        </w:rPr>
      </w:pPr>
      <w:bookmarkStart w:id="144" w:name="_Toc221949940"/>
      <w:r>
        <w:rPr>
          <w:rFonts w:hint="eastAsia" w:ascii="宋体" w:hAnsi="宋体"/>
          <w:bCs/>
          <w:color w:val="000000" w:themeColor="text1"/>
          <w:sz w:val="24"/>
          <w:highlight w:val="none"/>
          <w14:textFill>
            <w14:solidFill>
              <w14:schemeClr w14:val="tx1"/>
            </w14:solidFill>
          </w14:textFill>
        </w:rPr>
        <w:t>本公告在</w:t>
      </w:r>
      <w:r>
        <w:rPr>
          <w:rFonts w:hint="eastAsia" w:ascii="宋体" w:hAnsi="宋体"/>
          <w:bCs/>
          <w:color w:val="000000" w:themeColor="text1"/>
          <w:sz w:val="24"/>
          <w:highlight w:val="none"/>
          <w:lang w:eastAsia="zh-CN"/>
          <w14:textFill>
            <w14:solidFill>
              <w14:schemeClr w14:val="tx1"/>
            </w14:solidFill>
          </w14:textFill>
        </w:rPr>
        <w:t>广州交易集团有限公司（广州公共资源交易中心）</w:t>
      </w:r>
      <w:r>
        <w:rPr>
          <w:rFonts w:hint="eastAsia" w:ascii="宋体" w:hAnsi="宋体"/>
          <w:bCs/>
          <w:color w:val="000000" w:themeColor="text1"/>
          <w:sz w:val="24"/>
          <w:highlight w:val="none"/>
          <w14:textFill>
            <w14:solidFill>
              <w14:schemeClr w14:val="tx1"/>
            </w14:solidFill>
          </w14:textFill>
        </w:rPr>
        <w:t>网（网址：https://ywtb.gzggzy.cn/）、广东省招标投标监管网（网址：</w:t>
      </w:r>
      <w:r>
        <w:rPr>
          <w:rFonts w:ascii="宋体" w:hAnsi="宋体"/>
          <w:bCs/>
          <w:color w:val="000000" w:themeColor="text1"/>
          <w:sz w:val="24"/>
          <w:highlight w:val="none"/>
          <w14:textFill>
            <w14:solidFill>
              <w14:schemeClr w14:val="tx1"/>
            </w14:solidFill>
          </w14:textFill>
        </w:rPr>
        <w:t xml:space="preserve"> http://zbtb.gd.gov.cn/login</w:t>
      </w:r>
      <w:r>
        <w:rPr>
          <w:rFonts w:hint="eastAsia" w:ascii="宋体" w:hAnsi="宋体"/>
          <w:bCs/>
          <w:color w:val="000000" w:themeColor="text1"/>
          <w:sz w:val="24"/>
          <w:highlight w:val="none"/>
          <w14:textFill>
            <w14:solidFill>
              <w14:schemeClr w14:val="tx1"/>
            </w14:solidFill>
          </w14:textFill>
        </w:rPr>
        <w:t>）和中国招标投标公共服务平台（网址：http://www.cebpubservice.com/）发布，本公告的修改、补充，在</w:t>
      </w:r>
      <w:r>
        <w:rPr>
          <w:rFonts w:hint="eastAsia" w:ascii="宋体" w:hAnsi="宋体" w:eastAsia="宋体"/>
          <w:color w:val="000000" w:themeColor="text1"/>
          <w:sz w:val="24"/>
          <w:szCs w:val="24"/>
          <w:highlight w:val="none"/>
          <w:lang w:eastAsia="zh-CN"/>
          <w14:textFill>
            <w14:solidFill>
              <w14:schemeClr w14:val="tx1"/>
            </w14:solidFill>
          </w14:textFill>
        </w:rPr>
        <w:t>广州交易集团有限公司（广州公共资源交易中心）</w:t>
      </w:r>
      <w:r>
        <w:rPr>
          <w:rFonts w:hint="eastAsia" w:ascii="宋体" w:hAnsi="宋体" w:eastAsia="宋体"/>
          <w:color w:val="000000" w:themeColor="text1"/>
          <w:sz w:val="24"/>
          <w:szCs w:val="24"/>
          <w:highlight w:val="none"/>
          <w:u w:val="none"/>
          <w:lang w:eastAsia="zh-CN"/>
          <w14:textFill>
            <w14:solidFill>
              <w14:schemeClr w14:val="tx1"/>
            </w14:solidFill>
          </w14:textFill>
        </w:rPr>
        <w:t>网站</w:t>
      </w:r>
      <w:r>
        <w:rPr>
          <w:rFonts w:hint="eastAsia" w:ascii="宋体" w:hAnsi="宋体"/>
          <w:bCs/>
          <w:color w:val="000000" w:themeColor="text1"/>
          <w:sz w:val="24"/>
          <w:highlight w:val="none"/>
          <w14:textFill>
            <w14:solidFill>
              <w14:schemeClr w14:val="tx1"/>
            </w14:solidFill>
          </w14:textFill>
        </w:rPr>
        <w:t>发布</w:t>
      </w:r>
      <w:r>
        <w:rPr>
          <w:rFonts w:hint="eastAsia" w:ascii="宋体" w:hAnsi="宋体"/>
          <w:color w:val="000000" w:themeColor="text1"/>
          <w:sz w:val="24"/>
          <w:szCs w:val="24"/>
          <w:highlight w:val="none"/>
          <w14:textFill>
            <w14:solidFill>
              <w14:schemeClr w14:val="tx1"/>
            </w14:solidFill>
          </w14:textFill>
        </w:rPr>
        <w:t>。</w:t>
      </w:r>
      <w:bookmarkEnd w:id="144"/>
    </w:p>
    <w:p w14:paraId="22CA813D">
      <w:pPr>
        <w:spacing w:line="360" w:lineRule="auto"/>
        <w:ind w:firstLine="542" w:firstLineChars="225"/>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bookmarkStart w:id="145" w:name="_Toc222029470"/>
      <w:bookmarkStart w:id="146" w:name="_Toc259524303"/>
      <w:bookmarkStart w:id="147" w:name="_Toc229305330"/>
      <w:bookmarkStart w:id="148" w:name="_Toc222032639"/>
      <w:bookmarkStart w:id="149" w:name="_Toc168475632"/>
      <w:bookmarkStart w:id="150" w:name="_Toc221949941"/>
      <w:bookmarkStart w:id="151" w:name="_Toc222030972"/>
      <w:bookmarkStart w:id="152" w:name="_Toc222033821"/>
      <w:bookmarkStart w:id="153" w:name="_Toc144974485"/>
      <w:bookmarkStart w:id="154" w:name="_Toc168476035"/>
      <w:r>
        <w:rPr>
          <w:rFonts w:hint="eastAsia" w:ascii="宋体" w:hAnsi="宋体"/>
          <w:b/>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投标人和中标候选人的重大变化告知义务：投标人发生可能影响其资格条件或者招标公正性的重大变化、中标候选人的经营、财务状况发生较大变化或者存在违法行为的（包括但不限于：合并、分立、破产、重大财务变化、项目负责人等主要人员变化、被责令关闭、被吊销营业执照、被暂扣安全生产许可证、一定期限内被禁止参加依法必须招标项目的投标等情形），应当及时书面告知招标人。</w:t>
      </w:r>
    </w:p>
    <w:p w14:paraId="43A32165">
      <w:pPr>
        <w:spacing w:line="360" w:lineRule="auto"/>
        <w:ind w:firstLine="542" w:firstLineChars="225"/>
        <w:outlineLvl w:val="9"/>
        <w:rPr>
          <w:rFonts w:ascii="宋体" w:hAnsi="宋体"/>
          <w:b/>
          <w:color w:val="000000" w:themeColor="text1"/>
          <w:sz w:val="24"/>
          <w:szCs w:val="24"/>
          <w:highlight w:val="none"/>
          <w14:textFill>
            <w14:solidFill>
              <w14:schemeClr w14:val="tx1"/>
            </w14:solidFill>
          </w14:textFill>
        </w:rPr>
      </w:pPr>
      <w:bookmarkStart w:id="155" w:name="_Toc32624"/>
      <w:bookmarkStart w:id="156" w:name="_Toc25943"/>
      <w:bookmarkStart w:id="157" w:name="_Toc7005"/>
      <w:r>
        <w:rPr>
          <w:rFonts w:hint="eastAsia" w:ascii="宋体" w:hAnsi="宋体"/>
          <w:b/>
          <w:color w:val="000000" w:themeColor="text1"/>
          <w:sz w:val="24"/>
          <w:szCs w:val="24"/>
          <w:highlight w:val="none"/>
          <w:lang w:val="en-US" w:eastAsia="zh-CN"/>
          <w14:textFill>
            <w14:solidFill>
              <w14:schemeClr w14:val="tx1"/>
            </w14:solidFill>
          </w14:textFill>
        </w:rPr>
        <w:t>10</w:t>
      </w:r>
      <w:r>
        <w:rPr>
          <w:rFonts w:ascii="宋体" w:hAnsi="宋体"/>
          <w:b/>
          <w:color w:val="000000" w:themeColor="text1"/>
          <w:sz w:val="24"/>
          <w:szCs w:val="24"/>
          <w:highlight w:val="none"/>
          <w14:textFill>
            <w14:solidFill>
              <w14:schemeClr w14:val="tx1"/>
            </w14:solidFill>
          </w14:textFill>
        </w:rPr>
        <w:t>. 联系方式</w:t>
      </w:r>
      <w:bookmarkEnd w:id="145"/>
      <w:bookmarkEnd w:id="146"/>
      <w:bookmarkEnd w:id="147"/>
      <w:bookmarkEnd w:id="148"/>
      <w:bookmarkEnd w:id="149"/>
      <w:bookmarkEnd w:id="150"/>
      <w:bookmarkEnd w:id="151"/>
      <w:bookmarkEnd w:id="152"/>
      <w:bookmarkEnd w:id="153"/>
      <w:bookmarkEnd w:id="154"/>
      <w:bookmarkEnd w:id="155"/>
      <w:bookmarkEnd w:id="156"/>
      <w:bookmarkEnd w:id="157"/>
    </w:p>
    <w:p w14:paraId="772E560C">
      <w:pPr>
        <w:snapToGrid w:val="0"/>
        <w:spacing w:line="440" w:lineRule="exact"/>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招标人：广州市自来水有限公司</w:t>
      </w:r>
    </w:p>
    <w:p w14:paraId="217455CD">
      <w:pPr>
        <w:snapToGrid w:val="0"/>
        <w:spacing w:line="440" w:lineRule="exact"/>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联系人：广州市越秀区中山一路12号</w:t>
      </w:r>
    </w:p>
    <w:p w14:paraId="43CE1573">
      <w:pPr>
        <w:snapToGrid w:val="0"/>
        <w:spacing w:line="440" w:lineRule="exact"/>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联系电话：何工</w:t>
      </w:r>
    </w:p>
    <w:p w14:paraId="46AEA6A9">
      <w:pPr>
        <w:snapToGrid w:val="0"/>
        <w:spacing w:line="440" w:lineRule="exact"/>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联系地址：020-87159014</w:t>
      </w:r>
    </w:p>
    <w:p w14:paraId="0780CD76">
      <w:pPr>
        <w:snapToGrid w:val="0"/>
        <w:spacing w:line="440" w:lineRule="exac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p>
    <w:p w14:paraId="7CC1E910">
      <w:pPr>
        <w:snapToGrid w:val="0"/>
        <w:spacing w:line="440" w:lineRule="exact"/>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招标代理：广东省城规建设监理有限公司</w:t>
      </w:r>
    </w:p>
    <w:p w14:paraId="219D567A">
      <w:pPr>
        <w:snapToGrid w:val="0"/>
        <w:spacing w:line="440" w:lineRule="exact"/>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联系人：叶工</w:t>
      </w:r>
    </w:p>
    <w:p w14:paraId="50A363C0">
      <w:pPr>
        <w:snapToGrid w:val="0"/>
        <w:spacing w:line="440" w:lineRule="exact"/>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联系电话：020-83560819/13824451276</w:t>
      </w:r>
    </w:p>
    <w:p w14:paraId="0F3392B1">
      <w:pPr>
        <w:snapToGrid w:val="0"/>
        <w:spacing w:line="440" w:lineRule="exact"/>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联系地址：广州市白云区启德路77号广州法务大厦北塔6楼</w:t>
      </w:r>
    </w:p>
    <w:p w14:paraId="051621F8">
      <w:pPr>
        <w:snapToGrid w:val="0"/>
        <w:spacing w:line="440" w:lineRule="exact"/>
        <w:rPr>
          <w:rFonts w:hint="eastAsia" w:ascii="宋体" w:hAnsi="宋体" w:eastAsia="宋体" w:cs="宋体"/>
          <w:color w:val="000000" w:themeColor="text1"/>
          <w:kern w:val="0"/>
          <w:sz w:val="24"/>
          <w:szCs w:val="24"/>
          <w:highlight w:val="none"/>
          <w14:textFill>
            <w14:solidFill>
              <w14:schemeClr w14:val="tx1"/>
            </w14:solidFill>
          </w14:textFill>
        </w:rPr>
      </w:pPr>
    </w:p>
    <w:p w14:paraId="7E16A15D">
      <w:pPr>
        <w:snapToGrid w:val="0"/>
        <w:spacing w:line="440" w:lineRule="exac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招标监管部门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1"/>
          <w:highlight w:val="none"/>
          <w:u w:val="single"/>
          <w14:textFill>
            <w14:solidFill>
              <w14:schemeClr w14:val="tx1"/>
            </w14:solidFill>
          </w14:textFill>
        </w:rPr>
        <w:t>广州市水务工程招标投标管理中心</w:t>
      </w:r>
    </w:p>
    <w:p w14:paraId="50773FCD">
      <w:pPr>
        <w:snapToGrid w:val="0"/>
        <w:spacing w:line="440" w:lineRule="exact"/>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w:t>
      </w:r>
      <w:r>
        <w:rPr>
          <w:rFonts w:hint="eastAsia" w:ascii="宋体" w:hAnsi="宋体" w:eastAsia="宋体" w:cs="宋体"/>
          <w:color w:val="000000" w:themeColor="text1"/>
          <w:sz w:val="24"/>
          <w:szCs w:val="21"/>
          <w:highlight w:val="none"/>
          <w:u w:val="single"/>
          <w14:textFill>
            <w14:solidFill>
              <w14:schemeClr w14:val="tx1"/>
            </w14:solidFill>
          </w14:textFill>
        </w:rPr>
        <w:t>020-</w:t>
      </w:r>
      <w:r>
        <w:rPr>
          <w:rFonts w:hint="eastAsia" w:ascii="宋体" w:hAnsi="宋体" w:eastAsia="宋体" w:cs="宋体"/>
          <w:color w:val="000000" w:themeColor="text1"/>
          <w:sz w:val="24"/>
          <w:highlight w:val="none"/>
          <w:u w:val="single"/>
          <w14:textFill>
            <w14:solidFill>
              <w14:schemeClr w14:val="tx1"/>
            </w14:solidFill>
          </w14:textFill>
        </w:rPr>
        <w:t>88521061</w:t>
      </w:r>
    </w:p>
    <w:p w14:paraId="43153551">
      <w:pPr>
        <w:snapToGrid w:val="0"/>
        <w:spacing w:line="440" w:lineRule="exact"/>
        <w:rPr>
          <w:rFonts w:hint="default" w:ascii="宋体" w:hAnsi="宋体" w:eastAsia="宋体" w:cs="宋体"/>
          <w:color w:val="000000" w:themeColor="text1"/>
          <w:sz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地址：</w:t>
      </w:r>
      <w:r>
        <w:rPr>
          <w:rFonts w:hint="eastAsia" w:ascii="宋体" w:hAnsi="宋体" w:eastAsia="宋体" w:cs="宋体"/>
          <w:color w:val="000000" w:themeColor="text1"/>
          <w:sz w:val="24"/>
          <w:szCs w:val="21"/>
          <w:highlight w:val="none"/>
          <w:u w:val="single"/>
          <w14:textFill>
            <w14:solidFill>
              <w14:schemeClr w14:val="tx1"/>
            </w14:solidFill>
          </w14:textFill>
        </w:rPr>
        <w:t>广州市天河区瘦狗岭路555号</w:t>
      </w:r>
      <w:r>
        <w:rPr>
          <w:rFonts w:hint="eastAsia" w:ascii="宋体" w:hAnsi="宋体" w:eastAsia="宋体" w:cs="宋体"/>
          <w:color w:val="000000" w:themeColor="text1"/>
          <w:sz w:val="24"/>
          <w:szCs w:val="21"/>
          <w:highlight w:val="none"/>
          <w:u w:val="single"/>
          <w:lang w:val="en-US" w:eastAsia="zh-CN"/>
          <w14:textFill>
            <w14:solidFill>
              <w14:schemeClr w14:val="tx1"/>
            </w14:solidFill>
          </w14:textFill>
        </w:rPr>
        <w:t>9楼</w:t>
      </w:r>
    </w:p>
    <w:p w14:paraId="16289B7C">
      <w:pPr>
        <w:spacing w:line="360" w:lineRule="auto"/>
        <w:rPr>
          <w:rFonts w:ascii="宋体" w:hAnsi="宋体"/>
          <w:color w:val="000000" w:themeColor="text1"/>
          <w:sz w:val="24"/>
          <w:szCs w:val="24"/>
          <w:highlight w:val="none"/>
          <w14:textFill>
            <w14:solidFill>
              <w14:schemeClr w14:val="tx1"/>
            </w14:solidFill>
          </w14:textFill>
        </w:rPr>
      </w:pPr>
    </w:p>
    <w:p w14:paraId="73FF38F7">
      <w:pPr>
        <w:spacing w:line="480" w:lineRule="auto"/>
        <w:jc w:val="righ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2026</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lang w:val="en-US" w:eastAsia="zh-CN"/>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月____日</w:t>
      </w:r>
    </w:p>
    <w:p w14:paraId="7BDDD660">
      <w:pPr>
        <w:spacing w:line="480" w:lineRule="auto"/>
        <w:jc w:val="right"/>
        <w:rPr>
          <w:rFonts w:hint="eastAsia" w:ascii="宋体" w:hAnsi="宋体"/>
          <w:color w:val="000000" w:themeColor="text1"/>
          <w:sz w:val="24"/>
          <w:highlight w:val="none"/>
          <w14:textFill>
            <w14:solidFill>
              <w14:schemeClr w14:val="tx1"/>
            </w14:solidFill>
          </w14:textFill>
        </w:rPr>
      </w:pPr>
    </w:p>
    <w:p w14:paraId="7EE08587">
      <w:pPr>
        <w:spacing w:line="360" w:lineRule="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r>
        <w:rPr>
          <w:rFonts w:hint="eastAsia" w:ascii="宋体" w:hAnsi="宋体" w:eastAsia="宋体" w:cs="宋体"/>
          <w:color w:val="000000" w:themeColor="text1"/>
          <w:sz w:val="24"/>
          <w:szCs w:val="24"/>
          <w:highlight w:val="none"/>
          <w14:textFill>
            <w14:solidFill>
              <w14:schemeClr w14:val="tx1"/>
            </w14:solidFill>
          </w14:textFill>
        </w:rPr>
        <w:t>附件一：</w:t>
      </w:r>
    </w:p>
    <w:p w14:paraId="38EAED2E">
      <w:pPr>
        <w:spacing w:line="360" w:lineRule="auto"/>
        <w:jc w:val="center"/>
        <w:rPr>
          <w:rFonts w:hint="eastAsia" w:ascii="宋体" w:hAnsi="宋体" w:eastAsia="宋体" w:cs="宋体"/>
          <w:b w:val="0"/>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kern w:val="0"/>
          <w:sz w:val="44"/>
          <w:szCs w:val="44"/>
          <w:highlight w:val="none"/>
          <w14:textFill>
            <w14:solidFill>
              <w14:schemeClr w14:val="tx1"/>
            </w14:solidFill>
          </w14:textFill>
        </w:rPr>
        <w:t>投标人</w:t>
      </w:r>
      <w:r>
        <w:rPr>
          <w:rFonts w:hint="eastAsia" w:ascii="宋体" w:hAnsi="宋体" w:eastAsia="宋体" w:cs="宋体"/>
          <w:b/>
          <w:color w:val="000000" w:themeColor="text1"/>
          <w:sz w:val="44"/>
          <w:szCs w:val="44"/>
          <w:highlight w:val="none"/>
          <w14:textFill>
            <w14:solidFill>
              <w14:schemeClr w14:val="tx1"/>
            </w14:solidFill>
          </w14:textFill>
        </w:rPr>
        <w:t>声明</w:t>
      </w:r>
    </w:p>
    <w:p w14:paraId="55CC6022">
      <w:pPr>
        <w:pStyle w:val="85"/>
        <w:ind w:firstLine="0"/>
        <w:rPr>
          <w:rFonts w:hint="eastAsia" w:ascii="宋体" w:hAnsi="宋体" w:eastAsia="宋体" w:cs="宋体"/>
          <w:color w:val="000000" w:themeColor="text1"/>
          <w:sz w:val="24"/>
          <w:szCs w:val="24"/>
          <w:highlight w:val="none"/>
          <w:lang w:eastAsia="zh-CN"/>
          <w14:textFill>
            <w14:solidFill>
              <w14:schemeClr w14:val="tx1"/>
            </w14:solidFill>
          </w14:textFill>
        </w:rPr>
      </w:pPr>
    </w:p>
    <w:p w14:paraId="67EA64C2">
      <w:pPr>
        <w:pStyle w:val="85"/>
        <w:ind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广州市水务局</w:t>
      </w:r>
      <w:r>
        <w:rPr>
          <w:rFonts w:hint="eastAsia" w:ascii="宋体" w:hAnsi="宋体" w:eastAsia="宋体" w:cs="宋体"/>
          <w:color w:val="000000" w:themeColor="text1"/>
          <w:sz w:val="24"/>
          <w:szCs w:val="24"/>
          <w:highlight w:val="none"/>
          <w14:textFill>
            <w14:solidFill>
              <w14:schemeClr w14:val="tx1"/>
            </w14:solidFill>
          </w14:textFill>
        </w:rPr>
        <w:t>、本招标项目招标人及招标监管机构：</w:t>
      </w:r>
    </w:p>
    <w:p w14:paraId="1C5654D5">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本公司就参加</w:t>
      </w:r>
      <w:r>
        <w:rPr>
          <w:rFonts w:ascii="宋体" w:hAnsi="宋体" w:eastAsia="宋体"/>
          <w:color w:val="000000" w:themeColor="text1"/>
          <w:sz w:val="24"/>
          <w:szCs w:val="24"/>
          <w:highlight w:val="none"/>
          <w:u w:val="single"/>
          <w14:textFill>
            <w14:solidFill>
              <w14:schemeClr w14:val="tx1"/>
            </w14:solidFill>
          </w14:textFill>
        </w:rPr>
        <w:t xml:space="preserve">                        </w:t>
      </w:r>
      <w:r>
        <w:rPr>
          <w:rFonts w:hint="eastAsia" w:ascii="宋体" w:hAnsi="宋体" w:eastAsia="宋体"/>
          <w:color w:val="000000" w:themeColor="text1"/>
          <w:sz w:val="24"/>
          <w:szCs w:val="24"/>
          <w:highlight w:val="none"/>
          <w14:textFill>
            <w14:solidFill>
              <w14:schemeClr w14:val="tx1"/>
            </w14:solidFill>
          </w14:textFill>
        </w:rPr>
        <w:t>投标工作，作出郑重声明：</w:t>
      </w:r>
    </w:p>
    <w:p w14:paraId="74E2DC2E">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一、本公司保证投标文件及其后提供的一切材料都是真实的。如我司成为本项目中标候选人，我司同意并授权招标人将我司投标文件中人员、业绩、奖项等资料进行公开。</w:t>
      </w:r>
    </w:p>
    <w:p w14:paraId="2212DA30">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二、本公司承诺遵循公平、公正、公开、诚实信用原则，在本项目投标中诚信投标，在本项目投标中不与其他单位围标、串标，不出让投标资格，不向招标人或评标委员会成员行贿，若存在以上情形的，将自愿接受被招标人列入拒绝投标名单，不能参与招标人后续招标项目的投标。</w:t>
      </w:r>
    </w:p>
    <w:p w14:paraId="49110236">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三、本公司不存在下列情形之一：</w:t>
      </w:r>
    </w:p>
    <w:p w14:paraId="7EB048EA">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（1）为招标人不具有独立法人资格的附属机构（单位）；</w:t>
      </w:r>
    </w:p>
    <w:p w14:paraId="1594D2E7">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（2）为本标段前期准备提供设计或咨询服务或者与本项目设计人或提供咨询服务的机构存在附属关系的；</w:t>
      </w:r>
    </w:p>
    <w:p w14:paraId="4591DF13">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（3）为本项目监理人或者与本项目监理人存在隶属关系或者其他利害关系；</w:t>
      </w:r>
    </w:p>
    <w:p w14:paraId="0B0F024B">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（4）为本标段的代建人；</w:t>
      </w:r>
    </w:p>
    <w:p w14:paraId="0A6DEFA5">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（5）为本标段提供招标代理服务的；</w:t>
      </w:r>
    </w:p>
    <w:p w14:paraId="3F709E35">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（6）与本标段的监理人或代建人或招标代理机构同为一个法定代表人的；</w:t>
      </w:r>
    </w:p>
    <w:p w14:paraId="353C5653">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（7）与本标段的监理人或代建人或招标代理机构互相控股或参股的；</w:t>
      </w:r>
    </w:p>
    <w:p w14:paraId="07728855">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（8）与本标段的监理人或代建人或招标代理机构相互任职或工作的；</w:t>
      </w:r>
    </w:p>
    <w:p w14:paraId="38AAF616">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（9）与本</w:t>
      </w:r>
      <w:r>
        <w:rPr>
          <w:rFonts w:hint="eastAsia" w:ascii="宋体" w:hAnsi="宋体" w:eastAsia="宋体"/>
          <w:color w:val="000000" w:themeColor="text1"/>
          <w:sz w:val="24"/>
          <w:szCs w:val="24"/>
          <w:highlight w:val="none"/>
          <w:lang w:eastAsia="zh-CN"/>
          <w14:textFill>
            <w14:solidFill>
              <w14:schemeClr w14:val="tx1"/>
            </w14:solidFill>
          </w14:textFill>
        </w:rPr>
        <w:t>标段</w:t>
      </w:r>
      <w:r>
        <w:rPr>
          <w:rFonts w:hint="eastAsia" w:ascii="宋体" w:hAnsi="宋体" w:eastAsia="宋体"/>
          <w:color w:val="000000" w:themeColor="text1"/>
          <w:sz w:val="24"/>
          <w:szCs w:val="24"/>
          <w:highlight w:val="none"/>
          <w14:textFill>
            <w14:solidFill>
              <w14:schemeClr w14:val="tx1"/>
            </w14:solidFill>
          </w14:textFill>
        </w:rPr>
        <w:t>的检测机构、建设、监理单位以及建筑材料、建筑构配件和设备供应商有隶属关系或者其他利害关系有隶属关系或者其他利害关系；</w:t>
      </w:r>
    </w:p>
    <w:p w14:paraId="0643DAA2">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（10）与招标人存在利害关系且可能影响招标公正性；</w:t>
      </w:r>
    </w:p>
    <w:p w14:paraId="500F06A4">
      <w:pPr>
        <w:pStyle w:val="85"/>
        <w:spacing w:line="360" w:lineRule="auto"/>
        <w:ind w:firstLine="480" w:firstLineChars="20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3DC1561B">
      <w:pPr>
        <w:pStyle w:val="85"/>
        <w:spacing w:line="360" w:lineRule="auto"/>
        <w:ind w:firstLine="480" w:firstLineChars="20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（12）被责令停产停业、暂扣或者吊销许可证、暂扣或者吊销执照的（本项事实应当以根据《中华人民共和国行政处罚法》依法作出并已经生效的行政处罚决定为认定依据。）；</w:t>
      </w:r>
    </w:p>
    <w:p w14:paraId="7237499A">
      <w:pPr>
        <w:pStyle w:val="85"/>
        <w:spacing w:line="360" w:lineRule="auto"/>
        <w:ind w:firstLine="480" w:firstLineChars="20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（13）进入清算程序，或被宣布破产，或其他丧失履约能力的情形；</w:t>
      </w:r>
    </w:p>
    <w:p w14:paraId="3C2F79AD">
      <w:pPr>
        <w:pStyle w:val="85"/>
        <w:spacing w:line="360" w:lineRule="auto"/>
        <w:ind w:firstLine="480" w:firstLineChars="20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0C386025">
      <w:pPr>
        <w:pStyle w:val="85"/>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（15）法律法规规定的其他情形</w:t>
      </w:r>
      <w:r>
        <w:rPr>
          <w:rFonts w:hint="eastAsia" w:ascii="宋体" w:hAnsi="宋体" w:eastAsia="宋体" w:cs="Times New Roman"/>
          <w:color w:val="000000" w:themeColor="text1"/>
          <w:sz w:val="24"/>
          <w:szCs w:val="24"/>
          <w:highlight w:val="none"/>
          <w14:textFill>
            <w14:solidFill>
              <w14:schemeClr w14:val="tx1"/>
            </w14:solidFill>
          </w14:textFill>
        </w:rPr>
        <w:t>。</w:t>
      </w:r>
    </w:p>
    <w:p w14:paraId="06473C4E">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四、本公司保证：本项目拟派的项目负责人没有在其他在建项目中任施工单位项目负责人，本项目拟派的专职安全员没有在其他在建项目中任职。</w:t>
      </w:r>
    </w:p>
    <w:p w14:paraId="2EE270AB">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五、本公司已经对投标时拟投入本项目的管理团队和专业技术人员进行了自查，保证拟投入的所有人员都是本单位正式人员，都在本单位缴纳社保，不存在持证人注册单位与实际工作单位不符、买卖租借（专业）资格（注册）证书等“挂证”违法违规行为。</w:t>
      </w:r>
    </w:p>
    <w:p w14:paraId="5FFD8DD8">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六、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14:paraId="0C4BF4E8">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七、本公司承诺，切实落实</w:t>
      </w:r>
      <w:r>
        <w:rPr>
          <w:rFonts w:hint="eastAsia" w:ascii="宋体" w:hAnsi="宋体" w:eastAsia="宋体" w:cs="Times New Roman"/>
          <w:color w:val="000000" w:themeColor="text1"/>
          <w:sz w:val="24"/>
          <w:szCs w:val="24"/>
          <w:highlight w:val="none"/>
          <w:lang w:eastAsia="zh-CN"/>
          <w14:textFill>
            <w14:solidFill>
              <w14:schemeClr w14:val="tx1"/>
            </w14:solidFill>
          </w14:textFill>
        </w:rPr>
        <w:t>《住房和城乡建设部人力资源社会保障部关于修改&lt;建筑工人实名制管理办法（试行）&gt;的通知》（建市〔2022〕59号）、《住房城乡建设部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w:t>
      </w:r>
      <w:r>
        <w:rPr>
          <w:rFonts w:hint="eastAsia" w:ascii="宋体" w:hAnsi="宋体" w:eastAsia="宋体"/>
          <w:color w:val="000000" w:themeColor="text1"/>
          <w:sz w:val="24"/>
          <w:szCs w:val="24"/>
          <w:highlight w:val="none"/>
          <w14:textFill>
            <w14:solidFill>
              <w14:schemeClr w14:val="tx1"/>
            </w14:solidFill>
          </w14:textFill>
        </w:rPr>
        <w:t>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w:t>
      </w:r>
      <w:r>
        <w:rPr>
          <w:rFonts w:hint="eastAsia" w:ascii="宋体" w:hAnsi="宋体" w:eastAsia="宋体"/>
          <w:color w:val="000000" w:themeColor="text1"/>
          <w:sz w:val="24"/>
          <w:szCs w:val="24"/>
          <w:highlight w:val="none"/>
          <w:lang w:eastAsia="zh-CN"/>
          <w14:textFill>
            <w14:solidFill>
              <w14:schemeClr w14:val="tx1"/>
            </w14:solidFill>
          </w14:textFill>
        </w:rPr>
        <w:t>水</w:t>
      </w:r>
      <w:r>
        <w:rPr>
          <w:rFonts w:hint="eastAsia" w:ascii="宋体" w:hAnsi="宋体" w:eastAsia="宋体"/>
          <w:color w:val="000000" w:themeColor="text1"/>
          <w:sz w:val="24"/>
          <w:szCs w:val="24"/>
          <w:highlight w:val="none"/>
          <w14:textFill>
            <w14:solidFill>
              <w14:schemeClr w14:val="tx1"/>
            </w14:solidFill>
          </w14:textFill>
        </w:rPr>
        <w:t>行政主管部门的监督、检查。</w:t>
      </w:r>
    </w:p>
    <w:p w14:paraId="5C737237">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八、与本公司单位负责人为同一人或者与本公司存在控股、管理关系的其他单位包括:         。(注:本条由投标人如实填写，如有，应列出全部满足招标公告资质要求的相关单位的名称;如无，则填写“无”;若投标人未列全符合相关条件的单位，但未列全的相关单位未参与本招标项目投标的，不视为投标人违反第九章 否决性条款汇总第二条（6）规定的弄虚作假。</w:t>
      </w:r>
    </w:p>
    <w:p w14:paraId="7B5E342D">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九、本公司拟委派专职安全员兼任本工程的工地余泥渣土运输与排放管理员，严格遵守建设工程余泥渣土运输与排放管理制度，执行“一不准进、三不准出”规定，选择合法的余泥渣土运输单位及排放点。</w:t>
      </w:r>
    </w:p>
    <w:p w14:paraId="6F0CED8F">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十、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14:paraId="11B72EB0">
      <w:pPr>
        <w:pStyle w:val="85"/>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十一、本公司违反上述保证，或本声明陈述与事实不符，一经查实将按相关规定进行信用记录。本公司对失信行为产生的一切后果已知悉。其中，本声明陈述与事实不符的，属于弄虚作假骗取中标，将依法接受监管部门的处罚。</w:t>
      </w:r>
    </w:p>
    <w:p w14:paraId="6382C36F">
      <w:pPr>
        <w:pStyle w:val="85"/>
        <w:spacing w:line="360" w:lineRule="auto"/>
        <w:ind w:firstLine="480" w:firstLineChars="200"/>
        <w:rPr>
          <w:rFonts w:hint="eastAsia"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十二</w:t>
      </w:r>
      <w:r>
        <w:rPr>
          <w:rFonts w:hint="eastAsia" w:ascii="宋体" w:hAnsi="宋体" w:eastAsia="宋体"/>
          <w:color w:val="000000" w:themeColor="text1"/>
          <w:sz w:val="24"/>
          <w:szCs w:val="24"/>
          <w:highlight w:val="none"/>
          <w:lang w:val="en-US" w:eastAsia="zh-CN"/>
          <w14:textFill>
            <w14:solidFill>
              <w14:schemeClr w14:val="tx1"/>
            </w14:solidFill>
          </w14:textFill>
        </w:rPr>
        <w:t>、本公司积极响应广州市关于投身“百千万工程”的号召，主动参与政府投资类建设工程施工项目的建筑业结对帮扶等活动（市属国有企业投资项目参照执行）。</w:t>
      </w:r>
    </w:p>
    <w:p w14:paraId="5201CDE0">
      <w:pPr>
        <w:spacing w:line="360" w:lineRule="auto"/>
        <w:ind w:firstLine="240" w:firstLineChars="1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特此声明。</w:t>
      </w:r>
    </w:p>
    <w:p w14:paraId="50FBEA03">
      <w:pPr>
        <w:spacing w:line="360" w:lineRule="auto"/>
        <w:ind w:firstLine="240" w:firstLineChars="100"/>
        <w:jc w:val="left"/>
        <w:rPr>
          <w:rFonts w:hint="eastAsia" w:ascii="宋体" w:hAnsi="宋体" w:eastAsia="宋体" w:cs="宋体"/>
          <w:color w:val="000000" w:themeColor="text1"/>
          <w:sz w:val="24"/>
          <w:szCs w:val="24"/>
          <w:highlight w:val="none"/>
          <w14:textFill>
            <w14:solidFill>
              <w14:schemeClr w14:val="tx1"/>
            </w14:solidFill>
          </w14:textFill>
        </w:rPr>
      </w:pPr>
    </w:p>
    <w:p w14:paraId="34000FED">
      <w:pPr>
        <w:pStyle w:val="101"/>
        <w:ind w:left="629" w:right="1449"/>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声明企业：</w:t>
      </w:r>
    </w:p>
    <w:p w14:paraId="18D4BC47">
      <w:pPr>
        <w:pStyle w:val="85"/>
        <w:ind w:right="1179"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法定代表人签字：</w:t>
      </w:r>
    </w:p>
    <w:p w14:paraId="3A55D0DA">
      <w:pPr>
        <w:pStyle w:val="85"/>
        <w:ind w:right="1179"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项目负责人签字:</w:t>
      </w:r>
    </w:p>
    <w:p w14:paraId="53B6B297">
      <w:pPr>
        <w:pStyle w:val="85"/>
        <w:ind w:right="879" w:firstLine="2160" w:firstLineChars="9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技术负责人签字：</w:t>
      </w:r>
    </w:p>
    <w:p w14:paraId="09F4CF14">
      <w:pPr>
        <w:pStyle w:val="85"/>
        <w:ind w:right="879" w:firstLine="2160" w:firstLineChars="900"/>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年   月   日</w:t>
      </w:r>
    </w:p>
    <w:p w14:paraId="7D05DF61">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（企业公章）</w:t>
      </w:r>
    </w:p>
    <w:p w14:paraId="77B45183">
      <w:pPr>
        <w:widowControl/>
        <w:spacing w:line="360" w:lineRule="auto"/>
        <w:jc w:val="left"/>
        <w:rPr>
          <w:rFonts w:ascii="宋体" w:hAnsi="宋体"/>
          <w:b/>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注：招标人应当要求投标人的项目负责人和技术负责人签字。</w:t>
      </w:r>
      <w:r>
        <w:rPr>
          <w:rFonts w:ascii="宋体" w:hAnsi="宋体"/>
          <w:b/>
          <w:color w:val="000000" w:themeColor="text1"/>
          <w:sz w:val="24"/>
          <w:highlight w:val="none"/>
          <w14:textFill>
            <w14:solidFill>
              <w14:schemeClr w14:val="tx1"/>
            </w14:solidFill>
          </w14:textFill>
        </w:rPr>
        <w:br w:type="page"/>
      </w:r>
    </w:p>
    <w:p w14:paraId="46C0979E">
      <w:pPr>
        <w:pStyle w:val="2"/>
        <w:rPr>
          <w:rFonts w:ascii="黑体" w:hAnsi="黑体" w:eastAsia="黑体"/>
          <w:color w:val="000000" w:themeColor="text1"/>
          <w:szCs w:val="27"/>
          <w:highlight w:val="none"/>
          <w14:textFill>
            <w14:solidFill>
              <w14:schemeClr w14:val="tx1"/>
            </w14:solidFill>
          </w14:textFill>
        </w:rPr>
      </w:pPr>
      <w:bookmarkStart w:id="158" w:name="_Toc17451621"/>
      <w:bookmarkStart w:id="159" w:name="_Toc26234"/>
      <w:bookmarkStart w:id="160" w:name="_Toc17454869"/>
      <w:bookmarkStart w:id="161" w:name="_Toc5193"/>
      <w:bookmarkStart w:id="162" w:name="_Toc2870"/>
      <w:bookmarkStart w:id="163" w:name="_Toc17451576"/>
      <w:bookmarkStart w:id="164" w:name="_Toc15641"/>
      <w:bookmarkStart w:id="165" w:name="_Toc27277"/>
      <w:bookmarkStart w:id="166" w:name="_Toc17556874"/>
      <w:bookmarkStart w:id="167" w:name="_Toc17452662"/>
      <w:bookmarkStart w:id="168" w:name="_Toc17451099"/>
      <w:bookmarkStart w:id="169" w:name="_Toc17454920"/>
      <w:bookmarkStart w:id="170" w:name="_Toc2002"/>
      <w:bookmarkStart w:id="171" w:name="_Toc4068"/>
      <w:bookmarkStart w:id="172" w:name="_Toc221950008"/>
      <w:r>
        <w:rPr>
          <w:rFonts w:hint="eastAsia"/>
          <w:color w:val="000000" w:themeColor="text1"/>
          <w:highlight w:val="none"/>
          <w14:textFill>
            <w14:solidFill>
              <w14:schemeClr w14:val="tx1"/>
            </w14:solidFill>
          </w14:textFill>
        </w:rPr>
        <w:t>第二章 投标</w:t>
      </w:r>
      <w:r>
        <w:rPr>
          <w:rFonts w:hint="eastAsia"/>
          <w:color w:val="000000" w:themeColor="text1"/>
          <w:highlight w:val="none"/>
          <w:lang w:val="en-US" w:eastAsia="zh-CN"/>
          <w14:textFill>
            <w14:solidFill>
              <w14:schemeClr w14:val="tx1"/>
            </w14:solidFill>
          </w14:textFill>
        </w:rPr>
        <w:t>人</w:t>
      </w:r>
      <w:r>
        <w:rPr>
          <w:rFonts w:hint="eastAsia"/>
          <w:color w:val="000000" w:themeColor="text1"/>
          <w:highlight w:val="none"/>
          <w14:textFill>
            <w14:solidFill>
              <w14:schemeClr w14:val="tx1"/>
            </w14:solidFill>
          </w14:textFill>
        </w:rPr>
        <w:t>须知</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07143995">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173" w:name="_Toc17452663"/>
      <w:bookmarkStart w:id="174" w:name="_Toc17556875"/>
      <w:bookmarkStart w:id="175" w:name="_Toc17454870"/>
      <w:bookmarkStart w:id="176" w:name="_Toc22785"/>
      <w:bookmarkStart w:id="177" w:name="_Toc17451622"/>
      <w:bookmarkStart w:id="178" w:name="_Toc17451100"/>
      <w:bookmarkStart w:id="179" w:name="_Toc17454921"/>
      <w:bookmarkStart w:id="180" w:name="_Toc17451577"/>
      <w:r>
        <w:rPr>
          <w:rFonts w:hint="eastAsia" w:ascii="黑体" w:hAnsi="黑体" w:eastAsia="黑体"/>
          <w:color w:val="000000" w:themeColor="text1"/>
          <w:sz w:val="28"/>
          <w:szCs w:val="27"/>
          <w:highlight w:val="none"/>
          <w14:textFill>
            <w14:solidFill>
              <w14:schemeClr w14:val="tx1"/>
            </w14:solidFill>
          </w14:textFill>
        </w:rPr>
        <w:t>一、投标人须知前附表</w:t>
      </w:r>
      <w:bookmarkEnd w:id="172"/>
      <w:bookmarkEnd w:id="173"/>
      <w:bookmarkEnd w:id="174"/>
      <w:bookmarkEnd w:id="175"/>
      <w:bookmarkEnd w:id="176"/>
      <w:bookmarkEnd w:id="177"/>
      <w:bookmarkEnd w:id="178"/>
      <w:bookmarkEnd w:id="179"/>
      <w:bookmarkEnd w:id="180"/>
    </w:p>
    <w:tbl>
      <w:tblPr>
        <w:tblStyle w:val="38"/>
        <w:tblW w:w="0" w:type="auto"/>
        <w:tblInd w:w="0" w:type="dxa"/>
        <w:tblLayout w:type="fixed"/>
        <w:tblCellMar>
          <w:top w:w="0" w:type="dxa"/>
          <w:left w:w="108" w:type="dxa"/>
          <w:bottom w:w="0" w:type="dxa"/>
          <w:right w:w="108" w:type="dxa"/>
        </w:tblCellMar>
      </w:tblPr>
      <w:tblGrid>
        <w:gridCol w:w="1298"/>
        <w:gridCol w:w="2192"/>
        <w:gridCol w:w="5038"/>
      </w:tblGrid>
      <w:tr w14:paraId="35B78472">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14:paraId="4B280C52">
            <w:pPr>
              <w:spacing w:before="120" w:beforeLines="50" w:line="360" w:lineRule="auto"/>
              <w:contextualSpacing/>
              <w:jc w:val="center"/>
              <w:rPr>
                <w:b/>
                <w:color w:val="000000" w:themeColor="text1"/>
                <w:szCs w:val="21"/>
                <w:highlight w:val="none"/>
                <w14:textFill>
                  <w14:solidFill>
                    <w14:schemeClr w14:val="tx1"/>
                  </w14:solidFill>
                </w14:textFill>
              </w:rPr>
            </w:pPr>
            <w:bookmarkStart w:id="181" w:name="_Toc221950009"/>
            <w:r>
              <w:rPr>
                <w:b/>
                <w:color w:val="000000" w:themeColor="text1"/>
                <w:szCs w:val="21"/>
                <w:highlight w:val="none"/>
                <w14:textFill>
                  <w14:solidFill>
                    <w14:schemeClr w14:val="tx1"/>
                  </w14:solidFill>
                </w14:textFill>
              </w:rPr>
              <w:t>条款号</w:t>
            </w:r>
            <w:bookmarkEnd w:id="181"/>
          </w:p>
        </w:tc>
        <w:tc>
          <w:tcPr>
            <w:tcW w:w="2192" w:type="dxa"/>
            <w:tcBorders>
              <w:top w:val="single" w:color="auto" w:sz="4" w:space="0"/>
              <w:left w:val="single" w:color="auto" w:sz="4" w:space="0"/>
              <w:bottom w:val="single" w:color="auto" w:sz="4" w:space="0"/>
              <w:right w:val="single" w:color="auto" w:sz="4" w:space="0"/>
            </w:tcBorders>
            <w:noWrap w:val="0"/>
            <w:vAlign w:val="center"/>
          </w:tcPr>
          <w:p w14:paraId="3B83CCC6">
            <w:pPr>
              <w:spacing w:before="120" w:beforeLines="50" w:line="360" w:lineRule="auto"/>
              <w:contextualSpacing/>
              <w:jc w:val="center"/>
              <w:rPr>
                <w:b/>
                <w:color w:val="000000" w:themeColor="text1"/>
                <w:szCs w:val="21"/>
                <w:highlight w:val="none"/>
                <w14:textFill>
                  <w14:solidFill>
                    <w14:schemeClr w14:val="tx1"/>
                  </w14:solidFill>
                </w14:textFill>
              </w:rPr>
            </w:pPr>
            <w:bookmarkStart w:id="182" w:name="_Toc221950010"/>
            <w:r>
              <w:rPr>
                <w:b/>
                <w:color w:val="000000" w:themeColor="text1"/>
                <w:szCs w:val="21"/>
                <w:highlight w:val="none"/>
                <w14:textFill>
                  <w14:solidFill>
                    <w14:schemeClr w14:val="tx1"/>
                  </w14:solidFill>
                </w14:textFill>
              </w:rPr>
              <w:t>条款名称</w:t>
            </w:r>
            <w:bookmarkEnd w:id="182"/>
          </w:p>
        </w:tc>
        <w:tc>
          <w:tcPr>
            <w:tcW w:w="5038" w:type="dxa"/>
            <w:tcBorders>
              <w:top w:val="single" w:color="auto" w:sz="4" w:space="0"/>
              <w:left w:val="single" w:color="auto" w:sz="4" w:space="0"/>
              <w:bottom w:val="single" w:color="auto" w:sz="4" w:space="0"/>
              <w:right w:val="single" w:color="auto" w:sz="4" w:space="0"/>
            </w:tcBorders>
            <w:noWrap w:val="0"/>
            <w:vAlign w:val="center"/>
          </w:tcPr>
          <w:p w14:paraId="691DB837">
            <w:pPr>
              <w:spacing w:before="120" w:beforeLines="50" w:line="360" w:lineRule="auto"/>
              <w:contextualSpacing/>
              <w:jc w:val="center"/>
              <w:rPr>
                <w:b/>
                <w:color w:val="000000" w:themeColor="text1"/>
                <w:szCs w:val="21"/>
                <w:highlight w:val="none"/>
                <w14:textFill>
                  <w14:solidFill>
                    <w14:schemeClr w14:val="tx1"/>
                  </w14:solidFill>
                </w14:textFill>
              </w:rPr>
            </w:pPr>
            <w:bookmarkStart w:id="183" w:name="_Toc221950011"/>
            <w:r>
              <w:rPr>
                <w:b/>
                <w:color w:val="000000" w:themeColor="text1"/>
                <w:szCs w:val="21"/>
                <w:highlight w:val="none"/>
                <w14:textFill>
                  <w14:solidFill>
                    <w14:schemeClr w14:val="tx1"/>
                  </w14:solidFill>
                </w14:textFill>
              </w:rPr>
              <w:t>编列内容</w:t>
            </w:r>
            <w:bookmarkEnd w:id="183"/>
          </w:p>
        </w:tc>
      </w:tr>
      <w:tr w14:paraId="407092E2">
        <w:tblPrEx>
          <w:tblCellMar>
            <w:top w:w="0" w:type="dxa"/>
            <w:left w:w="108" w:type="dxa"/>
            <w:bottom w:w="0" w:type="dxa"/>
            <w:right w:w="108" w:type="dxa"/>
          </w:tblCellMar>
        </w:tblPrEx>
        <w:trPr>
          <w:trHeight w:val="31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4248D086">
            <w:pPr>
              <w:spacing w:before="120" w:beforeLines="50" w:line="360" w:lineRule="auto"/>
              <w:contextualSpacing/>
              <w:jc w:val="center"/>
              <w:rPr>
                <w:color w:val="000000" w:themeColor="text1"/>
                <w:szCs w:val="21"/>
                <w:highlight w:val="none"/>
                <w14:textFill>
                  <w14:solidFill>
                    <w14:schemeClr w14:val="tx1"/>
                  </w14:solidFill>
                </w14:textFill>
              </w:rPr>
            </w:pPr>
            <w:bookmarkStart w:id="184" w:name="_Toc221950012"/>
            <w:r>
              <w:rPr>
                <w:color w:val="000000" w:themeColor="text1"/>
                <w:szCs w:val="21"/>
                <w:highlight w:val="none"/>
                <w14:textFill>
                  <w14:solidFill>
                    <w14:schemeClr w14:val="tx1"/>
                  </w14:solidFill>
                </w14:textFill>
              </w:rPr>
              <w:t>1.1.2</w:t>
            </w:r>
            <w:bookmarkEnd w:id="184"/>
          </w:p>
        </w:tc>
        <w:tc>
          <w:tcPr>
            <w:tcW w:w="2192" w:type="dxa"/>
            <w:tcBorders>
              <w:top w:val="single" w:color="auto" w:sz="4" w:space="0"/>
              <w:left w:val="single" w:color="auto" w:sz="4" w:space="0"/>
              <w:bottom w:val="single" w:color="auto" w:sz="4" w:space="0"/>
              <w:right w:val="single" w:color="auto" w:sz="4" w:space="0"/>
            </w:tcBorders>
            <w:noWrap w:val="0"/>
            <w:vAlign w:val="center"/>
          </w:tcPr>
          <w:p w14:paraId="20BC384B">
            <w:pPr>
              <w:spacing w:before="120" w:beforeLines="50" w:line="360" w:lineRule="auto"/>
              <w:contextualSpacing/>
              <w:jc w:val="left"/>
              <w:rPr>
                <w:color w:val="000000" w:themeColor="text1"/>
                <w:szCs w:val="21"/>
                <w:highlight w:val="none"/>
                <w14:textFill>
                  <w14:solidFill>
                    <w14:schemeClr w14:val="tx1"/>
                  </w14:solidFill>
                </w14:textFill>
              </w:rPr>
            </w:pPr>
            <w:bookmarkStart w:id="185" w:name="_Toc221950013"/>
            <w:r>
              <w:rPr>
                <w:color w:val="000000" w:themeColor="text1"/>
                <w:szCs w:val="21"/>
                <w:highlight w:val="none"/>
                <w14:textFill>
                  <w14:solidFill>
                    <w14:schemeClr w14:val="tx1"/>
                  </w14:solidFill>
                </w14:textFill>
              </w:rPr>
              <w:t>招标人</w:t>
            </w:r>
            <w:bookmarkEnd w:id="185"/>
            <w:r>
              <w:rPr>
                <w:rFonts w:hint="eastAsia"/>
                <w:color w:val="000000" w:themeColor="text1"/>
                <w:szCs w:val="21"/>
                <w:highlight w:val="none"/>
                <w14:textFill>
                  <w14:solidFill>
                    <w14:schemeClr w14:val="tx1"/>
                  </w14:solidFill>
                </w14:textFill>
              </w:rPr>
              <w:t xml:space="preserve"> </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2B80551B">
            <w:pPr>
              <w:adjustRightInd/>
              <w:snapToGrid/>
              <w:spacing w:before="0" w:beforeLines="0" w:line="400" w:lineRule="exact"/>
              <w:ind w:firstLine="0" w:firstLineChars="0"/>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名称：</w:t>
            </w:r>
            <w:r>
              <w:rPr>
                <w:rFonts w:hint="eastAsia" w:ascii="宋体" w:hAnsi="宋体" w:eastAsia="宋体" w:cs="宋体"/>
                <w:color w:val="000000" w:themeColor="text1"/>
                <w:szCs w:val="21"/>
                <w:highlight w:val="none"/>
                <w:u w:val="single"/>
                <w14:textFill>
                  <w14:solidFill>
                    <w14:schemeClr w14:val="tx1"/>
                  </w14:solidFill>
                </w14:textFill>
              </w:rPr>
              <w:t>广州市自来水有限公司</w:t>
            </w:r>
          </w:p>
          <w:p w14:paraId="76A00F44">
            <w:pPr>
              <w:adjustRightInd/>
              <w:snapToGrid/>
              <w:spacing w:before="0" w:beforeLines="0" w:line="400" w:lineRule="exact"/>
              <w:ind w:firstLine="0" w:firstLineChars="0"/>
              <w:contextualSpacing/>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地址：</w:t>
            </w:r>
            <w:r>
              <w:rPr>
                <w:rFonts w:hint="eastAsia" w:ascii="宋体" w:hAnsi="宋体" w:eastAsia="宋体" w:cs="宋体"/>
                <w:color w:val="000000" w:themeColor="text1"/>
                <w:szCs w:val="21"/>
                <w:highlight w:val="none"/>
                <w:u w:val="single"/>
                <w14:textFill>
                  <w14:solidFill>
                    <w14:schemeClr w14:val="tx1"/>
                  </w14:solidFill>
                </w14:textFill>
              </w:rPr>
              <w:t>广州市越秀区中山一路12号</w:t>
            </w:r>
          </w:p>
          <w:p w14:paraId="56B5C816">
            <w:pPr>
              <w:adjustRightInd/>
              <w:snapToGrid/>
              <w:spacing w:before="0" w:beforeLines="0" w:line="400" w:lineRule="exact"/>
              <w:ind w:firstLine="0" w:firstLineChars="0"/>
              <w:contextualSpacing/>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联系人：</w:t>
            </w:r>
            <w:r>
              <w:rPr>
                <w:rFonts w:hint="eastAsia" w:ascii="宋体" w:hAnsi="宋体" w:eastAsia="宋体" w:cs="宋体"/>
                <w:color w:val="000000" w:themeColor="text1"/>
                <w:szCs w:val="21"/>
                <w:highlight w:val="none"/>
                <w:u w:val="single"/>
                <w:lang w:val="en-US" w:eastAsia="zh-CN"/>
                <w14:textFill>
                  <w14:solidFill>
                    <w14:schemeClr w14:val="tx1"/>
                  </w14:solidFill>
                </w14:textFill>
              </w:rPr>
              <w:t>何工</w:t>
            </w:r>
          </w:p>
          <w:p w14:paraId="22BA2F6D">
            <w:pPr>
              <w:spacing w:before="0" w:beforeLines="0" w:line="400" w:lineRule="exact"/>
              <w:contextualSpacing/>
              <w:rPr>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电话：</w:t>
            </w:r>
            <w:r>
              <w:rPr>
                <w:rFonts w:hint="eastAsia" w:ascii="宋体" w:hAnsi="宋体" w:eastAsia="宋体" w:cs="宋体"/>
                <w:color w:val="000000" w:themeColor="text1"/>
                <w:szCs w:val="21"/>
                <w:highlight w:val="none"/>
                <w:u w:val="single"/>
                <w14:textFill>
                  <w14:solidFill>
                    <w14:schemeClr w14:val="tx1"/>
                  </w14:solidFill>
                </w14:textFill>
              </w:rPr>
              <w:t>020-871590</w:t>
            </w:r>
            <w:r>
              <w:rPr>
                <w:rFonts w:hint="eastAsia" w:ascii="宋体" w:hAnsi="宋体" w:eastAsia="宋体" w:cs="宋体"/>
                <w:color w:val="000000" w:themeColor="text1"/>
                <w:szCs w:val="21"/>
                <w:highlight w:val="none"/>
                <w:u w:val="single"/>
                <w:lang w:val="en-US" w:eastAsia="zh-CN"/>
                <w14:textFill>
                  <w14:solidFill>
                    <w14:schemeClr w14:val="tx1"/>
                  </w14:solidFill>
                </w14:textFill>
              </w:rPr>
              <w:t>14</w:t>
            </w:r>
          </w:p>
        </w:tc>
      </w:tr>
      <w:tr w14:paraId="4EFB1FC1">
        <w:tblPrEx>
          <w:tblCellMar>
            <w:top w:w="0" w:type="dxa"/>
            <w:left w:w="108" w:type="dxa"/>
            <w:bottom w:w="0" w:type="dxa"/>
            <w:right w:w="108" w:type="dxa"/>
          </w:tblCellMar>
        </w:tblPrEx>
        <w:trPr>
          <w:trHeight w:val="49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40AA2780">
            <w:pPr>
              <w:spacing w:before="120" w:beforeLines="50" w:line="360" w:lineRule="auto"/>
              <w:contextualSpacing/>
              <w:jc w:val="center"/>
              <w:rPr>
                <w:color w:val="000000" w:themeColor="text1"/>
                <w:szCs w:val="21"/>
                <w:highlight w:val="none"/>
                <w14:textFill>
                  <w14:solidFill>
                    <w14:schemeClr w14:val="tx1"/>
                  </w14:solidFill>
                </w14:textFill>
              </w:rPr>
            </w:pPr>
            <w:bookmarkStart w:id="186" w:name="_Toc221950014"/>
            <w:r>
              <w:rPr>
                <w:color w:val="000000" w:themeColor="text1"/>
                <w:szCs w:val="21"/>
                <w:highlight w:val="none"/>
                <w14:textFill>
                  <w14:solidFill>
                    <w14:schemeClr w14:val="tx1"/>
                  </w14:solidFill>
                </w14:textFill>
              </w:rPr>
              <w:t>1.1.3</w:t>
            </w:r>
            <w:bookmarkEnd w:id="186"/>
          </w:p>
        </w:tc>
        <w:tc>
          <w:tcPr>
            <w:tcW w:w="2192" w:type="dxa"/>
            <w:tcBorders>
              <w:top w:val="single" w:color="auto" w:sz="4" w:space="0"/>
              <w:left w:val="single" w:color="auto" w:sz="4" w:space="0"/>
              <w:bottom w:val="single" w:color="auto" w:sz="4" w:space="0"/>
              <w:right w:val="single" w:color="auto" w:sz="4" w:space="0"/>
            </w:tcBorders>
            <w:noWrap w:val="0"/>
            <w:vAlign w:val="center"/>
          </w:tcPr>
          <w:p w14:paraId="72CB7422">
            <w:pPr>
              <w:spacing w:before="120" w:beforeLines="50" w:line="360" w:lineRule="auto"/>
              <w:contextualSpacing/>
              <w:jc w:val="left"/>
              <w:rPr>
                <w:color w:val="000000" w:themeColor="text1"/>
                <w:szCs w:val="21"/>
                <w:highlight w:val="none"/>
                <w14:textFill>
                  <w14:solidFill>
                    <w14:schemeClr w14:val="tx1"/>
                  </w14:solidFill>
                </w14:textFill>
              </w:rPr>
            </w:pPr>
            <w:bookmarkStart w:id="187" w:name="_Toc221950015"/>
            <w:r>
              <w:rPr>
                <w:color w:val="000000" w:themeColor="text1"/>
                <w:szCs w:val="21"/>
                <w:highlight w:val="none"/>
                <w14:textFill>
                  <w14:solidFill>
                    <w14:schemeClr w14:val="tx1"/>
                  </w14:solidFill>
                </w14:textFill>
              </w:rPr>
              <w:t>招标代理机构</w:t>
            </w:r>
            <w:bookmarkEnd w:id="187"/>
            <w:r>
              <w:rPr>
                <w:rFonts w:hint="eastAsia"/>
                <w:color w:val="000000" w:themeColor="text1"/>
                <w:szCs w:val="21"/>
                <w:highlight w:val="none"/>
                <w14:textFill>
                  <w14:solidFill>
                    <w14:schemeClr w14:val="tx1"/>
                  </w14:solidFill>
                </w14:textFill>
              </w:rPr>
              <w:t xml:space="preserve"> </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25F788CD">
            <w:pPr>
              <w:spacing w:before="0" w:beforeLines="0" w:line="400" w:lineRule="exact"/>
              <w:contextualSpacing/>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名称：广东省城规建设监理有限公司</w:t>
            </w:r>
          </w:p>
          <w:p w14:paraId="64200DC0">
            <w:pPr>
              <w:spacing w:before="0" w:beforeLines="0" w:line="400" w:lineRule="exact"/>
              <w:contextualSpacing/>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地址：广州市白云区启德路77号广州法务大厦北塔6楼</w:t>
            </w:r>
          </w:p>
          <w:p w14:paraId="7F36A691">
            <w:pPr>
              <w:spacing w:before="0" w:beforeLines="0" w:line="400" w:lineRule="exact"/>
              <w:contextualSpacing/>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联系人：叶工</w:t>
            </w:r>
          </w:p>
          <w:p w14:paraId="5C11819E">
            <w:pPr>
              <w:spacing w:before="0" w:beforeLines="0" w:line="400" w:lineRule="exact"/>
              <w:contextualSpacing/>
              <w:rPr>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电话：020-83560819/13824451276</w:t>
            </w:r>
          </w:p>
        </w:tc>
      </w:tr>
      <w:tr w14:paraId="7C08E34C">
        <w:tblPrEx>
          <w:tblCellMar>
            <w:top w:w="0" w:type="dxa"/>
            <w:left w:w="108" w:type="dxa"/>
            <w:bottom w:w="0" w:type="dxa"/>
            <w:right w:w="108" w:type="dxa"/>
          </w:tblCellMar>
        </w:tblPrEx>
        <w:trPr>
          <w:trHeight w:val="450"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4CC8731A">
            <w:pPr>
              <w:spacing w:before="120" w:beforeLines="50" w:line="360" w:lineRule="auto"/>
              <w:contextualSpacing/>
              <w:jc w:val="center"/>
              <w:rPr>
                <w:color w:val="000000" w:themeColor="text1"/>
                <w:szCs w:val="21"/>
                <w:highlight w:val="none"/>
                <w14:textFill>
                  <w14:solidFill>
                    <w14:schemeClr w14:val="tx1"/>
                  </w14:solidFill>
                </w14:textFill>
              </w:rPr>
            </w:pPr>
            <w:bookmarkStart w:id="188" w:name="_Toc221950016"/>
            <w:r>
              <w:rPr>
                <w:color w:val="000000" w:themeColor="text1"/>
                <w:szCs w:val="21"/>
                <w:highlight w:val="none"/>
                <w14:textFill>
                  <w14:solidFill>
                    <w14:schemeClr w14:val="tx1"/>
                  </w14:solidFill>
                </w14:textFill>
              </w:rPr>
              <w:t>1.1.4</w:t>
            </w:r>
            <w:bookmarkEnd w:id="188"/>
          </w:p>
        </w:tc>
        <w:tc>
          <w:tcPr>
            <w:tcW w:w="2192" w:type="dxa"/>
            <w:tcBorders>
              <w:top w:val="single" w:color="auto" w:sz="4" w:space="0"/>
              <w:left w:val="single" w:color="auto" w:sz="4" w:space="0"/>
              <w:bottom w:val="single" w:color="auto" w:sz="4" w:space="0"/>
              <w:right w:val="single" w:color="auto" w:sz="4" w:space="0"/>
            </w:tcBorders>
            <w:noWrap w:val="0"/>
            <w:vAlign w:val="center"/>
          </w:tcPr>
          <w:p w14:paraId="3CD1169D">
            <w:pPr>
              <w:spacing w:before="120" w:beforeLines="50" w:line="360" w:lineRule="auto"/>
              <w:contextualSpacing/>
              <w:jc w:val="left"/>
              <w:rPr>
                <w:color w:val="000000" w:themeColor="text1"/>
                <w:szCs w:val="21"/>
                <w:highlight w:val="none"/>
                <w14:textFill>
                  <w14:solidFill>
                    <w14:schemeClr w14:val="tx1"/>
                  </w14:solidFill>
                </w14:textFill>
              </w:rPr>
            </w:pPr>
            <w:bookmarkStart w:id="189" w:name="_Toc221950017"/>
            <w:r>
              <w:rPr>
                <w:color w:val="000000" w:themeColor="text1"/>
                <w:szCs w:val="21"/>
                <w:highlight w:val="none"/>
                <w14:textFill>
                  <w14:solidFill>
                    <w14:schemeClr w14:val="tx1"/>
                  </w14:solidFill>
                </w14:textFill>
              </w:rPr>
              <w:t>项目名称</w:t>
            </w:r>
            <w:bookmarkEnd w:id="189"/>
          </w:p>
        </w:tc>
        <w:tc>
          <w:tcPr>
            <w:tcW w:w="5038" w:type="dxa"/>
            <w:tcBorders>
              <w:top w:val="single" w:color="auto" w:sz="4" w:space="0"/>
              <w:left w:val="single" w:color="auto" w:sz="4" w:space="0"/>
              <w:bottom w:val="single" w:color="auto" w:sz="4" w:space="0"/>
              <w:right w:val="single" w:color="auto" w:sz="4" w:space="0"/>
            </w:tcBorders>
            <w:noWrap w:val="0"/>
            <w:vAlign w:val="center"/>
          </w:tcPr>
          <w:p w14:paraId="02F3BCF1">
            <w:pPr>
              <w:spacing w:before="120" w:beforeLines="50" w:line="360" w:lineRule="auto"/>
              <w:contextualSpacing/>
              <w:rPr>
                <w:rFonts w:hint="default"/>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2024年中区片区内街管网改造工程（北京南等8个片区）施工总承包项目</w:t>
            </w:r>
          </w:p>
        </w:tc>
      </w:tr>
      <w:tr w14:paraId="1CF6C23D">
        <w:tblPrEx>
          <w:tblCellMar>
            <w:top w:w="0" w:type="dxa"/>
            <w:left w:w="108" w:type="dxa"/>
            <w:bottom w:w="0" w:type="dxa"/>
            <w:right w:w="108" w:type="dxa"/>
          </w:tblCellMar>
        </w:tblPrEx>
        <w:trPr>
          <w:trHeight w:val="46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31A801A0">
            <w:pPr>
              <w:spacing w:before="120" w:beforeLines="50" w:line="360" w:lineRule="auto"/>
              <w:contextualSpacing/>
              <w:jc w:val="center"/>
              <w:rPr>
                <w:color w:val="000000" w:themeColor="text1"/>
                <w:szCs w:val="21"/>
                <w:highlight w:val="none"/>
                <w14:textFill>
                  <w14:solidFill>
                    <w14:schemeClr w14:val="tx1"/>
                  </w14:solidFill>
                </w14:textFill>
              </w:rPr>
            </w:pPr>
            <w:bookmarkStart w:id="190" w:name="_Toc221950018"/>
            <w:r>
              <w:rPr>
                <w:color w:val="000000" w:themeColor="text1"/>
                <w:szCs w:val="21"/>
                <w:highlight w:val="none"/>
                <w14:textFill>
                  <w14:solidFill>
                    <w14:schemeClr w14:val="tx1"/>
                  </w14:solidFill>
                </w14:textFill>
              </w:rPr>
              <w:t>1.1.5</w:t>
            </w:r>
            <w:bookmarkEnd w:id="190"/>
          </w:p>
        </w:tc>
        <w:tc>
          <w:tcPr>
            <w:tcW w:w="2192" w:type="dxa"/>
            <w:tcBorders>
              <w:top w:val="single" w:color="auto" w:sz="4" w:space="0"/>
              <w:left w:val="single" w:color="auto" w:sz="4" w:space="0"/>
              <w:bottom w:val="single" w:color="auto" w:sz="4" w:space="0"/>
              <w:right w:val="single" w:color="auto" w:sz="4" w:space="0"/>
            </w:tcBorders>
            <w:noWrap w:val="0"/>
            <w:vAlign w:val="center"/>
          </w:tcPr>
          <w:p w14:paraId="47D29631">
            <w:pPr>
              <w:spacing w:before="120" w:beforeLines="50" w:line="360" w:lineRule="auto"/>
              <w:contextualSpacing/>
              <w:jc w:val="left"/>
              <w:rPr>
                <w:color w:val="000000" w:themeColor="text1"/>
                <w:szCs w:val="21"/>
                <w:highlight w:val="none"/>
                <w14:textFill>
                  <w14:solidFill>
                    <w14:schemeClr w14:val="tx1"/>
                  </w14:solidFill>
                </w14:textFill>
              </w:rPr>
            </w:pPr>
            <w:bookmarkStart w:id="191" w:name="_Toc221950019"/>
            <w:r>
              <w:rPr>
                <w:color w:val="000000" w:themeColor="text1"/>
                <w:szCs w:val="21"/>
                <w:highlight w:val="none"/>
                <w14:textFill>
                  <w14:solidFill>
                    <w14:schemeClr w14:val="tx1"/>
                  </w14:solidFill>
                </w14:textFill>
              </w:rPr>
              <w:t>建设地点</w:t>
            </w:r>
            <w:bookmarkEnd w:id="191"/>
          </w:p>
        </w:tc>
        <w:tc>
          <w:tcPr>
            <w:tcW w:w="5038" w:type="dxa"/>
            <w:tcBorders>
              <w:top w:val="single" w:color="auto" w:sz="4" w:space="0"/>
              <w:left w:val="single" w:color="auto" w:sz="4" w:space="0"/>
              <w:bottom w:val="single" w:color="auto" w:sz="4" w:space="0"/>
              <w:right w:val="single" w:color="auto" w:sz="4" w:space="0"/>
            </w:tcBorders>
            <w:noWrap w:val="0"/>
            <w:vAlign w:val="center"/>
          </w:tcPr>
          <w:p w14:paraId="73CA4C52">
            <w:pPr>
              <w:spacing w:before="120" w:beforeLines="50" w:line="360" w:lineRule="auto"/>
              <w:contextualSpacing/>
              <w:rPr>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详见本项目招标公告。</w:t>
            </w:r>
          </w:p>
        </w:tc>
      </w:tr>
      <w:tr w14:paraId="39435969">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14:paraId="08289F3A">
            <w:pPr>
              <w:spacing w:before="120" w:beforeLines="50" w:line="360" w:lineRule="auto"/>
              <w:contextualSpacing/>
              <w:jc w:val="center"/>
              <w:rPr>
                <w:color w:val="000000" w:themeColor="text1"/>
                <w:szCs w:val="21"/>
                <w:highlight w:val="none"/>
                <w14:textFill>
                  <w14:solidFill>
                    <w14:schemeClr w14:val="tx1"/>
                  </w14:solidFill>
                </w14:textFill>
              </w:rPr>
            </w:pPr>
            <w:bookmarkStart w:id="192" w:name="_Toc221950030"/>
            <w:r>
              <w:rPr>
                <w:color w:val="000000" w:themeColor="text1"/>
                <w:szCs w:val="21"/>
                <w:highlight w:val="none"/>
                <w14:textFill>
                  <w14:solidFill>
                    <w14:schemeClr w14:val="tx1"/>
                  </w14:solidFill>
                </w14:textFill>
              </w:rPr>
              <w:t>1.2.1</w:t>
            </w:r>
            <w:bookmarkEnd w:id="192"/>
          </w:p>
        </w:tc>
        <w:tc>
          <w:tcPr>
            <w:tcW w:w="2192" w:type="dxa"/>
            <w:tcBorders>
              <w:top w:val="single" w:color="auto" w:sz="4" w:space="0"/>
              <w:left w:val="single" w:color="auto" w:sz="4" w:space="0"/>
              <w:bottom w:val="single" w:color="auto" w:sz="4" w:space="0"/>
              <w:right w:val="single" w:color="auto" w:sz="4" w:space="0"/>
            </w:tcBorders>
            <w:noWrap w:val="0"/>
            <w:vAlign w:val="center"/>
          </w:tcPr>
          <w:p w14:paraId="78E93EFA">
            <w:pPr>
              <w:spacing w:before="120" w:beforeLines="50" w:line="360" w:lineRule="auto"/>
              <w:contextualSpacing/>
              <w:jc w:val="left"/>
              <w:rPr>
                <w:color w:val="000000" w:themeColor="text1"/>
                <w:szCs w:val="21"/>
                <w:highlight w:val="none"/>
                <w14:textFill>
                  <w14:solidFill>
                    <w14:schemeClr w14:val="tx1"/>
                  </w14:solidFill>
                </w14:textFill>
              </w:rPr>
            </w:pPr>
            <w:bookmarkStart w:id="193" w:name="_Toc221950031"/>
            <w:r>
              <w:rPr>
                <w:color w:val="000000" w:themeColor="text1"/>
                <w:szCs w:val="21"/>
                <w:highlight w:val="none"/>
                <w14:textFill>
                  <w14:solidFill>
                    <w14:schemeClr w14:val="tx1"/>
                  </w14:solidFill>
                </w14:textFill>
              </w:rPr>
              <w:t>资金来源</w:t>
            </w:r>
            <w:bookmarkEnd w:id="193"/>
            <w:r>
              <w:rPr>
                <w:rFonts w:hint="eastAsia"/>
                <w:color w:val="000000" w:themeColor="text1"/>
                <w:szCs w:val="21"/>
                <w:highlight w:val="none"/>
                <w14:textFill>
                  <w14:solidFill>
                    <w14:schemeClr w14:val="tx1"/>
                  </w14:solidFill>
                </w14:textFill>
              </w:rPr>
              <w:t>及比例</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21616053">
            <w:pPr>
              <w:spacing w:before="120" w:beforeLines="50" w:line="360" w:lineRule="auto"/>
              <w:contextualSpacing/>
              <w:rPr>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自筹资金100%</w:t>
            </w:r>
          </w:p>
        </w:tc>
      </w:tr>
      <w:tr w14:paraId="2F3CA627">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14:paraId="27118B28">
            <w:pPr>
              <w:spacing w:before="156" w:beforeLines="50" w:line="360" w:lineRule="auto"/>
              <w:contextualSpacing/>
              <w:jc w:val="center"/>
              <w:rPr>
                <w:color w:val="000000" w:themeColor="text1"/>
                <w:kern w:val="2"/>
                <w:sz w:val="21"/>
                <w:szCs w:val="21"/>
                <w:highlight w:val="none"/>
                <w:lang w:val="en-US" w:eastAsia="zh-CN" w:bidi="ar-SA"/>
                <w14:textFill>
                  <w14:solidFill>
                    <w14:schemeClr w14:val="tx1"/>
                  </w14:solidFill>
                </w14:textFill>
              </w:rPr>
            </w:pPr>
            <w:bookmarkStart w:id="194" w:name="_Toc221950036"/>
            <w:r>
              <w:rPr>
                <w:rFonts w:hint="eastAsia"/>
                <w:color w:val="000000" w:themeColor="text1"/>
                <w:szCs w:val="21"/>
                <w:highlight w:val="none"/>
                <w14:textFill>
                  <w14:solidFill>
                    <w14:schemeClr w14:val="tx1"/>
                  </w14:solidFill>
                </w14:textFill>
              </w:rPr>
              <w:t>1.2.2</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0A56A544">
            <w:pPr>
              <w:spacing w:before="156" w:beforeLines="50" w:line="360" w:lineRule="auto"/>
              <w:contextualSpacing/>
              <w:jc w:val="left"/>
              <w:rPr>
                <w:rFonts w:ascii="Times New Roman" w:hAnsi="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资金落实情况</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74EE6BCF">
            <w:pPr>
              <w:spacing w:before="156" w:beforeLines="50" w:line="360" w:lineRule="auto"/>
              <w:contextualSpacing/>
              <w:rPr>
                <w:rFonts w:hint="default" w:eastAsia="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资金来源已落实</w:t>
            </w:r>
          </w:p>
        </w:tc>
      </w:tr>
      <w:tr w14:paraId="0DA3650D">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14:paraId="508E9C57">
            <w:pPr>
              <w:spacing w:before="120" w:beforeLines="50" w:line="360" w:lineRule="auto"/>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r>
              <w:rPr>
                <w:rFonts w:hint="eastAsia"/>
                <w:color w:val="000000" w:themeColor="text1"/>
                <w:szCs w:val="21"/>
                <w:highlight w:val="none"/>
                <w14:textFill>
                  <w14:solidFill>
                    <w14:schemeClr w14:val="tx1"/>
                  </w14:solidFill>
                </w14:textFill>
              </w:rPr>
              <w:t>3</w:t>
            </w:r>
            <w:r>
              <w:rPr>
                <w:color w:val="000000" w:themeColor="text1"/>
                <w:szCs w:val="21"/>
                <w:highlight w:val="none"/>
                <w14:textFill>
                  <w14:solidFill>
                    <w14:schemeClr w14:val="tx1"/>
                  </w14:solidFill>
                </w14:textFill>
              </w:rPr>
              <w:t>.1</w:t>
            </w:r>
            <w:bookmarkEnd w:id="194"/>
          </w:p>
        </w:tc>
        <w:tc>
          <w:tcPr>
            <w:tcW w:w="2192" w:type="dxa"/>
            <w:tcBorders>
              <w:top w:val="single" w:color="auto" w:sz="4" w:space="0"/>
              <w:left w:val="single" w:color="auto" w:sz="4" w:space="0"/>
              <w:bottom w:val="single" w:color="auto" w:sz="4" w:space="0"/>
              <w:right w:val="single" w:color="auto" w:sz="4" w:space="0"/>
            </w:tcBorders>
            <w:noWrap w:val="0"/>
            <w:vAlign w:val="center"/>
          </w:tcPr>
          <w:p w14:paraId="66A3EAEA">
            <w:pPr>
              <w:spacing w:before="120" w:beforeLines="50" w:line="360" w:lineRule="auto"/>
              <w:contextualSpacing/>
              <w:jc w:val="left"/>
              <w:rPr>
                <w:color w:val="000000" w:themeColor="text1"/>
                <w:szCs w:val="21"/>
                <w:highlight w:val="none"/>
                <w14:textFill>
                  <w14:solidFill>
                    <w14:schemeClr w14:val="tx1"/>
                  </w14:solidFill>
                </w14:textFill>
              </w:rPr>
            </w:pPr>
            <w:bookmarkStart w:id="195" w:name="_Toc221950037"/>
            <w:r>
              <w:rPr>
                <w:color w:val="000000" w:themeColor="text1"/>
                <w:szCs w:val="21"/>
                <w:highlight w:val="none"/>
                <w14:textFill>
                  <w14:solidFill>
                    <w14:schemeClr w14:val="tx1"/>
                  </w14:solidFill>
                </w14:textFill>
              </w:rPr>
              <w:t>招标范围</w:t>
            </w:r>
            <w:bookmarkEnd w:id="195"/>
          </w:p>
        </w:tc>
        <w:tc>
          <w:tcPr>
            <w:tcW w:w="5038" w:type="dxa"/>
            <w:tcBorders>
              <w:top w:val="single" w:color="auto" w:sz="4" w:space="0"/>
              <w:left w:val="single" w:color="auto" w:sz="4" w:space="0"/>
              <w:bottom w:val="single" w:color="auto" w:sz="4" w:space="0"/>
              <w:right w:val="single" w:color="auto" w:sz="4" w:space="0"/>
            </w:tcBorders>
            <w:noWrap w:val="0"/>
            <w:vAlign w:val="center"/>
          </w:tcPr>
          <w:p w14:paraId="24B45E34">
            <w:pPr>
              <w:spacing w:before="120" w:beforeLines="50" w:line="360" w:lineRule="auto"/>
              <w:contextualSpacing/>
              <w:rPr>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详见本项目招标公告。</w:t>
            </w:r>
          </w:p>
        </w:tc>
      </w:tr>
      <w:tr w14:paraId="0BF4C8AB">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14:paraId="4C66C0E6">
            <w:pPr>
              <w:spacing w:before="120" w:beforeLines="50" w:line="360" w:lineRule="auto"/>
              <w:contextualSpacing/>
              <w:jc w:val="center"/>
              <w:rPr>
                <w:color w:val="000000" w:themeColor="text1"/>
                <w:szCs w:val="21"/>
                <w:highlight w:val="none"/>
                <w14:textFill>
                  <w14:solidFill>
                    <w14:schemeClr w14:val="tx1"/>
                  </w14:solidFill>
                </w14:textFill>
              </w:rPr>
            </w:pPr>
            <w:bookmarkStart w:id="196" w:name="_Toc221950038"/>
            <w:r>
              <w:rPr>
                <w:color w:val="000000" w:themeColor="text1"/>
                <w:szCs w:val="21"/>
                <w:highlight w:val="none"/>
                <w14:textFill>
                  <w14:solidFill>
                    <w14:schemeClr w14:val="tx1"/>
                  </w14:solidFill>
                </w14:textFill>
              </w:rPr>
              <w:t>1.3.2</w:t>
            </w:r>
            <w:bookmarkEnd w:id="196"/>
          </w:p>
        </w:tc>
        <w:tc>
          <w:tcPr>
            <w:tcW w:w="2192" w:type="dxa"/>
            <w:tcBorders>
              <w:top w:val="single" w:color="auto" w:sz="4" w:space="0"/>
              <w:left w:val="single" w:color="auto" w:sz="4" w:space="0"/>
              <w:bottom w:val="single" w:color="auto" w:sz="4" w:space="0"/>
              <w:right w:val="single" w:color="auto" w:sz="4" w:space="0"/>
            </w:tcBorders>
            <w:noWrap w:val="0"/>
            <w:vAlign w:val="center"/>
          </w:tcPr>
          <w:p w14:paraId="115E5650">
            <w:pPr>
              <w:spacing w:before="120" w:beforeLines="50" w:line="360" w:lineRule="auto"/>
              <w:contextualSpacing/>
              <w:jc w:val="left"/>
              <w:rPr>
                <w:color w:val="000000" w:themeColor="text1"/>
                <w:szCs w:val="21"/>
                <w:highlight w:val="none"/>
                <w14:textFill>
                  <w14:solidFill>
                    <w14:schemeClr w14:val="tx1"/>
                  </w14:solidFill>
                </w14:textFill>
              </w:rPr>
            </w:pPr>
            <w:bookmarkStart w:id="197" w:name="_Toc221950039"/>
            <w:r>
              <w:rPr>
                <w:color w:val="000000" w:themeColor="text1"/>
                <w:szCs w:val="21"/>
                <w:highlight w:val="none"/>
                <w14:textFill>
                  <w14:solidFill>
                    <w14:schemeClr w14:val="tx1"/>
                  </w14:solidFill>
                </w14:textFill>
              </w:rPr>
              <w:t>计划工期</w:t>
            </w:r>
            <w:bookmarkEnd w:id="197"/>
          </w:p>
        </w:tc>
        <w:tc>
          <w:tcPr>
            <w:tcW w:w="5038" w:type="dxa"/>
            <w:tcBorders>
              <w:top w:val="single" w:color="auto" w:sz="4" w:space="0"/>
              <w:left w:val="single" w:color="auto" w:sz="4" w:space="0"/>
              <w:bottom w:val="single" w:color="auto" w:sz="4" w:space="0"/>
              <w:right w:val="single" w:color="auto" w:sz="4" w:space="0"/>
            </w:tcBorders>
            <w:noWrap w:val="0"/>
            <w:vAlign w:val="center"/>
          </w:tcPr>
          <w:p w14:paraId="2FFEBF69">
            <w:pPr>
              <w:spacing w:before="120" w:beforeLines="50" w:line="360" w:lineRule="auto"/>
              <w:contextualSpacing/>
              <w:rPr>
                <w:color w:val="000000" w:themeColor="text1"/>
                <w:szCs w:val="21"/>
                <w:highlight w:val="none"/>
                <w14:textFill>
                  <w14:solidFill>
                    <w14:schemeClr w14:val="tx1"/>
                  </w14:solidFill>
                </w14:textFill>
              </w:rPr>
            </w:pPr>
            <w:bookmarkStart w:id="198" w:name="_Toc221950040"/>
            <w:r>
              <w:rPr>
                <w:rFonts w:hint="eastAsia" w:ascii="宋体" w:hAnsi="宋体" w:eastAsia="宋体" w:cs="宋体"/>
                <w:color w:val="000000" w:themeColor="text1"/>
                <w:highlight w:val="none"/>
                <w14:textFill>
                  <w14:solidFill>
                    <w14:schemeClr w14:val="tx1"/>
                  </w14:solidFill>
                </w14:textFill>
              </w:rPr>
              <w:t>详见本项目招标公告。</w:t>
            </w:r>
            <w:bookmarkEnd w:id="198"/>
          </w:p>
        </w:tc>
      </w:tr>
      <w:tr w14:paraId="386543F6">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14:paraId="5D7A4C0E">
            <w:pPr>
              <w:spacing w:before="120" w:beforeLines="50" w:line="360" w:lineRule="auto"/>
              <w:contextualSpacing/>
              <w:jc w:val="center"/>
              <w:rPr>
                <w:color w:val="000000" w:themeColor="text1"/>
                <w:szCs w:val="21"/>
                <w:highlight w:val="none"/>
                <w14:textFill>
                  <w14:solidFill>
                    <w14:schemeClr w14:val="tx1"/>
                  </w14:solidFill>
                </w14:textFill>
              </w:rPr>
            </w:pPr>
            <w:bookmarkStart w:id="199" w:name="_Toc221950043"/>
            <w:r>
              <w:rPr>
                <w:color w:val="000000" w:themeColor="text1"/>
                <w:szCs w:val="21"/>
                <w:highlight w:val="none"/>
                <w14:textFill>
                  <w14:solidFill>
                    <w14:schemeClr w14:val="tx1"/>
                  </w14:solidFill>
                </w14:textFill>
              </w:rPr>
              <w:t>1.3.3</w:t>
            </w:r>
            <w:bookmarkEnd w:id="199"/>
          </w:p>
        </w:tc>
        <w:tc>
          <w:tcPr>
            <w:tcW w:w="2192" w:type="dxa"/>
            <w:tcBorders>
              <w:top w:val="single" w:color="auto" w:sz="4" w:space="0"/>
              <w:left w:val="single" w:color="auto" w:sz="4" w:space="0"/>
              <w:bottom w:val="single" w:color="auto" w:sz="4" w:space="0"/>
              <w:right w:val="single" w:color="auto" w:sz="4" w:space="0"/>
            </w:tcBorders>
            <w:noWrap w:val="0"/>
            <w:vAlign w:val="center"/>
          </w:tcPr>
          <w:p w14:paraId="4F03AB37">
            <w:pPr>
              <w:spacing w:before="120" w:beforeLines="50" w:line="360" w:lineRule="auto"/>
              <w:contextualSpacing/>
              <w:jc w:val="left"/>
              <w:rPr>
                <w:color w:val="000000" w:themeColor="text1"/>
                <w:szCs w:val="21"/>
                <w:highlight w:val="none"/>
                <w14:textFill>
                  <w14:solidFill>
                    <w14:schemeClr w14:val="tx1"/>
                  </w14:solidFill>
                </w14:textFill>
              </w:rPr>
            </w:pPr>
            <w:bookmarkStart w:id="200" w:name="_Toc221950044"/>
            <w:r>
              <w:rPr>
                <w:color w:val="000000" w:themeColor="text1"/>
                <w:szCs w:val="21"/>
                <w:highlight w:val="none"/>
                <w14:textFill>
                  <w14:solidFill>
                    <w14:schemeClr w14:val="tx1"/>
                  </w14:solidFill>
                </w14:textFill>
              </w:rPr>
              <w:t>质量要求</w:t>
            </w:r>
            <w:bookmarkEnd w:id="200"/>
          </w:p>
        </w:tc>
        <w:tc>
          <w:tcPr>
            <w:tcW w:w="5038" w:type="dxa"/>
            <w:tcBorders>
              <w:top w:val="single" w:color="auto" w:sz="4" w:space="0"/>
              <w:left w:val="single" w:color="auto" w:sz="4" w:space="0"/>
              <w:bottom w:val="single" w:color="auto" w:sz="4" w:space="0"/>
              <w:right w:val="single" w:color="auto" w:sz="4" w:space="0"/>
            </w:tcBorders>
            <w:noWrap w:val="0"/>
            <w:vAlign w:val="center"/>
          </w:tcPr>
          <w:p w14:paraId="1E14BD17">
            <w:pPr>
              <w:spacing w:before="120" w:beforeLines="50" w:line="360" w:lineRule="auto"/>
              <w:contextualSpacing/>
              <w:rPr>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color w:val="000000" w:themeColor="text1"/>
                <w:szCs w:val="21"/>
                <w:highlight w:val="none"/>
                <w14:textFill>
                  <w14:solidFill>
                    <w14:schemeClr w14:val="tx1"/>
                  </w14:solidFill>
                </w14:textFill>
              </w:rPr>
              <w:t>合格</w:t>
            </w:r>
            <w:r>
              <w:rPr>
                <w:rFonts w:hint="eastAsia" w:ascii="宋体" w:hAnsi="宋体"/>
                <w:strike w:val="0"/>
                <w:color w:val="000000" w:themeColor="text1"/>
                <w:szCs w:val="21"/>
                <w:highlight w:val="none"/>
                <w14:textFill>
                  <w14:solidFill>
                    <w14:schemeClr w14:val="tx1"/>
                  </w14:solidFill>
                </w14:textFill>
              </w:rPr>
              <w:sym w:font="Wingdings 2" w:char="0051"/>
            </w:r>
            <w:r>
              <w:rPr>
                <w:rFonts w:hint="eastAsia"/>
                <w:color w:val="000000" w:themeColor="text1"/>
                <w:szCs w:val="21"/>
                <w:highlight w:val="none"/>
                <w14:textFill>
                  <w14:solidFill>
                    <w14:schemeClr w14:val="tx1"/>
                  </w14:solidFill>
                </w14:textFill>
              </w:rPr>
              <w:t>优良</w:t>
            </w:r>
          </w:p>
        </w:tc>
      </w:tr>
      <w:tr w14:paraId="1E91456E">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14:paraId="111159C9">
            <w:pPr>
              <w:spacing w:before="120" w:beforeLines="50" w:line="360" w:lineRule="auto"/>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1.3.4</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253D8EC1">
            <w:pPr>
              <w:spacing w:before="120" w:beforeLines="50" w:line="360" w:lineRule="auto"/>
              <w:contextualSpacing/>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承包方式</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12C9F24D">
            <w:pPr>
              <w:pStyle w:val="14"/>
              <w:topLinePunct/>
              <w:spacing w:line="400" w:lineRule="exact"/>
              <w:rPr>
                <w:color w:val="000000" w:themeColor="text1"/>
                <w:kern w:val="2"/>
                <w:sz w:val="21"/>
                <w:szCs w:val="21"/>
                <w:highlight w:val="none"/>
                <w:lang w:val="en-US" w:eastAsia="zh-CN"/>
                <w14:textFill>
                  <w14:solidFill>
                    <w14:schemeClr w14:val="tx1"/>
                  </w14:solidFill>
                </w14:textFill>
              </w:rPr>
            </w:pPr>
            <w:r>
              <w:rPr>
                <w:rFonts w:hint="eastAsia" w:ascii="宋体" w:hAnsi="宋体"/>
                <w:strike w:val="0"/>
                <w:color w:val="000000" w:themeColor="text1"/>
                <w:szCs w:val="21"/>
                <w:highlight w:val="none"/>
                <w14:textFill>
                  <w14:solidFill>
                    <w14:schemeClr w14:val="tx1"/>
                  </w14:solidFill>
                </w14:textFill>
              </w:rPr>
              <w:sym w:font="Wingdings 2" w:char="0051"/>
            </w:r>
            <w:r>
              <w:rPr>
                <w:rFonts w:hint="eastAsia"/>
                <w:color w:val="000000" w:themeColor="text1"/>
                <w:kern w:val="2"/>
                <w:sz w:val="21"/>
                <w:szCs w:val="21"/>
                <w:highlight w:val="none"/>
                <w:lang w:val="en-US" w:eastAsia="zh-CN"/>
                <w14:textFill>
                  <w14:solidFill>
                    <w14:schemeClr w14:val="tx1"/>
                  </w14:solidFill>
                </w14:textFill>
              </w:rPr>
              <w:t>固定总价</w:t>
            </w:r>
          </w:p>
          <w:p w14:paraId="62E8832A">
            <w:pPr>
              <w:pStyle w:val="14"/>
              <w:topLinePunct/>
              <w:spacing w:line="400" w:lineRule="exact"/>
              <w:rPr>
                <w:color w:val="000000" w:themeColor="text1"/>
                <w:kern w:val="2"/>
                <w:sz w:val="21"/>
                <w:szCs w:val="21"/>
                <w:highlight w:val="none"/>
                <w:lang w:val="en-US" w:eastAsia="zh-CN"/>
                <w14:textFill>
                  <w14:solidFill>
                    <w14:schemeClr w14:val="tx1"/>
                  </w14:solidFill>
                </w14:textFill>
              </w:rPr>
            </w:pPr>
            <w:r>
              <w:rPr>
                <w:rFonts w:hint="eastAsia" w:ascii="宋体" w:hAnsi="宋体"/>
                <w:strike w:val="0"/>
                <w:color w:val="000000" w:themeColor="text1"/>
                <w:szCs w:val="21"/>
                <w:highlight w:val="none"/>
                <w14:textFill>
                  <w14:solidFill>
                    <w14:schemeClr w14:val="tx1"/>
                  </w14:solidFill>
                </w14:textFill>
              </w:rPr>
              <w:sym w:font="Wingdings 2" w:char="0051"/>
            </w:r>
            <w:r>
              <w:rPr>
                <w:rFonts w:hint="eastAsia"/>
                <w:color w:val="000000" w:themeColor="text1"/>
                <w:kern w:val="2"/>
                <w:sz w:val="21"/>
                <w:szCs w:val="21"/>
                <w:highlight w:val="none"/>
                <w:lang w:val="en-US" w:eastAsia="zh-CN"/>
                <w14:textFill>
                  <w14:solidFill>
                    <w14:schemeClr w14:val="tx1"/>
                  </w14:solidFill>
                </w14:textFill>
              </w:rPr>
              <w:t>综合单价</w:t>
            </w:r>
          </w:p>
          <w:p w14:paraId="6CBC8711">
            <w:pPr>
              <w:spacing w:before="120" w:beforeLines="50" w:line="360" w:lineRule="auto"/>
              <w:contextualSpacing/>
              <w:rPr>
                <w:rFonts w:hint="eastAsia"/>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color w:val="000000" w:themeColor="text1"/>
                <w:szCs w:val="21"/>
                <w:highlight w:val="none"/>
                <w14:textFill>
                  <w14:solidFill>
                    <w14:schemeClr w14:val="tx1"/>
                  </w14:solidFill>
                </w14:textFill>
              </w:rPr>
              <w:t>其他：</w:t>
            </w:r>
            <w:r>
              <w:rPr>
                <w:rFonts w:hint="eastAsia"/>
                <w:color w:val="000000" w:themeColor="text1"/>
                <w:szCs w:val="21"/>
                <w:highlight w:val="none"/>
                <w:u w:val="single"/>
                <w14:textFill>
                  <w14:solidFill>
                    <w14:schemeClr w14:val="tx1"/>
                  </w14:solidFill>
                </w14:textFill>
              </w:rPr>
              <w:t>包工、包料（除甲供材料外）、包安装、包工期、包质量、采取有效措施不发生安全事故、包文明施工、包劳保、包验收、包保修。包进场施工前的场地交接；包承包范围内工程验收通过、包移交、包结算、包资料整理、包施工承包管理和现场整体组织、包专业协调及配合等。</w:t>
            </w:r>
          </w:p>
          <w:p w14:paraId="2408284A">
            <w:pPr>
              <w:spacing w:before="120" w:beforeLines="50" w:line="360" w:lineRule="auto"/>
              <w:contextualSpacing/>
              <w:rPr>
                <w:color w:val="000000" w:themeColor="text1"/>
                <w:szCs w:val="21"/>
                <w:highlight w:val="none"/>
                <w14:textFill>
                  <w14:solidFill>
                    <w14:schemeClr w14:val="tx1"/>
                  </w14:solidFill>
                </w14:textFill>
              </w:rPr>
            </w:pPr>
            <w:r>
              <w:rPr>
                <w:rFonts w:hint="eastAsia"/>
                <w:color w:val="000000" w:themeColor="text1"/>
                <w:szCs w:val="21"/>
                <w:highlight w:val="none"/>
                <w:u w:val="single"/>
                <w14:textFill>
                  <w14:solidFill>
                    <w14:schemeClr w14:val="tx1"/>
                  </w14:solidFill>
                </w14:textFill>
              </w:rPr>
              <w:t>本工程采用的计税方式为：简易计税。</w:t>
            </w:r>
          </w:p>
        </w:tc>
      </w:tr>
      <w:tr w14:paraId="00958A95">
        <w:tblPrEx>
          <w:tblCellMar>
            <w:top w:w="0" w:type="dxa"/>
            <w:left w:w="108" w:type="dxa"/>
            <w:bottom w:w="0" w:type="dxa"/>
            <w:right w:w="108" w:type="dxa"/>
          </w:tblCellMar>
        </w:tblPrEx>
        <w:trPr>
          <w:trHeight w:val="1692" w:hRule="atLeast"/>
        </w:trPr>
        <w:tc>
          <w:tcPr>
            <w:tcW w:w="1298" w:type="dxa"/>
            <w:tcBorders>
              <w:top w:val="single" w:color="auto" w:sz="4" w:space="0"/>
              <w:left w:val="single" w:color="auto" w:sz="4" w:space="0"/>
              <w:right w:val="single" w:color="auto" w:sz="4" w:space="0"/>
            </w:tcBorders>
            <w:noWrap w:val="0"/>
            <w:vAlign w:val="center"/>
          </w:tcPr>
          <w:p w14:paraId="035ED8EF">
            <w:pPr>
              <w:spacing w:before="120" w:beforeLines="50" w:line="360" w:lineRule="auto"/>
              <w:contextualSpacing/>
              <w:jc w:val="center"/>
              <w:rPr>
                <w:color w:val="000000" w:themeColor="text1"/>
                <w:szCs w:val="21"/>
                <w:highlight w:val="none"/>
                <w14:textFill>
                  <w14:solidFill>
                    <w14:schemeClr w14:val="tx1"/>
                  </w14:solidFill>
                </w14:textFill>
              </w:rPr>
            </w:pPr>
            <w:bookmarkStart w:id="201" w:name="_Toc221950045"/>
            <w:r>
              <w:rPr>
                <w:rFonts w:hint="eastAsia"/>
                <w:color w:val="000000" w:themeColor="text1"/>
                <w:szCs w:val="21"/>
                <w:highlight w:val="none"/>
                <w14:textFill>
                  <w14:solidFill>
                    <w14:schemeClr w14:val="tx1"/>
                  </w14:solidFill>
                </w14:textFill>
              </w:rPr>
              <w:t>1.4.1</w:t>
            </w:r>
            <w:bookmarkEnd w:id="201"/>
          </w:p>
        </w:tc>
        <w:tc>
          <w:tcPr>
            <w:tcW w:w="2192" w:type="dxa"/>
            <w:tcBorders>
              <w:top w:val="single" w:color="auto" w:sz="4" w:space="0"/>
              <w:left w:val="single" w:color="auto" w:sz="4" w:space="0"/>
              <w:right w:val="single" w:color="auto" w:sz="4" w:space="0"/>
            </w:tcBorders>
            <w:noWrap w:val="0"/>
            <w:vAlign w:val="center"/>
          </w:tcPr>
          <w:p w14:paraId="73E7E7C3">
            <w:pPr>
              <w:spacing w:before="120" w:beforeLines="50" w:line="360" w:lineRule="auto"/>
              <w:contextualSpacing/>
              <w:jc w:val="left"/>
              <w:rPr>
                <w:rFonts w:ascii="宋体" w:hAnsi="宋体"/>
                <w:color w:val="000000" w:themeColor="text1"/>
                <w:szCs w:val="21"/>
                <w:highlight w:val="none"/>
                <w14:textFill>
                  <w14:solidFill>
                    <w14:schemeClr w14:val="tx1"/>
                  </w14:solidFill>
                </w14:textFill>
              </w:rPr>
            </w:pPr>
            <w:bookmarkStart w:id="202" w:name="_Toc221950046"/>
            <w:r>
              <w:rPr>
                <w:rFonts w:hint="eastAsia" w:ascii="宋体" w:hAnsi="宋体"/>
                <w:color w:val="000000" w:themeColor="text1"/>
                <w:szCs w:val="21"/>
                <w:highlight w:val="none"/>
                <w14:textFill>
                  <w14:solidFill>
                    <w14:schemeClr w14:val="tx1"/>
                  </w14:solidFill>
                </w14:textFill>
              </w:rPr>
              <w:t>投标人资质条件、能力、信誉</w:t>
            </w:r>
            <w:bookmarkEnd w:id="202"/>
            <w:r>
              <w:rPr>
                <w:rFonts w:hint="eastAsia" w:ascii="宋体" w:hAnsi="宋体"/>
                <w:color w:val="000000" w:themeColor="text1"/>
                <w:szCs w:val="21"/>
                <w:highlight w:val="none"/>
                <w14:textFill>
                  <w14:solidFill>
                    <w14:schemeClr w14:val="tx1"/>
                  </w14:solidFill>
                </w14:textFill>
              </w:rPr>
              <w:t>（须同招标公告一致）</w:t>
            </w:r>
          </w:p>
        </w:tc>
        <w:tc>
          <w:tcPr>
            <w:tcW w:w="5038" w:type="dxa"/>
            <w:tcBorders>
              <w:top w:val="single" w:color="auto" w:sz="4" w:space="0"/>
              <w:left w:val="single" w:color="auto" w:sz="4" w:space="0"/>
              <w:right w:val="single" w:color="auto" w:sz="4" w:space="0"/>
            </w:tcBorders>
            <w:noWrap w:val="0"/>
            <w:vAlign w:val="center"/>
          </w:tcPr>
          <w:p w14:paraId="475C4713">
            <w:pPr>
              <w:pStyle w:val="9"/>
              <w:ind w:firstLine="420"/>
              <w:outlineLvl w:val="6"/>
              <w:rPr>
                <w:b w:val="0"/>
                <w:bCs/>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详见</w:t>
            </w:r>
            <w:r>
              <w:rPr>
                <w:rFonts w:hint="eastAsia"/>
                <w:color w:val="000000" w:themeColor="text1"/>
                <w:sz w:val="21"/>
                <w:szCs w:val="21"/>
                <w:highlight w:val="none"/>
                <w:lang w:eastAsia="zh-CN"/>
                <w14:textFill>
                  <w14:solidFill>
                    <w14:schemeClr w14:val="tx1"/>
                  </w14:solidFill>
                </w14:textFill>
              </w:rPr>
              <w:t>本项目</w:t>
            </w:r>
            <w:r>
              <w:rPr>
                <w:rFonts w:hint="eastAsia"/>
                <w:color w:val="000000" w:themeColor="text1"/>
                <w:sz w:val="21"/>
                <w:szCs w:val="21"/>
                <w:highlight w:val="none"/>
                <w14:textFill>
                  <w14:solidFill>
                    <w14:schemeClr w14:val="tx1"/>
                  </w14:solidFill>
                </w14:textFill>
              </w:rPr>
              <w:t>招标公告</w:t>
            </w:r>
          </w:p>
        </w:tc>
      </w:tr>
      <w:tr w14:paraId="52773AF3">
        <w:tblPrEx>
          <w:tblCellMar>
            <w:top w:w="0" w:type="dxa"/>
            <w:left w:w="108" w:type="dxa"/>
            <w:bottom w:w="0" w:type="dxa"/>
            <w:right w:w="108" w:type="dxa"/>
          </w:tblCellMar>
        </w:tblPrEx>
        <w:trPr>
          <w:trHeight w:val="450"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31FA5AC7">
            <w:pPr>
              <w:spacing w:before="120" w:beforeLines="50" w:line="360" w:lineRule="auto"/>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1.4.2</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725F31C9">
            <w:pPr>
              <w:spacing w:before="120" w:beforeLines="50" w:line="360" w:lineRule="auto"/>
              <w:contextualSpacing/>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是否接受联合体投标</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6D2516DD">
            <w:pPr>
              <w:spacing w:before="120" w:beforeLines="50" w:line="360" w:lineRule="auto"/>
              <w:contextualSpacing/>
              <w:rPr>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不接受</w:t>
            </w:r>
          </w:p>
          <w:p w14:paraId="46670405">
            <w:pPr>
              <w:spacing w:before="120" w:beforeLines="50" w:line="360" w:lineRule="auto"/>
              <w:contextualSpacing/>
              <w:rPr>
                <w:color w:val="000000" w:themeColor="text1"/>
                <w:szCs w:val="21"/>
                <w:highlight w:val="none"/>
                <w14:textFill>
                  <w14:solidFill>
                    <w14:schemeClr w14:val="tx1"/>
                  </w14:solidFill>
                </w14:textFill>
              </w:rPr>
            </w:pPr>
            <w:r>
              <w:rPr>
                <w:rFonts w:hint="eastAsia" w:ascii="宋体" w:hAnsi="宋体"/>
                <w:strike w:val="0"/>
                <w:color w:val="000000" w:themeColor="text1"/>
                <w:szCs w:val="21"/>
                <w:highlight w:val="none"/>
                <w14:textFill>
                  <w14:solidFill>
                    <w14:schemeClr w14:val="tx1"/>
                  </w14:solidFill>
                </w14:textFill>
              </w:rPr>
              <w:sym w:font="Wingdings 2" w:char="0051"/>
            </w:r>
            <w:r>
              <w:rPr>
                <w:rFonts w:hint="eastAsia" w:ascii="宋体" w:hAnsi="宋体"/>
                <w:color w:val="000000" w:themeColor="text1"/>
                <w:szCs w:val="21"/>
                <w:highlight w:val="none"/>
                <w14:textFill>
                  <w14:solidFill>
                    <w14:schemeClr w14:val="tx1"/>
                  </w14:solidFill>
                </w14:textFill>
              </w:rPr>
              <w:t>接受，应满足下列要求：_________________</w:t>
            </w:r>
          </w:p>
        </w:tc>
      </w:tr>
      <w:tr w14:paraId="3968EDDD">
        <w:tblPrEx>
          <w:tblCellMar>
            <w:top w:w="0" w:type="dxa"/>
            <w:left w:w="108" w:type="dxa"/>
            <w:bottom w:w="0" w:type="dxa"/>
            <w:right w:w="108" w:type="dxa"/>
          </w:tblCellMar>
        </w:tblPrEx>
        <w:trPr>
          <w:trHeight w:val="70" w:hRule="atLeast"/>
        </w:trPr>
        <w:tc>
          <w:tcPr>
            <w:tcW w:w="1298" w:type="dxa"/>
            <w:tcBorders>
              <w:top w:val="single" w:color="auto" w:sz="4" w:space="0"/>
              <w:left w:val="single" w:color="auto" w:sz="4" w:space="0"/>
              <w:right w:val="single" w:color="auto" w:sz="4" w:space="0"/>
            </w:tcBorders>
            <w:noWrap w:val="0"/>
            <w:vAlign w:val="center"/>
          </w:tcPr>
          <w:p w14:paraId="2ED3C8AC">
            <w:pPr>
              <w:spacing w:before="120" w:beforeLines="50" w:line="360" w:lineRule="auto"/>
              <w:contextualSpacing/>
              <w:jc w:val="center"/>
              <w:rPr>
                <w:color w:val="000000" w:themeColor="text1"/>
                <w:szCs w:val="21"/>
                <w:highlight w:val="none"/>
                <w14:textFill>
                  <w14:solidFill>
                    <w14:schemeClr w14:val="tx1"/>
                  </w14:solidFill>
                </w14:textFill>
              </w:rPr>
            </w:pPr>
          </w:p>
        </w:tc>
        <w:tc>
          <w:tcPr>
            <w:tcW w:w="2192" w:type="dxa"/>
            <w:tcBorders>
              <w:top w:val="single" w:color="auto" w:sz="4" w:space="0"/>
              <w:left w:val="single" w:color="auto" w:sz="4" w:space="0"/>
              <w:right w:val="single" w:color="auto" w:sz="4" w:space="0"/>
            </w:tcBorders>
            <w:noWrap w:val="0"/>
            <w:vAlign w:val="center"/>
          </w:tcPr>
          <w:p w14:paraId="171035C7">
            <w:pPr>
              <w:spacing w:before="120" w:beforeLines="50" w:line="360" w:lineRule="auto"/>
              <w:contextualSpacing/>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资格审查方式</w:t>
            </w:r>
          </w:p>
        </w:tc>
        <w:tc>
          <w:tcPr>
            <w:tcW w:w="5038" w:type="dxa"/>
            <w:tcBorders>
              <w:top w:val="single" w:color="auto" w:sz="4" w:space="0"/>
              <w:left w:val="single" w:color="auto" w:sz="4" w:space="0"/>
              <w:right w:val="single" w:color="auto" w:sz="4" w:space="0"/>
            </w:tcBorders>
            <w:noWrap w:val="0"/>
            <w:vAlign w:val="center"/>
          </w:tcPr>
          <w:p w14:paraId="3E922F05">
            <w:pPr>
              <w:pStyle w:val="14"/>
              <w:topLinePunct/>
              <w:spacing w:before="120" w:beforeLines="50" w:after="0" w:line="360" w:lineRule="auto"/>
              <w:contextualSpacing/>
              <w:rPr>
                <w:color w:val="000000" w:themeColor="text1"/>
                <w:kern w:val="2"/>
                <w:sz w:val="21"/>
                <w:szCs w:val="21"/>
                <w:highlight w:val="none"/>
                <w:lang w:val="en-US" w:eastAsia="zh-CN"/>
                <w14:textFill>
                  <w14:solidFill>
                    <w14:schemeClr w14:val="tx1"/>
                  </w14:solidFill>
                </w14:textFill>
              </w:rPr>
            </w:pPr>
            <w:r>
              <w:rPr>
                <w:rFonts w:hint="eastAsia"/>
                <w:color w:val="000000" w:themeColor="text1"/>
                <w:kern w:val="2"/>
                <w:sz w:val="21"/>
                <w:szCs w:val="21"/>
                <w:highlight w:val="none"/>
                <w:lang w:val="en-US" w:eastAsia="zh-CN"/>
                <w14:textFill>
                  <w14:solidFill>
                    <w14:schemeClr w14:val="tx1"/>
                  </w14:solidFill>
                </w14:textFill>
              </w:rPr>
              <w:t>资格后审</w:t>
            </w:r>
          </w:p>
        </w:tc>
      </w:tr>
      <w:tr w14:paraId="5D8A2E39">
        <w:tblPrEx>
          <w:tblCellMar>
            <w:top w:w="0" w:type="dxa"/>
            <w:left w:w="108" w:type="dxa"/>
            <w:bottom w:w="0" w:type="dxa"/>
            <w:right w:w="108" w:type="dxa"/>
          </w:tblCellMar>
        </w:tblPrEx>
        <w:trPr>
          <w:trHeight w:val="70" w:hRule="atLeast"/>
        </w:trPr>
        <w:tc>
          <w:tcPr>
            <w:tcW w:w="1298" w:type="dxa"/>
            <w:tcBorders>
              <w:top w:val="single" w:color="auto" w:sz="4" w:space="0"/>
              <w:left w:val="single" w:color="auto" w:sz="4" w:space="0"/>
              <w:right w:val="single" w:color="auto" w:sz="4" w:space="0"/>
            </w:tcBorders>
            <w:noWrap w:val="0"/>
            <w:vAlign w:val="center"/>
          </w:tcPr>
          <w:p w14:paraId="57933C82">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r>
              <w:rPr>
                <w:rFonts w:hint="eastAsia"/>
                <w:color w:val="000000" w:themeColor="text1"/>
                <w:szCs w:val="21"/>
                <w:highlight w:val="none"/>
                <w14:textFill>
                  <w14:solidFill>
                    <w14:schemeClr w14:val="tx1"/>
                  </w14:solidFill>
                </w14:textFill>
              </w:rPr>
              <w:t>9</w:t>
            </w:r>
            <w:r>
              <w:rPr>
                <w:color w:val="000000" w:themeColor="text1"/>
                <w:szCs w:val="21"/>
                <w:highlight w:val="none"/>
                <w14:textFill>
                  <w14:solidFill>
                    <w14:schemeClr w14:val="tx1"/>
                  </w14:solidFill>
                </w14:textFill>
              </w:rPr>
              <w:t>.1</w:t>
            </w:r>
          </w:p>
        </w:tc>
        <w:tc>
          <w:tcPr>
            <w:tcW w:w="2192" w:type="dxa"/>
            <w:tcBorders>
              <w:top w:val="single" w:color="auto" w:sz="4" w:space="0"/>
              <w:left w:val="single" w:color="auto" w:sz="4" w:space="0"/>
              <w:right w:val="single" w:color="auto" w:sz="4" w:space="0"/>
            </w:tcBorders>
            <w:noWrap w:val="0"/>
            <w:vAlign w:val="center"/>
          </w:tcPr>
          <w:p w14:paraId="0A99DF06">
            <w:pPr>
              <w:spacing w:line="44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踏勘现场</w:t>
            </w:r>
          </w:p>
        </w:tc>
        <w:tc>
          <w:tcPr>
            <w:tcW w:w="5038" w:type="dxa"/>
            <w:tcBorders>
              <w:top w:val="single" w:color="auto" w:sz="4" w:space="0"/>
              <w:left w:val="single" w:color="auto" w:sz="4" w:space="0"/>
              <w:right w:val="single" w:color="auto" w:sz="4" w:space="0"/>
            </w:tcBorders>
            <w:noWrap w:val="0"/>
            <w:vAlign w:val="center"/>
          </w:tcPr>
          <w:p w14:paraId="039B11B0">
            <w:pPr>
              <w:spacing w:line="44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招标人不集中组织，由投标人自行踏勘；</w:t>
            </w:r>
          </w:p>
          <w:p w14:paraId="5E1E4AB2">
            <w:pPr>
              <w:spacing w:line="440" w:lineRule="exact"/>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本项目可能影响项目实施的现场环境因素有:</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包括但不限于，地质及水文条件、交通与物流条件、社区与民生影响等。</w:t>
            </w:r>
          </w:p>
          <w:p w14:paraId="6741FA1F">
            <w:pPr>
              <w:spacing w:line="440" w:lineRule="exact"/>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上述现场环境因素可能对投标报价的影响有:</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直接成本估算偏差、间接成本与工期风险传导、风险溢价与竞争策略失衡等，请投标人报价时予以充分考虑。</w:t>
            </w:r>
          </w:p>
          <w:p w14:paraId="7192AE51">
            <w:pPr>
              <w:spacing w:line="440" w:lineRule="exact"/>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投标人投标前应实地踏勘现场，充分了解对项目建设有影响的各项因素，综合评估各因素对项目建设的影响程度，合理编制施工方案和投标报价；</w:t>
            </w:r>
          </w:p>
          <w:p w14:paraId="7E0F6FC8">
            <w:pPr>
              <w:spacing w:line="44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时间：自</w:t>
            </w:r>
            <w:r>
              <w:rPr>
                <w:rFonts w:hint="eastAsia" w:ascii="宋体" w:hAnsi="宋体" w:eastAsia="宋体" w:cs="宋体"/>
                <w:color w:val="000000" w:themeColor="text1"/>
                <w:szCs w:val="21"/>
                <w:highlight w:val="none"/>
                <w:u w:val="single"/>
                <w14:textFill>
                  <w14:solidFill>
                    <w14:schemeClr w14:val="tx1"/>
                  </w14:solidFill>
                </w14:textFill>
              </w:rPr>
              <w:t>公告发布之</w:t>
            </w:r>
            <w:r>
              <w:rPr>
                <w:rFonts w:hint="eastAsia" w:ascii="宋体" w:hAnsi="宋体" w:eastAsia="宋体" w:cs="宋体"/>
                <w:color w:val="000000" w:themeColor="text1"/>
                <w:szCs w:val="21"/>
                <w:highlight w:val="none"/>
                <w14:textFill>
                  <w14:solidFill>
                    <w14:schemeClr w14:val="tx1"/>
                  </w14:solidFill>
                </w14:textFill>
              </w:rPr>
              <w:t>日</w:t>
            </w:r>
            <w:r>
              <w:rPr>
                <w:rFonts w:hint="eastAsia"/>
                <w:color w:val="000000" w:themeColor="text1"/>
                <w:szCs w:val="21"/>
                <w:highlight w:val="none"/>
                <w14:textFill>
                  <w14:solidFill>
                    <w14:schemeClr w14:val="tx1"/>
                  </w14:solidFill>
                </w14:textFill>
              </w:rPr>
              <w:t>起具备现场踏勘条件；</w:t>
            </w:r>
          </w:p>
          <w:p w14:paraId="72CC5104">
            <w:pPr>
              <w:spacing w:line="44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现场详细地点：</w:t>
            </w:r>
            <w:r>
              <w:rPr>
                <w:rFonts w:hint="eastAsia"/>
                <w:color w:val="000000" w:themeColor="text1"/>
                <w:szCs w:val="21"/>
                <w:highlight w:val="none"/>
                <w:lang w:val="en-US" w:eastAsia="zh-CN"/>
                <w14:textFill>
                  <w14:solidFill>
                    <w14:schemeClr w14:val="tx1"/>
                  </w14:solidFill>
                </w14:textFill>
              </w:rPr>
              <w:t>广州市</w:t>
            </w:r>
            <w:r>
              <w:rPr>
                <w:rFonts w:hint="eastAsia"/>
                <w:color w:val="000000" w:themeColor="text1"/>
                <w:szCs w:val="21"/>
                <w:highlight w:val="none"/>
                <w14:textFill>
                  <w14:solidFill>
                    <w14:schemeClr w14:val="tx1"/>
                  </w14:solidFill>
                </w14:textFill>
              </w:rPr>
              <w:t>；</w:t>
            </w:r>
          </w:p>
        </w:tc>
      </w:tr>
      <w:tr w14:paraId="60AE9D12">
        <w:tblPrEx>
          <w:tblCellMar>
            <w:top w:w="0" w:type="dxa"/>
            <w:left w:w="108" w:type="dxa"/>
            <w:bottom w:w="0" w:type="dxa"/>
            <w:right w:w="108" w:type="dxa"/>
          </w:tblCellMar>
        </w:tblPrEx>
        <w:trPr>
          <w:trHeight w:val="46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31B1B75A">
            <w:pPr>
              <w:spacing w:before="120" w:beforeLines="50" w:line="360" w:lineRule="auto"/>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1.11</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662E77D4">
            <w:pPr>
              <w:spacing w:before="120" w:beforeLines="50" w:line="360" w:lineRule="auto"/>
              <w:contextualSpacing/>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偏离</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5C44BAB2">
            <w:pPr>
              <w:spacing w:before="120" w:beforeLines="50" w:line="360" w:lineRule="auto"/>
              <w:contextualSpacing/>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偏离允许幅度及其处理方法：不允许偏离。</w:t>
            </w:r>
          </w:p>
        </w:tc>
      </w:tr>
      <w:tr w14:paraId="030CB5EB">
        <w:tblPrEx>
          <w:tblCellMar>
            <w:top w:w="0" w:type="dxa"/>
            <w:left w:w="108" w:type="dxa"/>
            <w:bottom w:w="0" w:type="dxa"/>
            <w:right w:w="108" w:type="dxa"/>
          </w:tblCellMar>
        </w:tblPrEx>
        <w:trPr>
          <w:trHeight w:val="450"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2C5719A1">
            <w:pPr>
              <w:spacing w:before="120" w:beforeLines="50" w:line="360" w:lineRule="auto"/>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2.2</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55DD7C51">
            <w:pPr>
              <w:spacing w:before="120" w:beforeLines="50" w:line="360" w:lineRule="auto"/>
              <w:contextualSpacing/>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招标答疑</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17B50F27">
            <w:pPr>
              <w:spacing w:before="156" w:beforeLines="50" w:line="360" w:lineRule="auto"/>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疑问提交时间：在投标截止</w:t>
            </w:r>
            <w:r>
              <w:rPr>
                <w:rFonts w:hint="eastAsia" w:ascii="宋体" w:hAnsi="宋体"/>
                <w:color w:val="000000" w:themeColor="text1"/>
                <w:szCs w:val="21"/>
                <w:highlight w:val="none"/>
                <w:lang w:val="en-US" w:eastAsia="zh-CN"/>
                <w14:textFill>
                  <w14:solidFill>
                    <w14:schemeClr w14:val="tx1"/>
                  </w14:solidFill>
                </w14:textFill>
              </w:rPr>
              <w:t>时间</w:t>
            </w:r>
            <w:r>
              <w:rPr>
                <w:rFonts w:hint="eastAsia" w:ascii="宋体" w:hAnsi="宋体"/>
                <w:color w:val="000000" w:themeColor="text1"/>
                <w:szCs w:val="21"/>
                <w:highlight w:val="none"/>
                <w14:textFill>
                  <w14:solidFill>
                    <w14:schemeClr w14:val="tx1"/>
                  </w14:solidFill>
                </w14:textFill>
              </w:rPr>
              <w:t>15日前；</w:t>
            </w:r>
          </w:p>
          <w:p w14:paraId="1E7DB661">
            <w:pPr>
              <w:spacing w:before="156" w:beforeLines="50" w:line="360" w:lineRule="auto"/>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形式：投标人的疑问通过</w:t>
            </w:r>
            <w:r>
              <w:rPr>
                <w:rFonts w:hint="eastAsia" w:ascii="宋体" w:hAnsi="宋体"/>
                <w:color w:val="000000" w:themeColor="text1"/>
                <w:szCs w:val="21"/>
                <w:highlight w:val="none"/>
                <w:lang w:eastAsia="zh-CN"/>
                <w14:textFill>
                  <w14:solidFill>
                    <w14:schemeClr w14:val="tx1"/>
                  </w14:solidFill>
                </w14:textFill>
              </w:rPr>
              <w:t>广州交易集团有限公司（广州公共资源交易中心）网站</w:t>
            </w:r>
            <w:r>
              <w:rPr>
                <w:rFonts w:hint="eastAsia" w:ascii="宋体" w:hAnsi="宋体"/>
                <w:color w:val="000000" w:themeColor="text1"/>
                <w:szCs w:val="21"/>
                <w:highlight w:val="none"/>
                <w14:textFill>
                  <w14:solidFill>
                    <w14:schemeClr w14:val="tx1"/>
                  </w14:solidFill>
                </w14:textFill>
              </w:rPr>
              <w:t>提交。</w:t>
            </w:r>
          </w:p>
          <w:p w14:paraId="46ACDE96">
            <w:pPr>
              <w:spacing w:before="120" w:beforeLines="50" w:line="360" w:lineRule="auto"/>
              <w:contextualSpacing/>
              <w:rPr>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具体要求：按照</w:t>
            </w:r>
            <w:r>
              <w:rPr>
                <w:rFonts w:hint="eastAsia" w:ascii="宋体" w:hAnsi="宋体"/>
                <w:color w:val="000000" w:themeColor="text1"/>
                <w:szCs w:val="21"/>
                <w:highlight w:val="none"/>
                <w:lang w:eastAsia="zh-CN"/>
                <w14:textFill>
                  <w14:solidFill>
                    <w14:schemeClr w14:val="tx1"/>
                  </w14:solidFill>
                </w14:textFill>
              </w:rPr>
              <w:t>广州交易集团有限公司（广州公共资源交易中心）网站</w:t>
            </w:r>
            <w:r>
              <w:rPr>
                <w:rFonts w:hint="eastAsia" w:ascii="宋体" w:hAnsi="宋体"/>
                <w:color w:val="000000" w:themeColor="text1"/>
                <w:szCs w:val="21"/>
                <w:highlight w:val="none"/>
                <w14:textFill>
                  <w14:solidFill>
                    <w14:schemeClr w14:val="tx1"/>
                  </w14:solidFill>
                </w14:textFill>
              </w:rPr>
              <w:t>关于全流程电子化项目的相关指南进行操作，提问一律不得署名。</w:t>
            </w:r>
          </w:p>
        </w:tc>
      </w:tr>
      <w:tr w14:paraId="0FA26032">
        <w:tblPrEx>
          <w:tblCellMar>
            <w:top w:w="0" w:type="dxa"/>
            <w:left w:w="108" w:type="dxa"/>
            <w:bottom w:w="0" w:type="dxa"/>
            <w:right w:w="108" w:type="dxa"/>
          </w:tblCellMar>
        </w:tblPrEx>
        <w:trPr>
          <w:trHeight w:val="450"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2369496B">
            <w:pPr>
              <w:spacing w:before="120" w:beforeLines="50" w:line="360" w:lineRule="auto"/>
              <w:contextualSpacing/>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2.3</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0D966A80">
            <w:pPr>
              <w:spacing w:before="120" w:beforeLines="50" w:line="360" w:lineRule="auto"/>
              <w:contextualSpacing/>
              <w:jc w:val="left"/>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招标文件</w:t>
            </w:r>
            <w:r>
              <w:rPr>
                <w:rFonts w:hint="eastAsia"/>
                <w:color w:val="000000" w:themeColor="text1"/>
                <w:szCs w:val="21"/>
                <w:highlight w:val="none"/>
                <w:lang w:eastAsia="zh-CN"/>
                <w14:textFill>
                  <w14:solidFill>
                    <w14:schemeClr w14:val="tx1"/>
                  </w14:solidFill>
                </w14:textFill>
              </w:rPr>
              <w:t>的</w:t>
            </w:r>
            <w:r>
              <w:rPr>
                <w:rFonts w:hint="eastAsia"/>
                <w:color w:val="000000" w:themeColor="text1"/>
                <w:szCs w:val="21"/>
                <w:highlight w:val="none"/>
                <w14:textFill>
                  <w14:solidFill>
                    <w14:schemeClr w14:val="tx1"/>
                  </w14:solidFill>
                </w14:textFill>
              </w:rPr>
              <w:t>澄清和修改</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1641E59B">
            <w:pPr>
              <w:spacing w:before="120" w:beforeLines="50" w:line="360" w:lineRule="auto"/>
              <w:contextualSpacing/>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招标文件的修改期限：在投标截止时间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15</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天前</w:t>
            </w:r>
          </w:p>
        </w:tc>
      </w:tr>
      <w:tr w14:paraId="62C4CF37">
        <w:tblPrEx>
          <w:tblCellMar>
            <w:top w:w="0" w:type="dxa"/>
            <w:left w:w="108" w:type="dxa"/>
            <w:bottom w:w="0" w:type="dxa"/>
            <w:right w:w="108" w:type="dxa"/>
          </w:tblCellMar>
        </w:tblPrEx>
        <w:trPr>
          <w:trHeight w:val="465"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7F683DC1">
            <w:pPr>
              <w:spacing w:before="120" w:beforeLines="50" w:line="360" w:lineRule="auto"/>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3.1</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3B72A47C">
            <w:pPr>
              <w:spacing w:before="120" w:beforeLines="50" w:line="360" w:lineRule="auto"/>
              <w:contextualSpacing/>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投标文件的组成</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5B569DB3">
            <w:pPr>
              <w:spacing w:before="120" w:beforeLines="50" w:line="360" w:lineRule="auto"/>
              <w:contextualSpacing/>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采用综合评估法一：投标文件由资格审查文件和技术文件组成。</w:t>
            </w:r>
          </w:p>
        </w:tc>
      </w:tr>
      <w:tr w14:paraId="23800EA8">
        <w:tblPrEx>
          <w:tblCellMar>
            <w:top w:w="0" w:type="dxa"/>
            <w:left w:w="108" w:type="dxa"/>
            <w:bottom w:w="0" w:type="dxa"/>
            <w:right w:w="108" w:type="dxa"/>
          </w:tblCellMar>
        </w:tblPrEx>
        <w:trPr>
          <w:trHeight w:val="42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73DADA04">
            <w:pPr>
              <w:spacing w:before="120" w:beforeLines="50" w:line="360" w:lineRule="auto"/>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3.2.3</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18FBBE49">
            <w:pPr>
              <w:spacing w:before="120" w:beforeLines="50" w:line="360" w:lineRule="auto"/>
              <w:contextualSpacing/>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最高投标限价</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3CD2A2D1">
            <w:pPr>
              <w:pStyle w:val="90"/>
              <w:ind w:firstLine="210" w:firstLineChars="100"/>
              <w:rPr>
                <w:rFonts w:asciiTheme="majorEastAsia" w:hAnsiTheme="majorEastAsia" w:eastAsiaTheme="majorEastAsia" w:cstheme="majorEastAsia"/>
                <w:color w:val="000000" w:themeColor="text1"/>
                <w:sz w:val="21"/>
                <w:szCs w:val="21"/>
                <w:highlight w:val="none"/>
                <w14:textFill>
                  <w14:solidFill>
                    <w14:schemeClr w14:val="tx1"/>
                  </w14:solidFill>
                </w14:textFill>
              </w:rPr>
            </w:pPr>
            <w:r>
              <w:rPr>
                <w:rFonts w:hint="eastAsia" w:asciiTheme="majorEastAsia" w:hAnsiTheme="majorEastAsia" w:eastAsiaTheme="majorEastAsia" w:cstheme="majorEastAsia"/>
                <w:color w:val="000000" w:themeColor="text1"/>
                <w:sz w:val="21"/>
                <w:szCs w:val="21"/>
                <w:highlight w:val="none"/>
                <w14:textFill>
                  <w14:solidFill>
                    <w14:schemeClr w14:val="tx1"/>
                  </w14:solidFill>
                </w14:textFill>
              </w:rPr>
              <w:t>本工程最高投标限价为人民</w:t>
            </w:r>
            <w:r>
              <w:rPr>
                <w:rFonts w:hint="eastAsia" w:asciiTheme="majorEastAsia" w:hAnsiTheme="majorEastAsia" w:eastAsiaTheme="majorEastAsia" w:cstheme="majorEastAsia"/>
                <w:color w:val="000000" w:themeColor="text1"/>
                <w:sz w:val="21"/>
                <w:szCs w:val="21"/>
                <w:highlight w:val="none"/>
                <w:lang w:eastAsia="zh-CN"/>
                <w14:textFill>
                  <w14:solidFill>
                    <w14:schemeClr w14:val="tx1"/>
                  </w14:solidFill>
                </w14:textFill>
              </w:rPr>
              <w:t>币</w:t>
            </w:r>
            <w:r>
              <w:rPr>
                <w:rFonts w:hint="eastAsia" w:asciiTheme="majorEastAsia" w:hAnsiTheme="majorEastAsia" w:eastAsiaTheme="majorEastAsia" w:cstheme="majorEastAsia"/>
                <w:color w:val="000000" w:themeColor="text1"/>
                <w:sz w:val="21"/>
                <w:szCs w:val="21"/>
                <w:highlight w:val="none"/>
                <w:lang w:val="en-US" w:eastAsia="zh-CN"/>
                <w14:textFill>
                  <w14:solidFill>
                    <w14:schemeClr w14:val="tx1"/>
                  </w14:solidFill>
                </w14:textFill>
              </w:rPr>
              <w:t>38,096,352.49</w:t>
            </w:r>
            <w:r>
              <w:rPr>
                <w:rFonts w:hint="eastAsia" w:asciiTheme="majorEastAsia" w:hAnsiTheme="majorEastAsia" w:eastAsiaTheme="majorEastAsia" w:cstheme="majorEastAsia"/>
                <w:color w:val="000000" w:themeColor="text1"/>
                <w:sz w:val="21"/>
                <w:szCs w:val="21"/>
                <w:highlight w:val="none"/>
                <w14:textFill>
                  <w14:solidFill>
                    <w14:schemeClr w14:val="tx1"/>
                  </w14:solidFill>
                </w14:textFill>
              </w:rPr>
              <w:t>元</w:t>
            </w:r>
            <w:r>
              <w:rPr>
                <w:rFonts w:hint="eastAsia" w:asciiTheme="majorEastAsia" w:hAnsiTheme="majorEastAsia" w:eastAsiaTheme="majorEastAsia" w:cstheme="majorEastAsia"/>
                <w:color w:val="000000" w:themeColor="text1"/>
                <w:sz w:val="21"/>
                <w:szCs w:val="21"/>
                <w:highlight w:val="none"/>
                <w:lang w:eastAsia="zh-CN"/>
                <w14:textFill>
                  <w14:solidFill>
                    <w14:schemeClr w14:val="tx1"/>
                  </w14:solidFill>
                </w14:textFill>
              </w:rPr>
              <w:t>。</w:t>
            </w:r>
          </w:p>
          <w:p w14:paraId="03C427D1">
            <w:pPr>
              <w:pStyle w:val="90"/>
              <w:ind w:firstLine="210" w:firstLineChars="100"/>
              <w:jc w:val="left"/>
              <w:rPr>
                <w:rFonts w:hint="default"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其中</w:t>
            </w:r>
            <w:r>
              <w:rPr>
                <w:rFonts w:hint="eastAsia" w:ascii="宋体" w:hAnsi="宋体" w:cs="宋体"/>
                <w:color w:val="000000" w:themeColor="text1"/>
                <w:sz w:val="21"/>
                <w:szCs w:val="21"/>
                <w:highlight w:val="none"/>
                <w:u w:val="none"/>
                <w:lang w:val="en-US" w:eastAsia="zh-CN"/>
                <w14:textFill>
                  <w14:solidFill>
                    <w14:schemeClr w14:val="tx1"/>
                  </w14:solidFill>
                </w14:textFill>
              </w:rPr>
              <w:t>安全生产</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措施费641,927.23元</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，暂列金额1,378,482.96元，耗水费</w:t>
            </w:r>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 w:val="21"/>
                <w:szCs w:val="18"/>
                <w:highlight w:val="none"/>
                <w:lang w:val="en-US" w:eastAsia="zh-CN"/>
                <w14:textFill>
                  <w14:solidFill>
                    <w14:schemeClr w14:val="tx1"/>
                  </w14:solidFill>
                </w14:textFill>
              </w:rPr>
              <w:t>1,631,571.00</w:t>
            </w:r>
            <w:r>
              <w:rPr>
                <w:rFonts w:hint="eastAsia" w:ascii="宋体" w:hAnsi="宋体" w:eastAsia="宋体" w:cs="宋体"/>
                <w:color w:val="000000" w:themeColor="text1"/>
                <w:sz w:val="21"/>
                <w:szCs w:val="21"/>
                <w:highlight w:val="none"/>
                <w:u w:val="none"/>
                <w:lang w:eastAsia="zh-CN"/>
                <w14:textFill>
                  <w14:solidFill>
                    <w14:schemeClr w14:val="tx1"/>
                  </w14:solidFill>
                </w14:textFill>
              </w:rPr>
              <w:t>元，甲供材料运输费</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32,932.35元，</w:t>
            </w:r>
            <w:r>
              <w:rPr>
                <w:rFonts w:hint="default" w:ascii="宋体" w:hAnsi="宋体" w:eastAsia="宋体" w:cs="宋体"/>
                <w:color w:val="000000" w:themeColor="text1"/>
                <w:sz w:val="21"/>
                <w:szCs w:val="21"/>
                <w:highlight w:val="none"/>
                <w14:textFill>
                  <w14:solidFill>
                    <w14:schemeClr w14:val="tx1"/>
                  </w14:solidFill>
                </w14:textFill>
              </w:rPr>
              <w:t>专业工程暂估价</w:t>
            </w:r>
            <w:r>
              <w:rPr>
                <w:rFonts w:hint="eastAsia" w:ascii="宋体" w:hAnsi="宋体" w:eastAsia="宋体" w:cs="宋体"/>
                <w:color w:val="000000" w:themeColor="text1"/>
                <w:sz w:val="21"/>
                <w:szCs w:val="21"/>
                <w:highlight w:val="none"/>
                <w:lang w:val="en-US" w:eastAsia="zh-CN"/>
                <w14:textFill>
                  <w14:solidFill>
                    <w14:schemeClr w14:val="tx1"/>
                  </w14:solidFill>
                </w14:textFill>
              </w:rPr>
              <w:t>2,839,710.00</w:t>
            </w:r>
            <w:r>
              <w:rPr>
                <w:rFonts w:hint="default" w:ascii="宋体" w:hAnsi="宋体" w:eastAsia="宋体" w:cs="宋体"/>
                <w:color w:val="000000" w:themeColor="text1"/>
                <w:sz w:val="21"/>
                <w:szCs w:val="21"/>
                <w:highlight w:val="none"/>
                <w14:textFill>
                  <w14:solidFill>
                    <w14:schemeClr w14:val="tx1"/>
                  </w14:solidFill>
                </w14:textFill>
              </w:rPr>
              <w:t>元。</w:t>
            </w:r>
          </w:p>
          <w:p w14:paraId="4F5880C5">
            <w:pPr>
              <w:pStyle w:val="90"/>
              <w:ind w:firstLine="210" w:firstLineChars="10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其他详见招标控制价公布函，非竞争费用不按招标人给定金额填报的，投标报价无效。</w:t>
            </w:r>
          </w:p>
          <w:p w14:paraId="2C3C892D">
            <w:pPr>
              <w:pStyle w:val="90"/>
              <w:ind w:firstLine="210" w:firstLineChars="100"/>
              <w:jc w:val="left"/>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投标报价不得高于</w:t>
            </w:r>
            <w:r>
              <w:rPr>
                <w:rFonts w:ascii="宋体" w:hAnsi="宋体" w:cs="宋体"/>
                <w:color w:val="000000" w:themeColor="text1"/>
                <w:sz w:val="21"/>
                <w:szCs w:val="21"/>
                <w:highlight w:val="none"/>
                <w14:textFill>
                  <w14:solidFill>
                    <w14:schemeClr w14:val="tx1"/>
                  </w14:solidFill>
                </w14:textFill>
              </w:rPr>
              <w:t>最高投标限价</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p w14:paraId="36152167">
            <w:pPr>
              <w:pStyle w:val="90"/>
              <w:ind w:firstLine="220" w:firstLineChars="100"/>
              <w:jc w:val="left"/>
              <w:rPr>
                <w:rFonts w:hint="eastAsia" w:ascii="宋体" w:hAnsi="宋体" w:eastAsia="宋体" w:cs="宋体"/>
                <w:color w:val="000000" w:themeColor="text1"/>
                <w:kern w:val="0"/>
                <w:sz w:val="22"/>
                <w:szCs w:val="22"/>
                <w:highlight w:val="none"/>
                <w:lang w:val="en-US" w:eastAsia="zh-CN"/>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各单项工程中相同的清单子目，中标的</w:t>
            </w:r>
            <w:r>
              <w:rPr>
                <w:rFonts w:hint="eastAsia" w:ascii="宋体" w:hAnsi="宋体" w:eastAsia="宋体" w:cs="宋体"/>
                <w:color w:val="000000" w:themeColor="text1"/>
                <w:sz w:val="21"/>
                <w:szCs w:val="21"/>
                <w:highlight w:val="none"/>
                <w:lang w:val="en-US" w:eastAsia="zh-CN"/>
                <w14:textFill>
                  <w14:solidFill>
                    <w14:schemeClr w14:val="tx1"/>
                  </w14:solidFill>
                </w14:textFill>
              </w:rPr>
              <w:t>投标</w:t>
            </w:r>
            <w:r>
              <w:rPr>
                <w:rFonts w:hint="eastAsia" w:ascii="宋体" w:hAnsi="宋体" w:cs="宋体"/>
                <w:color w:val="000000" w:themeColor="text1"/>
                <w:kern w:val="0"/>
                <w:sz w:val="22"/>
                <w:szCs w:val="22"/>
                <w:highlight w:val="none"/>
                <w14:textFill>
                  <w14:solidFill>
                    <w14:schemeClr w14:val="tx1"/>
                  </w14:solidFill>
                </w14:textFill>
              </w:rPr>
              <w:t>单价必须一致，若不一致，发包人有权在结算阶段按就低不就高的原则调整</w:t>
            </w:r>
            <w:r>
              <w:rPr>
                <w:rFonts w:hint="eastAsia" w:ascii="宋体" w:hAnsi="宋体" w:cs="宋体"/>
                <w:color w:val="000000" w:themeColor="text1"/>
                <w:kern w:val="0"/>
                <w:sz w:val="22"/>
                <w:szCs w:val="22"/>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调整方式为：</w:t>
            </w:r>
            <w:r>
              <w:rPr>
                <w:rFonts w:hint="eastAsia" w:ascii="宋体" w:hAnsi="宋体" w:eastAsia="宋体" w:cs="宋体"/>
                <w:color w:val="000000" w:themeColor="text1"/>
                <w:kern w:val="0"/>
                <w:sz w:val="22"/>
                <w:szCs w:val="22"/>
                <w:highlight w:val="none"/>
                <w:lang w:eastAsia="zh-CN"/>
                <w14:textFill>
                  <w14:solidFill>
                    <w14:schemeClr w14:val="tx1"/>
                  </w14:solidFill>
                </w14:textFill>
              </w:rPr>
              <w:t>结算综合单价＝</w:t>
            </w:r>
            <w:r>
              <w:rPr>
                <w:rFonts w:hint="eastAsia" w:ascii="宋体" w:hAnsi="宋体" w:eastAsia="宋体" w:cs="宋体"/>
                <w:color w:val="000000" w:themeColor="text1"/>
                <w:kern w:val="0"/>
                <w:sz w:val="22"/>
                <w:szCs w:val="22"/>
                <w:highlight w:val="none"/>
                <w:lang w:val="en-US" w:eastAsia="zh-CN"/>
                <w14:textFill>
                  <w14:solidFill>
                    <w14:schemeClr w14:val="tx1"/>
                  </w14:solidFill>
                </w14:textFill>
              </w:rPr>
              <w:t>最高</w:t>
            </w:r>
            <w:r>
              <w:rPr>
                <w:rFonts w:hint="eastAsia" w:ascii="宋体" w:hAnsi="宋体" w:eastAsia="宋体" w:cs="宋体"/>
                <w:strike w:val="0"/>
                <w:color w:val="000000" w:themeColor="text1"/>
                <w:kern w:val="0"/>
                <w:sz w:val="22"/>
                <w:szCs w:val="22"/>
                <w:highlight w:val="none"/>
                <w:lang w:val="en-US" w:eastAsia="zh-CN"/>
                <w14:textFill>
                  <w14:solidFill>
                    <w14:schemeClr w14:val="tx1"/>
                  </w14:solidFill>
                </w14:textFill>
              </w:rPr>
              <w:t>投标</w:t>
            </w:r>
            <w:r>
              <w:rPr>
                <w:rFonts w:hint="eastAsia" w:ascii="宋体" w:hAnsi="宋体" w:eastAsia="宋体" w:cs="宋体"/>
                <w:color w:val="000000" w:themeColor="text1"/>
                <w:kern w:val="0"/>
                <w:sz w:val="22"/>
                <w:szCs w:val="22"/>
                <w:highlight w:val="none"/>
                <w:lang w:val="en-US" w:eastAsia="zh-CN"/>
                <w14:textFill>
                  <w14:solidFill>
                    <w14:schemeClr w14:val="tx1"/>
                  </w14:solidFill>
                </w14:textFill>
              </w:rPr>
              <w:t>限价</w:t>
            </w:r>
            <w:r>
              <w:rPr>
                <w:rFonts w:hint="eastAsia" w:ascii="宋体" w:hAnsi="宋体" w:eastAsia="宋体" w:cs="宋体"/>
                <w:color w:val="000000" w:themeColor="text1"/>
                <w:kern w:val="0"/>
                <w:sz w:val="22"/>
                <w:szCs w:val="22"/>
                <w:highlight w:val="none"/>
                <w:lang w:eastAsia="zh-CN"/>
                <w14:textFill>
                  <w14:solidFill>
                    <w14:schemeClr w14:val="tx1"/>
                  </w14:solidFill>
                </w14:textFill>
              </w:rPr>
              <w:t>对应</w:t>
            </w:r>
            <w:r>
              <w:rPr>
                <w:rFonts w:hint="eastAsia" w:ascii="宋体" w:hAnsi="宋体" w:eastAsia="宋体" w:cs="宋体"/>
                <w:color w:val="000000" w:themeColor="text1"/>
                <w:kern w:val="0"/>
                <w:sz w:val="22"/>
                <w:szCs w:val="22"/>
                <w:highlight w:val="none"/>
                <w:lang w:val="en-US" w:eastAsia="zh-CN"/>
                <w14:textFill>
                  <w14:solidFill>
                    <w14:schemeClr w14:val="tx1"/>
                  </w14:solidFill>
                </w14:textFill>
              </w:rPr>
              <w:t>清单子目</w:t>
            </w:r>
            <w:r>
              <w:rPr>
                <w:rFonts w:hint="eastAsia" w:ascii="宋体" w:hAnsi="宋体" w:eastAsia="宋体" w:cs="宋体"/>
                <w:color w:val="000000" w:themeColor="text1"/>
                <w:kern w:val="0"/>
                <w:sz w:val="22"/>
                <w:szCs w:val="22"/>
                <w:highlight w:val="none"/>
                <w:lang w:eastAsia="zh-CN"/>
                <w14:textFill>
                  <w14:solidFill>
                    <w14:schemeClr w14:val="tx1"/>
                  </w14:solidFill>
                </w14:textFill>
              </w:rPr>
              <w:t>综合单价×（</w:t>
            </w:r>
            <w:r>
              <w:rPr>
                <w:rFonts w:hint="eastAsia" w:ascii="宋体" w:hAnsi="宋体" w:eastAsia="宋体" w:cs="宋体"/>
                <w:color w:val="000000" w:themeColor="text1"/>
                <w:kern w:val="0"/>
                <w:sz w:val="22"/>
                <w:szCs w:val="22"/>
                <w:highlight w:val="none"/>
                <w:lang w:val="en-US" w:eastAsia="zh-CN"/>
                <w14:textFill>
                  <w14:solidFill>
                    <w14:schemeClr w14:val="tx1"/>
                  </w14:solidFill>
                </w14:textFill>
              </w:rPr>
              <w:t>1-投标下浮率）与中标的综合单价对比低值，</w:t>
            </w:r>
            <w:r>
              <w:rPr>
                <w:rFonts w:hint="eastAsia" w:ascii="宋体" w:hAnsi="宋体" w:eastAsia="宋体" w:cs="宋体"/>
                <w:color w:val="000000" w:themeColor="text1"/>
                <w:kern w:val="0"/>
                <w:sz w:val="22"/>
                <w:szCs w:val="22"/>
                <w:highlight w:val="none"/>
                <w:lang w:eastAsia="zh-CN"/>
                <w14:textFill>
                  <w14:solidFill>
                    <w14:schemeClr w14:val="tx1"/>
                  </w14:solidFill>
                </w14:textFill>
              </w:rPr>
              <w:t>并按调整后的综合单价</w:t>
            </w:r>
            <w:r>
              <w:rPr>
                <w:rFonts w:hint="eastAsia" w:ascii="宋体" w:hAnsi="宋体" w:eastAsia="宋体" w:cs="宋体"/>
                <w:color w:val="000000" w:themeColor="text1"/>
                <w:kern w:val="0"/>
                <w:sz w:val="22"/>
                <w:szCs w:val="22"/>
                <w:highlight w:val="none"/>
                <w14:textFill>
                  <w14:solidFill>
                    <w14:schemeClr w14:val="tx1"/>
                  </w14:solidFill>
                </w14:textFill>
              </w:rPr>
              <w:t>作为结算</w:t>
            </w:r>
            <w:r>
              <w:rPr>
                <w:rFonts w:hint="eastAsia" w:ascii="宋体" w:hAnsi="宋体" w:eastAsia="宋体" w:cs="宋体"/>
                <w:color w:val="000000" w:themeColor="text1"/>
                <w:kern w:val="0"/>
                <w:sz w:val="22"/>
                <w:szCs w:val="22"/>
                <w:highlight w:val="none"/>
                <w:lang w:val="en-US" w:eastAsia="zh-CN"/>
                <w14:textFill>
                  <w14:solidFill>
                    <w14:schemeClr w14:val="tx1"/>
                  </w14:solidFill>
                </w14:textFill>
              </w:rPr>
              <w:t>综合</w:t>
            </w:r>
            <w:r>
              <w:rPr>
                <w:rFonts w:hint="eastAsia" w:ascii="宋体" w:hAnsi="宋体" w:eastAsia="宋体" w:cs="宋体"/>
                <w:color w:val="000000" w:themeColor="text1"/>
                <w:kern w:val="0"/>
                <w:sz w:val="22"/>
                <w:szCs w:val="22"/>
                <w:highlight w:val="none"/>
                <w14:textFill>
                  <w14:solidFill>
                    <w14:schemeClr w14:val="tx1"/>
                  </w14:solidFill>
                </w14:textFill>
              </w:rPr>
              <w:t>单价</w:t>
            </w:r>
            <w:r>
              <w:rPr>
                <w:rFonts w:hint="eastAsia" w:ascii="宋体" w:hAnsi="宋体" w:eastAsia="宋体" w:cs="宋体"/>
                <w:color w:val="000000" w:themeColor="text1"/>
                <w:kern w:val="0"/>
                <w:sz w:val="22"/>
                <w:szCs w:val="22"/>
                <w:highlight w:val="none"/>
                <w:lang w:val="en-US" w:eastAsia="zh-CN"/>
                <w14:textFill>
                  <w14:solidFill>
                    <w14:schemeClr w14:val="tx1"/>
                  </w14:solidFill>
                </w14:textFill>
              </w:rPr>
              <w:t>。</w:t>
            </w:r>
          </w:p>
          <w:p w14:paraId="57415907">
            <w:pPr>
              <w:pStyle w:val="90"/>
              <w:ind w:firstLine="220" w:firstLineChars="100"/>
              <w:jc w:val="left"/>
              <w:rPr>
                <w:rFonts w:hint="eastAsia"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若中标的综合单价高于</w:t>
            </w:r>
            <w:r>
              <w:rPr>
                <w:rFonts w:hint="eastAsia" w:ascii="宋体" w:hAnsi="宋体" w:cs="宋体"/>
                <w:strike w:val="0"/>
                <w:color w:val="000000" w:themeColor="text1"/>
                <w:kern w:val="0"/>
                <w:sz w:val="22"/>
                <w:szCs w:val="22"/>
                <w:highlight w:val="none"/>
                <w:lang w:val="en-US" w:eastAsia="zh-CN"/>
                <w14:textFill>
                  <w14:solidFill>
                    <w14:schemeClr w14:val="tx1"/>
                  </w14:solidFill>
                </w14:textFill>
              </w:rPr>
              <w:t>最高投标限价</w:t>
            </w:r>
            <w:r>
              <w:rPr>
                <w:rFonts w:hint="eastAsia" w:ascii="宋体" w:hAnsi="宋体" w:cs="宋体"/>
                <w:color w:val="000000" w:themeColor="text1"/>
                <w:kern w:val="0"/>
                <w:sz w:val="22"/>
                <w:szCs w:val="22"/>
                <w:highlight w:val="none"/>
                <w14:textFill>
                  <w14:solidFill>
                    <w14:schemeClr w14:val="tx1"/>
                  </w14:solidFill>
                </w14:textFill>
              </w:rPr>
              <w:t>报告中对应</w:t>
            </w:r>
            <w:r>
              <w:rPr>
                <w:rFonts w:hint="eastAsia" w:ascii="宋体" w:hAnsi="宋体" w:eastAsia="宋体" w:cs="宋体"/>
                <w:color w:val="000000" w:themeColor="text1"/>
                <w:kern w:val="0"/>
                <w:sz w:val="22"/>
                <w:szCs w:val="22"/>
                <w:highlight w:val="none"/>
                <w:lang w:val="en-US" w:eastAsia="zh-CN"/>
                <w14:textFill>
                  <w14:solidFill>
                    <w14:schemeClr w14:val="tx1"/>
                  </w14:solidFill>
                </w14:textFill>
              </w:rPr>
              <w:t>清单子目</w:t>
            </w:r>
            <w:r>
              <w:rPr>
                <w:rFonts w:hint="eastAsia" w:ascii="宋体" w:hAnsi="宋体" w:cs="宋体"/>
                <w:color w:val="000000" w:themeColor="text1"/>
                <w:kern w:val="0"/>
                <w:sz w:val="22"/>
                <w:szCs w:val="22"/>
                <w:highlight w:val="none"/>
                <w14:textFill>
                  <w14:solidFill>
                    <w14:schemeClr w14:val="tx1"/>
                  </w14:solidFill>
                </w14:textFill>
              </w:rPr>
              <w:t>的综合单价，发包人有权在结算阶段调整该中标综合单价，调整方式为：结算综合单价＝</w:t>
            </w:r>
            <w:r>
              <w:rPr>
                <w:rFonts w:hint="eastAsia" w:ascii="宋体" w:hAnsi="宋体" w:eastAsia="宋体" w:cs="宋体"/>
                <w:strike w:val="0"/>
                <w:color w:val="000000" w:themeColor="text1"/>
                <w:sz w:val="21"/>
                <w:szCs w:val="21"/>
                <w:highlight w:val="none"/>
                <w:lang w:val="en-US" w:eastAsia="zh-CN"/>
                <w14:textFill>
                  <w14:solidFill>
                    <w14:schemeClr w14:val="tx1"/>
                  </w14:solidFill>
                </w14:textFill>
              </w:rPr>
              <w:t>最高投标限价</w:t>
            </w:r>
            <w:r>
              <w:rPr>
                <w:rFonts w:hint="eastAsia" w:ascii="宋体" w:hAnsi="宋体" w:cs="宋体"/>
                <w:color w:val="000000" w:themeColor="text1"/>
                <w:kern w:val="0"/>
                <w:sz w:val="22"/>
                <w:szCs w:val="22"/>
                <w:highlight w:val="none"/>
                <w14:textFill>
                  <w14:solidFill>
                    <w14:schemeClr w14:val="tx1"/>
                  </w14:solidFill>
                </w14:textFill>
              </w:rPr>
              <w:t>对应</w:t>
            </w:r>
            <w:r>
              <w:rPr>
                <w:rFonts w:hint="eastAsia" w:ascii="宋体" w:hAnsi="宋体" w:eastAsia="宋体" w:cs="宋体"/>
                <w:color w:val="000000" w:themeColor="text1"/>
                <w:kern w:val="0"/>
                <w:sz w:val="22"/>
                <w:szCs w:val="22"/>
                <w:highlight w:val="none"/>
                <w:lang w:val="en-US" w:eastAsia="zh-CN"/>
                <w14:textFill>
                  <w14:solidFill>
                    <w14:schemeClr w14:val="tx1"/>
                  </w14:solidFill>
                </w14:textFill>
              </w:rPr>
              <w:t>清单子目</w:t>
            </w:r>
            <w:r>
              <w:rPr>
                <w:rFonts w:hint="eastAsia" w:ascii="宋体" w:hAnsi="宋体" w:cs="宋体"/>
                <w:color w:val="000000" w:themeColor="text1"/>
                <w:kern w:val="0"/>
                <w:sz w:val="22"/>
                <w:szCs w:val="22"/>
                <w:highlight w:val="none"/>
                <w14:textFill>
                  <w14:solidFill>
                    <w14:schemeClr w14:val="tx1"/>
                  </w14:solidFill>
                </w14:textFill>
              </w:rPr>
              <w:t>的综合单价×（</w:t>
            </w:r>
            <w:r>
              <w:rPr>
                <w:rFonts w:ascii="宋体" w:hAnsi="宋体" w:cs="宋体"/>
                <w:color w:val="000000" w:themeColor="text1"/>
                <w:kern w:val="0"/>
                <w:sz w:val="22"/>
                <w:szCs w:val="22"/>
                <w:highlight w:val="none"/>
                <w14:textFill>
                  <w14:solidFill>
                    <w14:schemeClr w14:val="tx1"/>
                  </w14:solidFill>
                </w14:textFill>
              </w:rPr>
              <w:t>1-</w:t>
            </w:r>
            <w:r>
              <w:rPr>
                <w:rFonts w:hint="eastAsia" w:ascii="宋体" w:hAnsi="宋体" w:cs="宋体"/>
                <w:color w:val="000000" w:themeColor="text1"/>
                <w:kern w:val="0"/>
                <w:sz w:val="22"/>
                <w:szCs w:val="22"/>
                <w:highlight w:val="none"/>
                <w14:textFill>
                  <w14:solidFill>
                    <w14:schemeClr w14:val="tx1"/>
                  </w14:solidFill>
                </w14:textFill>
              </w:rPr>
              <w:t>投标下浮率），并按调整后的综</w:t>
            </w:r>
            <w:r>
              <w:rPr>
                <w:rFonts w:hint="eastAsia" w:ascii="宋体" w:hAnsi="宋体" w:eastAsia="宋体" w:cs="宋体"/>
                <w:color w:val="000000" w:themeColor="text1"/>
                <w:kern w:val="0"/>
                <w:sz w:val="22"/>
                <w:szCs w:val="22"/>
                <w:highlight w:val="none"/>
                <w14:textFill>
                  <w14:solidFill>
                    <w14:schemeClr w14:val="tx1"/>
                  </w14:solidFill>
                </w14:textFill>
              </w:rPr>
              <w:t>合单价作为结算</w:t>
            </w:r>
            <w:r>
              <w:rPr>
                <w:rFonts w:hint="eastAsia" w:ascii="宋体" w:hAnsi="宋体" w:eastAsia="宋体" w:cs="宋体"/>
                <w:color w:val="000000" w:themeColor="text1"/>
                <w:kern w:val="0"/>
                <w:sz w:val="22"/>
                <w:szCs w:val="22"/>
                <w:highlight w:val="none"/>
                <w:lang w:val="en-US" w:eastAsia="zh-CN"/>
                <w14:textFill>
                  <w14:solidFill>
                    <w14:schemeClr w14:val="tx1"/>
                  </w14:solidFill>
                </w14:textFill>
              </w:rPr>
              <w:t>综合</w:t>
            </w:r>
            <w:r>
              <w:rPr>
                <w:rFonts w:hint="eastAsia" w:ascii="宋体" w:hAnsi="宋体" w:eastAsia="宋体" w:cs="宋体"/>
                <w:color w:val="000000" w:themeColor="text1"/>
                <w:kern w:val="0"/>
                <w:sz w:val="22"/>
                <w:szCs w:val="22"/>
                <w:highlight w:val="none"/>
                <w14:textFill>
                  <w14:solidFill>
                    <w14:schemeClr w14:val="tx1"/>
                  </w14:solidFill>
                </w14:textFill>
              </w:rPr>
              <w:t>单价</w:t>
            </w:r>
            <w:r>
              <w:rPr>
                <w:rFonts w:hint="eastAsia" w:ascii="宋体" w:hAnsi="宋体" w:cs="宋体"/>
                <w:color w:val="000000" w:themeColor="text1"/>
                <w:kern w:val="0"/>
                <w:sz w:val="22"/>
                <w:szCs w:val="22"/>
                <w:highlight w:val="none"/>
                <w14:textFill>
                  <w14:solidFill>
                    <w14:schemeClr w14:val="tx1"/>
                  </w14:solidFill>
                </w14:textFill>
              </w:rPr>
              <w:t>。</w:t>
            </w:r>
          </w:p>
          <w:p w14:paraId="228F15BA">
            <w:pPr>
              <w:pStyle w:val="90"/>
              <w:ind w:firstLine="220" w:firstLineChars="100"/>
              <w:jc w:val="left"/>
              <w:rPr>
                <w:rFonts w:hint="eastAsia" w:ascii="宋体" w:hAnsi="宋体" w:cs="宋体"/>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lang w:val="en-US" w:eastAsia="zh-CN" w:bidi="ar-SA"/>
                <w14:textFill>
                  <w14:solidFill>
                    <w14:schemeClr w14:val="tx1"/>
                  </w14:solidFill>
                </w14:textFill>
              </w:rPr>
              <w:t>措施项目费不得高于施工费最高投标限价中的措施项目费总金额，若超过，发包人有权在支付预付款前签订补充协议，中标价中的措施项目费按施工费最高投标限价中的措施项目费金额调整，并根据调整后的总承包施工费作为支付和结算的依据。</w:t>
            </w:r>
          </w:p>
        </w:tc>
      </w:tr>
      <w:tr w14:paraId="196EF23E">
        <w:tblPrEx>
          <w:tblCellMar>
            <w:top w:w="0" w:type="dxa"/>
            <w:left w:w="108" w:type="dxa"/>
            <w:bottom w:w="0" w:type="dxa"/>
            <w:right w:w="108" w:type="dxa"/>
          </w:tblCellMar>
        </w:tblPrEx>
        <w:trPr>
          <w:trHeight w:val="42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24181A0F">
            <w:pPr>
              <w:spacing w:before="120" w:beforeLines="50" w:line="360" w:lineRule="auto"/>
              <w:contextualSpacing/>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3.2.4</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694BC28D">
            <w:pPr>
              <w:spacing w:before="120" w:beforeLines="50" w:line="360" w:lineRule="auto"/>
              <w:contextualSpacing/>
              <w:jc w:val="left"/>
              <w:rPr>
                <w:rFonts w:hint="eastAsia"/>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成本警示价</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1B5BB7A8">
            <w:pPr>
              <w:spacing w:line="360" w:lineRule="auto"/>
              <w:ind w:firstLine="0" w:firstLineChars="0"/>
              <w:contextualSpacing/>
              <w:rPr>
                <w:rFonts w:hint="eastAsia"/>
                <w:color w:val="000000" w:themeColor="text1"/>
                <w:highlight w:val="none"/>
                <w:u w:val="none"/>
                <w:lang w:eastAsia="zh-CN"/>
                <w14:textFill>
                  <w14:solidFill>
                    <w14:schemeClr w14:val="tx1"/>
                  </w14:solidFill>
                </w14:textFill>
              </w:rPr>
            </w:pPr>
            <w:r>
              <w:rPr>
                <w:rFonts w:hint="eastAsia" w:ascii="宋体" w:hAnsi="宋体"/>
                <w:strike w:val="0"/>
                <w:color w:val="000000" w:themeColor="text1"/>
                <w:szCs w:val="21"/>
                <w:highlight w:val="none"/>
                <w14:textFill>
                  <w14:solidFill>
                    <w14:schemeClr w14:val="tx1"/>
                  </w14:solidFill>
                </w14:textFill>
              </w:rPr>
              <w:sym w:font="Wingdings 2" w:char="0051"/>
            </w:r>
            <w:r>
              <w:rPr>
                <w:rFonts w:hint="eastAsia"/>
                <w:color w:val="000000" w:themeColor="text1"/>
                <w:highlight w:val="none"/>
                <w:u w:val="none"/>
                <w:lang w:eastAsia="zh-CN"/>
                <w14:textFill>
                  <w14:solidFill>
                    <w14:schemeClr w14:val="tx1"/>
                  </w14:solidFill>
                </w14:textFill>
              </w:rPr>
              <w:t>无</w:t>
            </w:r>
          </w:p>
          <w:p w14:paraId="4C29F2DC">
            <w:pPr>
              <w:spacing w:line="360" w:lineRule="auto"/>
              <w:ind w:firstLine="0" w:firstLineChars="0"/>
              <w:contextualSpacing/>
              <w:rPr>
                <w:rFonts w:hint="eastAsia" w:ascii="宋体" w:hAnsi="宋体" w:eastAsia="宋体"/>
                <w:color w:val="000000" w:themeColor="text1"/>
                <w:szCs w:val="21"/>
                <w:highlight w:val="none"/>
                <w:lang w:eastAsia="zh-CN"/>
                <w14:textFill>
                  <w14:solidFill>
                    <w14:schemeClr w14:val="tx1"/>
                  </w14:solidFill>
                </w14:textFill>
              </w:rPr>
            </w:pPr>
            <w:r>
              <w:rPr>
                <w:rFonts w:hint="eastAsia"/>
                <w:color w:val="000000" w:themeColor="text1"/>
                <w:highlight w:val="none"/>
                <w:u w:val="none"/>
                <w14:textFill>
                  <w14:solidFill>
                    <w14:schemeClr w14:val="tx1"/>
                  </w14:solidFill>
                </w14:textFill>
              </w:rPr>
              <w:sym w:font="Wingdings 2" w:char="0052"/>
            </w:r>
            <w:r>
              <w:rPr>
                <w:rFonts w:hint="eastAsia"/>
                <w:color w:val="000000" w:themeColor="text1"/>
                <w:highlight w:val="none"/>
                <w:u w:val="none"/>
                <w:lang w:eastAsia="zh-CN"/>
                <w14:textFill>
                  <w14:solidFill>
                    <w14:schemeClr w14:val="tx1"/>
                  </w14:solidFill>
                </w14:textFill>
              </w:rPr>
              <w:t>有，</w:t>
            </w:r>
            <w:r>
              <w:rPr>
                <w:rFonts w:hint="eastAsia" w:ascii="宋体" w:hAnsi="宋体" w:cs="宋体"/>
                <w:color w:val="000000" w:themeColor="text1"/>
                <w:szCs w:val="21"/>
                <w:highlight w:val="none"/>
                <w:u w:val="none"/>
                <w14:textFill>
                  <w14:solidFill>
                    <w14:schemeClr w14:val="tx1"/>
                  </w14:solidFill>
                </w14:textFill>
              </w:rPr>
              <w:t>成本警示价为</w:t>
            </w:r>
            <w:r>
              <w:rPr>
                <w:rFonts w:hint="eastAsia" w:ascii="宋体" w:hAnsi="宋体"/>
                <w:color w:val="000000" w:themeColor="text1"/>
                <w:szCs w:val="21"/>
                <w:highlight w:val="none"/>
                <w:lang w:val="en-US" w:eastAsia="zh-CN"/>
                <w14:textFill>
                  <w14:solidFill>
                    <w14:schemeClr w14:val="tx1"/>
                  </w14:solidFill>
                </w14:textFill>
              </w:rPr>
              <w:t xml:space="preserve"> 31</w:t>
            </w:r>
            <w:r>
              <w:rPr>
                <w:rFonts w:hint="eastAsia" w:asciiTheme="majorEastAsia" w:hAnsiTheme="majorEastAsia" w:eastAsiaTheme="majorEastAsia" w:cstheme="majorEastAsia"/>
                <w:color w:val="000000" w:themeColor="text1"/>
                <w:sz w:val="21"/>
                <w:szCs w:val="21"/>
                <w:highlight w:val="none"/>
                <w:lang w:val="en-US"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239</w:t>
            </w:r>
            <w:r>
              <w:rPr>
                <w:rFonts w:hint="eastAsia" w:asciiTheme="majorEastAsia" w:hAnsiTheme="majorEastAsia" w:eastAsiaTheme="majorEastAsia" w:cstheme="majorEastAsia"/>
                <w:color w:val="000000" w:themeColor="text1"/>
                <w:sz w:val="21"/>
                <w:szCs w:val="21"/>
                <w:highlight w:val="none"/>
                <w:lang w:val="en-US"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009.04</w:t>
            </w:r>
            <w:r>
              <w:rPr>
                <w:rFonts w:hint="eastAsia" w:ascii="宋体" w:hAnsi="宋体" w:cs="宋体"/>
                <w:color w:val="000000" w:themeColor="text1"/>
                <w:szCs w:val="21"/>
                <w:highlight w:val="none"/>
                <w:u w:val="none"/>
                <w14:textFill>
                  <w14:solidFill>
                    <w14:schemeClr w14:val="tx1"/>
                  </w14:solidFill>
                </w14:textFill>
              </w:rPr>
              <w:t>元。</w:t>
            </w:r>
            <w:r>
              <w:rPr>
                <w:rFonts w:hint="eastAsia" w:ascii="宋体" w:hAnsi="宋体" w:eastAsia="宋体" w:cs="宋体"/>
                <w:color w:val="000000" w:themeColor="text1"/>
                <w:szCs w:val="21"/>
                <w:highlight w:val="none"/>
                <w:u w:val="single"/>
                <w14:textFill>
                  <w14:solidFill>
                    <w14:schemeClr w14:val="tx1"/>
                  </w14:solidFill>
                </w14:textFill>
              </w:rPr>
              <w:t>（最高投标限价的</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82 </w:t>
            </w:r>
            <w:r>
              <w:rPr>
                <w:rFonts w:hint="eastAsia" w:ascii="宋体" w:hAnsi="宋体" w:eastAsia="宋体" w:cs="宋体"/>
                <w:color w:val="000000" w:themeColor="text1"/>
                <w:szCs w:val="21"/>
                <w:highlight w:val="none"/>
                <w:u w:val="single"/>
                <w:lang w:val="en-US" w:eastAsia="zh-CN"/>
                <w14:textFill>
                  <w14:solidFill>
                    <w14:schemeClr w14:val="tx1"/>
                  </w14:solidFill>
                </w14:textFill>
              </w:rPr>
              <w:t>%</w:t>
            </w:r>
            <w:r>
              <w:rPr>
                <w:rFonts w:hint="eastAsia" w:ascii="宋体" w:hAnsi="宋体" w:eastAsia="宋体" w:cs="宋体"/>
                <w:color w:val="000000" w:themeColor="text1"/>
                <w:szCs w:val="21"/>
                <w:highlight w:val="none"/>
                <w:u w:val="single"/>
                <w14:textFill>
                  <w14:solidFill>
                    <w14:schemeClr w14:val="tx1"/>
                  </w14:solidFill>
                </w14:textFill>
              </w:rPr>
              <w:t>设置为成本警示价）</w:t>
            </w:r>
          </w:p>
        </w:tc>
      </w:tr>
      <w:tr w14:paraId="52C34E29">
        <w:tblPrEx>
          <w:tblCellMar>
            <w:top w:w="0" w:type="dxa"/>
            <w:left w:w="108" w:type="dxa"/>
            <w:bottom w:w="0" w:type="dxa"/>
            <w:right w:w="108" w:type="dxa"/>
          </w:tblCellMar>
        </w:tblPrEx>
        <w:trPr>
          <w:trHeight w:val="70" w:hRule="atLeast"/>
        </w:trPr>
        <w:tc>
          <w:tcPr>
            <w:tcW w:w="1298" w:type="dxa"/>
            <w:tcBorders>
              <w:top w:val="single" w:color="auto" w:sz="4" w:space="0"/>
              <w:left w:val="single" w:color="auto" w:sz="4" w:space="0"/>
              <w:right w:val="single" w:color="auto" w:sz="4" w:space="0"/>
            </w:tcBorders>
            <w:noWrap w:val="0"/>
            <w:vAlign w:val="center"/>
          </w:tcPr>
          <w:p w14:paraId="62D0EBD0">
            <w:pPr>
              <w:spacing w:before="120" w:beforeLines="50" w:line="360" w:lineRule="auto"/>
              <w:contextualSpacing/>
              <w:jc w:val="center"/>
              <w:rPr>
                <w:color w:val="000000" w:themeColor="text1"/>
                <w:szCs w:val="21"/>
                <w:highlight w:val="none"/>
                <w14:textFill>
                  <w14:solidFill>
                    <w14:schemeClr w14:val="tx1"/>
                  </w14:solidFill>
                </w14:textFill>
              </w:rPr>
            </w:pPr>
            <w:bookmarkStart w:id="203" w:name="_Toc221950062"/>
            <w:r>
              <w:rPr>
                <w:color w:val="000000" w:themeColor="text1"/>
                <w:szCs w:val="21"/>
                <w:highlight w:val="none"/>
                <w14:textFill>
                  <w14:solidFill>
                    <w14:schemeClr w14:val="tx1"/>
                  </w14:solidFill>
                </w14:textFill>
              </w:rPr>
              <w:t>3.3</w:t>
            </w:r>
            <w:r>
              <w:rPr>
                <w:rFonts w:hint="eastAsia"/>
                <w:color w:val="000000" w:themeColor="text1"/>
                <w:szCs w:val="21"/>
                <w:highlight w:val="none"/>
                <w14:textFill>
                  <w14:solidFill>
                    <w14:schemeClr w14:val="tx1"/>
                  </w14:solidFill>
                </w14:textFill>
              </w:rPr>
              <w:t>.1</w:t>
            </w:r>
            <w:bookmarkEnd w:id="203"/>
          </w:p>
        </w:tc>
        <w:tc>
          <w:tcPr>
            <w:tcW w:w="2192" w:type="dxa"/>
            <w:tcBorders>
              <w:top w:val="single" w:color="auto" w:sz="4" w:space="0"/>
              <w:left w:val="single" w:color="auto" w:sz="4" w:space="0"/>
              <w:right w:val="single" w:color="auto" w:sz="4" w:space="0"/>
            </w:tcBorders>
            <w:noWrap w:val="0"/>
            <w:vAlign w:val="center"/>
          </w:tcPr>
          <w:p w14:paraId="71A2BE12">
            <w:pPr>
              <w:spacing w:before="120" w:beforeLines="50" w:line="360" w:lineRule="auto"/>
              <w:contextualSpacing/>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投标有效期</w:t>
            </w:r>
          </w:p>
        </w:tc>
        <w:tc>
          <w:tcPr>
            <w:tcW w:w="5038" w:type="dxa"/>
            <w:tcBorders>
              <w:top w:val="single" w:color="auto" w:sz="4" w:space="0"/>
              <w:left w:val="single" w:color="auto" w:sz="4" w:space="0"/>
              <w:right w:val="single" w:color="auto" w:sz="4" w:space="0"/>
            </w:tcBorders>
            <w:noWrap w:val="0"/>
            <w:vAlign w:val="center"/>
          </w:tcPr>
          <w:p w14:paraId="2D1BFA5B">
            <w:pPr>
              <w:pStyle w:val="14"/>
              <w:topLinePunct/>
              <w:spacing w:before="120" w:beforeLines="50" w:after="0" w:line="360" w:lineRule="auto"/>
              <w:contextualSpacing/>
              <w:rPr>
                <w:color w:val="000000" w:themeColor="text1"/>
                <w:kern w:val="2"/>
                <w:sz w:val="21"/>
                <w:szCs w:val="21"/>
                <w:highlight w:val="none"/>
                <w:lang w:val="en-US" w:eastAsia="zh-CN"/>
                <w14:textFill>
                  <w14:solidFill>
                    <w14:schemeClr w14:val="tx1"/>
                  </w14:solidFill>
                </w14:textFill>
              </w:rPr>
            </w:pPr>
            <w:r>
              <w:rPr>
                <w:rFonts w:hint="eastAsia"/>
                <w:color w:val="000000" w:themeColor="text1"/>
                <w:kern w:val="2"/>
                <w:sz w:val="21"/>
                <w:szCs w:val="21"/>
                <w:highlight w:val="none"/>
                <w:lang w:val="en-US" w:eastAsia="zh-CN"/>
                <w14:textFill>
                  <w14:solidFill>
                    <w14:schemeClr w14:val="tx1"/>
                  </w14:solidFill>
                </w14:textFill>
              </w:rPr>
              <w:t>__90__日历天（从投标截止之日计起）</w:t>
            </w:r>
          </w:p>
        </w:tc>
      </w:tr>
      <w:tr w14:paraId="0CC0BFC8">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14:paraId="1184B6AA">
            <w:pPr>
              <w:spacing w:before="120" w:beforeLines="50" w:line="360" w:lineRule="auto"/>
              <w:contextualSpacing/>
              <w:jc w:val="center"/>
              <w:rPr>
                <w:rFonts w:hint="default" w:eastAsia="宋体"/>
                <w:color w:val="000000" w:themeColor="text1"/>
                <w:szCs w:val="21"/>
                <w:highlight w:val="none"/>
                <w:lang w:val="en-US" w:eastAsia="zh-CN"/>
                <w14:textFill>
                  <w14:solidFill>
                    <w14:schemeClr w14:val="tx1"/>
                  </w14:solidFill>
                </w14:textFill>
              </w:rPr>
            </w:pPr>
            <w:bookmarkStart w:id="204" w:name="_Toc221950064"/>
            <w:r>
              <w:rPr>
                <w:color w:val="000000" w:themeColor="text1"/>
                <w:szCs w:val="21"/>
                <w:highlight w:val="none"/>
                <w14:textFill>
                  <w14:solidFill>
                    <w14:schemeClr w14:val="tx1"/>
                  </w14:solidFill>
                </w14:textFill>
              </w:rPr>
              <w:t>3.4</w:t>
            </w:r>
            <w:bookmarkEnd w:id="204"/>
            <w:r>
              <w:rPr>
                <w:rFonts w:hint="eastAsia"/>
                <w:color w:val="000000" w:themeColor="text1"/>
                <w:szCs w:val="21"/>
                <w:highlight w:val="none"/>
                <w:lang w:val="en-US" w:eastAsia="zh-CN"/>
                <w14:textFill>
                  <w14:solidFill>
                    <w14:schemeClr w14:val="tx1"/>
                  </w14:solidFill>
                </w14:textFill>
              </w:rPr>
              <w:t>.1</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73EBA712">
            <w:pPr>
              <w:spacing w:before="120" w:beforeLines="50" w:line="360" w:lineRule="auto"/>
              <w:contextualSpacing/>
              <w:jc w:val="left"/>
              <w:rPr>
                <w:color w:val="000000" w:themeColor="text1"/>
                <w:szCs w:val="21"/>
                <w:highlight w:val="none"/>
                <w14:textFill>
                  <w14:solidFill>
                    <w14:schemeClr w14:val="tx1"/>
                  </w14:solidFill>
                </w14:textFill>
              </w:rPr>
            </w:pPr>
            <w:bookmarkStart w:id="205" w:name="_Toc221950065"/>
            <w:r>
              <w:rPr>
                <w:color w:val="000000" w:themeColor="text1"/>
                <w:szCs w:val="21"/>
                <w:highlight w:val="none"/>
                <w14:textFill>
                  <w14:solidFill>
                    <w14:schemeClr w14:val="tx1"/>
                  </w14:solidFill>
                </w14:textFill>
              </w:rPr>
              <w:t>投标保证金</w:t>
            </w:r>
            <w:bookmarkEnd w:id="205"/>
          </w:p>
        </w:tc>
        <w:tc>
          <w:tcPr>
            <w:tcW w:w="5038" w:type="dxa"/>
            <w:tcBorders>
              <w:top w:val="single" w:color="auto" w:sz="4" w:space="0"/>
              <w:left w:val="single" w:color="auto" w:sz="4" w:space="0"/>
              <w:bottom w:val="single" w:color="auto" w:sz="4" w:space="0"/>
              <w:right w:val="single" w:color="auto" w:sz="4" w:space="0"/>
            </w:tcBorders>
            <w:noWrap w:val="0"/>
            <w:vAlign w:val="center"/>
          </w:tcPr>
          <w:p w14:paraId="0823D1EA">
            <w:pPr>
              <w:spacing w:before="120" w:beforeLines="50" w:line="360" w:lineRule="auto"/>
              <w:contextualSpacing/>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是否要求投标人递交投标保证金：</w:t>
            </w:r>
          </w:p>
          <w:p w14:paraId="339FAEF6">
            <w:pPr>
              <w:spacing w:before="120" w:beforeLines="50" w:line="360" w:lineRule="auto"/>
              <w:contextualSpacing/>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要求，</w:t>
            </w:r>
            <w:r>
              <w:rPr>
                <w:rFonts w:hint="eastAsia" w:ascii="宋体" w:hAnsi="宋体" w:cs="宋体"/>
                <w:b/>
                <w:bCs/>
                <w:color w:val="000000" w:themeColor="text1"/>
                <w:highlight w:val="none"/>
                <w:u w:val="single"/>
                <w:lang w:val="en-US" w:eastAsia="zh-CN" w:bidi="ar"/>
                <w14:textFill>
                  <w14:solidFill>
                    <w14:schemeClr w14:val="tx1"/>
                  </w14:solidFill>
                </w14:textFill>
              </w:rPr>
              <w:t xml:space="preserve"> 50</w:t>
            </w:r>
            <w:r>
              <w:rPr>
                <w:rFonts w:hint="eastAsia" w:ascii="宋体" w:hAnsi="宋体" w:cs="宋体"/>
                <w:b/>
                <w:bCs/>
                <w:color w:val="000000" w:themeColor="text1"/>
                <w:highlight w:val="none"/>
                <w:lang w:bidi="ar"/>
                <w14:textFill>
                  <w14:solidFill>
                    <w14:schemeClr w14:val="tx1"/>
                  </w14:solidFill>
                </w14:textFill>
              </w:rPr>
              <w:t>万元人民币</w:t>
            </w:r>
            <w:r>
              <w:rPr>
                <w:rFonts w:hint="eastAsia" w:ascii="宋体" w:hAnsi="宋体" w:cs="宋体"/>
                <w:color w:val="000000" w:themeColor="text1"/>
                <w:highlight w:val="none"/>
                <w:lang w:bidi="ar"/>
                <w14:textFill>
                  <w14:solidFill>
                    <w14:schemeClr w14:val="tx1"/>
                  </w14:solidFill>
                </w14:textFill>
              </w:rPr>
              <w:t>，</w:t>
            </w:r>
            <w:r>
              <w:rPr>
                <w:rFonts w:hint="eastAsia" w:ascii="宋体" w:hAnsi="宋体" w:cs="宋体"/>
                <w:color w:val="000000" w:themeColor="text1"/>
                <w:szCs w:val="21"/>
                <w:highlight w:val="none"/>
                <w:u w:val="none"/>
                <w:lang w:bidi="ar"/>
                <w14:textFill>
                  <w14:solidFill>
                    <w14:schemeClr w14:val="tx1"/>
                  </w14:solidFill>
                </w14:textFill>
              </w:rPr>
              <w:t>缴纳时间在递交投标文件截止时间前</w:t>
            </w:r>
            <w:r>
              <w:rPr>
                <w:rFonts w:hint="eastAsia" w:ascii="宋体" w:hAnsi="宋体" w:cs="宋体"/>
                <w:color w:val="000000" w:themeColor="text1"/>
                <w:szCs w:val="21"/>
                <w:highlight w:val="none"/>
                <w:u w:val="none"/>
                <w:lang w:eastAsia="zh-CN" w:bidi="ar"/>
                <w14:textFill>
                  <w14:solidFill>
                    <w14:schemeClr w14:val="tx1"/>
                  </w14:solidFill>
                </w14:textFill>
              </w:rPr>
              <w:t>。</w:t>
            </w:r>
          </w:p>
          <w:p w14:paraId="5EA0C8B1">
            <w:pPr>
              <w:spacing w:before="120" w:beforeLines="50" w:line="360" w:lineRule="auto"/>
              <w:contextualSpacing/>
              <w:rPr>
                <w:rFonts w:hint="eastAsia"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none"/>
                <w:lang w:bidi="ar"/>
                <w14:textFill>
                  <w14:solidFill>
                    <w14:schemeClr w14:val="tx1"/>
                  </w14:solidFill>
                </w14:textFill>
              </w:rPr>
              <w:t>缴纳方式：投标保证金可采用现金、支票、投标保证保险、投标保函（银行或专业担保公司出具）</w:t>
            </w:r>
            <w:r>
              <w:rPr>
                <w:rFonts w:hint="eastAsia" w:ascii="宋体" w:hAnsi="宋体" w:cs="宋体"/>
                <w:color w:val="000000" w:themeColor="text1"/>
                <w:szCs w:val="21"/>
                <w:highlight w:val="none"/>
                <w:u w:val="none"/>
                <w:lang w:val="en-US" w:eastAsia="zh-CN" w:bidi="ar"/>
                <w14:textFill>
                  <w14:solidFill>
                    <w14:schemeClr w14:val="tx1"/>
                  </w14:solidFill>
                </w14:textFill>
              </w:rPr>
              <w:t>等</w:t>
            </w:r>
            <w:r>
              <w:rPr>
                <w:rFonts w:hint="eastAsia" w:ascii="宋体" w:hAnsi="宋体" w:cs="宋体"/>
                <w:color w:val="000000" w:themeColor="text1"/>
                <w:szCs w:val="21"/>
                <w:highlight w:val="none"/>
                <w:u w:val="none"/>
                <w:lang w:bidi="ar"/>
                <w14:textFill>
                  <w14:solidFill>
                    <w14:schemeClr w14:val="tx1"/>
                  </w14:solidFill>
                </w14:textFill>
              </w:rPr>
              <w:t>的形式，须在递交投标文件截止时间前完成缴纳。</w:t>
            </w:r>
          </w:p>
          <w:p w14:paraId="462CAAC7">
            <w:pPr>
              <w:numPr>
                <w:ilvl w:val="0"/>
                <w:numId w:val="0"/>
              </w:numPr>
              <w:spacing w:before="120" w:beforeLines="50" w:line="360" w:lineRule="auto"/>
              <w:contextualSpacing/>
              <w:rPr>
                <w:rFonts w:hint="eastAsia" w:ascii="宋体" w:hAnsi="宋体" w:cs="宋体"/>
                <w:color w:val="000000" w:themeColor="text1"/>
                <w:szCs w:val="21"/>
                <w:highlight w:val="none"/>
                <w:u w:val="none"/>
                <w:lang w:bidi="ar"/>
                <w14:textFill>
                  <w14:solidFill>
                    <w14:schemeClr w14:val="tx1"/>
                  </w14:solidFill>
                </w14:textFill>
              </w:rPr>
            </w:pPr>
            <w:r>
              <w:rPr>
                <w:rFonts w:hint="eastAsia" w:ascii="宋体" w:hAnsi="宋体" w:cs="宋体"/>
                <w:color w:val="000000" w:themeColor="text1"/>
                <w:szCs w:val="21"/>
                <w:highlight w:val="none"/>
                <w:u w:val="none"/>
                <w:lang w:bidi="ar"/>
                <w14:textFill>
                  <w14:solidFill>
                    <w14:schemeClr w14:val="tx1"/>
                  </w14:solidFill>
                </w14:textFill>
              </w:rPr>
              <w:t>如采用现金、支票形式提交的，投标保证金从投标人基本账户递交，由</w:t>
            </w:r>
            <w:r>
              <w:rPr>
                <w:rFonts w:hint="eastAsia" w:ascii="宋体" w:hAnsi="宋体" w:cs="宋体"/>
                <w:color w:val="000000" w:themeColor="text1"/>
                <w:szCs w:val="21"/>
                <w:highlight w:val="none"/>
                <w:u w:val="none"/>
                <w:lang w:eastAsia="zh-CN" w:bidi="ar"/>
                <w14:textFill>
                  <w14:solidFill>
                    <w14:schemeClr w14:val="tx1"/>
                  </w14:solidFill>
                </w14:textFill>
              </w:rPr>
              <w:t>广州交易集团有限公司（广州公共资源交易中心）</w:t>
            </w:r>
            <w:r>
              <w:rPr>
                <w:rFonts w:hint="eastAsia" w:ascii="宋体" w:hAnsi="宋体" w:cs="宋体"/>
                <w:color w:val="000000" w:themeColor="text1"/>
                <w:szCs w:val="21"/>
                <w:highlight w:val="none"/>
                <w:u w:val="none"/>
                <w:lang w:bidi="ar"/>
                <w14:textFill>
                  <w14:solidFill>
                    <w14:schemeClr w14:val="tx1"/>
                  </w14:solidFill>
                </w14:textFill>
              </w:rPr>
              <w:t>代收。具体操作要求详见</w:t>
            </w:r>
            <w:r>
              <w:rPr>
                <w:rFonts w:hint="eastAsia" w:ascii="宋体" w:hAnsi="宋体" w:cs="宋体"/>
                <w:color w:val="000000" w:themeColor="text1"/>
                <w:szCs w:val="21"/>
                <w:highlight w:val="none"/>
                <w:u w:val="none"/>
                <w:lang w:eastAsia="zh-CN" w:bidi="ar"/>
                <w14:textFill>
                  <w14:solidFill>
                    <w14:schemeClr w14:val="tx1"/>
                  </w14:solidFill>
                </w14:textFill>
              </w:rPr>
              <w:t>广州交易集团有限公司（广州公共资源交易中心）</w:t>
            </w:r>
            <w:r>
              <w:rPr>
                <w:rFonts w:hint="eastAsia" w:ascii="宋体" w:hAnsi="宋体" w:cs="宋体"/>
                <w:color w:val="000000" w:themeColor="text1"/>
                <w:szCs w:val="21"/>
                <w:highlight w:val="none"/>
                <w:u w:val="none"/>
                <w:lang w:bidi="ar"/>
                <w14:textFill>
                  <w14:solidFill>
                    <w14:schemeClr w14:val="tx1"/>
                  </w14:solidFill>
                </w14:textFill>
              </w:rPr>
              <w:t>有关指引，递交事宜请自行咨询交易中心；请各投标人在投标文件递交截止时间前按上述金额递交至</w:t>
            </w:r>
            <w:r>
              <w:rPr>
                <w:rFonts w:hint="eastAsia" w:ascii="宋体" w:hAnsi="宋体" w:cs="宋体"/>
                <w:color w:val="000000" w:themeColor="text1"/>
                <w:szCs w:val="21"/>
                <w:highlight w:val="none"/>
                <w:u w:val="none"/>
                <w:lang w:eastAsia="zh-CN" w:bidi="ar"/>
                <w14:textFill>
                  <w14:solidFill>
                    <w14:schemeClr w14:val="tx1"/>
                  </w14:solidFill>
                </w14:textFill>
              </w:rPr>
              <w:t>广州交易集团有限公司（广州公共资源交易中心）</w:t>
            </w:r>
            <w:r>
              <w:rPr>
                <w:rFonts w:hint="eastAsia" w:ascii="宋体" w:hAnsi="宋体" w:cs="宋体"/>
                <w:color w:val="000000" w:themeColor="text1"/>
                <w:szCs w:val="21"/>
                <w:highlight w:val="none"/>
                <w:u w:val="none"/>
                <w:lang w:bidi="ar"/>
                <w14:textFill>
                  <w14:solidFill>
                    <w14:schemeClr w14:val="tx1"/>
                  </w14:solidFill>
                </w14:textFill>
              </w:rPr>
              <w:t>，到账情况以开标时</w:t>
            </w:r>
            <w:r>
              <w:rPr>
                <w:rFonts w:hint="eastAsia" w:ascii="宋体" w:hAnsi="宋体" w:cs="宋体"/>
                <w:color w:val="000000" w:themeColor="text1"/>
                <w:szCs w:val="21"/>
                <w:highlight w:val="none"/>
                <w:u w:val="none"/>
                <w:lang w:eastAsia="zh-CN" w:bidi="ar"/>
                <w14:textFill>
                  <w14:solidFill>
                    <w14:schemeClr w14:val="tx1"/>
                  </w14:solidFill>
                </w14:textFill>
              </w:rPr>
              <w:t>广州交易集团有限公司（广州公共资源交易中心）</w:t>
            </w:r>
            <w:r>
              <w:rPr>
                <w:rFonts w:hint="eastAsia" w:ascii="宋体" w:hAnsi="宋体" w:cs="宋体"/>
                <w:color w:val="000000" w:themeColor="text1"/>
                <w:szCs w:val="21"/>
                <w:highlight w:val="none"/>
                <w:u w:val="none"/>
                <w:lang w:bidi="ar"/>
                <w14:textFill>
                  <w14:solidFill>
                    <w14:schemeClr w14:val="tx1"/>
                  </w14:solidFill>
                </w14:textFill>
              </w:rPr>
              <w:t>数据库查询的信息为准。</w:t>
            </w:r>
          </w:p>
          <w:p w14:paraId="4C4AA055">
            <w:pPr>
              <w:spacing w:before="120" w:beforeLines="50" w:line="360" w:lineRule="auto"/>
              <w:contextualSpacing/>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val="en-US" w:eastAsia="zh-CN" w:bidi="ar"/>
                <w14:textFill>
                  <w14:solidFill>
                    <w14:schemeClr w14:val="tx1"/>
                  </w14:solidFill>
                </w14:textFill>
              </w:rPr>
              <w:t>2</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u w:val="none"/>
                <w:lang w:bidi="ar"/>
                <w14:textFill>
                  <w14:solidFill>
                    <w14:schemeClr w14:val="tx1"/>
                  </w14:solidFill>
                </w14:textFill>
              </w:rPr>
              <w:t>如采用投标保函、投标保证保险形式提交投标保证金的，投标保函或投标保证保险须开具给招标人（保险受益人须为招标人）。开标前可不提交纸质原件，但投标人应在投标文件中提交投标保函或投标保险的扫描件并加盖投标人电子印章，完成评标后，由中标候选人在中标候选人公示前向招标代理单位提交纸质原件并在网上公示。如投标人选择在开标前提交纸质原件的，可在投标截止时间前单独密封递交至开标室。若以交易系统支持的电子保函或电子投标保证保险递交的，到账情况以开标时</w:t>
            </w:r>
            <w:r>
              <w:rPr>
                <w:rFonts w:hint="eastAsia" w:ascii="宋体" w:hAnsi="宋体" w:cs="宋体"/>
                <w:color w:val="000000" w:themeColor="text1"/>
                <w:szCs w:val="21"/>
                <w:highlight w:val="none"/>
                <w:u w:val="none"/>
                <w:lang w:eastAsia="zh-CN" w:bidi="ar"/>
                <w14:textFill>
                  <w14:solidFill>
                    <w14:schemeClr w14:val="tx1"/>
                  </w14:solidFill>
                </w14:textFill>
              </w:rPr>
              <w:t>广州交易集团有限公司（广州公共资源交易中心）</w:t>
            </w:r>
            <w:r>
              <w:rPr>
                <w:rFonts w:hint="eastAsia" w:ascii="宋体" w:hAnsi="宋体" w:cs="宋体"/>
                <w:color w:val="000000" w:themeColor="text1"/>
                <w:szCs w:val="21"/>
                <w:highlight w:val="none"/>
                <w:u w:val="none"/>
                <w:lang w:bidi="ar"/>
                <w14:textFill>
                  <w14:solidFill>
                    <w14:schemeClr w14:val="tx1"/>
                  </w14:solidFill>
                </w14:textFill>
              </w:rPr>
              <w:t>数据库查询信息为准。</w:t>
            </w:r>
          </w:p>
        </w:tc>
      </w:tr>
      <w:tr w14:paraId="545EE575">
        <w:tblPrEx>
          <w:tblCellMar>
            <w:top w:w="0" w:type="dxa"/>
            <w:left w:w="108" w:type="dxa"/>
            <w:bottom w:w="0" w:type="dxa"/>
            <w:right w:w="108" w:type="dxa"/>
          </w:tblCellMar>
        </w:tblPrEx>
        <w:trPr>
          <w:trHeight w:val="70" w:hRule="atLeast"/>
        </w:trPr>
        <w:tc>
          <w:tcPr>
            <w:tcW w:w="1298" w:type="dxa"/>
            <w:tcBorders>
              <w:top w:val="single" w:color="auto" w:sz="4" w:space="0"/>
              <w:left w:val="single" w:color="auto" w:sz="4" w:space="0"/>
              <w:right w:val="single" w:color="auto" w:sz="4" w:space="0"/>
            </w:tcBorders>
            <w:noWrap w:val="0"/>
            <w:vAlign w:val="center"/>
          </w:tcPr>
          <w:p w14:paraId="4BA9A7F3">
            <w:pPr>
              <w:spacing w:before="120" w:beforeLines="50" w:line="360" w:lineRule="auto"/>
              <w:contextualSpacing/>
              <w:jc w:val="center"/>
              <w:rPr>
                <w:rFonts w:hint="eastAsia" w:eastAsia="宋体"/>
                <w:color w:val="000000" w:themeColor="text1"/>
                <w:szCs w:val="21"/>
                <w:highlight w:val="none"/>
                <w:lang w:eastAsia="zh-CN"/>
                <w14:textFill>
                  <w14:solidFill>
                    <w14:schemeClr w14:val="tx1"/>
                  </w14:solidFill>
                </w14:textFill>
              </w:rPr>
            </w:pPr>
            <w:r>
              <w:rPr>
                <w:color w:val="000000" w:themeColor="text1"/>
                <w:szCs w:val="21"/>
                <w:highlight w:val="none"/>
                <w14:textFill>
                  <w14:solidFill>
                    <w14:schemeClr w14:val="tx1"/>
                  </w14:solidFill>
                </w14:textFill>
              </w:rPr>
              <w:t>3.</w:t>
            </w:r>
            <w:r>
              <w:rPr>
                <w:rFonts w:hint="eastAsia"/>
                <w:color w:val="000000" w:themeColor="text1"/>
                <w:szCs w:val="21"/>
                <w:highlight w:val="none"/>
                <w14:textFill>
                  <w14:solidFill>
                    <w14:schemeClr w14:val="tx1"/>
                  </w14:solidFill>
                </w14:textFill>
              </w:rPr>
              <w:t>6</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1</w:t>
            </w:r>
          </w:p>
        </w:tc>
        <w:tc>
          <w:tcPr>
            <w:tcW w:w="2192" w:type="dxa"/>
            <w:tcBorders>
              <w:top w:val="single" w:color="auto" w:sz="4" w:space="0"/>
              <w:left w:val="single" w:color="auto" w:sz="4" w:space="0"/>
              <w:right w:val="single" w:color="auto" w:sz="4" w:space="0"/>
            </w:tcBorders>
            <w:noWrap w:val="0"/>
            <w:vAlign w:val="center"/>
          </w:tcPr>
          <w:p w14:paraId="71D43C4D">
            <w:pPr>
              <w:spacing w:before="120" w:beforeLines="50" w:line="360" w:lineRule="auto"/>
              <w:contextualSpacing/>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签字或盖章要求</w:t>
            </w:r>
          </w:p>
        </w:tc>
        <w:tc>
          <w:tcPr>
            <w:tcW w:w="5038" w:type="dxa"/>
            <w:tcBorders>
              <w:top w:val="single" w:color="auto" w:sz="4" w:space="0"/>
              <w:left w:val="single" w:color="auto" w:sz="4" w:space="0"/>
              <w:right w:val="single" w:color="auto" w:sz="4" w:space="0"/>
            </w:tcBorders>
            <w:noWrap w:val="0"/>
            <w:vAlign w:val="center"/>
          </w:tcPr>
          <w:p w14:paraId="6DA33D7D">
            <w:pPr>
              <w:pStyle w:val="14"/>
              <w:topLinePunct/>
              <w:spacing w:before="120" w:beforeLines="50" w:after="0" w:line="360" w:lineRule="auto"/>
              <w:contextualSpacing/>
              <w:jc w:val="left"/>
              <w:rPr>
                <w:color w:val="000000" w:themeColor="text1"/>
                <w:kern w:val="2"/>
                <w:sz w:val="21"/>
                <w:szCs w:val="21"/>
                <w:highlight w:val="none"/>
                <w:lang w:val="en-US" w:eastAsia="zh-CN"/>
                <w14:textFill>
                  <w14:solidFill>
                    <w14:schemeClr w14:val="tx1"/>
                  </w14:solidFill>
                </w14:textFill>
              </w:rPr>
            </w:pPr>
            <w:r>
              <w:rPr>
                <w:rFonts w:hint="eastAsia"/>
                <w:color w:val="000000" w:themeColor="text1"/>
                <w:kern w:val="2"/>
                <w:sz w:val="21"/>
                <w:szCs w:val="21"/>
                <w:highlight w:val="none"/>
                <w:lang w:val="en-US" w:eastAsia="zh-CN"/>
                <w14:textFill>
                  <w14:solidFill>
                    <w14:schemeClr w14:val="tx1"/>
                  </w14:solidFill>
                </w14:textFill>
              </w:rPr>
              <w:t>投标文件格式规定盖单位章的页面必须盖单位章，规定法定代表人或授权委托人、项目负责人和技术负责人签字的页面必须签字。签字必须由本人在规定页面手写签名</w:t>
            </w:r>
            <w:r>
              <w:rPr>
                <w:rFonts w:hint="eastAsia"/>
                <w:color w:val="000000" w:themeColor="text1"/>
                <w:sz w:val="21"/>
                <w:szCs w:val="21"/>
                <w:highlight w:val="none"/>
                <w14:textFill>
                  <w14:solidFill>
                    <w14:schemeClr w14:val="tx1"/>
                  </w14:solidFill>
                </w14:textFill>
              </w:rPr>
              <w:t>或签章</w:t>
            </w:r>
            <w:r>
              <w:rPr>
                <w:rFonts w:hint="eastAsia"/>
                <w:color w:val="000000" w:themeColor="text1"/>
                <w:kern w:val="2"/>
                <w:sz w:val="21"/>
                <w:szCs w:val="21"/>
                <w:highlight w:val="none"/>
                <w:lang w:val="en-US" w:eastAsia="zh-CN"/>
                <w14:textFill>
                  <w14:solidFill>
                    <w14:schemeClr w14:val="tx1"/>
                  </w14:solidFill>
                </w14:textFill>
              </w:rPr>
              <w:t>后扫描上传（</w:t>
            </w:r>
            <w:r>
              <w:rPr>
                <w:rFonts w:hint="default" w:ascii="Calibri" w:hAnsi="Calibri" w:eastAsia="宋体" w:cs="Times New Roman"/>
                <w:color w:val="000000" w:themeColor="text1"/>
                <w:kern w:val="2"/>
                <w:sz w:val="21"/>
                <w:szCs w:val="24"/>
                <w:highlight w:val="none"/>
                <w:lang w:val="en-US" w:eastAsia="zh-CN" w:bidi="ar-SA"/>
                <w14:textFill>
                  <w14:solidFill>
                    <w14:schemeClr w14:val="tx1"/>
                  </w14:solidFill>
                </w14:textFill>
              </w:rPr>
              <w:t>可靠的电子签名与手写签名或者盖章具有同等的法律效力</w:t>
            </w:r>
            <w:r>
              <w:rPr>
                <w:rFonts w:hint="eastAsia"/>
                <w:color w:val="000000" w:themeColor="text1"/>
                <w:kern w:val="2"/>
                <w:sz w:val="21"/>
                <w:szCs w:val="21"/>
                <w:highlight w:val="none"/>
                <w:lang w:val="en-US" w:eastAsia="zh-CN"/>
                <w14:textFill>
                  <w14:solidFill>
                    <w14:schemeClr w14:val="tx1"/>
                  </w14:solidFill>
                </w14:textFill>
              </w:rPr>
              <w:t>）。</w:t>
            </w:r>
          </w:p>
        </w:tc>
      </w:tr>
      <w:tr w14:paraId="3B8E86F4">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14:paraId="60BE8B7A">
            <w:pPr>
              <w:spacing w:before="120" w:beforeLines="50" w:line="360" w:lineRule="auto"/>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4.1.1</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357D5BC8">
            <w:pPr>
              <w:spacing w:before="120" w:beforeLines="50" w:line="360" w:lineRule="auto"/>
              <w:contextualSpacing/>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投标文件份数</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319BB7C9">
            <w:pPr>
              <w:spacing w:before="120" w:beforeLines="50" w:line="360" w:lineRule="auto"/>
              <w:contextualSpacing/>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投标文件为含电子签章的加密电子投标文件</w:t>
            </w:r>
            <w:r>
              <w:rPr>
                <w:color w:val="000000" w:themeColor="text1"/>
                <w:szCs w:val="21"/>
                <w:highlight w:val="none"/>
                <w14:textFill>
                  <w14:solidFill>
                    <w14:schemeClr w14:val="tx1"/>
                  </w14:solidFill>
                </w14:textFill>
              </w:rPr>
              <w:t>1</w:t>
            </w:r>
            <w:r>
              <w:rPr>
                <w:rFonts w:hint="eastAsia"/>
                <w:color w:val="000000" w:themeColor="text1"/>
                <w:szCs w:val="21"/>
                <w:highlight w:val="none"/>
                <w14:textFill>
                  <w14:solidFill>
                    <w14:schemeClr w14:val="tx1"/>
                  </w14:solidFill>
                </w14:textFill>
              </w:rPr>
              <w:t>套。</w:t>
            </w:r>
          </w:p>
        </w:tc>
      </w:tr>
      <w:tr w14:paraId="7019B3ED">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14:paraId="38E1223E">
            <w:pPr>
              <w:spacing w:before="120" w:beforeLines="50" w:line="360" w:lineRule="auto"/>
              <w:contextualSpacing/>
              <w:jc w:val="center"/>
              <w:rPr>
                <w:color w:val="000000" w:themeColor="text1"/>
                <w:szCs w:val="21"/>
                <w:highlight w:val="none"/>
                <w14:textFill>
                  <w14:solidFill>
                    <w14:schemeClr w14:val="tx1"/>
                  </w14:solidFill>
                </w14:textFill>
              </w:rPr>
            </w:pPr>
            <w:bookmarkStart w:id="206" w:name="_Toc221950069"/>
            <w:r>
              <w:rPr>
                <w:color w:val="000000" w:themeColor="text1"/>
                <w:szCs w:val="21"/>
                <w:highlight w:val="none"/>
                <w14:textFill>
                  <w14:solidFill>
                    <w14:schemeClr w14:val="tx1"/>
                  </w14:solidFill>
                </w14:textFill>
              </w:rPr>
              <w:t>4.2.</w:t>
            </w:r>
            <w:bookmarkEnd w:id="206"/>
            <w:r>
              <w:rPr>
                <w:rFonts w:hint="eastAsia"/>
                <w:color w:val="000000" w:themeColor="text1"/>
                <w:szCs w:val="21"/>
                <w:highlight w:val="none"/>
                <w14:textFill>
                  <w14:solidFill>
                    <w14:schemeClr w14:val="tx1"/>
                  </w14:solidFill>
                </w14:textFill>
              </w:rPr>
              <w:t>1</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2D19F119">
            <w:pPr>
              <w:spacing w:before="120" w:beforeLines="50" w:line="360" w:lineRule="auto"/>
              <w:contextualSpacing/>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投标文件的递交时间和地点</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456E8295">
            <w:pPr>
              <w:spacing w:before="120" w:beforeLines="50" w:line="360" w:lineRule="auto"/>
              <w:contextualSpacing/>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1、递交方式：网上递交投标文件</w:t>
            </w:r>
          </w:p>
          <w:p w14:paraId="7EE8F359">
            <w:pPr>
              <w:spacing w:before="120" w:beforeLines="50" w:line="360" w:lineRule="auto"/>
              <w:contextualSpacing/>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2、文件的递交截止时间：____年</w:t>
            </w:r>
            <w:r>
              <w:rPr>
                <w:color w:val="000000" w:themeColor="text1"/>
                <w:szCs w:val="21"/>
                <w:highlight w:val="none"/>
                <w14:textFill>
                  <w14:solidFill>
                    <w14:schemeClr w14:val="tx1"/>
                  </w14:solidFill>
                </w14:textFill>
              </w:rPr>
              <w:t>__</w:t>
            </w:r>
            <w:r>
              <w:rPr>
                <w:rFonts w:hint="eastAsia"/>
                <w:color w:val="000000" w:themeColor="text1"/>
                <w:szCs w:val="21"/>
                <w:highlight w:val="none"/>
                <w14:textFill>
                  <w14:solidFill>
                    <w14:schemeClr w14:val="tx1"/>
                  </w14:solidFill>
                </w14:textFill>
              </w:rPr>
              <w:t>月</w:t>
            </w:r>
            <w:r>
              <w:rPr>
                <w:color w:val="000000" w:themeColor="text1"/>
                <w:szCs w:val="21"/>
                <w:highlight w:val="none"/>
                <w14:textFill>
                  <w14:solidFill>
                    <w14:schemeClr w14:val="tx1"/>
                  </w14:solidFill>
                </w14:textFill>
              </w:rPr>
              <w:t>__</w:t>
            </w:r>
            <w:r>
              <w:rPr>
                <w:rFonts w:hint="eastAsia"/>
                <w:color w:val="000000" w:themeColor="text1"/>
                <w:szCs w:val="21"/>
                <w:highlight w:val="none"/>
                <w14:textFill>
                  <w14:solidFill>
                    <w14:schemeClr w14:val="tx1"/>
                  </w14:solidFill>
                </w14:textFill>
              </w:rPr>
              <w:t xml:space="preserve">日 </w:t>
            </w:r>
            <w:r>
              <w:rPr>
                <w:color w:val="000000" w:themeColor="text1"/>
                <w:szCs w:val="21"/>
                <w:highlight w:val="none"/>
                <w14:textFill>
                  <w14:solidFill>
                    <w14:schemeClr w14:val="tx1"/>
                  </w14:solidFill>
                </w14:textFill>
              </w:rPr>
              <w:t>__</w:t>
            </w:r>
            <w:r>
              <w:rPr>
                <w:rFonts w:hint="eastAsia"/>
                <w:color w:val="000000" w:themeColor="text1"/>
                <w:szCs w:val="21"/>
                <w:highlight w:val="none"/>
                <w14:textFill>
                  <w14:solidFill>
                    <w14:schemeClr w14:val="tx1"/>
                  </w14:solidFill>
                </w14:textFill>
              </w:rPr>
              <w:t>时</w:t>
            </w:r>
            <w:r>
              <w:rPr>
                <w:color w:val="000000" w:themeColor="text1"/>
                <w:szCs w:val="21"/>
                <w:highlight w:val="none"/>
                <w14:textFill>
                  <w14:solidFill>
                    <w14:schemeClr w14:val="tx1"/>
                  </w14:solidFill>
                </w14:textFill>
              </w:rPr>
              <w:t>__</w:t>
            </w:r>
            <w:r>
              <w:rPr>
                <w:rFonts w:hint="eastAsia"/>
                <w:color w:val="000000" w:themeColor="text1"/>
                <w:szCs w:val="21"/>
                <w:highlight w:val="none"/>
                <w14:textFill>
                  <w14:solidFill>
                    <w14:schemeClr w14:val="tx1"/>
                  </w14:solidFill>
                </w14:textFill>
              </w:rPr>
              <w:t>分。</w:t>
            </w:r>
          </w:p>
          <w:p w14:paraId="31F5567B">
            <w:pPr>
              <w:spacing w:before="120" w:beforeLines="50" w:line="360" w:lineRule="auto"/>
              <w:contextualSpacing/>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r>
              <w:rPr>
                <w:rFonts w:hint="eastAsia"/>
                <w:color w:val="000000" w:themeColor="text1"/>
                <w:szCs w:val="21"/>
                <w:highlight w:val="none"/>
                <w14:textFill>
                  <w14:solidFill>
                    <w14:schemeClr w14:val="tx1"/>
                  </w14:solidFill>
                </w14:textFill>
              </w:rPr>
              <w:t>、上述时间是否有改变，请密切留意招标答疑纪要的相关信息。</w:t>
            </w:r>
          </w:p>
        </w:tc>
      </w:tr>
      <w:tr w14:paraId="46815E3D">
        <w:tblPrEx>
          <w:tblCellMar>
            <w:top w:w="0" w:type="dxa"/>
            <w:left w:w="108" w:type="dxa"/>
            <w:bottom w:w="0" w:type="dxa"/>
            <w:right w:w="108" w:type="dxa"/>
          </w:tblCellMar>
        </w:tblPrEx>
        <w:tc>
          <w:tcPr>
            <w:tcW w:w="1298" w:type="dxa"/>
            <w:tcBorders>
              <w:top w:val="single" w:color="auto" w:sz="4" w:space="0"/>
              <w:left w:val="single" w:color="auto" w:sz="4" w:space="0"/>
              <w:bottom w:val="single" w:color="auto" w:sz="4" w:space="0"/>
              <w:right w:val="single" w:color="auto" w:sz="4" w:space="0"/>
            </w:tcBorders>
            <w:noWrap w:val="0"/>
            <w:vAlign w:val="center"/>
          </w:tcPr>
          <w:p w14:paraId="1C040EFA">
            <w:pPr>
              <w:spacing w:before="120" w:beforeLines="50" w:line="360" w:lineRule="auto"/>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4.7</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13DE0B51">
            <w:pPr>
              <w:spacing w:before="120" w:beforeLines="50" w:line="360" w:lineRule="auto"/>
              <w:contextualSpacing/>
              <w:jc w:val="left"/>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投标文件的解密</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50B69C4D">
            <w:pPr>
              <w:spacing w:before="120" w:beforeLines="50" w:line="360" w:lineRule="auto"/>
              <w:contextualSpacing/>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在投标截止时间后半小时内，投标人通过</w:t>
            </w:r>
            <w:r>
              <w:rPr>
                <w:rFonts w:hint="eastAsia" w:ascii="宋体" w:hAnsi="宋体" w:cs="宋体"/>
                <w:color w:val="000000" w:themeColor="text1"/>
                <w:sz w:val="21"/>
                <w:szCs w:val="21"/>
                <w:highlight w:val="none"/>
                <w:u w:val="single"/>
                <w:lang w:eastAsia="zh-CN"/>
                <w14:textFill>
                  <w14:solidFill>
                    <w14:schemeClr w14:val="tx1"/>
                  </w14:solidFill>
                </w14:textFill>
              </w:rPr>
              <w:t>广州交易集团有限公司（广州公共资源交易中心）</w:t>
            </w:r>
            <w:r>
              <w:rPr>
                <w:rFonts w:hint="eastAsia" w:ascii="宋体" w:hAnsi="宋体" w:cs="宋体"/>
                <w:color w:val="000000" w:themeColor="text1"/>
                <w:sz w:val="21"/>
                <w:szCs w:val="21"/>
                <w:highlight w:val="none"/>
                <w:lang w:eastAsia="zh-CN"/>
                <w14:textFill>
                  <w14:solidFill>
                    <w14:schemeClr w14:val="tx1"/>
                  </w14:solidFill>
                </w14:textFill>
              </w:rPr>
              <w:t>网站</w:t>
            </w:r>
            <w:r>
              <w:rPr>
                <w:rFonts w:hint="eastAsia" w:ascii="宋体" w:hAnsi="宋体" w:cs="宋体"/>
                <w:color w:val="000000" w:themeColor="text1"/>
                <w:sz w:val="21"/>
                <w:szCs w:val="21"/>
                <w:highlight w:val="none"/>
                <w14:textFill>
                  <w14:solidFill>
                    <w14:schemeClr w14:val="tx1"/>
                  </w14:solidFill>
                </w14:textFill>
              </w:rPr>
              <w:t>对已递交的电子投标文件进行解密。</w:t>
            </w:r>
          </w:p>
        </w:tc>
      </w:tr>
      <w:tr w14:paraId="5AF6B828">
        <w:tblPrEx>
          <w:tblCellMar>
            <w:top w:w="0" w:type="dxa"/>
            <w:left w:w="108" w:type="dxa"/>
            <w:bottom w:w="0" w:type="dxa"/>
            <w:right w:w="108" w:type="dxa"/>
          </w:tblCellMar>
        </w:tblPrEx>
        <w:trPr>
          <w:trHeight w:val="280" w:hRule="atLeast"/>
        </w:trPr>
        <w:tc>
          <w:tcPr>
            <w:tcW w:w="1298" w:type="dxa"/>
            <w:tcBorders>
              <w:top w:val="single" w:color="auto" w:sz="4" w:space="0"/>
              <w:left w:val="single" w:color="auto" w:sz="4" w:space="0"/>
              <w:right w:val="single" w:color="auto" w:sz="4" w:space="0"/>
            </w:tcBorders>
            <w:noWrap w:val="0"/>
            <w:vAlign w:val="center"/>
          </w:tcPr>
          <w:p w14:paraId="14F1D016">
            <w:pPr>
              <w:spacing w:before="120" w:beforeLines="50" w:line="360" w:lineRule="auto"/>
              <w:contextualSpacing/>
              <w:jc w:val="center"/>
              <w:rPr>
                <w:color w:val="000000" w:themeColor="text1"/>
                <w:szCs w:val="21"/>
                <w:highlight w:val="none"/>
                <w14:textFill>
                  <w14:solidFill>
                    <w14:schemeClr w14:val="tx1"/>
                  </w14:solidFill>
                </w14:textFill>
              </w:rPr>
            </w:pPr>
            <w:bookmarkStart w:id="207" w:name="_Toc221950071"/>
            <w:r>
              <w:rPr>
                <w:color w:val="000000" w:themeColor="text1"/>
                <w:szCs w:val="21"/>
                <w:highlight w:val="none"/>
                <w14:textFill>
                  <w14:solidFill>
                    <w14:schemeClr w14:val="tx1"/>
                  </w14:solidFill>
                </w14:textFill>
              </w:rPr>
              <w:t>5.1</w:t>
            </w:r>
            <w:bookmarkEnd w:id="207"/>
          </w:p>
        </w:tc>
        <w:tc>
          <w:tcPr>
            <w:tcW w:w="2192" w:type="dxa"/>
            <w:tcBorders>
              <w:top w:val="single" w:color="auto" w:sz="4" w:space="0"/>
              <w:left w:val="single" w:color="auto" w:sz="4" w:space="0"/>
              <w:right w:val="single" w:color="auto" w:sz="4" w:space="0"/>
            </w:tcBorders>
            <w:noWrap w:val="0"/>
            <w:vAlign w:val="center"/>
          </w:tcPr>
          <w:p w14:paraId="01401333">
            <w:pPr>
              <w:spacing w:before="120" w:beforeLines="50" w:line="360" w:lineRule="auto"/>
              <w:contextualSpacing/>
              <w:jc w:val="left"/>
              <w:rPr>
                <w:color w:val="000000" w:themeColor="text1"/>
                <w:szCs w:val="21"/>
                <w:highlight w:val="none"/>
                <w14:textFill>
                  <w14:solidFill>
                    <w14:schemeClr w14:val="tx1"/>
                  </w14:solidFill>
                </w14:textFill>
              </w:rPr>
            </w:pPr>
            <w:bookmarkStart w:id="208" w:name="_Toc221950072"/>
            <w:r>
              <w:rPr>
                <w:rFonts w:hint="eastAsia"/>
                <w:color w:val="000000" w:themeColor="text1"/>
                <w:szCs w:val="21"/>
                <w:highlight w:val="none"/>
                <w14:textFill>
                  <w14:solidFill>
                    <w14:schemeClr w14:val="tx1"/>
                  </w14:solidFill>
                </w14:textFill>
              </w:rPr>
              <w:t>开标时间和地点</w:t>
            </w:r>
            <w:bookmarkEnd w:id="208"/>
          </w:p>
        </w:tc>
        <w:tc>
          <w:tcPr>
            <w:tcW w:w="5038" w:type="dxa"/>
            <w:tcBorders>
              <w:top w:val="single" w:color="auto" w:sz="4" w:space="0"/>
              <w:left w:val="single" w:color="auto" w:sz="4" w:space="0"/>
              <w:right w:val="single" w:color="auto" w:sz="4" w:space="0"/>
            </w:tcBorders>
            <w:noWrap w:val="0"/>
            <w:vAlign w:val="center"/>
          </w:tcPr>
          <w:p w14:paraId="2AD2AE81">
            <w:pPr>
              <w:spacing w:before="120" w:beforeLines="50" w:line="360" w:lineRule="auto"/>
              <w:contextualSpacing/>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1、开标开始时间：____年__月</w:t>
            </w:r>
            <w:r>
              <w:rPr>
                <w:color w:val="000000" w:themeColor="text1"/>
                <w:szCs w:val="21"/>
                <w:highlight w:val="none"/>
                <w14:textFill>
                  <w14:solidFill>
                    <w14:schemeClr w14:val="tx1"/>
                  </w14:solidFill>
                </w14:textFill>
              </w:rPr>
              <w:t>__</w:t>
            </w:r>
            <w:r>
              <w:rPr>
                <w:rFonts w:hint="eastAsia"/>
                <w:color w:val="000000" w:themeColor="text1"/>
                <w:szCs w:val="21"/>
                <w:highlight w:val="none"/>
                <w14:textFill>
                  <w14:solidFill>
                    <w14:schemeClr w14:val="tx1"/>
                  </w14:solidFill>
                </w14:textFill>
              </w:rPr>
              <w:t xml:space="preserve">日 </w:t>
            </w:r>
            <w:r>
              <w:rPr>
                <w:color w:val="000000" w:themeColor="text1"/>
                <w:szCs w:val="21"/>
                <w:highlight w:val="none"/>
                <w14:textFill>
                  <w14:solidFill>
                    <w14:schemeClr w14:val="tx1"/>
                  </w14:solidFill>
                </w14:textFill>
              </w:rPr>
              <w:t>__</w:t>
            </w:r>
            <w:r>
              <w:rPr>
                <w:rFonts w:hint="eastAsia"/>
                <w:color w:val="000000" w:themeColor="text1"/>
                <w:szCs w:val="21"/>
                <w:highlight w:val="none"/>
                <w14:textFill>
                  <w14:solidFill>
                    <w14:schemeClr w14:val="tx1"/>
                  </w14:solidFill>
                </w14:textFill>
              </w:rPr>
              <w:t>时</w:t>
            </w:r>
            <w:r>
              <w:rPr>
                <w:color w:val="000000" w:themeColor="text1"/>
                <w:szCs w:val="21"/>
                <w:highlight w:val="none"/>
                <w14:textFill>
                  <w14:solidFill>
                    <w14:schemeClr w14:val="tx1"/>
                  </w14:solidFill>
                </w14:textFill>
              </w:rPr>
              <w:t>__</w:t>
            </w:r>
            <w:r>
              <w:rPr>
                <w:rFonts w:hint="eastAsia"/>
                <w:color w:val="000000" w:themeColor="text1"/>
                <w:szCs w:val="21"/>
                <w:highlight w:val="none"/>
                <w14:textFill>
                  <w14:solidFill>
                    <w14:schemeClr w14:val="tx1"/>
                  </w14:solidFill>
                </w14:textFill>
              </w:rPr>
              <w:t>分</w:t>
            </w:r>
          </w:p>
          <w:p w14:paraId="2B55AA64">
            <w:pPr>
              <w:spacing w:before="120" w:beforeLines="50" w:line="360" w:lineRule="auto"/>
              <w:contextualSpacing/>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2、地点：</w:t>
            </w:r>
            <w:r>
              <w:rPr>
                <w:rFonts w:hint="eastAsia"/>
                <w:color w:val="000000" w:themeColor="text1"/>
                <w:szCs w:val="21"/>
                <w:highlight w:val="none"/>
                <w:lang w:eastAsia="zh-CN"/>
                <w14:textFill>
                  <w14:solidFill>
                    <w14:schemeClr w14:val="tx1"/>
                  </w14:solidFill>
                </w14:textFill>
              </w:rPr>
              <w:t>广州交易集团有限公司（广州公共资源交易中心）</w:t>
            </w:r>
            <w:r>
              <w:rPr>
                <w:rFonts w:hint="eastAsia"/>
                <w:color w:val="000000" w:themeColor="text1"/>
                <w:szCs w:val="21"/>
                <w:highlight w:val="none"/>
                <w14:textFill>
                  <w14:solidFill>
                    <w14:schemeClr w14:val="tx1"/>
                  </w14:solidFill>
                </w14:textFill>
              </w:rPr>
              <w:t>开标室。</w:t>
            </w:r>
          </w:p>
          <w:p w14:paraId="3EE11397">
            <w:pPr>
              <w:spacing w:before="120" w:beforeLines="50" w:line="360" w:lineRule="auto"/>
              <w:contextualSpacing/>
              <w:rPr>
                <w:color w:val="000000" w:themeColor="text1"/>
                <w:highlight w:val="none"/>
                <w14:textFill>
                  <w14:solidFill>
                    <w14:schemeClr w14:val="tx1"/>
                  </w14:solidFill>
                </w14:textFill>
              </w:rPr>
            </w:pPr>
            <w:r>
              <w:rPr>
                <w:rFonts w:hint="eastAsia" w:ascii="Calibri" w:hAnsi="Calibri" w:eastAsia="宋体" w:cs="Times New Roman"/>
                <w:bCs w:val="0"/>
                <w:color w:val="000000" w:themeColor="text1"/>
                <w:kern w:val="2"/>
                <w:sz w:val="21"/>
                <w:szCs w:val="21"/>
                <w:highlight w:val="none"/>
                <w14:textFill>
                  <w14:solidFill>
                    <w14:schemeClr w14:val="tx1"/>
                  </w14:solidFill>
                </w14:textFill>
              </w:rPr>
              <w:t>开标时，投标人代表有权参加现场开标或</w:t>
            </w:r>
            <w:r>
              <w:rPr>
                <w:rFonts w:hint="eastAsia" w:ascii="Calibri" w:hAnsi="Calibri" w:eastAsia="宋体" w:cs="Times New Roman"/>
                <w:b w:val="0"/>
                <w:bCs w:val="0"/>
                <w:color w:val="000000" w:themeColor="text1"/>
                <w:kern w:val="2"/>
                <w:sz w:val="21"/>
                <w:szCs w:val="21"/>
                <w:highlight w:val="none"/>
                <w14:textFill>
                  <w14:solidFill>
                    <w14:schemeClr w14:val="tx1"/>
                  </w14:solidFill>
                </w14:textFill>
              </w:rPr>
              <w:t>在线开标</w:t>
            </w:r>
            <w:r>
              <w:rPr>
                <w:rFonts w:hint="eastAsia" w:ascii="Calibri" w:hAnsi="Calibri" w:eastAsia="宋体" w:cs="Times New Roman"/>
                <w:bCs w:val="0"/>
                <w:color w:val="000000" w:themeColor="text1"/>
                <w:kern w:val="2"/>
                <w:sz w:val="21"/>
                <w:szCs w:val="21"/>
                <w:highlight w:val="none"/>
                <w14:textFill>
                  <w14:solidFill>
                    <w14:schemeClr w14:val="tx1"/>
                  </w14:solidFill>
                </w14:textFill>
              </w:rPr>
              <w:t>，也可以自主决定不参加开标</w:t>
            </w:r>
            <w:r>
              <w:rPr>
                <w:rFonts w:hint="eastAsia" w:eastAsia="宋体" w:cs="Times New Roman"/>
                <w:bCs w:val="0"/>
                <w:color w:val="000000" w:themeColor="text1"/>
                <w:kern w:val="2"/>
                <w:sz w:val="21"/>
                <w:szCs w:val="21"/>
                <w:highlight w:val="none"/>
                <w:lang w:eastAsia="zh-CN"/>
                <w14:textFill>
                  <w14:solidFill>
                    <w14:schemeClr w14:val="tx1"/>
                  </w14:solidFill>
                </w14:textFill>
              </w:rPr>
              <w:t>，</w:t>
            </w:r>
            <w:r>
              <w:rPr>
                <w:rFonts w:hint="eastAsia" w:eastAsia="宋体" w:cs="Times New Roman"/>
                <w:color w:val="000000" w:themeColor="text1"/>
                <w:sz w:val="21"/>
                <w:szCs w:val="21"/>
                <w:highlight w:val="none"/>
                <w:lang w:eastAsia="zh-CN"/>
                <w14:textFill>
                  <w14:solidFill>
                    <w14:schemeClr w14:val="tx1"/>
                  </w14:solidFill>
                </w14:textFill>
              </w:rPr>
              <w:t>投标人选择参加在线开标的，具</w:t>
            </w:r>
            <w:r>
              <w:rPr>
                <w:rFonts w:hint="eastAsia"/>
                <w:color w:val="000000" w:themeColor="text1"/>
                <w:sz w:val="21"/>
                <w:szCs w:val="21"/>
                <w:highlight w:val="none"/>
                <w:lang w:eastAsia="zh-CN"/>
                <w14:textFill>
                  <w14:solidFill>
                    <w14:schemeClr w14:val="tx1"/>
                  </w14:solidFill>
                </w14:textFill>
              </w:rPr>
              <w:t>体按照交易平台相关指南进行操作。</w:t>
            </w:r>
          </w:p>
          <w:p w14:paraId="4AEFC968">
            <w:pPr>
              <w:spacing w:before="120" w:beforeLines="50" w:line="360" w:lineRule="auto"/>
              <w:contextualSpacing/>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3、上述时间及地点是否有改变，请密切留意</w:t>
            </w:r>
            <w:r>
              <w:rPr>
                <w:rFonts w:hint="eastAsia"/>
                <w:color w:val="000000" w:themeColor="text1"/>
                <w:szCs w:val="21"/>
                <w:highlight w:val="none"/>
                <w:lang w:eastAsia="zh-CN"/>
                <w14:textFill>
                  <w14:solidFill>
                    <w14:schemeClr w14:val="tx1"/>
                  </w14:solidFill>
                </w14:textFill>
              </w:rPr>
              <w:t>补充公告或</w:t>
            </w:r>
            <w:r>
              <w:rPr>
                <w:rFonts w:hint="eastAsia"/>
                <w:color w:val="000000" w:themeColor="text1"/>
                <w:szCs w:val="21"/>
                <w:highlight w:val="none"/>
                <w14:textFill>
                  <w14:solidFill>
                    <w14:schemeClr w14:val="tx1"/>
                  </w14:solidFill>
                </w14:textFill>
              </w:rPr>
              <w:t>招标答疑纪要的相关信息。</w:t>
            </w:r>
          </w:p>
        </w:tc>
      </w:tr>
      <w:tr w14:paraId="0EE7BA99">
        <w:tblPrEx>
          <w:tblCellMar>
            <w:top w:w="0" w:type="dxa"/>
            <w:left w:w="108" w:type="dxa"/>
            <w:bottom w:w="0" w:type="dxa"/>
            <w:right w:w="108" w:type="dxa"/>
          </w:tblCellMar>
        </w:tblPrEx>
        <w:trPr>
          <w:trHeight w:val="634" w:hRule="atLeast"/>
        </w:trPr>
        <w:tc>
          <w:tcPr>
            <w:tcW w:w="1298" w:type="dxa"/>
            <w:tcBorders>
              <w:top w:val="single" w:color="auto" w:sz="4" w:space="0"/>
              <w:left w:val="single" w:color="auto" w:sz="4" w:space="0"/>
              <w:right w:val="single" w:color="auto" w:sz="4" w:space="0"/>
            </w:tcBorders>
            <w:noWrap w:val="0"/>
            <w:vAlign w:val="center"/>
          </w:tcPr>
          <w:p w14:paraId="39D94AF1">
            <w:pPr>
              <w:spacing w:before="120" w:beforeLines="50" w:line="360" w:lineRule="auto"/>
              <w:contextualSpacing/>
              <w:jc w:val="center"/>
              <w:rPr>
                <w:rFonts w:hint="default"/>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6.3</w:t>
            </w:r>
          </w:p>
        </w:tc>
        <w:tc>
          <w:tcPr>
            <w:tcW w:w="2192" w:type="dxa"/>
            <w:tcBorders>
              <w:top w:val="single" w:color="auto" w:sz="4" w:space="0"/>
              <w:left w:val="single" w:color="auto" w:sz="4" w:space="0"/>
              <w:right w:val="single" w:color="auto" w:sz="4" w:space="0"/>
            </w:tcBorders>
            <w:noWrap w:val="0"/>
            <w:vAlign w:val="center"/>
          </w:tcPr>
          <w:p w14:paraId="26051BD2">
            <w:pPr>
              <w:spacing w:before="120" w:beforeLines="50" w:line="360" w:lineRule="auto"/>
              <w:contextualSpacing/>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开标评标办法</w:t>
            </w:r>
          </w:p>
        </w:tc>
        <w:tc>
          <w:tcPr>
            <w:tcW w:w="5038" w:type="dxa"/>
            <w:tcBorders>
              <w:top w:val="single" w:color="auto" w:sz="4" w:space="0"/>
              <w:left w:val="single" w:color="auto" w:sz="4" w:space="0"/>
              <w:right w:val="single" w:color="auto" w:sz="4" w:space="0"/>
            </w:tcBorders>
            <w:noWrap w:val="0"/>
            <w:vAlign w:val="center"/>
          </w:tcPr>
          <w:p w14:paraId="12BD7789">
            <w:pPr>
              <w:spacing w:before="120" w:beforeLines="50" w:line="360" w:lineRule="auto"/>
              <w:contextualSpacing/>
              <w:rPr>
                <w:rFonts w:hint="eastAsia"/>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color w:val="000000" w:themeColor="text1"/>
                <w:szCs w:val="21"/>
                <w:highlight w:val="none"/>
                <w14:textFill>
                  <w14:solidFill>
                    <w14:schemeClr w14:val="tx1"/>
                  </w14:solidFill>
                </w14:textFill>
              </w:rPr>
              <w:t>综合评估法一</w:t>
            </w:r>
          </w:p>
          <w:p w14:paraId="02DAFC42">
            <w:pPr>
              <w:spacing w:before="120" w:beforeLines="50" w:line="360" w:lineRule="auto"/>
              <w:contextualSpacing/>
              <w:rPr>
                <w:rFonts w:hint="eastAsia"/>
                <w:color w:val="000000" w:themeColor="text1"/>
                <w:szCs w:val="21"/>
                <w:highlight w:val="none"/>
                <w14:textFill>
                  <w14:solidFill>
                    <w14:schemeClr w14:val="tx1"/>
                  </w14:solidFill>
                </w14:textFill>
              </w:rPr>
            </w:pPr>
            <w:r>
              <w:rPr>
                <w:rFonts w:hint="eastAsia" w:ascii="宋体" w:hAnsi="宋体"/>
                <w:strike w:val="0"/>
                <w:color w:val="000000" w:themeColor="text1"/>
                <w:szCs w:val="21"/>
                <w:highlight w:val="none"/>
                <w14:textFill>
                  <w14:solidFill>
                    <w14:schemeClr w14:val="tx1"/>
                  </w14:solidFill>
                </w14:textFill>
              </w:rPr>
              <w:sym w:font="Wingdings 2" w:char="0051"/>
            </w:r>
            <w:r>
              <w:rPr>
                <w:rFonts w:hint="eastAsia"/>
                <w:color w:val="000000" w:themeColor="text1"/>
                <w:szCs w:val="21"/>
                <w:highlight w:val="none"/>
                <w14:textFill>
                  <w14:solidFill>
                    <w14:schemeClr w14:val="tx1"/>
                  </w14:solidFill>
                </w14:textFill>
              </w:rPr>
              <w:t>综合评估法二（以前叫：平均值法（一））</w:t>
            </w:r>
          </w:p>
          <w:p w14:paraId="4AAF26F7">
            <w:pPr>
              <w:spacing w:before="120" w:beforeLines="50" w:line="360" w:lineRule="auto"/>
              <w:contextualSpacing/>
              <w:rPr>
                <w:rFonts w:hint="eastAsia"/>
                <w:color w:val="000000" w:themeColor="text1"/>
                <w:szCs w:val="21"/>
                <w:highlight w:val="none"/>
                <w14:textFill>
                  <w14:solidFill>
                    <w14:schemeClr w14:val="tx1"/>
                  </w14:solidFill>
                </w14:textFill>
              </w:rPr>
            </w:pPr>
            <w:r>
              <w:rPr>
                <w:rFonts w:hint="eastAsia" w:ascii="宋体" w:hAnsi="宋体"/>
                <w:strike w:val="0"/>
                <w:color w:val="000000" w:themeColor="text1"/>
                <w:szCs w:val="21"/>
                <w:highlight w:val="none"/>
                <w14:textFill>
                  <w14:solidFill>
                    <w14:schemeClr w14:val="tx1"/>
                  </w14:solidFill>
                </w14:textFill>
              </w:rPr>
              <w:sym w:font="Wingdings 2" w:char="0051"/>
            </w:r>
            <w:r>
              <w:rPr>
                <w:rFonts w:hint="eastAsia"/>
                <w:color w:val="000000" w:themeColor="text1"/>
                <w:szCs w:val="21"/>
                <w:highlight w:val="none"/>
                <w14:textFill>
                  <w14:solidFill>
                    <w14:schemeClr w14:val="tx1"/>
                  </w14:solidFill>
                </w14:textFill>
              </w:rPr>
              <w:t>综合评估法三（以前叫：平均值法（二））</w:t>
            </w:r>
          </w:p>
          <w:p w14:paraId="7C169960">
            <w:pPr>
              <w:spacing w:before="120" w:beforeLines="50" w:line="360" w:lineRule="auto"/>
              <w:contextualSpacing/>
              <w:rPr>
                <w:rFonts w:hint="eastAsia" w:ascii="宋体" w:hAnsi="宋体"/>
                <w:color w:val="000000" w:themeColor="text1"/>
                <w:szCs w:val="21"/>
                <w:highlight w:val="none"/>
                <w14:textFill>
                  <w14:solidFill>
                    <w14:schemeClr w14:val="tx1"/>
                  </w14:solidFill>
                </w14:textFill>
              </w:rPr>
            </w:pPr>
            <w:r>
              <w:rPr>
                <w:rFonts w:hint="eastAsia" w:ascii="宋体" w:hAnsi="宋体"/>
                <w:strike w:val="0"/>
                <w:color w:val="000000" w:themeColor="text1"/>
                <w:szCs w:val="21"/>
                <w:highlight w:val="none"/>
                <w14:textFill>
                  <w14:solidFill>
                    <w14:schemeClr w14:val="tx1"/>
                  </w14:solidFill>
                </w14:textFill>
              </w:rPr>
              <w:sym w:font="Wingdings 2" w:char="0051"/>
            </w:r>
            <w:r>
              <w:rPr>
                <w:rFonts w:hint="eastAsia" w:ascii="宋体" w:hAnsi="宋体"/>
                <w:color w:val="000000" w:themeColor="text1"/>
                <w:szCs w:val="21"/>
                <w:highlight w:val="none"/>
                <w14:textFill>
                  <w14:solidFill>
                    <w14:schemeClr w14:val="tx1"/>
                  </w14:solidFill>
                </w14:textFill>
              </w:rPr>
              <w:t>经评审的最低投标价法</w:t>
            </w:r>
          </w:p>
          <w:p w14:paraId="06FF171D">
            <w:pPr>
              <w:spacing w:before="120" w:beforeLines="50" w:line="360" w:lineRule="auto"/>
              <w:contextualSpacing/>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strike w:val="0"/>
                <w:color w:val="000000" w:themeColor="text1"/>
                <w:szCs w:val="21"/>
                <w:highlight w:val="none"/>
                <w14:textFill>
                  <w14:solidFill>
                    <w14:schemeClr w14:val="tx1"/>
                  </w14:solidFill>
                </w14:textFill>
              </w:rPr>
              <w:sym w:font="Wingdings 2" w:char="0051"/>
            </w:r>
            <w:r>
              <w:rPr>
                <w:rFonts w:hint="eastAsia" w:ascii="宋体" w:hAnsi="宋体"/>
                <w:color w:val="000000" w:themeColor="text1"/>
                <w:szCs w:val="21"/>
                <w:highlight w:val="none"/>
                <w14:textFill>
                  <w14:solidFill>
                    <w14:schemeClr w14:val="tx1"/>
                  </w14:solidFill>
                </w14:textFill>
              </w:rPr>
              <w:t>经评审的最低投标价法（二）</w:t>
            </w:r>
            <w:r>
              <w:rPr>
                <w:rFonts w:hint="eastAsia"/>
                <w:color w:val="000000" w:themeColor="text1"/>
                <w:szCs w:val="21"/>
                <w:highlight w:val="none"/>
                <w:lang w:eastAsia="zh-CN"/>
                <w14:textFill>
                  <w14:solidFill>
                    <w14:schemeClr w14:val="tx1"/>
                  </w14:solidFill>
                </w14:textFill>
              </w:rPr>
              <w:t>（由招标人自行制定）</w:t>
            </w:r>
          </w:p>
          <w:p w14:paraId="1B3EDDD5">
            <w:pPr>
              <w:spacing w:before="120" w:beforeLines="50" w:line="360" w:lineRule="auto"/>
              <w:contextualSpacing/>
              <w:rPr>
                <w:rFonts w:hint="eastAsia" w:ascii="宋体" w:hAnsi="宋体"/>
                <w:color w:val="000000" w:themeColor="text1"/>
                <w:szCs w:val="21"/>
                <w:highlight w:val="none"/>
                <w14:textFill>
                  <w14:solidFill>
                    <w14:schemeClr w14:val="tx1"/>
                  </w14:solidFill>
                </w14:textFill>
              </w:rPr>
            </w:pPr>
            <w:r>
              <w:rPr>
                <w:rFonts w:hint="eastAsia" w:ascii="宋体" w:hAnsi="宋体"/>
                <w:strike w:val="0"/>
                <w:color w:val="000000" w:themeColor="text1"/>
                <w:szCs w:val="21"/>
                <w:highlight w:val="none"/>
                <w14:textFill>
                  <w14:solidFill>
                    <w14:schemeClr w14:val="tx1"/>
                  </w14:solidFill>
                </w14:textFill>
              </w:rPr>
              <w:sym w:font="Wingdings 2" w:char="0051"/>
            </w:r>
            <w:r>
              <w:rPr>
                <w:rFonts w:hint="eastAsia"/>
                <w:color w:val="000000" w:themeColor="text1"/>
                <w:szCs w:val="21"/>
                <w:highlight w:val="none"/>
                <w:lang w:eastAsia="zh-CN"/>
                <w14:textFill>
                  <w14:solidFill>
                    <w14:schemeClr w14:val="tx1"/>
                  </w14:solidFill>
                </w14:textFill>
              </w:rPr>
              <w:t>两阶段评标法（由招标人自行制定）</w:t>
            </w:r>
          </w:p>
        </w:tc>
      </w:tr>
      <w:tr w14:paraId="52C05C0C">
        <w:tblPrEx>
          <w:tblCellMar>
            <w:top w:w="0" w:type="dxa"/>
            <w:left w:w="108" w:type="dxa"/>
            <w:bottom w:w="0" w:type="dxa"/>
            <w:right w:w="108" w:type="dxa"/>
          </w:tblCellMar>
        </w:tblPrEx>
        <w:trPr>
          <w:trHeight w:val="505" w:hRule="atLeast"/>
        </w:trPr>
        <w:tc>
          <w:tcPr>
            <w:tcW w:w="1298" w:type="dxa"/>
            <w:tcBorders>
              <w:top w:val="single" w:color="auto" w:sz="4" w:space="0"/>
              <w:left w:val="single" w:color="auto" w:sz="4" w:space="0"/>
              <w:right w:val="single" w:color="auto" w:sz="4" w:space="0"/>
            </w:tcBorders>
            <w:noWrap w:val="0"/>
            <w:vAlign w:val="center"/>
          </w:tcPr>
          <w:p w14:paraId="5B9AAB51">
            <w:pPr>
              <w:spacing w:before="120" w:beforeLines="50" w:line="360" w:lineRule="auto"/>
              <w:contextualSpacing/>
              <w:jc w:val="center"/>
              <w:rPr>
                <w:color w:val="000000" w:themeColor="text1"/>
                <w:szCs w:val="21"/>
                <w:highlight w:val="none"/>
                <w14:textFill>
                  <w14:solidFill>
                    <w14:schemeClr w14:val="tx1"/>
                  </w14:solidFill>
                </w14:textFill>
              </w:rPr>
            </w:pPr>
            <w:bookmarkStart w:id="209" w:name="_Toc221950075"/>
            <w:r>
              <w:rPr>
                <w:color w:val="000000" w:themeColor="text1"/>
                <w:szCs w:val="21"/>
                <w:highlight w:val="none"/>
                <w14:textFill>
                  <w14:solidFill>
                    <w14:schemeClr w14:val="tx1"/>
                  </w14:solidFill>
                </w14:textFill>
              </w:rPr>
              <w:t>6.1.1</w:t>
            </w:r>
            <w:bookmarkEnd w:id="209"/>
          </w:p>
        </w:tc>
        <w:tc>
          <w:tcPr>
            <w:tcW w:w="2192" w:type="dxa"/>
            <w:tcBorders>
              <w:top w:val="single" w:color="auto" w:sz="4" w:space="0"/>
              <w:left w:val="single" w:color="auto" w:sz="4" w:space="0"/>
              <w:right w:val="single" w:color="auto" w:sz="4" w:space="0"/>
            </w:tcBorders>
            <w:noWrap w:val="0"/>
            <w:vAlign w:val="center"/>
          </w:tcPr>
          <w:p w14:paraId="0200F6A5">
            <w:pPr>
              <w:spacing w:before="120" w:beforeLines="50" w:line="360" w:lineRule="auto"/>
              <w:contextualSpacing/>
              <w:jc w:val="left"/>
              <w:rPr>
                <w:color w:val="000000" w:themeColor="text1"/>
                <w:szCs w:val="21"/>
                <w:highlight w:val="none"/>
                <w14:textFill>
                  <w14:solidFill>
                    <w14:schemeClr w14:val="tx1"/>
                  </w14:solidFill>
                </w14:textFill>
              </w:rPr>
            </w:pPr>
            <w:bookmarkStart w:id="210" w:name="_Toc221950076"/>
            <w:r>
              <w:rPr>
                <w:rFonts w:hint="eastAsia"/>
                <w:color w:val="000000" w:themeColor="text1"/>
                <w:szCs w:val="21"/>
                <w:highlight w:val="none"/>
                <w14:textFill>
                  <w14:solidFill>
                    <w14:schemeClr w14:val="tx1"/>
                  </w14:solidFill>
                </w14:textFill>
              </w:rPr>
              <w:t>评标委员会的组建</w:t>
            </w:r>
            <w:bookmarkEnd w:id="210"/>
          </w:p>
        </w:tc>
        <w:tc>
          <w:tcPr>
            <w:tcW w:w="5038" w:type="dxa"/>
            <w:tcBorders>
              <w:top w:val="single" w:color="auto" w:sz="4" w:space="0"/>
              <w:left w:val="single" w:color="auto" w:sz="4" w:space="0"/>
              <w:right w:val="single" w:color="auto" w:sz="4" w:space="0"/>
            </w:tcBorders>
            <w:noWrap w:val="0"/>
            <w:vAlign w:val="center"/>
          </w:tcPr>
          <w:p w14:paraId="208B9A86">
            <w:pPr>
              <w:spacing w:before="120" w:beforeLines="50" w:line="360" w:lineRule="auto"/>
              <w:contextualSpacing/>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评标委员会构成：</w:t>
            </w:r>
            <w:r>
              <w:rPr>
                <w:rFonts w:hint="eastAsia"/>
                <w:color w:val="000000" w:themeColor="text1"/>
                <w:szCs w:val="21"/>
                <w:highlight w:val="none"/>
                <w:u w:val="single"/>
                <w14:textFill>
                  <w14:solidFill>
                    <w14:schemeClr w14:val="tx1"/>
                  </w14:solidFill>
                </w14:textFill>
              </w:rPr>
              <w:t>由招标人依法组建。</w:t>
            </w:r>
          </w:p>
          <w:p w14:paraId="6096EEBF">
            <w:pPr>
              <w:spacing w:before="120" w:beforeLines="50" w:line="360" w:lineRule="auto"/>
              <w:contextualSpacing/>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评标专家确定方式：除招标人代表外，其余专家均从在广东省综合评标评审专家库中随机抽取</w:t>
            </w:r>
            <w:r>
              <w:rPr>
                <w:rFonts w:hint="eastAsia"/>
                <w:color w:val="000000" w:themeColor="text1"/>
                <w:szCs w:val="21"/>
                <w:highlight w:val="none"/>
                <w:lang w:val="en-US" w:eastAsia="zh-CN"/>
                <w14:textFill>
                  <w14:solidFill>
                    <w14:schemeClr w14:val="tx1"/>
                  </w14:solidFill>
                </w14:textFill>
              </w:rPr>
              <w:t>。</w:t>
            </w:r>
          </w:p>
        </w:tc>
      </w:tr>
      <w:tr w14:paraId="3971FAAD">
        <w:tblPrEx>
          <w:tblCellMar>
            <w:top w:w="0" w:type="dxa"/>
            <w:left w:w="108" w:type="dxa"/>
            <w:bottom w:w="0" w:type="dxa"/>
            <w:right w:w="108" w:type="dxa"/>
          </w:tblCellMar>
        </w:tblPrEx>
        <w:trPr>
          <w:trHeight w:val="90" w:hRule="atLeast"/>
        </w:trPr>
        <w:tc>
          <w:tcPr>
            <w:tcW w:w="1298" w:type="dxa"/>
            <w:tcBorders>
              <w:top w:val="single" w:color="auto" w:sz="4" w:space="0"/>
              <w:left w:val="single" w:color="auto" w:sz="4" w:space="0"/>
              <w:right w:val="single" w:color="auto" w:sz="4" w:space="0"/>
            </w:tcBorders>
            <w:noWrap w:val="0"/>
            <w:vAlign w:val="center"/>
          </w:tcPr>
          <w:p w14:paraId="684C74C1">
            <w:pPr>
              <w:spacing w:before="120" w:beforeLines="50" w:line="360" w:lineRule="auto"/>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7.2.1</w:t>
            </w:r>
          </w:p>
        </w:tc>
        <w:tc>
          <w:tcPr>
            <w:tcW w:w="2192" w:type="dxa"/>
            <w:tcBorders>
              <w:top w:val="single" w:color="auto" w:sz="4" w:space="0"/>
              <w:left w:val="single" w:color="auto" w:sz="4" w:space="0"/>
              <w:right w:val="single" w:color="auto" w:sz="4" w:space="0"/>
            </w:tcBorders>
            <w:noWrap w:val="0"/>
            <w:vAlign w:val="center"/>
          </w:tcPr>
          <w:p w14:paraId="4C5457FF">
            <w:pPr>
              <w:spacing w:before="120" w:beforeLines="50" w:line="360" w:lineRule="auto"/>
              <w:contextualSpacing/>
              <w:jc w:val="left"/>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中标候选人公示媒介</w:t>
            </w:r>
          </w:p>
        </w:tc>
        <w:tc>
          <w:tcPr>
            <w:tcW w:w="5038" w:type="dxa"/>
            <w:tcBorders>
              <w:top w:val="single" w:color="auto" w:sz="4" w:space="0"/>
              <w:left w:val="single" w:color="auto" w:sz="4" w:space="0"/>
              <w:right w:val="single" w:color="auto" w:sz="4" w:space="0"/>
            </w:tcBorders>
            <w:noWrap w:val="0"/>
            <w:vAlign w:val="center"/>
          </w:tcPr>
          <w:p w14:paraId="6123D431">
            <w:pPr>
              <w:spacing w:before="120" w:beforeLines="50" w:line="360" w:lineRule="auto"/>
              <w:contextualSpacing/>
              <w:rPr>
                <w:rFonts w:hint="eastAsia"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shd w:val="clear" w:color="auto" w:fill="FFFFFF"/>
                <w14:textFill>
                  <w14:solidFill>
                    <w14:schemeClr w14:val="tx1"/>
                  </w14:solidFill>
                </w14:textFill>
              </w:rPr>
              <w:t>广东省招标投标监管网、</w:t>
            </w:r>
            <w:r>
              <w:rPr>
                <w:rFonts w:hint="eastAsia" w:ascii="宋体" w:hAnsi="宋体"/>
                <w:color w:val="000000" w:themeColor="text1"/>
                <w:szCs w:val="21"/>
                <w:highlight w:val="none"/>
                <w:shd w:val="clear" w:color="auto" w:fill="FFFFFF"/>
                <w:lang w:eastAsia="zh-CN"/>
                <w14:textFill>
                  <w14:solidFill>
                    <w14:schemeClr w14:val="tx1"/>
                  </w14:solidFill>
                </w14:textFill>
              </w:rPr>
              <w:t>广州交易集团有限公司（广州公共资源交易中心）</w:t>
            </w:r>
            <w:r>
              <w:rPr>
                <w:rFonts w:hint="eastAsia" w:ascii="宋体" w:hAnsi="宋体"/>
                <w:color w:val="000000" w:themeColor="text1"/>
                <w:szCs w:val="21"/>
                <w:highlight w:val="none"/>
                <w:shd w:val="clear" w:color="auto" w:fill="FFFFFF"/>
                <w14:textFill>
                  <w14:solidFill>
                    <w14:schemeClr w14:val="tx1"/>
                  </w14:solidFill>
                </w14:textFill>
              </w:rPr>
              <w:t>网站</w:t>
            </w:r>
            <w:r>
              <w:rPr>
                <w:rFonts w:hint="eastAsia" w:ascii="宋体" w:hAnsi="宋体"/>
                <w:color w:val="000000" w:themeColor="text1"/>
                <w:szCs w:val="21"/>
                <w:highlight w:val="none"/>
                <w:shd w:val="clear" w:color="auto" w:fill="FFFFFF"/>
                <w:lang w:eastAsia="zh-CN"/>
                <w14:textFill>
                  <w14:solidFill>
                    <w14:schemeClr w14:val="tx1"/>
                  </w14:solidFill>
                </w14:textFill>
              </w:rPr>
              <w:t>、</w:t>
            </w:r>
            <w:r>
              <w:rPr>
                <w:rFonts w:hint="eastAsia" w:ascii="宋体" w:hAnsi="宋体"/>
                <w:color w:val="000000" w:themeColor="text1"/>
                <w:szCs w:val="21"/>
                <w:highlight w:val="none"/>
                <w:shd w:val="clear" w:color="auto" w:fill="FFFFFF"/>
                <w14:textFill>
                  <w14:solidFill>
                    <w14:schemeClr w14:val="tx1"/>
                  </w14:solidFill>
                </w14:textFill>
              </w:rPr>
              <w:t>中国招标投标公共服务平台</w:t>
            </w:r>
          </w:p>
        </w:tc>
      </w:tr>
      <w:tr w14:paraId="45363D1C">
        <w:tblPrEx>
          <w:tblCellMar>
            <w:top w:w="0" w:type="dxa"/>
            <w:left w:w="108" w:type="dxa"/>
            <w:bottom w:w="0" w:type="dxa"/>
            <w:right w:w="108" w:type="dxa"/>
          </w:tblCellMar>
        </w:tblPrEx>
        <w:trPr>
          <w:trHeight w:val="417"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1172458F">
            <w:pPr>
              <w:spacing w:before="120" w:beforeLines="50" w:line="360" w:lineRule="auto"/>
              <w:contextualSpacing/>
              <w:jc w:val="center"/>
              <w:rPr>
                <w:color w:val="000000" w:themeColor="text1"/>
                <w:szCs w:val="21"/>
                <w:highlight w:val="none"/>
                <w14:textFill>
                  <w14:solidFill>
                    <w14:schemeClr w14:val="tx1"/>
                  </w14:solidFill>
                </w14:textFill>
              </w:rPr>
            </w:pPr>
            <w:bookmarkStart w:id="211" w:name="_Toc221950079"/>
            <w:r>
              <w:rPr>
                <w:color w:val="000000" w:themeColor="text1"/>
                <w:szCs w:val="21"/>
                <w:highlight w:val="none"/>
                <w14:textFill>
                  <w14:solidFill>
                    <w14:schemeClr w14:val="tx1"/>
                  </w14:solidFill>
                </w14:textFill>
              </w:rPr>
              <w:t>7.</w:t>
            </w:r>
            <w:r>
              <w:rPr>
                <w:rFonts w:hint="eastAsia"/>
                <w:color w:val="000000" w:themeColor="text1"/>
                <w:szCs w:val="21"/>
                <w:highlight w:val="none"/>
                <w14:textFill>
                  <w14:solidFill>
                    <w14:schemeClr w14:val="tx1"/>
                  </w14:solidFill>
                </w14:textFill>
              </w:rPr>
              <w:t>4</w:t>
            </w:r>
            <w:r>
              <w:rPr>
                <w:color w:val="000000" w:themeColor="text1"/>
                <w:szCs w:val="21"/>
                <w:highlight w:val="none"/>
                <w14:textFill>
                  <w14:solidFill>
                    <w14:schemeClr w14:val="tx1"/>
                  </w14:solidFill>
                </w14:textFill>
              </w:rPr>
              <w:t>.1</w:t>
            </w:r>
            <w:bookmarkEnd w:id="211"/>
          </w:p>
        </w:tc>
        <w:tc>
          <w:tcPr>
            <w:tcW w:w="2192" w:type="dxa"/>
            <w:tcBorders>
              <w:top w:val="single" w:color="auto" w:sz="4" w:space="0"/>
              <w:left w:val="single" w:color="auto" w:sz="4" w:space="0"/>
              <w:bottom w:val="single" w:color="auto" w:sz="4" w:space="0"/>
              <w:right w:val="single" w:color="auto" w:sz="4" w:space="0"/>
            </w:tcBorders>
            <w:noWrap w:val="0"/>
            <w:vAlign w:val="center"/>
          </w:tcPr>
          <w:p w14:paraId="22DE31E3">
            <w:pPr>
              <w:spacing w:before="120" w:beforeLines="50" w:line="360" w:lineRule="auto"/>
              <w:contextualSpacing/>
              <w:jc w:val="left"/>
              <w:rPr>
                <w:color w:val="000000" w:themeColor="text1"/>
                <w:szCs w:val="21"/>
                <w:highlight w:val="none"/>
                <w14:textFill>
                  <w14:solidFill>
                    <w14:schemeClr w14:val="tx1"/>
                  </w14:solidFill>
                </w14:textFill>
              </w:rPr>
            </w:pPr>
            <w:bookmarkStart w:id="212" w:name="_Toc221950080"/>
            <w:r>
              <w:rPr>
                <w:color w:val="000000" w:themeColor="text1"/>
                <w:szCs w:val="21"/>
                <w:highlight w:val="none"/>
                <w14:textFill>
                  <w14:solidFill>
                    <w14:schemeClr w14:val="tx1"/>
                  </w14:solidFill>
                </w14:textFill>
              </w:rPr>
              <w:t>履约担保</w:t>
            </w:r>
            <w:bookmarkEnd w:id="212"/>
          </w:p>
        </w:tc>
        <w:tc>
          <w:tcPr>
            <w:tcW w:w="5038" w:type="dxa"/>
            <w:tcBorders>
              <w:top w:val="single" w:color="auto" w:sz="4" w:space="0"/>
              <w:left w:val="single" w:color="auto" w:sz="4" w:space="0"/>
              <w:bottom w:val="single" w:color="auto" w:sz="4" w:space="0"/>
              <w:right w:val="single" w:color="auto" w:sz="4" w:space="0"/>
            </w:tcBorders>
            <w:noWrap w:val="0"/>
            <w:vAlign w:val="center"/>
          </w:tcPr>
          <w:p w14:paraId="44F07A4B">
            <w:pPr>
              <w:spacing w:before="120" w:beforeLines="50" w:line="360" w:lineRule="auto"/>
              <w:contextualSpacing/>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履约保证金为中标价款的10%。</w:t>
            </w:r>
          </w:p>
          <w:p w14:paraId="1F0A5CA5">
            <w:pPr>
              <w:spacing w:before="120" w:beforeLines="50" w:line="360" w:lineRule="auto"/>
              <w:contextualSpacing/>
              <w:rPr>
                <w:rFonts w:hint="default" w:ascii="Calibri" w:hAnsi="Calibri"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Calibri" w:hAnsi="Calibri" w:eastAsia="宋体" w:cs="Times New Roman"/>
                <w:b w:val="0"/>
                <w:bCs w:val="0"/>
                <w:color w:val="000000" w:themeColor="text1"/>
                <w:kern w:val="2"/>
                <w:sz w:val="21"/>
                <w:szCs w:val="24"/>
                <w:highlight w:val="none"/>
                <w:lang w:val="en-US" w:eastAsia="zh-CN" w:bidi="ar-SA"/>
                <w14:textFill>
                  <w14:solidFill>
                    <w14:schemeClr w14:val="tx1"/>
                  </w14:solidFill>
                </w14:textFill>
              </w:rPr>
              <w:t>③</w:t>
            </w:r>
            <w:r>
              <w:rPr>
                <w:rFonts w:hint="default" w:ascii="Calibri" w:hAnsi="Calibri" w:eastAsia="宋体" w:cs="Times New Roman"/>
                <w:b w:val="0"/>
                <w:bCs w:val="0"/>
                <w:color w:val="000000" w:themeColor="text1"/>
                <w:kern w:val="2"/>
                <w:sz w:val="21"/>
                <w:szCs w:val="24"/>
                <w:highlight w:val="none"/>
                <w:lang w:val="en-US" w:eastAsia="zh-CN" w:bidi="ar-SA"/>
                <w14:textFill>
                  <w14:solidFill>
                    <w14:schemeClr w14:val="tx1"/>
                  </w14:solidFill>
                </w14:textFill>
              </w:rPr>
              <w:t>履约保证金的形式：</w:t>
            </w:r>
          </w:p>
          <w:p w14:paraId="7DE96784">
            <w:pPr>
              <w:spacing w:before="120" w:beforeLines="50" w:line="360" w:lineRule="auto"/>
              <w:contextualSpacing/>
              <w:rPr>
                <w:rFonts w:hint="default" w:ascii="Calibri" w:hAnsi="Calibri" w:eastAsia="宋体" w:cs="Times New Roman"/>
                <w:color w:val="000000" w:themeColor="text1"/>
                <w:szCs w:val="24"/>
                <w:highlight w:val="none"/>
                <w14:textFill>
                  <w14:solidFill>
                    <w14:schemeClr w14:val="tx1"/>
                  </w14:solidFill>
                </w14:textFill>
              </w:rPr>
            </w:pPr>
            <w:r>
              <w:rPr>
                <w:rFonts w:hint="default" w:ascii="Calibri" w:hAnsi="Calibri" w:eastAsia="宋体" w:cs="Times New Roman"/>
                <w:color w:val="000000" w:themeColor="text1"/>
                <w:szCs w:val="24"/>
                <w:highlight w:val="none"/>
                <w14:textFill>
                  <w14:solidFill>
                    <w14:schemeClr w14:val="tx1"/>
                  </w14:solidFill>
                </w14:textFill>
              </w:rPr>
              <w:t>1.提供银行保函</w:t>
            </w:r>
          </w:p>
          <w:p w14:paraId="09AFD2BD">
            <w:pPr>
              <w:spacing w:before="120" w:beforeLines="50" w:line="360" w:lineRule="auto"/>
              <w:contextualSpacing/>
              <w:rPr>
                <w:rFonts w:hint="default" w:ascii="Calibri" w:hAnsi="Calibri" w:eastAsia="宋体" w:cs="Times New Roman"/>
                <w:color w:val="000000" w:themeColor="text1"/>
                <w:szCs w:val="24"/>
                <w:highlight w:val="none"/>
                <w14:textFill>
                  <w14:solidFill>
                    <w14:schemeClr w14:val="tx1"/>
                  </w14:solidFill>
                </w14:textFill>
              </w:rPr>
            </w:pPr>
            <w:r>
              <w:rPr>
                <w:rFonts w:hint="default" w:ascii="Calibri" w:hAnsi="Calibri" w:eastAsia="宋体" w:cs="Times New Roman"/>
                <w:color w:val="000000" w:themeColor="text1"/>
                <w:szCs w:val="24"/>
                <w:highlight w:val="none"/>
                <w14:textFill>
                  <w14:solidFill>
                    <w14:schemeClr w14:val="tx1"/>
                  </w14:solidFill>
                </w14:textFill>
              </w:rPr>
              <w:t>2.提供担保保函</w:t>
            </w:r>
          </w:p>
          <w:p w14:paraId="30935206">
            <w:pPr>
              <w:spacing w:before="120" w:beforeLines="50" w:line="360" w:lineRule="auto"/>
              <w:contextualSpacing/>
              <w:rPr>
                <w:rFonts w:hint="eastAsia"/>
                <w:color w:val="000000" w:themeColor="text1"/>
                <w:szCs w:val="21"/>
                <w:highlight w:val="none"/>
                <w:lang w:eastAsia="zh-CN"/>
                <w14:textFill>
                  <w14:solidFill>
                    <w14:schemeClr w14:val="tx1"/>
                  </w14:solidFill>
                </w14:textFill>
              </w:rPr>
            </w:pPr>
            <w:r>
              <w:rPr>
                <w:rFonts w:hint="default" w:ascii="Calibri" w:hAnsi="Calibri" w:eastAsia="宋体" w:cs="Times New Roman"/>
                <w:color w:val="000000" w:themeColor="text1"/>
                <w:szCs w:val="24"/>
                <w:highlight w:val="none"/>
                <w14:textFill>
                  <w14:solidFill>
                    <w14:schemeClr w14:val="tx1"/>
                  </w14:solidFill>
                </w14:textFill>
              </w:rPr>
              <w:t>3.提交保证保险</w:t>
            </w:r>
          </w:p>
        </w:tc>
      </w:tr>
      <w:tr w14:paraId="252F8D5A">
        <w:tblPrEx>
          <w:tblCellMar>
            <w:top w:w="0" w:type="dxa"/>
            <w:left w:w="108" w:type="dxa"/>
            <w:bottom w:w="0" w:type="dxa"/>
            <w:right w:w="108" w:type="dxa"/>
          </w:tblCellMar>
        </w:tblPrEx>
        <w:trPr>
          <w:trHeight w:val="417"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15F5CD1A">
            <w:pPr>
              <w:spacing w:before="120" w:beforeLines="50" w:line="360" w:lineRule="auto"/>
              <w:contextualSpacing/>
              <w:jc w:val="center"/>
              <w:rPr>
                <w:color w:val="000000" w:themeColor="text1"/>
                <w:szCs w:val="21"/>
                <w:highlight w:val="none"/>
                <w14:textFill>
                  <w14:solidFill>
                    <w14:schemeClr w14:val="tx1"/>
                  </w14:solidFill>
                </w14:textFill>
              </w:rPr>
            </w:pPr>
          </w:p>
        </w:tc>
        <w:tc>
          <w:tcPr>
            <w:tcW w:w="2192" w:type="dxa"/>
            <w:tcBorders>
              <w:top w:val="single" w:color="auto" w:sz="4" w:space="0"/>
              <w:left w:val="single" w:color="auto" w:sz="4" w:space="0"/>
              <w:bottom w:val="single" w:color="auto" w:sz="4" w:space="0"/>
              <w:right w:val="single" w:color="auto" w:sz="4" w:space="0"/>
            </w:tcBorders>
            <w:noWrap w:val="0"/>
            <w:vAlign w:val="center"/>
          </w:tcPr>
          <w:p w14:paraId="3915E3A1">
            <w:pPr>
              <w:spacing w:before="120" w:beforeLines="50" w:line="360" w:lineRule="auto"/>
              <w:contextualSpacing/>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分包</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1AB777C2">
            <w:pPr>
              <w:spacing w:line="360" w:lineRule="auto"/>
              <w:rPr>
                <w:rFonts w:ascii="宋体" w:hAnsi="宋体" w:cs="宋体"/>
                <w:color w:val="000000" w:themeColor="text1"/>
                <w:kern w:val="0"/>
                <w:szCs w:val="2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sym w:font="Wingdings 2" w:char="0051"/>
            </w:r>
            <w:r>
              <w:rPr>
                <w:rFonts w:hint="eastAsia" w:ascii="宋体" w:hAnsi="宋体" w:cs="宋体"/>
                <w:color w:val="000000" w:themeColor="text1"/>
                <w:kern w:val="0"/>
                <w:szCs w:val="21"/>
                <w:highlight w:val="none"/>
                <w:lang w:val="zh-CN"/>
                <w14:textFill>
                  <w14:solidFill>
                    <w14:schemeClr w14:val="tx1"/>
                  </w14:solidFill>
                </w14:textFill>
              </w:rPr>
              <w:t>不允许；</w:t>
            </w:r>
          </w:p>
          <w:p w14:paraId="2D734367">
            <w:pPr>
              <w:spacing w:line="360" w:lineRule="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sym w:font="Wingdings 2" w:char="0052"/>
            </w:r>
            <w:r>
              <w:rPr>
                <w:rFonts w:hint="eastAsia" w:ascii="宋体" w:hAnsi="宋体" w:cs="宋体"/>
                <w:color w:val="000000" w:themeColor="text1"/>
                <w:kern w:val="0"/>
                <w:szCs w:val="21"/>
                <w:highlight w:val="none"/>
                <w:lang w:val="zh-CN"/>
                <w14:textFill>
                  <w14:solidFill>
                    <w14:schemeClr w14:val="tx1"/>
                  </w14:solidFill>
                </w14:textFill>
              </w:rPr>
              <w:t>允许：分包内容要要求：</w:t>
            </w:r>
            <w:r>
              <w:rPr>
                <w:rFonts w:hint="eastAsia" w:ascii="宋体" w:hAnsi="宋体" w:cs="宋体"/>
                <w:color w:val="000000" w:themeColor="text1"/>
                <w:kern w:val="0"/>
                <w:szCs w:val="21"/>
                <w:highlight w:val="none"/>
                <w:u w:val="single"/>
                <w:lang w:val="zh-CN"/>
                <w14:textFill>
                  <w14:solidFill>
                    <w14:schemeClr w14:val="tx1"/>
                  </w14:solidFill>
                </w14:textFill>
              </w:rPr>
              <w:t>中标人按照合同约定或者经招标人同意，可以将中标项目的部分非主体、非关键性工作分包给他人完成。</w:t>
            </w:r>
          </w:p>
          <w:p w14:paraId="0050ED81">
            <w:pPr>
              <w:spacing w:line="360" w:lineRule="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分包金额要求：</w:t>
            </w:r>
            <w:r>
              <w:rPr>
                <w:rFonts w:hint="eastAsia" w:ascii="宋体" w:hAnsi="宋体" w:cs="宋体"/>
                <w:color w:val="000000" w:themeColor="text1"/>
                <w:kern w:val="0"/>
                <w:szCs w:val="21"/>
                <w:highlight w:val="none"/>
                <w:u w:val="single"/>
                <w:lang w:val="zh-CN"/>
                <w14:textFill>
                  <w14:solidFill>
                    <w14:schemeClr w14:val="tx1"/>
                  </w14:solidFill>
                </w14:textFill>
              </w:rPr>
              <w:t>根据实际情况确定。</w:t>
            </w:r>
          </w:p>
          <w:p w14:paraId="15F62F42">
            <w:pPr>
              <w:spacing w:before="156" w:line="360" w:lineRule="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对分包人的资质要求：</w:t>
            </w:r>
            <w:r>
              <w:rPr>
                <w:rFonts w:hint="eastAsia" w:ascii="宋体" w:hAnsi="宋体" w:cs="宋体"/>
                <w:color w:val="000000" w:themeColor="text1"/>
                <w:kern w:val="0"/>
                <w:szCs w:val="21"/>
                <w:highlight w:val="none"/>
                <w:u w:val="single"/>
                <w:lang w:val="zh-CN"/>
                <w14:textFill>
                  <w14:solidFill>
                    <w14:schemeClr w14:val="tx1"/>
                  </w14:solidFill>
                </w14:textFill>
              </w:rPr>
              <w:t>接受分包的人应当具备相应的资质条件，并不得再次分包。</w:t>
            </w:r>
          </w:p>
          <w:p w14:paraId="6D42C445">
            <w:pPr>
              <w:spacing w:before="120" w:beforeLines="50" w:line="360" w:lineRule="auto"/>
              <w:contextualSpacing/>
              <w:rPr>
                <w:rFonts w:hint="eastAsia" w:ascii="Calibri" w:hAnsi="Calibri"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对分包人的其他要求：</w:t>
            </w:r>
            <w:r>
              <w:rPr>
                <w:rFonts w:hint="eastAsia" w:ascii="宋体" w:hAnsi="宋体" w:cs="宋体"/>
                <w:color w:val="000000" w:themeColor="text1"/>
                <w:kern w:val="0"/>
                <w:szCs w:val="21"/>
                <w:highlight w:val="none"/>
                <w:u w:val="single"/>
                <w:lang w:val="en-US" w:eastAsia="zh-CN"/>
                <w14:textFill>
                  <w14:solidFill>
                    <w14:schemeClr w14:val="tx1"/>
                  </w14:solidFill>
                </w14:textFill>
              </w:rPr>
              <w:t>/</w:t>
            </w:r>
            <w:r>
              <w:rPr>
                <w:rFonts w:hint="eastAsia" w:ascii="宋体" w:hAnsi="宋体" w:cs="宋体"/>
                <w:color w:val="000000" w:themeColor="text1"/>
                <w:kern w:val="0"/>
                <w:szCs w:val="21"/>
                <w:highlight w:val="none"/>
                <w:lang w:val="zh-CN"/>
                <w14:textFill>
                  <w14:solidFill>
                    <w14:schemeClr w14:val="tx1"/>
                  </w14:solidFill>
                </w14:textFill>
              </w:rPr>
              <w:t>。</w:t>
            </w:r>
          </w:p>
        </w:tc>
      </w:tr>
      <w:tr w14:paraId="7453DC04">
        <w:tblPrEx>
          <w:tblCellMar>
            <w:top w:w="0" w:type="dxa"/>
            <w:left w:w="108" w:type="dxa"/>
            <w:bottom w:w="0" w:type="dxa"/>
            <w:right w:w="108" w:type="dxa"/>
          </w:tblCellMar>
        </w:tblPrEx>
        <w:trPr>
          <w:trHeight w:val="37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5A14F04B">
            <w:pPr>
              <w:spacing w:before="120" w:beforeLines="50" w:line="360" w:lineRule="auto"/>
              <w:contextualSpacing/>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10</w:t>
            </w:r>
            <w:r>
              <w:rPr>
                <w:rFonts w:hint="eastAsia"/>
                <w:color w:val="000000" w:themeColor="text1"/>
                <w:szCs w:val="21"/>
                <w:highlight w:val="none"/>
                <w:lang w:val="en-US" w:eastAsia="zh-CN"/>
                <w14:textFill>
                  <w14:solidFill>
                    <w14:schemeClr w14:val="tx1"/>
                  </w14:solidFill>
                </w14:textFill>
              </w:rPr>
              <w:t>.1</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3432FC00">
            <w:pPr>
              <w:spacing w:before="120" w:beforeLines="50" w:line="360" w:lineRule="auto"/>
              <w:contextualSpacing/>
              <w:jc w:val="left"/>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需要补充的其他内容</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1D472517">
            <w:pPr>
              <w:spacing w:before="0" w:beforeLines="0" w:line="400" w:lineRule="exact"/>
              <w:contextualSpacing/>
              <w:rPr>
                <w:rFonts w:hint="eastAsia" w:ascii="宋体" w:hAnsi="宋体" w:eastAsia="宋体" w:cs="宋体"/>
                <w:color w:val="000000" w:themeColor="text1"/>
                <w:szCs w:val="21"/>
                <w:highlight w:val="none"/>
                <w:shd w:val="clear" w:color="auto" w:fill="FFFFFF"/>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施工实名制及工人工</w:t>
            </w:r>
            <w:r>
              <w:rPr>
                <w:rFonts w:hint="eastAsia" w:ascii="宋体" w:hAnsi="宋体" w:eastAsia="宋体" w:cs="宋体"/>
                <w:color w:val="000000" w:themeColor="text1"/>
                <w:szCs w:val="21"/>
                <w:highlight w:val="none"/>
                <w:shd w:val="clear" w:color="auto" w:fill="FFFFFF"/>
                <w14:textFill>
                  <w14:solidFill>
                    <w14:schemeClr w14:val="tx1"/>
                  </w14:solidFill>
                </w14:textFill>
              </w:rPr>
              <w:t>资分账管理</w:t>
            </w:r>
            <w:r>
              <w:rPr>
                <w:rFonts w:hint="eastAsia" w:ascii="宋体" w:hAnsi="宋体" w:eastAsia="宋体" w:cs="宋体"/>
                <w:color w:val="000000" w:themeColor="text1"/>
                <w:szCs w:val="21"/>
                <w:highlight w:val="none"/>
                <w:shd w:val="clear" w:color="auto" w:fill="FFFFFF"/>
                <w:lang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承包人应根据《住房和城乡建设部人力资源社会保障部关于修改&lt;建筑工人实名制管理办法（试行）&gt;的通知》（建市〔2022〕59号）、《住房城乡建设部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w:t>
            </w:r>
            <w:r>
              <w:rPr>
                <w:rFonts w:hint="eastAsia" w:ascii="宋体" w:hAnsi="宋体" w:cs="宋体"/>
                <w:color w:val="000000" w:themeColor="text1"/>
                <w:sz w:val="21"/>
                <w:szCs w:val="21"/>
                <w:highlight w:val="none"/>
                <w:shd w:val="clear" w:color="auto" w:fill="FFFFFF"/>
                <w:lang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等有关要求，做好农民工工资支付工作及落实实名制和工人工资支付分账制度。</w:t>
            </w:r>
          </w:p>
          <w:p w14:paraId="1A9F29BD">
            <w:pPr>
              <w:adjustRightInd w:val="0"/>
              <w:snapToGrid w:val="0"/>
              <w:spacing w:before="0" w:beforeLines="0" w:line="400" w:lineRule="exact"/>
              <w:contextualSpacing/>
              <w:rPr>
                <w:rFonts w:hint="default"/>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shd w:val="clear" w:color="auto" w:fill="FFFFFF"/>
                <w14:textFill>
                  <w14:solidFill>
                    <w14:schemeClr w14:val="tx1"/>
                  </w14:solidFill>
                </w14:textFill>
              </w:rPr>
              <w:t>工程进度款中的工人工资款比例：参照施工招标的《中标通知书》中单列的人工费金额除以中标金额对应的工程价款计算。</w:t>
            </w:r>
          </w:p>
        </w:tc>
      </w:tr>
      <w:tr w14:paraId="0086C1D1">
        <w:tblPrEx>
          <w:tblCellMar>
            <w:top w:w="0" w:type="dxa"/>
            <w:left w:w="108" w:type="dxa"/>
            <w:bottom w:w="0" w:type="dxa"/>
            <w:right w:w="108" w:type="dxa"/>
          </w:tblCellMar>
        </w:tblPrEx>
        <w:trPr>
          <w:trHeight w:val="379" w:hRule="atLeast"/>
        </w:trPr>
        <w:tc>
          <w:tcPr>
            <w:tcW w:w="1298" w:type="dxa"/>
            <w:tcBorders>
              <w:top w:val="single" w:color="auto" w:sz="4" w:space="0"/>
              <w:left w:val="single" w:color="auto" w:sz="4" w:space="0"/>
              <w:bottom w:val="single" w:color="auto" w:sz="4" w:space="0"/>
              <w:right w:val="single" w:color="auto" w:sz="4" w:space="0"/>
            </w:tcBorders>
            <w:noWrap w:val="0"/>
            <w:vAlign w:val="center"/>
          </w:tcPr>
          <w:p w14:paraId="179E11AF">
            <w:pPr>
              <w:snapToGrid w:val="0"/>
              <w:spacing w:before="0" w:beforeLines="0" w:line="400" w:lineRule="exact"/>
              <w:contextualSpacing/>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10.2</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10BBA85C">
            <w:pPr>
              <w:adjustRightInd w:val="0"/>
              <w:snapToGrid w:val="0"/>
              <w:spacing w:before="0" w:beforeLines="0" w:line="400" w:lineRule="exact"/>
              <w:contextualSpacing/>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交易服务费</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7C58B67F">
            <w:pPr>
              <w:adjustRightInd w:val="0"/>
              <w:snapToGrid w:val="0"/>
              <w:spacing w:before="0" w:beforeLines="0" w:line="400" w:lineRule="exact"/>
              <w:contextualSpacing/>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标候选公示后，由招标人向广州交易集团有限公司（广州公共资源交易中心）缴纳交易服务费、向广州交易集团有限公司（广州公共资源交易中心）索取发票，并在取得发票后及时告知招标代理。（该交易服务费为中标金额的0.9‰，具体收费标准招标人可以在广州交易集团有限公司（广州公共资源交易中心）网站查阅，如有变更以广州交易集团有限公司（广州公共资源交易中心）最新发布的标准为准）。</w:t>
            </w:r>
          </w:p>
        </w:tc>
      </w:tr>
      <w:tr w14:paraId="6F6A6E98">
        <w:tblPrEx>
          <w:tblCellMar>
            <w:top w:w="0" w:type="dxa"/>
            <w:left w:w="108" w:type="dxa"/>
            <w:bottom w:w="0" w:type="dxa"/>
            <w:right w:w="108" w:type="dxa"/>
          </w:tblCellMar>
        </w:tblPrEx>
        <w:trPr>
          <w:trHeight w:val="37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99203BB">
            <w:pPr>
              <w:snapToGrid w:val="0"/>
              <w:spacing w:before="0" w:beforeLines="0" w:line="400" w:lineRule="exact"/>
              <w:contextualSpacing/>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r>
              <w:rPr>
                <w:rFonts w:hint="eastAsia" w:ascii="宋体" w:hAnsi="宋体" w:eastAsia="宋体" w:cs="宋体"/>
                <w:color w:val="000000" w:themeColor="text1"/>
                <w:szCs w:val="21"/>
                <w:highlight w:val="none"/>
                <w:lang w:val="en-US" w:eastAsia="zh-CN"/>
                <w14:textFill>
                  <w14:solidFill>
                    <w14:schemeClr w14:val="tx1"/>
                  </w14:solidFill>
                </w14:textFill>
              </w:rPr>
              <w:t>3</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F021638">
            <w:pPr>
              <w:adjustRightInd w:val="0"/>
              <w:snapToGrid w:val="0"/>
              <w:spacing w:before="0" w:beforeLines="0" w:line="400" w:lineRule="exact"/>
              <w:contextualSpacing/>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诚信评价管理</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72B46A1">
            <w:pPr>
              <w:adjustRightInd w:val="0"/>
              <w:snapToGrid w:val="0"/>
              <w:spacing w:before="0" w:beforeLines="0" w:line="400" w:lineRule="exact"/>
              <w:contextualSpacing/>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根据《广州市水务局关于印发广州市水务工程施工和监理企业诚信评价管理办法的通知》（穗水规字【2020】11号）等有关规定，针对广州市水务投资集团有限公司（以下简称“市水投集团”）全资子公司广州市自来水有限公司组织实施的建设项目，市水投集团对不充分履约或严重违反合同约定的企业，按诚信评价标准对其作出评价，且该评价结果由广州市自来水有限公司直接录入诚信评价信息系统，并运用于建设项目招投标活动中。</w:t>
            </w:r>
          </w:p>
        </w:tc>
      </w:tr>
      <w:tr w14:paraId="6E1D4027">
        <w:tblPrEx>
          <w:tblCellMar>
            <w:top w:w="0" w:type="dxa"/>
            <w:left w:w="108" w:type="dxa"/>
            <w:bottom w:w="0" w:type="dxa"/>
            <w:right w:w="108" w:type="dxa"/>
          </w:tblCellMar>
        </w:tblPrEx>
        <w:trPr>
          <w:trHeight w:val="37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15CC7EF6">
            <w:pPr>
              <w:snapToGrid w:val="0"/>
              <w:spacing w:before="0" w:beforeLines="0" w:line="400" w:lineRule="exact"/>
              <w:contextualSpacing/>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r>
              <w:rPr>
                <w:rFonts w:hint="default" w:ascii="宋体" w:hAnsi="宋体" w:eastAsia="宋体" w:cs="宋体"/>
                <w:color w:val="000000" w:themeColor="text1"/>
                <w:szCs w:val="21"/>
                <w:highlight w:val="none"/>
                <w:lang w:val="en-US" w:eastAsia="zh-CN"/>
                <w14:textFill>
                  <w14:solidFill>
                    <w14:schemeClr w14:val="tx1"/>
                  </w14:solidFill>
                </w14:textFill>
              </w:rPr>
              <w:t>4</w:t>
            </w:r>
          </w:p>
        </w:tc>
        <w:tc>
          <w:tcPr>
            <w:tcW w:w="2192" w:type="dxa"/>
            <w:tcBorders>
              <w:top w:val="single" w:color="auto" w:sz="4" w:space="0"/>
              <w:left w:val="single" w:color="auto" w:sz="4" w:space="0"/>
              <w:bottom w:val="single" w:color="auto" w:sz="4" w:space="0"/>
              <w:right w:val="single" w:color="auto" w:sz="4" w:space="0"/>
            </w:tcBorders>
            <w:noWrap w:val="0"/>
            <w:vAlign w:val="center"/>
          </w:tcPr>
          <w:p w14:paraId="30882E8D">
            <w:pPr>
              <w:adjustRightInd w:val="0"/>
              <w:snapToGrid w:val="0"/>
              <w:spacing w:before="0" w:beforeLines="0" w:line="360" w:lineRule="exact"/>
              <w:contextualSpacing/>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失信联合惩戒管理</w:t>
            </w:r>
          </w:p>
        </w:tc>
        <w:tc>
          <w:tcPr>
            <w:tcW w:w="5038" w:type="dxa"/>
            <w:tcBorders>
              <w:top w:val="single" w:color="auto" w:sz="4" w:space="0"/>
              <w:left w:val="single" w:color="auto" w:sz="4" w:space="0"/>
              <w:bottom w:val="single" w:color="auto" w:sz="4" w:space="0"/>
              <w:right w:val="single" w:color="auto" w:sz="4" w:space="0"/>
            </w:tcBorders>
            <w:noWrap w:val="0"/>
            <w:vAlign w:val="center"/>
          </w:tcPr>
          <w:p w14:paraId="1DFE90C2">
            <w:pPr>
              <w:adjustRightInd w:val="0"/>
              <w:snapToGrid w:val="0"/>
              <w:spacing w:before="0" w:beforeLines="0" w:line="360" w:lineRule="exact"/>
              <w:contextualSpacing/>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在</w:t>
            </w:r>
            <w:r>
              <w:rPr>
                <w:rFonts w:hint="eastAsia" w:ascii="宋体" w:hAnsi="宋体" w:eastAsia="宋体" w:cs="宋体"/>
                <w:color w:val="000000" w:themeColor="text1"/>
                <w:szCs w:val="21"/>
                <w:highlight w:val="none"/>
                <w14:textFill>
                  <w14:solidFill>
                    <w14:schemeClr w14:val="tx1"/>
                  </w14:solidFill>
                </w14:textFill>
              </w:rPr>
              <w:t>发出中标通知书前，中标人应</w:t>
            </w:r>
            <w:r>
              <w:rPr>
                <w:rFonts w:hint="eastAsia" w:ascii="宋体" w:hAnsi="宋体" w:eastAsia="宋体" w:cs="宋体"/>
                <w:color w:val="000000" w:themeColor="text1"/>
                <w:szCs w:val="21"/>
                <w:highlight w:val="none"/>
                <w:lang w:val="en-US" w:eastAsia="zh-CN"/>
                <w14:textFill>
                  <w14:solidFill>
                    <w14:schemeClr w14:val="tx1"/>
                  </w14:solidFill>
                </w14:textFill>
              </w:rPr>
              <w:t>未被</w:t>
            </w:r>
            <w:r>
              <w:rPr>
                <w:rFonts w:hint="eastAsia" w:ascii="宋体" w:hAnsi="宋体" w:eastAsia="宋体" w:cs="宋体"/>
                <w:color w:val="000000" w:themeColor="text1"/>
                <w:szCs w:val="21"/>
                <w:highlight w:val="none"/>
                <w14:textFill>
                  <w14:solidFill>
                    <w14:schemeClr w14:val="tx1"/>
                  </w14:solidFill>
                </w14:textFill>
              </w:rPr>
              <w:t>列入“在一定期限内依法取消参加依法必须进行招标的项目的投标资格”，具体名单以“信用广州”公布的“黑名单”为准</w:t>
            </w:r>
            <w:r>
              <w:rPr>
                <w:rFonts w:hint="eastAsia" w:ascii="宋体" w:hAnsi="宋体" w:eastAsia="宋体" w:cs="宋体"/>
                <w:color w:val="000000" w:themeColor="text1"/>
                <w:szCs w:val="21"/>
                <w:highlight w:val="none"/>
                <w:lang w:eastAsia="zh-CN"/>
                <w14:textFill>
                  <w14:solidFill>
                    <w14:schemeClr w14:val="tx1"/>
                  </w14:solidFill>
                </w14:textFill>
              </w:rPr>
              <w:t>。</w:t>
            </w:r>
          </w:p>
        </w:tc>
      </w:tr>
    </w:tbl>
    <w:p w14:paraId="3FA0E04F">
      <w:pPr>
        <w:pStyle w:val="31"/>
        <w:spacing w:line="360" w:lineRule="auto"/>
        <w:rPr>
          <w:rFonts w:eastAsia="宋体"/>
          <w:b/>
          <w:color w:val="000000" w:themeColor="text1"/>
          <w:sz w:val="24"/>
          <w:highlight w:val="none"/>
          <w14:textFill>
            <w14:solidFill>
              <w14:schemeClr w14:val="tx1"/>
            </w14:solidFill>
          </w14:textFill>
        </w:rPr>
      </w:pPr>
    </w:p>
    <w:p w14:paraId="7162DEC6">
      <w:pPr>
        <w:widowControl/>
        <w:jc w:val="left"/>
        <w:rPr>
          <w:rFonts w:ascii="宋体" w:hAnsi="宋体"/>
          <w:b/>
          <w:color w:val="000000" w:themeColor="text1"/>
          <w:sz w:val="24"/>
          <w:szCs w:val="24"/>
          <w:highlight w:val="none"/>
          <w:u w:val="singl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p>
    <w:p w14:paraId="14783310">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213" w:name="_Toc17556876"/>
      <w:bookmarkStart w:id="214" w:name="_Toc17454871"/>
      <w:bookmarkStart w:id="215" w:name="_Toc262229161"/>
      <w:bookmarkStart w:id="216" w:name="_Toc17454922"/>
      <w:bookmarkStart w:id="217" w:name="_Toc17452664"/>
      <w:bookmarkStart w:id="218" w:name="_Toc17451623"/>
      <w:bookmarkStart w:id="219" w:name="_Toc13227"/>
      <w:bookmarkStart w:id="220" w:name="_Toc17451578"/>
      <w:bookmarkStart w:id="221" w:name="_Toc17451101"/>
      <w:r>
        <w:rPr>
          <w:rFonts w:hint="eastAsia" w:ascii="黑体" w:hAnsi="黑体" w:eastAsia="黑体"/>
          <w:color w:val="000000" w:themeColor="text1"/>
          <w:sz w:val="28"/>
          <w:szCs w:val="27"/>
          <w:highlight w:val="none"/>
          <w14:textFill>
            <w14:solidFill>
              <w14:schemeClr w14:val="tx1"/>
            </w14:solidFill>
          </w14:textFill>
        </w:rPr>
        <w:t>二、</w:t>
      </w:r>
      <w:r>
        <w:rPr>
          <w:rFonts w:hint="eastAsia" w:ascii="黑体" w:hAnsi="黑体" w:eastAsia="黑体"/>
          <w:color w:val="000000" w:themeColor="text1"/>
          <w:sz w:val="28"/>
          <w:szCs w:val="27"/>
          <w:highlight w:val="none"/>
          <w:lang w:eastAsia="zh-CN"/>
          <w14:textFill>
            <w14:solidFill>
              <w14:schemeClr w14:val="tx1"/>
            </w14:solidFill>
          </w14:textFill>
        </w:rPr>
        <w:t>投标人须知</w:t>
      </w:r>
      <w:r>
        <w:rPr>
          <w:rFonts w:hint="eastAsia" w:ascii="黑体" w:hAnsi="黑体" w:eastAsia="黑体"/>
          <w:color w:val="000000" w:themeColor="text1"/>
          <w:sz w:val="28"/>
          <w:szCs w:val="27"/>
          <w:highlight w:val="none"/>
          <w14:textFill>
            <w14:solidFill>
              <w14:schemeClr w14:val="tx1"/>
            </w14:solidFill>
          </w14:textFill>
        </w:rPr>
        <w:t>修改表</w:t>
      </w:r>
      <w:bookmarkEnd w:id="213"/>
      <w:bookmarkEnd w:id="214"/>
      <w:bookmarkEnd w:id="215"/>
      <w:bookmarkEnd w:id="216"/>
      <w:bookmarkEnd w:id="217"/>
      <w:bookmarkEnd w:id="218"/>
      <w:bookmarkEnd w:id="219"/>
      <w:bookmarkEnd w:id="220"/>
      <w:bookmarkEnd w:id="221"/>
    </w:p>
    <w:p w14:paraId="1B19375F">
      <w:pPr>
        <w:pStyle w:val="36"/>
        <w:spacing w:line="360" w:lineRule="auto"/>
        <w:rPr>
          <w:rFonts w:ascii="宋体" w:hAnsi="宋体" w:eastAsia="宋体"/>
          <w:b/>
          <w:color w:val="000000" w:themeColor="text1"/>
          <w:sz w:val="24"/>
          <w:szCs w:val="24"/>
          <w:highlight w:val="none"/>
          <w:lang w:eastAsia="zh-CN"/>
          <w14:textFill>
            <w14:solidFill>
              <w14:schemeClr w14:val="tx1"/>
            </w14:solidFill>
          </w14:textFill>
        </w:rPr>
      </w:pPr>
      <w:r>
        <w:rPr>
          <w:rFonts w:hint="eastAsia" w:ascii="宋体" w:hAnsi="宋体" w:eastAsia="宋体"/>
          <w:b/>
          <w:color w:val="000000" w:themeColor="text1"/>
          <w:sz w:val="24"/>
          <w:szCs w:val="24"/>
          <w:highlight w:val="none"/>
          <w14:textFill>
            <w14:solidFill>
              <w14:schemeClr w14:val="tx1"/>
            </w14:solidFill>
          </w14:textFill>
        </w:rPr>
        <w:t>本</w:t>
      </w:r>
      <w:r>
        <w:rPr>
          <w:rFonts w:hint="eastAsia" w:ascii="宋体" w:hAnsi="宋体" w:eastAsia="宋体"/>
          <w:b/>
          <w:color w:val="000000" w:themeColor="text1"/>
          <w:sz w:val="24"/>
          <w:szCs w:val="24"/>
          <w:highlight w:val="none"/>
          <w:lang w:eastAsia="zh-CN"/>
          <w14:textFill>
            <w14:solidFill>
              <w14:schemeClr w14:val="tx1"/>
            </w14:solidFill>
          </w14:textFill>
        </w:rPr>
        <w:t>投标人须知</w:t>
      </w:r>
      <w:r>
        <w:rPr>
          <w:rFonts w:hint="eastAsia" w:ascii="宋体" w:hAnsi="宋体" w:eastAsia="宋体"/>
          <w:b/>
          <w:color w:val="000000" w:themeColor="text1"/>
          <w:sz w:val="24"/>
          <w:szCs w:val="24"/>
          <w:highlight w:val="none"/>
          <w14:textFill>
            <w14:solidFill>
              <w14:schemeClr w14:val="tx1"/>
            </w14:solidFill>
          </w14:textFill>
        </w:rPr>
        <w:t>使用</w:t>
      </w:r>
      <w:r>
        <w:rPr>
          <w:rFonts w:hint="eastAsia" w:ascii="仿宋_GB2312" w:hAnsi="宋体" w:eastAsia="仿宋_GB2312"/>
          <w:b/>
          <w:color w:val="000000" w:themeColor="text1"/>
          <w:sz w:val="24"/>
          <w:szCs w:val="24"/>
          <w:highlight w:val="none"/>
          <w14:textFill>
            <w14:solidFill>
              <w14:schemeClr w14:val="tx1"/>
            </w14:solidFill>
          </w14:textFill>
        </w:rPr>
        <w:t>SWZB20</w:t>
      </w:r>
      <w:r>
        <w:rPr>
          <w:rFonts w:hint="eastAsia" w:ascii="仿宋_GB2312" w:hAnsi="宋体" w:eastAsia="仿宋_GB2312"/>
          <w:b/>
          <w:color w:val="000000" w:themeColor="text1"/>
          <w:sz w:val="24"/>
          <w:szCs w:val="24"/>
          <w:highlight w:val="none"/>
          <w:lang w:val="en-US" w:eastAsia="zh-CN"/>
          <w14:textFill>
            <w14:solidFill>
              <w14:schemeClr w14:val="tx1"/>
            </w14:solidFill>
          </w14:textFill>
        </w:rPr>
        <w:t>24</w:t>
      </w:r>
      <w:r>
        <w:rPr>
          <w:rFonts w:hint="eastAsia" w:ascii="仿宋_GB2312" w:hAnsi="宋体" w:eastAsia="仿宋_GB2312"/>
          <w:b/>
          <w:color w:val="000000" w:themeColor="text1"/>
          <w:sz w:val="24"/>
          <w:szCs w:val="24"/>
          <w:highlight w:val="none"/>
          <w14:textFill>
            <w14:solidFill>
              <w14:schemeClr w14:val="tx1"/>
            </w14:solidFill>
          </w14:textFill>
        </w:rPr>
        <w:t>-01</w:t>
      </w:r>
      <w:r>
        <w:rPr>
          <w:rFonts w:hint="eastAsia" w:ascii="宋体" w:hAnsi="宋体" w:eastAsia="宋体"/>
          <w:b/>
          <w:color w:val="000000" w:themeColor="text1"/>
          <w:sz w:val="24"/>
          <w:szCs w:val="24"/>
          <w:highlight w:val="none"/>
          <w14:textFill>
            <w14:solidFill>
              <w14:schemeClr w14:val="tx1"/>
            </w14:solidFill>
          </w14:textFill>
        </w:rPr>
        <w:t>招标文件范本的</w:t>
      </w:r>
      <w:r>
        <w:rPr>
          <w:rFonts w:hint="eastAsia" w:ascii="宋体" w:hAnsi="宋体" w:eastAsia="宋体"/>
          <w:b/>
          <w:color w:val="000000" w:themeColor="text1"/>
          <w:sz w:val="24"/>
          <w:szCs w:val="24"/>
          <w:highlight w:val="none"/>
          <w:lang w:eastAsia="zh-CN"/>
          <w14:textFill>
            <w14:solidFill>
              <w14:schemeClr w14:val="tx1"/>
            </w14:solidFill>
          </w14:textFill>
        </w:rPr>
        <w:t>投标人须知</w:t>
      </w:r>
      <w:r>
        <w:rPr>
          <w:rFonts w:hint="eastAsia" w:ascii="宋体" w:hAnsi="宋体" w:eastAsia="宋体"/>
          <w:b/>
          <w:color w:val="000000" w:themeColor="text1"/>
          <w:sz w:val="24"/>
          <w:szCs w:val="24"/>
          <w:highlight w:val="none"/>
          <w14:textFill>
            <w14:solidFill>
              <w14:schemeClr w14:val="tx1"/>
            </w14:solidFill>
          </w14:textFill>
        </w:rPr>
        <w:t>通用条款，与该通用条款不同之处，均在本表中列明，并以现文为准，原文不再有效。</w:t>
      </w:r>
    </w:p>
    <w:p w14:paraId="07DE6543">
      <w:pPr>
        <w:adjustRightInd w:val="0"/>
        <w:snapToGrid w:val="0"/>
        <w:spacing w:beforeLines="0"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条款号：2.1.1                              </w:t>
      </w:r>
      <w:r>
        <w:rPr>
          <w:rFonts w:hint="eastAsia" w:ascii="宋体" w:hAnsi="宋体" w:eastAsia="宋体" w:cs="宋体"/>
          <w:color w:val="000000" w:themeColor="text1"/>
          <w:sz w:val="24"/>
          <w:highlight w:val="none"/>
          <w14:textFill>
            <w14:solidFill>
              <w14:schemeClr w14:val="tx1"/>
            </w14:solidFill>
          </w14:textFill>
        </w:rPr>
        <w:t>修改类型：修改</w:t>
      </w:r>
    </w:p>
    <w:p w14:paraId="448AB63E">
      <w:pPr>
        <w:adjustRightInd w:val="0"/>
        <w:snapToGrid w:val="0"/>
        <w:spacing w:beforeLines="0" w:line="360" w:lineRule="auto"/>
        <w:ind w:firstLine="482"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原文：</w:t>
      </w:r>
      <w:r>
        <w:rPr>
          <w:rFonts w:hint="eastAsia" w:ascii="宋体" w:hAnsi="宋体" w:eastAsia="宋体" w:cs="宋体"/>
          <w:bCs/>
          <w:color w:val="000000" w:themeColor="text1"/>
          <w:sz w:val="24"/>
          <w:highlight w:val="none"/>
          <w14:textFill>
            <w14:solidFill>
              <w14:schemeClr w14:val="tx1"/>
            </w14:solidFill>
          </w14:textFill>
        </w:rPr>
        <w:t>2.1.1</w:t>
      </w:r>
      <w:r>
        <w:rPr>
          <w:rFonts w:hint="eastAsia" w:ascii="宋体" w:hAnsi="宋体" w:eastAsia="宋体" w:cs="宋体"/>
          <w:color w:val="000000" w:themeColor="text1"/>
          <w:sz w:val="24"/>
          <w:highlight w:val="none"/>
          <w14:textFill>
            <w14:solidFill>
              <w14:schemeClr w14:val="tx1"/>
            </w14:solidFill>
          </w14:textFill>
        </w:rPr>
        <w:t>本招标文件包括下列文件，以及所有按本须知第7条发出的澄清或修改和按本须知第8条发出的招标答疑会会议纪要：</w:t>
      </w:r>
    </w:p>
    <w:p w14:paraId="0D4F7A5B">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现文：</w:t>
      </w:r>
      <w:r>
        <w:rPr>
          <w:rFonts w:hint="eastAsia" w:ascii="宋体" w:hAnsi="宋体" w:eastAsia="宋体" w:cs="宋体"/>
          <w:bCs/>
          <w:color w:val="000000" w:themeColor="text1"/>
          <w:sz w:val="24"/>
          <w:highlight w:val="none"/>
          <w14:textFill>
            <w14:solidFill>
              <w14:schemeClr w14:val="tx1"/>
            </w14:solidFill>
          </w14:textFill>
        </w:rPr>
        <w:t>2.1.1</w:t>
      </w:r>
      <w:r>
        <w:rPr>
          <w:rFonts w:hint="eastAsia" w:ascii="宋体" w:hAnsi="宋体" w:eastAsia="宋体" w:cs="宋体"/>
          <w:color w:val="000000" w:themeColor="text1"/>
          <w:sz w:val="24"/>
          <w:highlight w:val="none"/>
          <w14:textFill>
            <w14:solidFill>
              <w14:schemeClr w14:val="tx1"/>
            </w14:solidFill>
          </w14:textFill>
        </w:rPr>
        <w:t>本招标文件包括下列文件，以及所有按本须知第</w:t>
      </w:r>
      <w:r>
        <w:rPr>
          <w:rFonts w:hint="eastAsia" w:ascii="宋体" w:hAnsi="宋体" w:eastAsia="宋体" w:cs="宋体"/>
          <w:color w:val="000000" w:themeColor="text1"/>
          <w:sz w:val="24"/>
          <w:highlight w:val="none"/>
          <w:lang w:val="en-US" w:eastAsia="zh-CN"/>
          <w14:textFill>
            <w14:solidFill>
              <w14:schemeClr w14:val="tx1"/>
            </w14:solidFill>
          </w14:textFill>
        </w:rPr>
        <w:t>2.3</w:t>
      </w:r>
      <w:r>
        <w:rPr>
          <w:rFonts w:hint="eastAsia" w:ascii="宋体" w:hAnsi="宋体" w:eastAsia="宋体" w:cs="宋体"/>
          <w:color w:val="000000" w:themeColor="text1"/>
          <w:sz w:val="24"/>
          <w:highlight w:val="none"/>
          <w14:textFill>
            <w14:solidFill>
              <w14:schemeClr w14:val="tx1"/>
            </w14:solidFill>
          </w14:textFill>
        </w:rPr>
        <w:t>条发出的澄清或修改和按本须知第</w:t>
      </w:r>
      <w:r>
        <w:rPr>
          <w:rFonts w:hint="eastAsia" w:ascii="宋体" w:hAnsi="宋体" w:eastAsia="宋体" w:cs="宋体"/>
          <w:color w:val="000000" w:themeColor="text1"/>
          <w:sz w:val="24"/>
          <w:highlight w:val="none"/>
          <w:lang w:val="en-US" w:eastAsia="zh-CN"/>
          <w14:textFill>
            <w14:solidFill>
              <w14:schemeClr w14:val="tx1"/>
            </w14:solidFill>
          </w14:textFill>
        </w:rPr>
        <w:t>2.2</w:t>
      </w:r>
      <w:r>
        <w:rPr>
          <w:rFonts w:hint="eastAsia" w:ascii="宋体" w:hAnsi="宋体" w:eastAsia="宋体" w:cs="宋体"/>
          <w:color w:val="000000" w:themeColor="text1"/>
          <w:sz w:val="24"/>
          <w:highlight w:val="none"/>
          <w14:textFill>
            <w14:solidFill>
              <w14:schemeClr w14:val="tx1"/>
            </w14:solidFill>
          </w14:textFill>
        </w:rPr>
        <w:t>条发出的招标答疑纪要：</w:t>
      </w:r>
    </w:p>
    <w:p w14:paraId="1E4E0E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条款号：2.1.1</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修改类型：修改</w:t>
      </w:r>
    </w:p>
    <w:p w14:paraId="01BD5CFD">
      <w:pPr>
        <w:adjustRightInd w:val="0"/>
        <w:snapToGrid w:val="0"/>
        <w:spacing w:beforeLines="0"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原文：2.1.1</w:t>
      </w:r>
      <w:r>
        <w:rPr>
          <w:rFonts w:hint="eastAsia" w:ascii="宋体" w:hAnsi="宋体" w:eastAsia="宋体" w:cs="宋体"/>
          <w:bCs/>
          <w:color w:val="000000" w:themeColor="text1"/>
          <w:sz w:val="24"/>
          <w:highlight w:val="none"/>
          <w14:textFill>
            <w14:solidFill>
              <w14:schemeClr w14:val="tx1"/>
            </w14:solidFill>
          </w14:textFill>
        </w:rPr>
        <w:t>（5）工程量清单（采用综合评估法三的，应为与</w:t>
      </w:r>
      <w:r>
        <w:rPr>
          <w:rFonts w:hint="eastAsia" w:ascii="宋体" w:hAnsi="宋体" w:eastAsia="宋体" w:cs="宋体"/>
          <w:color w:val="000000" w:themeColor="text1"/>
          <w:sz w:val="24"/>
          <w:highlight w:val="none"/>
          <w14:textFill>
            <w14:solidFill>
              <w14:schemeClr w14:val="tx1"/>
            </w14:solidFill>
          </w14:textFill>
        </w:rPr>
        <w:t>最高投标限价相对应的</w:t>
      </w:r>
      <w:r>
        <w:rPr>
          <w:rFonts w:hint="eastAsia" w:ascii="宋体" w:hAnsi="宋体" w:eastAsia="宋体" w:cs="宋体"/>
          <w:bCs/>
          <w:color w:val="000000" w:themeColor="text1"/>
          <w:sz w:val="24"/>
          <w:highlight w:val="none"/>
          <w14:textFill>
            <w14:solidFill>
              <w14:schemeClr w14:val="tx1"/>
            </w14:solidFill>
          </w14:textFill>
        </w:rPr>
        <w:t>已标价工程量清单）；</w:t>
      </w:r>
    </w:p>
    <w:p w14:paraId="1DB6DDAB">
      <w:pPr>
        <w:pBdr>
          <w:bottom w:val="single" w:color="auto" w:sz="6" w:space="1"/>
        </w:pBdr>
        <w:spacing w:line="360" w:lineRule="auto"/>
        <w:ind w:firstLine="482" w:firstLineChars="200"/>
        <w:rPr>
          <w:rFonts w:ascii="宋体" w:hAnsi="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现文：2.1.1</w:t>
      </w:r>
      <w:r>
        <w:rPr>
          <w:rFonts w:hint="eastAsia" w:ascii="宋体" w:hAnsi="宋体" w:eastAsia="宋体" w:cs="宋体"/>
          <w:bCs/>
          <w:color w:val="000000" w:themeColor="text1"/>
          <w:sz w:val="24"/>
          <w:highlight w:val="none"/>
          <w14:textFill>
            <w14:solidFill>
              <w14:schemeClr w14:val="tx1"/>
            </w14:solidFill>
          </w14:textFill>
        </w:rPr>
        <w:t>（5）工程量清单；</w:t>
      </w:r>
    </w:p>
    <w:p w14:paraId="714008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条款号：2.2.2</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修改类型：修改</w:t>
      </w:r>
    </w:p>
    <w:p w14:paraId="04440203">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w:t>
      </w:r>
      <w:r>
        <w:rPr>
          <w:rFonts w:ascii="宋体" w:hAnsi="宋体"/>
          <w:bCs/>
          <w:color w:val="000000" w:themeColor="text1"/>
          <w:sz w:val="24"/>
          <w:highlight w:val="none"/>
          <w14:textFill>
            <w14:solidFill>
              <w14:schemeClr w14:val="tx1"/>
            </w14:solidFill>
          </w14:textFill>
        </w:rPr>
        <w:t>2.2.2</w:t>
      </w:r>
      <w:r>
        <w:rPr>
          <w:rFonts w:hint="eastAsia" w:ascii="宋体" w:hAnsi="宋体"/>
          <w:bCs/>
          <w:color w:val="000000" w:themeColor="text1"/>
          <w:sz w:val="24"/>
          <w:highlight w:val="none"/>
          <w14:textFill>
            <w14:solidFill>
              <w14:schemeClr w14:val="tx1"/>
            </w14:solidFill>
          </w14:textFill>
        </w:rPr>
        <w:t>招标答疑会会议纪要将在提交投标文件截止时间 15 日前在</w:t>
      </w:r>
      <w:r>
        <w:rPr>
          <w:rFonts w:hint="eastAsia" w:ascii="宋体" w:hAnsi="宋体"/>
          <w:bCs/>
          <w:color w:val="000000" w:themeColor="text1"/>
          <w:sz w:val="24"/>
          <w:highlight w:val="none"/>
          <w:u w:val="single"/>
          <w:lang w:eastAsia="zh-CN"/>
          <w14:textFill>
            <w14:solidFill>
              <w14:schemeClr w14:val="tx1"/>
            </w14:solidFill>
          </w14:textFill>
        </w:rPr>
        <w:t>广州交易集团有限公司（广州公共资源交易中心）</w:t>
      </w:r>
      <w:r>
        <w:rPr>
          <w:rFonts w:hint="eastAsia" w:ascii="宋体" w:hAnsi="宋体"/>
          <w:bCs/>
          <w:color w:val="000000" w:themeColor="text1"/>
          <w:sz w:val="24"/>
          <w:highlight w:val="none"/>
          <w:lang w:eastAsia="zh-CN"/>
          <w14:textFill>
            <w14:solidFill>
              <w14:schemeClr w14:val="tx1"/>
            </w14:solidFill>
          </w14:textFill>
        </w:rPr>
        <w:t>网站</w:t>
      </w:r>
      <w:r>
        <w:rPr>
          <w:rFonts w:hint="eastAsia" w:ascii="宋体" w:hAnsi="宋体"/>
          <w:bCs/>
          <w:color w:val="000000" w:themeColor="text1"/>
          <w:sz w:val="24"/>
          <w:highlight w:val="none"/>
          <w14:textFill>
            <w14:solidFill>
              <w14:schemeClr w14:val="tx1"/>
            </w14:solidFill>
          </w14:textFill>
        </w:rPr>
        <w:t>“项目答疑纪要”专区公开发布。答疑纪要一经在</w:t>
      </w:r>
      <w:r>
        <w:rPr>
          <w:rFonts w:hint="eastAsia" w:ascii="宋体" w:hAnsi="宋体"/>
          <w:bCs/>
          <w:color w:val="000000" w:themeColor="text1"/>
          <w:sz w:val="24"/>
          <w:highlight w:val="none"/>
          <w:u w:val="single"/>
          <w:lang w:eastAsia="zh-CN"/>
          <w14:textFill>
            <w14:solidFill>
              <w14:schemeClr w14:val="tx1"/>
            </w14:solidFill>
          </w14:textFill>
        </w:rPr>
        <w:t>广州交易集团有限公司（广州公共资源交易中心）</w:t>
      </w:r>
      <w:r>
        <w:rPr>
          <w:rFonts w:hint="eastAsia" w:ascii="宋体" w:hAnsi="宋体"/>
          <w:bCs/>
          <w:color w:val="000000" w:themeColor="text1"/>
          <w:sz w:val="24"/>
          <w:highlight w:val="none"/>
          <w:lang w:eastAsia="zh-CN"/>
          <w14:textFill>
            <w14:solidFill>
              <w14:schemeClr w14:val="tx1"/>
            </w14:solidFill>
          </w14:textFill>
        </w:rPr>
        <w:t>网站</w:t>
      </w:r>
      <w:r>
        <w:rPr>
          <w:rFonts w:hint="eastAsia" w:ascii="宋体" w:hAnsi="宋体"/>
          <w:bCs/>
          <w:color w:val="000000" w:themeColor="text1"/>
          <w:sz w:val="24"/>
          <w:highlight w:val="none"/>
          <w14:textFill>
            <w14:solidFill>
              <w14:schemeClr w14:val="tx1"/>
            </w14:solidFill>
          </w14:textFill>
        </w:rPr>
        <w:t>发布，视作已发放给所有投标人。</w:t>
      </w:r>
    </w:p>
    <w:p w14:paraId="7A0D23E2">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现文：</w:t>
      </w:r>
      <w:r>
        <w:rPr>
          <w:rFonts w:ascii="宋体" w:hAnsi="宋体"/>
          <w:bCs/>
          <w:color w:val="000000" w:themeColor="text1"/>
          <w:sz w:val="24"/>
          <w:highlight w:val="none"/>
          <w14:textFill>
            <w14:solidFill>
              <w14:schemeClr w14:val="tx1"/>
            </w14:solidFill>
          </w14:textFill>
        </w:rPr>
        <w:t>2.2.2</w:t>
      </w:r>
      <w:r>
        <w:rPr>
          <w:rFonts w:hint="eastAsia" w:ascii="宋体" w:hAnsi="宋体"/>
          <w:bCs/>
          <w:color w:val="000000" w:themeColor="text1"/>
          <w:sz w:val="24"/>
          <w:highlight w:val="none"/>
          <w14:textFill>
            <w14:solidFill>
              <w14:schemeClr w14:val="tx1"/>
            </w14:solidFill>
          </w14:textFill>
        </w:rPr>
        <w:t>招标答疑纪要将在提交投标文件截止时间 15 日前在</w:t>
      </w:r>
      <w:r>
        <w:rPr>
          <w:rFonts w:hint="eastAsia" w:ascii="宋体" w:hAnsi="宋体"/>
          <w:bCs/>
          <w:color w:val="000000" w:themeColor="text1"/>
          <w:sz w:val="24"/>
          <w:highlight w:val="none"/>
          <w:u w:val="single"/>
          <w:lang w:eastAsia="zh-CN"/>
          <w14:textFill>
            <w14:solidFill>
              <w14:schemeClr w14:val="tx1"/>
            </w14:solidFill>
          </w14:textFill>
        </w:rPr>
        <w:t>广州交易集团有限公司（广州公共资源交易中心）</w:t>
      </w:r>
      <w:r>
        <w:rPr>
          <w:rFonts w:hint="eastAsia" w:ascii="宋体" w:hAnsi="宋体"/>
          <w:bCs/>
          <w:color w:val="000000" w:themeColor="text1"/>
          <w:sz w:val="24"/>
          <w:highlight w:val="none"/>
          <w:lang w:eastAsia="zh-CN"/>
          <w14:textFill>
            <w14:solidFill>
              <w14:schemeClr w14:val="tx1"/>
            </w14:solidFill>
          </w14:textFill>
        </w:rPr>
        <w:t>网站</w:t>
      </w:r>
      <w:r>
        <w:rPr>
          <w:rFonts w:hint="eastAsia" w:ascii="宋体" w:hAnsi="宋体"/>
          <w:bCs/>
          <w:color w:val="000000" w:themeColor="text1"/>
          <w:sz w:val="24"/>
          <w:highlight w:val="none"/>
          <w14:textFill>
            <w14:solidFill>
              <w14:schemeClr w14:val="tx1"/>
            </w14:solidFill>
          </w14:textFill>
        </w:rPr>
        <w:t>“项目答疑纪要”专区公开发布。答疑纪要一经在</w:t>
      </w:r>
      <w:r>
        <w:rPr>
          <w:rFonts w:hint="eastAsia" w:ascii="宋体" w:hAnsi="宋体"/>
          <w:bCs/>
          <w:color w:val="000000" w:themeColor="text1"/>
          <w:sz w:val="24"/>
          <w:highlight w:val="none"/>
          <w:u w:val="single"/>
          <w:lang w:eastAsia="zh-CN"/>
          <w14:textFill>
            <w14:solidFill>
              <w14:schemeClr w14:val="tx1"/>
            </w14:solidFill>
          </w14:textFill>
        </w:rPr>
        <w:t>广州交易集团有限公司（广州公共资源交易中心）</w:t>
      </w:r>
      <w:r>
        <w:rPr>
          <w:rFonts w:hint="eastAsia" w:ascii="宋体" w:hAnsi="宋体"/>
          <w:bCs/>
          <w:color w:val="000000" w:themeColor="text1"/>
          <w:sz w:val="24"/>
          <w:highlight w:val="none"/>
          <w:lang w:eastAsia="zh-CN"/>
          <w14:textFill>
            <w14:solidFill>
              <w14:schemeClr w14:val="tx1"/>
            </w14:solidFill>
          </w14:textFill>
        </w:rPr>
        <w:t>网站</w:t>
      </w:r>
      <w:r>
        <w:rPr>
          <w:rFonts w:hint="eastAsia" w:ascii="宋体" w:hAnsi="宋体"/>
          <w:bCs/>
          <w:color w:val="000000" w:themeColor="text1"/>
          <w:sz w:val="24"/>
          <w:highlight w:val="none"/>
          <w14:textFill>
            <w14:solidFill>
              <w14:schemeClr w14:val="tx1"/>
            </w14:solidFill>
          </w14:textFill>
        </w:rPr>
        <w:t>发布，视作已发放给所有投标人。</w:t>
      </w:r>
    </w:p>
    <w:p w14:paraId="068A4B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条款号：2.2.4</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修改类型：修改</w:t>
      </w:r>
    </w:p>
    <w:p w14:paraId="28F5AA14">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w:t>
      </w:r>
      <w:r>
        <w:rPr>
          <w:rFonts w:ascii="宋体" w:hAnsi="宋体" w:eastAsia="宋体"/>
          <w:color w:val="000000" w:themeColor="text1"/>
          <w:sz w:val="24"/>
          <w:highlight w:val="none"/>
          <w14:textFill>
            <w14:solidFill>
              <w14:schemeClr w14:val="tx1"/>
            </w14:solidFill>
          </w14:textFill>
        </w:rPr>
        <w:t>2.2.</w:t>
      </w:r>
      <w:r>
        <w:rPr>
          <w:rFonts w:hint="eastAsia" w:ascii="宋体" w:hAnsi="宋体" w:eastAsia="宋体"/>
          <w:color w:val="000000" w:themeColor="text1"/>
          <w:sz w:val="24"/>
          <w:highlight w:val="none"/>
          <w14:textFill>
            <w14:solidFill>
              <w14:schemeClr w14:val="tx1"/>
            </w14:solidFill>
          </w14:textFill>
        </w:rPr>
        <w:t>4若招标答疑</w:t>
      </w:r>
      <w:r>
        <w:rPr>
          <w:rFonts w:hint="eastAsia" w:ascii="宋体" w:hAnsi="宋体" w:eastAsia="宋体"/>
          <w:color w:val="000000" w:themeColor="text1"/>
          <w:sz w:val="24"/>
          <w:highlight w:val="none"/>
          <w:lang w:eastAsia="zh-CN"/>
          <w14:textFill>
            <w14:solidFill>
              <w14:schemeClr w14:val="tx1"/>
            </w14:solidFill>
          </w14:textFill>
        </w:rPr>
        <w:t>会会议</w:t>
      </w:r>
      <w:r>
        <w:rPr>
          <w:rFonts w:hint="eastAsia" w:ascii="宋体" w:hAnsi="宋体" w:eastAsia="宋体"/>
          <w:color w:val="000000" w:themeColor="text1"/>
          <w:sz w:val="24"/>
          <w:highlight w:val="none"/>
          <w14:textFill>
            <w14:solidFill>
              <w14:schemeClr w14:val="tx1"/>
            </w14:solidFill>
          </w14:textFill>
        </w:rPr>
        <w:t>纪要与招标文件有矛盾时，以</w:t>
      </w:r>
      <w:r>
        <w:rPr>
          <w:rFonts w:hint="eastAsia" w:ascii="宋体" w:hAnsi="宋体" w:eastAsia="宋体" w:cs="宋体"/>
          <w:bCs/>
          <w:color w:val="000000" w:themeColor="text1"/>
          <w:sz w:val="24"/>
          <w:highlight w:val="none"/>
          <w:u w:val="single"/>
          <w:lang w:eastAsia="zh-CN"/>
          <w14:textFill>
            <w14:solidFill>
              <w14:schemeClr w14:val="tx1"/>
            </w14:solidFill>
          </w14:textFill>
        </w:rPr>
        <w:t>广州交易集团有限公司（广州公共资源交易中心）</w:t>
      </w:r>
      <w:r>
        <w:rPr>
          <w:rFonts w:hint="eastAsia" w:ascii="宋体" w:hAnsi="宋体" w:eastAsia="宋体" w:cs="宋体"/>
          <w:bCs/>
          <w:color w:val="000000" w:themeColor="text1"/>
          <w:sz w:val="24"/>
          <w:highlight w:val="none"/>
          <w:lang w:eastAsia="zh-CN"/>
          <w14:textFill>
            <w14:solidFill>
              <w14:schemeClr w14:val="tx1"/>
            </w14:solidFill>
          </w14:textFill>
        </w:rPr>
        <w:t>网站</w:t>
      </w:r>
      <w:r>
        <w:rPr>
          <w:rFonts w:hint="eastAsia" w:ascii="宋体" w:hAnsi="宋体" w:eastAsia="宋体"/>
          <w:color w:val="000000" w:themeColor="text1"/>
          <w:sz w:val="24"/>
          <w:highlight w:val="none"/>
          <w14:textFill>
            <w14:solidFill>
              <w14:schemeClr w14:val="tx1"/>
            </w14:solidFill>
          </w14:textFill>
        </w:rPr>
        <w:t>最后发布的答疑纪要为准。</w:t>
      </w:r>
    </w:p>
    <w:p w14:paraId="61FC42D8">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现文：</w:t>
      </w:r>
      <w:r>
        <w:rPr>
          <w:rFonts w:ascii="宋体" w:hAnsi="宋体" w:eastAsia="宋体"/>
          <w:color w:val="000000" w:themeColor="text1"/>
          <w:sz w:val="24"/>
          <w:highlight w:val="none"/>
          <w14:textFill>
            <w14:solidFill>
              <w14:schemeClr w14:val="tx1"/>
            </w14:solidFill>
          </w14:textFill>
        </w:rPr>
        <w:t>2.2.</w:t>
      </w:r>
      <w:r>
        <w:rPr>
          <w:rFonts w:hint="eastAsia" w:ascii="宋体" w:hAnsi="宋体" w:eastAsia="宋体"/>
          <w:color w:val="000000" w:themeColor="text1"/>
          <w:sz w:val="24"/>
          <w:highlight w:val="none"/>
          <w14:textFill>
            <w14:solidFill>
              <w14:schemeClr w14:val="tx1"/>
            </w14:solidFill>
          </w14:textFill>
        </w:rPr>
        <w:t>4若招标答疑纪要与招标文件有矛盾时，以</w:t>
      </w:r>
      <w:r>
        <w:rPr>
          <w:rFonts w:hint="eastAsia" w:ascii="宋体" w:hAnsi="宋体" w:eastAsia="宋体" w:cs="宋体"/>
          <w:bCs/>
          <w:color w:val="000000" w:themeColor="text1"/>
          <w:sz w:val="24"/>
          <w:highlight w:val="none"/>
          <w:u w:val="single"/>
          <w:lang w:eastAsia="zh-CN"/>
          <w14:textFill>
            <w14:solidFill>
              <w14:schemeClr w14:val="tx1"/>
            </w14:solidFill>
          </w14:textFill>
        </w:rPr>
        <w:t>广州交易集团有限公司（广州公共资源交易中心）</w:t>
      </w:r>
      <w:r>
        <w:rPr>
          <w:rFonts w:hint="eastAsia" w:ascii="宋体" w:hAnsi="宋体" w:eastAsia="宋体" w:cs="宋体"/>
          <w:bCs/>
          <w:color w:val="000000" w:themeColor="text1"/>
          <w:sz w:val="24"/>
          <w:highlight w:val="none"/>
          <w:lang w:eastAsia="zh-CN"/>
          <w14:textFill>
            <w14:solidFill>
              <w14:schemeClr w14:val="tx1"/>
            </w14:solidFill>
          </w14:textFill>
        </w:rPr>
        <w:t>网站</w:t>
      </w:r>
      <w:r>
        <w:rPr>
          <w:rFonts w:hint="eastAsia" w:ascii="宋体" w:hAnsi="宋体" w:eastAsia="宋体"/>
          <w:color w:val="000000" w:themeColor="text1"/>
          <w:sz w:val="24"/>
          <w:highlight w:val="none"/>
          <w14:textFill>
            <w14:solidFill>
              <w14:schemeClr w14:val="tx1"/>
            </w14:solidFill>
          </w14:textFill>
        </w:rPr>
        <w:t>最后发布的答疑纪要为准。</w:t>
      </w:r>
    </w:p>
    <w:p w14:paraId="5773AC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条款号：3.1.1                              修改类型：</w:t>
      </w:r>
      <w:r>
        <w:rPr>
          <w:rFonts w:hint="eastAsia" w:ascii="宋体" w:hAnsi="宋体" w:cs="宋体"/>
          <w:color w:val="000000" w:themeColor="text1"/>
          <w:sz w:val="24"/>
          <w:szCs w:val="24"/>
          <w:highlight w:val="none"/>
          <w:lang w:val="en-US" w:eastAsia="zh-CN"/>
          <w14:textFill>
            <w14:solidFill>
              <w14:schemeClr w14:val="tx1"/>
            </w14:solidFill>
          </w14:textFill>
        </w:rPr>
        <w:t>修改</w:t>
      </w:r>
    </w:p>
    <w:p w14:paraId="4B3FB282">
      <w:pPr>
        <w:spacing w:line="360" w:lineRule="auto"/>
        <w:ind w:firstLine="482"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原文：</w:t>
      </w:r>
      <w:r>
        <w:rPr>
          <w:rFonts w:hint="eastAsia" w:ascii="宋体" w:hAnsi="宋体" w:eastAsia="宋体"/>
          <w:color w:val="000000" w:themeColor="text1"/>
          <w:sz w:val="24"/>
          <w:highlight w:val="none"/>
          <w14:textFill>
            <w14:solidFill>
              <w14:schemeClr w14:val="tx1"/>
            </w14:solidFill>
          </w14:textFill>
        </w:rPr>
        <w:t>3.1.1投标文件应包括下列内容：</w:t>
      </w:r>
    </w:p>
    <w:p w14:paraId="2B31E86A">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（1）投标函及投标函附录；</w:t>
      </w:r>
    </w:p>
    <w:p w14:paraId="2C46605E">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（2）法定代表人身份证明或附有法定代表人身份证明的授权委托书；</w:t>
      </w:r>
    </w:p>
    <w:p w14:paraId="45E18F78">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（3）联合体协议书（非联合体不提交）；</w:t>
      </w:r>
    </w:p>
    <w:p w14:paraId="5B682E6B">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（4）投标保证金（</w:t>
      </w:r>
      <w:r>
        <w:rPr>
          <w:rFonts w:hint="eastAsia" w:ascii="宋体" w:hAnsi="宋体" w:eastAsia="宋体"/>
          <w:color w:val="000000" w:themeColor="text1"/>
          <w:sz w:val="24"/>
          <w:highlight w:val="none"/>
          <w:lang w:eastAsia="zh-CN"/>
          <w14:textFill>
            <w14:solidFill>
              <w14:schemeClr w14:val="tx1"/>
            </w14:solidFill>
          </w14:textFill>
        </w:rPr>
        <w:t>若有</w:t>
      </w:r>
      <w:r>
        <w:rPr>
          <w:rFonts w:hint="eastAsia" w:ascii="宋体" w:hAnsi="宋体" w:eastAsia="宋体"/>
          <w:color w:val="000000" w:themeColor="text1"/>
          <w:sz w:val="24"/>
          <w:highlight w:val="none"/>
          <w14:textFill>
            <w14:solidFill>
              <w14:schemeClr w14:val="tx1"/>
            </w14:solidFill>
          </w14:textFill>
        </w:rPr>
        <w:t>）；</w:t>
      </w:r>
    </w:p>
    <w:p w14:paraId="3602EC6C">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（5）已标价工程量清单（采用综合评估法三的，不用提交）；</w:t>
      </w:r>
    </w:p>
    <w:p w14:paraId="175113E1">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 xml:space="preserve">（6）施工组织设计（不要求技术标的可不编制，提交施工组织设计要点；投标人在编制施工组织设计或施工方案时应按照招标人提出的施工现场建筑垃圾源头减量的具体要求以及建筑垃圾综合利用产品的使用要求提供相应措施）； </w:t>
      </w:r>
    </w:p>
    <w:p w14:paraId="0626724D">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（7）项目管理机构；</w:t>
      </w:r>
    </w:p>
    <w:p w14:paraId="29D82F53">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（8）资格审查资料；</w:t>
      </w:r>
    </w:p>
    <w:p w14:paraId="7A33CB6A">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（9）其他应提交的材料。</w:t>
      </w:r>
    </w:p>
    <w:p w14:paraId="23CBAFED">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ascii="宋体" w:hAnsi="宋体" w:eastAsia="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现文：</w:t>
      </w:r>
      <w:r>
        <w:rPr>
          <w:rFonts w:hint="eastAsia" w:ascii="宋体" w:hAnsi="宋体" w:eastAsia="宋体"/>
          <w:color w:val="000000" w:themeColor="text1"/>
          <w:sz w:val="24"/>
          <w:highlight w:val="none"/>
          <w14:textFill>
            <w14:solidFill>
              <w14:schemeClr w14:val="tx1"/>
            </w14:solidFill>
          </w14:textFill>
        </w:rPr>
        <w:t>3.1.1投标文件应包括下列内容：</w:t>
      </w:r>
    </w:p>
    <w:p w14:paraId="45ACFA22">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（1）投标函及投标函附录；</w:t>
      </w:r>
    </w:p>
    <w:p w14:paraId="2AFB570A">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（2）法定代表人身份证明；</w:t>
      </w:r>
    </w:p>
    <w:p w14:paraId="0CB60C1D">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（3）授权委托书（适用于有委托代理人的情况）；</w:t>
      </w:r>
    </w:p>
    <w:p w14:paraId="657B069D">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（4）投标保证金；</w:t>
      </w:r>
    </w:p>
    <w:p w14:paraId="25584656">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（5）已标价工程量清单；</w:t>
      </w:r>
    </w:p>
    <w:p w14:paraId="68C02F1F">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 xml:space="preserve">（6）施工组织设计（本项目要求编制技术标，需要提交详细施工组织设计，投标人在编制施工组织设计或施工方案时应按照招标人提出的施工现场建筑垃圾源头减量的具体要求以及建筑垃圾综合利用产品的使用要求提供相应措施）； </w:t>
      </w:r>
    </w:p>
    <w:p w14:paraId="7DBF488D">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（7）项目管理机构；</w:t>
      </w:r>
    </w:p>
    <w:p w14:paraId="0976F7B4">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（8）资格审查资料；</w:t>
      </w:r>
    </w:p>
    <w:p w14:paraId="43AF817C">
      <w:pPr>
        <w:keepNext w:val="0"/>
        <w:keepLines w:val="0"/>
        <w:pageBreakBefore w:val="0"/>
        <w:widowControl w:val="0"/>
        <w:pBdr>
          <w:bottom w:val="single" w:color="auto" w:sz="6" w:space="1"/>
        </w:pBdr>
        <w:kinsoku/>
        <w:wordWrap/>
        <w:overflowPunct/>
        <w:topLinePunct w:val="0"/>
        <w:autoSpaceDE/>
        <w:autoSpaceDN/>
        <w:bidi w:val="0"/>
        <w:spacing w:line="360" w:lineRule="auto"/>
        <w:ind w:firstLine="480" w:firstLineChars="200"/>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（9）其他应提交的材料。</w:t>
      </w:r>
    </w:p>
    <w:p w14:paraId="6DC1266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条款号：3.2.</w:t>
      </w: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bCs/>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修改类型：</w:t>
      </w:r>
      <w:r>
        <w:rPr>
          <w:rFonts w:hint="eastAsia" w:ascii="宋体" w:hAnsi="宋体" w:eastAsia="宋体" w:cs="宋体"/>
          <w:color w:val="000000" w:themeColor="text1"/>
          <w:sz w:val="24"/>
          <w:highlight w:val="none"/>
          <w:lang w:val="en-US" w:eastAsia="zh-CN"/>
          <w14:textFill>
            <w14:solidFill>
              <w14:schemeClr w14:val="tx1"/>
            </w14:solidFill>
          </w14:textFill>
        </w:rPr>
        <w:t>修改</w:t>
      </w:r>
    </w:p>
    <w:p w14:paraId="3D6D68E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360" w:lineRule="auto"/>
        <w:ind w:firstLine="482" w:firstLineChars="200"/>
        <w:textAlignment w:val="auto"/>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原文：</w:t>
      </w:r>
      <w:r>
        <w:rPr>
          <w:rFonts w:hint="eastAsia" w:ascii="宋体" w:hAnsi="宋体" w:eastAsia="宋体"/>
          <w:color w:val="000000" w:themeColor="text1"/>
          <w:sz w:val="24"/>
          <w:highlight w:val="none"/>
          <w14:textFill>
            <w14:solidFill>
              <w14:schemeClr w14:val="tx1"/>
            </w14:solidFill>
          </w14:textFill>
        </w:rPr>
        <w:t>3.2.1 投标人应按第五章“工程量清单”的要求填写相应表格。（此条不适用于综合评估法三）</w:t>
      </w:r>
    </w:p>
    <w:p w14:paraId="366FB503">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highlight w:val="none"/>
          <w:lang w:val="en-US" w:eastAsia="zh-CN"/>
          <w14:textFill>
            <w14:solidFill>
              <w14:schemeClr w14:val="tx1"/>
            </w14:solidFill>
          </w14:textFill>
        </w:rPr>
        <w:t>现文：</w:t>
      </w:r>
      <w:r>
        <w:rPr>
          <w:rFonts w:hint="eastAsia" w:ascii="宋体" w:hAnsi="宋体" w:eastAsia="宋体"/>
          <w:color w:val="000000" w:themeColor="text1"/>
          <w:sz w:val="24"/>
          <w:highlight w:val="none"/>
          <w14:textFill>
            <w14:solidFill>
              <w14:schemeClr w14:val="tx1"/>
            </w14:solidFill>
          </w14:textFill>
        </w:rPr>
        <w:t>3.2.1 投标人应按第五章“工程量清单”的要求填写相应表格。</w:t>
      </w:r>
    </w:p>
    <w:p w14:paraId="36A30153">
      <w:pPr>
        <w:pStyle w:val="36"/>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条款号：3.2.2 </w:t>
      </w:r>
      <w:r>
        <w:rPr>
          <w:rFonts w:hint="eastAsia" w:ascii="宋体" w:hAnsi="宋体" w:eastAsia="宋体" w:cs="宋体"/>
          <w:bCs/>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修改类型：</w:t>
      </w:r>
      <w:r>
        <w:rPr>
          <w:rFonts w:hint="eastAsia" w:ascii="宋体" w:hAnsi="宋体" w:eastAsia="宋体" w:cs="宋体"/>
          <w:color w:val="000000" w:themeColor="text1"/>
          <w:sz w:val="24"/>
          <w:highlight w:val="none"/>
          <w:lang w:val="en-US" w:eastAsia="zh-CN"/>
          <w14:textFill>
            <w14:solidFill>
              <w14:schemeClr w14:val="tx1"/>
            </w14:solidFill>
          </w14:textFill>
        </w:rPr>
        <w:t>修改</w:t>
      </w:r>
    </w:p>
    <w:p w14:paraId="61F87B5B">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原文：</w:t>
      </w:r>
      <w:r>
        <w:rPr>
          <w:rFonts w:hint="eastAsia" w:ascii="宋体" w:hAnsi="宋体" w:eastAsia="宋体"/>
          <w:color w:val="000000" w:themeColor="text1"/>
          <w:sz w:val="24"/>
          <w:highlight w:val="none"/>
          <w14:textFill>
            <w14:solidFill>
              <w14:schemeClr w14:val="tx1"/>
            </w14:solidFill>
          </w14:textFill>
        </w:rPr>
        <w:t>3.2.2投标人在投标截止时间前修改投标函中的投标报价总额，应同时修改“已标价工程量清单”中的相应报价，投标报价总额为各分项金额之和。此修改须符合本章第4.3款的有关要求。（此条不适用于综合评估法三）</w:t>
      </w:r>
    </w:p>
    <w:p w14:paraId="2F59E162">
      <w:pPr>
        <w:keepNext w:val="0"/>
        <w:keepLines w:val="0"/>
        <w:pageBreakBefore w:val="0"/>
        <w:widowControl w:val="0"/>
        <w:pBdr>
          <w:bottom w:val="single" w:color="auto" w:sz="6" w:space="1"/>
        </w:pBdr>
        <w:kinsoku/>
        <w:wordWrap/>
        <w:overflowPunct/>
        <w:topLinePunct w:val="0"/>
        <w:autoSpaceDE/>
        <w:autoSpaceDN/>
        <w:bidi w:val="0"/>
        <w:spacing w:line="360" w:lineRule="auto"/>
        <w:ind w:firstLine="480" w:firstLineChars="200"/>
        <w:textAlignment w:val="auto"/>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lang w:val="en-US" w:eastAsia="zh-CN"/>
          <w14:textFill>
            <w14:solidFill>
              <w14:schemeClr w14:val="tx1"/>
            </w14:solidFill>
          </w14:textFill>
        </w:rPr>
        <w:t>3.2.2</w:t>
      </w:r>
      <w:r>
        <w:rPr>
          <w:rFonts w:hint="eastAsia" w:ascii="宋体" w:hAnsi="宋体" w:eastAsia="宋体"/>
          <w:color w:val="000000" w:themeColor="text1"/>
          <w:sz w:val="24"/>
          <w:highlight w:val="none"/>
          <w14:textFill>
            <w14:solidFill>
              <w14:schemeClr w14:val="tx1"/>
            </w14:solidFill>
          </w14:textFill>
        </w:rPr>
        <w:t>采用综合评估法三的，投标人在投标截止时间前修改投标函中的投标报价总额，并根据评标办法列明的方法重新计算投标报价下浮率。此修改须符合本章第4.3款的有关要求。</w:t>
      </w:r>
    </w:p>
    <w:p w14:paraId="053D4361">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color w:val="000000" w:themeColor="text1"/>
          <w:sz w:val="24"/>
          <w:highlight w:val="none"/>
          <w:lang w:val="en-US" w:eastAsia="zh-CN"/>
          <w14:textFill>
            <w14:solidFill>
              <w14:schemeClr w14:val="tx1"/>
            </w14:solidFill>
          </w14:textFill>
        </w:rPr>
      </w:pPr>
      <w:r>
        <w:rPr>
          <w:rFonts w:hint="eastAsia" w:ascii="宋体" w:hAnsi="宋体" w:eastAsia="宋体"/>
          <w:b/>
          <w:bCs/>
          <w:color w:val="000000" w:themeColor="text1"/>
          <w:sz w:val="24"/>
          <w:highlight w:val="none"/>
          <w:lang w:val="en-US" w:eastAsia="zh-CN"/>
          <w14:textFill>
            <w14:solidFill>
              <w14:schemeClr w14:val="tx1"/>
            </w14:solidFill>
          </w14:textFill>
        </w:rPr>
        <w:t>现文：</w:t>
      </w:r>
      <w:r>
        <w:rPr>
          <w:rFonts w:hint="eastAsia" w:ascii="宋体" w:hAnsi="宋体" w:eastAsia="宋体"/>
          <w:color w:val="000000" w:themeColor="text1"/>
          <w:sz w:val="24"/>
          <w:highlight w:val="none"/>
          <w14:textFill>
            <w14:solidFill>
              <w14:schemeClr w14:val="tx1"/>
            </w14:solidFill>
          </w14:textFill>
        </w:rPr>
        <w:t>3.2.2投标人在投标截止时间前修改投标函中的投标报价总额，应同时修改“已标价工程量清单”中的相应报价，投标报价总额为各分项金额之和。此修改须符合本章第4.3款的有关要求。</w:t>
      </w:r>
    </w:p>
    <w:p w14:paraId="6DC9AE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条款号：3.5.4                                修改类型：修改</w:t>
      </w:r>
    </w:p>
    <w:p w14:paraId="4C9DD3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原文：3.5.4 “近年完成的类似项目情况表”应附中标通知书、合同协议书以及合同工程完工证书（或工程竣工证书副本）的扫描件。每张表格只填写一个项目，并标明序号。</w:t>
      </w:r>
    </w:p>
    <w:p w14:paraId="7CD7C418">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现文：3.5.4 “近年完成的类似项目情况表”应附投标人资格要求及评分因素要求提供相关材料的扫描件。每张表格只填写一个项目，并标明序号。</w:t>
      </w:r>
    </w:p>
    <w:p w14:paraId="1EB705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条款号：3.5.5</w:t>
      </w:r>
      <w:r>
        <w:rPr>
          <w:rFonts w:hint="eastAsia" w:ascii="宋体" w:hAnsi="宋体" w:eastAsia="宋体" w:cs="宋体"/>
          <w:bCs/>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修改类型：删除</w:t>
      </w:r>
    </w:p>
    <w:p w14:paraId="6CC8D0D3">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原文：</w:t>
      </w:r>
      <w:r>
        <w:rPr>
          <w:rFonts w:hint="eastAsia" w:ascii="宋体" w:hAnsi="宋体" w:eastAsia="宋体" w:cs="宋体"/>
          <w:color w:val="000000" w:themeColor="text1"/>
          <w:sz w:val="24"/>
          <w:szCs w:val="24"/>
          <w:highlight w:val="none"/>
          <w14:textFill>
            <w14:solidFill>
              <w14:schemeClr w14:val="tx1"/>
            </w14:solidFill>
          </w14:textFill>
        </w:rPr>
        <w:t>3.5.5</w:t>
      </w:r>
      <w:r>
        <w:rPr>
          <w:rFonts w:hint="eastAsia" w:ascii="宋体" w:hAnsi="宋体" w:eastAsia="宋体"/>
          <w:color w:val="000000" w:themeColor="text1"/>
          <w:sz w:val="24"/>
          <w:highlight w:val="none"/>
          <w14:textFill>
            <w14:solidFill>
              <w14:schemeClr w14:val="tx1"/>
            </w14:solidFill>
          </w14:textFill>
        </w:rPr>
        <w:t>投标人须知前附表规定接受联合体投标的，本章第3.5.1项至第3.5.</w:t>
      </w:r>
      <w:r>
        <w:rPr>
          <w:rFonts w:hint="eastAsia" w:ascii="宋体" w:hAnsi="宋体" w:eastAsia="宋体"/>
          <w:color w:val="000000" w:themeColor="text1"/>
          <w:sz w:val="24"/>
          <w:highlight w:val="none"/>
          <w:lang w:val="en-US" w:eastAsia="zh-CN"/>
          <w14:textFill>
            <w14:solidFill>
              <w14:schemeClr w14:val="tx1"/>
            </w14:solidFill>
          </w14:textFill>
        </w:rPr>
        <w:t>4</w:t>
      </w:r>
      <w:r>
        <w:rPr>
          <w:rFonts w:hint="eastAsia" w:ascii="宋体" w:hAnsi="宋体" w:eastAsia="宋体"/>
          <w:color w:val="000000" w:themeColor="text1"/>
          <w:sz w:val="24"/>
          <w:highlight w:val="none"/>
          <w14:textFill>
            <w14:solidFill>
              <w14:schemeClr w14:val="tx1"/>
            </w14:solidFill>
          </w14:textFill>
        </w:rPr>
        <w:t>项规定的表格和资料应包括联合体各方相关情况。</w:t>
      </w:r>
    </w:p>
    <w:p w14:paraId="1E317B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条款号：3.</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修改类型：删除</w:t>
      </w:r>
    </w:p>
    <w:p w14:paraId="743ECAC8">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原文：</w:t>
      </w:r>
      <w:r>
        <w:rPr>
          <w:rFonts w:hint="eastAsia" w:ascii="宋体" w:hAnsi="宋体"/>
          <w:color w:val="000000" w:themeColor="text1"/>
          <w:sz w:val="24"/>
          <w:szCs w:val="24"/>
          <w:highlight w:val="none"/>
          <w14:textFill>
            <w14:solidFill>
              <w14:schemeClr w14:val="tx1"/>
            </w14:solidFill>
          </w14:textFill>
        </w:rPr>
        <w:t>3.6.</w:t>
      </w:r>
      <w:r>
        <w:rPr>
          <w:rFonts w:hint="eastAsia" w:ascii="宋体" w:hAnsi="宋体"/>
          <w:color w:val="000000" w:themeColor="text1"/>
          <w:sz w:val="24"/>
          <w:szCs w:val="24"/>
          <w:highlight w:val="none"/>
          <w:lang w:val="en-US" w:eastAsia="zh-CN"/>
          <w14:textFill>
            <w14:solidFill>
              <w14:schemeClr w14:val="tx1"/>
            </w14:solidFill>
          </w14:textFill>
        </w:rPr>
        <w:t>2</w:t>
      </w:r>
      <w:r>
        <w:rPr>
          <w:rFonts w:hint="eastAsia" w:ascii="宋体" w:hAnsi="宋体" w:eastAsia="宋体"/>
          <w:bCs/>
          <w:color w:val="000000" w:themeColor="text1"/>
          <w:sz w:val="24"/>
          <w:szCs w:val="24"/>
          <w:highlight w:val="none"/>
          <w14:textFill>
            <w14:solidFill>
              <w14:schemeClr w14:val="tx1"/>
            </w14:solidFill>
          </w14:textFill>
        </w:rPr>
        <w:t>联合体投标时，联合体共同投标协议需联合体各方按要求共同盖章签字，其余可由联合体主办方签字、盖章即可，由联合体主办方法人签字的电子投标文件需提供主办方法定代表人证明书，若由联合体主办方法定代表人授权签字的电子投标文件需提供法定代表人证明书及其授权委托书、授权委托人身份证</w:t>
      </w:r>
      <w:r>
        <w:rPr>
          <w:rFonts w:hint="eastAsia" w:ascii="宋体" w:hAnsi="宋体" w:eastAsia="宋体"/>
          <w:bCs/>
          <w:color w:val="000000" w:themeColor="text1"/>
          <w:sz w:val="24"/>
          <w:szCs w:val="24"/>
          <w:highlight w:val="none"/>
          <w:lang w:eastAsia="zh-CN"/>
          <w14:textFill>
            <w14:solidFill>
              <w14:schemeClr w14:val="tx1"/>
            </w14:solidFill>
          </w14:textFill>
        </w:rPr>
        <w:t>扫描</w:t>
      </w:r>
      <w:r>
        <w:rPr>
          <w:rFonts w:hint="eastAsia" w:ascii="宋体" w:hAnsi="宋体" w:eastAsia="宋体"/>
          <w:bCs/>
          <w:color w:val="000000" w:themeColor="text1"/>
          <w:sz w:val="24"/>
          <w:szCs w:val="24"/>
          <w:highlight w:val="none"/>
          <w14:textFill>
            <w14:solidFill>
              <w14:schemeClr w14:val="tx1"/>
            </w14:solidFill>
          </w14:textFill>
        </w:rPr>
        <w:t>件。</w:t>
      </w:r>
    </w:p>
    <w:p w14:paraId="130347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条款号：4.3</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 xml:space="preserve">                   修改类型：修改</w:t>
      </w:r>
    </w:p>
    <w:p w14:paraId="5FD2FC0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原文：</w:t>
      </w:r>
      <w:r>
        <w:rPr>
          <w:rFonts w:hint="eastAsia" w:ascii="宋体" w:hAnsi="宋体"/>
          <w:color w:val="000000" w:themeColor="text1"/>
          <w:sz w:val="24"/>
          <w:highlight w:val="none"/>
          <w14:textFill>
            <w14:solidFill>
              <w14:schemeClr w14:val="tx1"/>
            </w14:solidFill>
          </w14:textFill>
        </w:rPr>
        <w:t>招标人可按本须知第2.4条规定以招标文件修改的方式，酌情延长递交投标文件的截止时间。在此情况下，投标人的所有权利和义务以及投标人受制约的截止时间，均以延长后新的投标截止时间为准。</w:t>
      </w:r>
    </w:p>
    <w:p w14:paraId="089B71A2">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现文：</w:t>
      </w:r>
      <w:r>
        <w:rPr>
          <w:rFonts w:hint="eastAsia" w:ascii="宋体" w:hAnsi="宋体" w:eastAsia="宋体" w:cs="宋体"/>
          <w:color w:val="000000" w:themeColor="text1"/>
          <w:sz w:val="24"/>
          <w:highlight w:val="none"/>
          <w14:textFill>
            <w14:solidFill>
              <w14:schemeClr w14:val="tx1"/>
            </w14:solidFill>
          </w14:textFill>
        </w:rPr>
        <w:t>招标人可按本须知第2.</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条规定以招标文件修改的方式，酌情延长递交投标文件的截止时间。在此情况下，投标人的所有权利和义务以及投标人受制约的截止时间，均以延长后新的投标截止时间为准。</w:t>
      </w:r>
    </w:p>
    <w:p w14:paraId="668F6E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条款号：4.3</w:t>
      </w:r>
      <w:r>
        <w:rPr>
          <w:rFonts w:hint="eastAsia" w:ascii="宋体" w:hAnsi="宋体" w:eastAsia="宋体" w:cs="宋体"/>
          <w:color w:val="000000" w:themeColor="text1"/>
          <w:sz w:val="24"/>
          <w:highlight w:val="none"/>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 xml:space="preserve">                   修改类型：修改</w:t>
      </w:r>
    </w:p>
    <w:p w14:paraId="671703C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原文：</w:t>
      </w:r>
      <w:r>
        <w:rPr>
          <w:rFonts w:hint="eastAsia" w:ascii="宋体" w:hAnsi="宋体"/>
          <w:color w:val="000000" w:themeColor="text1"/>
          <w:sz w:val="24"/>
          <w:highlight w:val="none"/>
          <w14:textFill>
            <w14:solidFill>
              <w14:schemeClr w14:val="tx1"/>
            </w14:solidFill>
          </w14:textFill>
        </w:rPr>
        <w:t>到投标截止时间止，招标人收到的投标文件少于3家的，招标人将依法重新组织招标。（当N个标段同时招标且不允许兼中时，若有效投标人不足N+2家，则重新组织招标）。</w:t>
      </w:r>
    </w:p>
    <w:p w14:paraId="252A7223">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现文：</w:t>
      </w:r>
      <w:r>
        <w:rPr>
          <w:rFonts w:hint="eastAsia" w:ascii="宋体" w:hAnsi="宋体" w:eastAsia="宋体" w:cs="宋体"/>
          <w:color w:val="000000" w:themeColor="text1"/>
          <w:sz w:val="24"/>
          <w:highlight w:val="none"/>
          <w:u w:val="single"/>
          <w14:textFill>
            <w14:solidFill>
              <w14:schemeClr w14:val="tx1"/>
            </w14:solidFill>
          </w14:textFill>
        </w:rPr>
        <w:t>当投标登记或递交投标文件或通过资格审查或经评议有效投标的投标人不足3名时，重新组织招标。</w:t>
      </w:r>
    </w:p>
    <w:p w14:paraId="0E805276">
      <w:pPr>
        <w:adjustRightInd w:val="0"/>
        <w:snapToGrid w:val="0"/>
        <w:spacing w:before="0" w:beforeLines="0"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条款号：5.</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 xml:space="preserve">                   修改类型：修改</w:t>
      </w:r>
    </w:p>
    <w:p w14:paraId="5E92E51E">
      <w:pPr>
        <w:spacing w:line="360" w:lineRule="auto"/>
        <w:ind w:firstLine="482" w:firstLineChars="200"/>
        <w:jc w:val="left"/>
        <w:rPr>
          <w:rFonts w:ascii="宋体" w:hAnsi="宋体" w:cs="仿宋_GB2312"/>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原文：</w:t>
      </w:r>
      <w:r>
        <w:rPr>
          <w:rFonts w:hint="eastAsia"/>
          <w:color w:val="000000" w:themeColor="text1"/>
          <w:sz w:val="24"/>
          <w:highlight w:val="none"/>
          <w14:textFill>
            <w14:solidFill>
              <w14:schemeClr w14:val="tx1"/>
            </w14:solidFill>
          </w14:textFill>
        </w:rPr>
        <w:t>招标人在招标文件要求提交投标文件的截止时间前收到的投标文件，开标时都当众予以解密、公布</w:t>
      </w:r>
      <w:r>
        <w:rPr>
          <w:rFonts w:hint="eastAsia" w:ascii="宋体" w:hAnsi="宋体" w:cs="仿宋_GB2312"/>
          <w:color w:val="000000" w:themeColor="text1"/>
          <w:sz w:val="24"/>
          <w:szCs w:val="24"/>
          <w:highlight w:val="none"/>
          <w14:textFill>
            <w14:solidFill>
              <w14:schemeClr w14:val="tx1"/>
            </w14:solidFill>
          </w14:textFill>
        </w:rPr>
        <w:t>。</w:t>
      </w:r>
    </w:p>
    <w:p w14:paraId="32837AB8">
      <w:pPr>
        <w:pBdr>
          <w:bottom w:val="single" w:color="auto" w:sz="4" w:space="0"/>
        </w:pBdr>
        <w:adjustRightInd w:val="0"/>
        <w:snapToGrid w:val="0"/>
        <w:spacing w:beforeLines="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现文：</w:t>
      </w:r>
      <w:r>
        <w:rPr>
          <w:rFonts w:hint="eastAsia"/>
          <w:color w:val="000000" w:themeColor="text1"/>
          <w:sz w:val="24"/>
          <w:highlight w:val="none"/>
          <w14:textFill>
            <w14:solidFill>
              <w14:schemeClr w14:val="tx1"/>
            </w14:solidFill>
          </w14:textFill>
        </w:rPr>
        <w:t>招标人在招标文件要求提交投标文件的截止时间前收到</w:t>
      </w:r>
      <w:r>
        <w:rPr>
          <w:rFonts w:hint="eastAsia"/>
          <w:color w:val="000000" w:themeColor="text1"/>
          <w:sz w:val="24"/>
          <w:highlight w:val="none"/>
          <w:u w:val="single"/>
          <w:lang w:val="en-US" w:eastAsia="zh-CN"/>
          <w14:textFill>
            <w14:solidFill>
              <w14:schemeClr w14:val="tx1"/>
            </w14:solidFill>
          </w14:textFill>
        </w:rPr>
        <w:t>并</w:t>
      </w:r>
      <w:r>
        <w:rPr>
          <w:rFonts w:hint="eastAsia"/>
          <w:color w:val="000000" w:themeColor="text1"/>
          <w:sz w:val="24"/>
          <w:highlight w:val="none"/>
          <w:u w:val="single"/>
          <w14:textFill>
            <w14:solidFill>
              <w14:schemeClr w14:val="tx1"/>
            </w14:solidFill>
          </w14:textFill>
        </w:rPr>
        <w:t>完成投标人解密</w:t>
      </w:r>
      <w:r>
        <w:rPr>
          <w:rFonts w:hint="eastAsia"/>
          <w:color w:val="000000" w:themeColor="text1"/>
          <w:sz w:val="24"/>
          <w:highlight w:val="none"/>
          <w14:textFill>
            <w14:solidFill>
              <w14:schemeClr w14:val="tx1"/>
            </w14:solidFill>
          </w14:textFill>
        </w:rPr>
        <w:t>的投标文件，开标时都当众予以解密、公布</w:t>
      </w:r>
      <w:r>
        <w:rPr>
          <w:rFonts w:hint="eastAsia" w:ascii="宋体" w:hAnsi="宋体" w:cs="仿宋_GB2312"/>
          <w:color w:val="000000" w:themeColor="text1"/>
          <w:sz w:val="24"/>
          <w:szCs w:val="24"/>
          <w:highlight w:val="none"/>
          <w14:textFill>
            <w14:solidFill>
              <w14:schemeClr w14:val="tx1"/>
            </w14:solidFill>
          </w14:textFill>
        </w:rPr>
        <w:t>。</w:t>
      </w:r>
    </w:p>
    <w:p w14:paraId="2B555E0F">
      <w:pPr>
        <w:adjustRightInd w:val="0"/>
        <w:snapToGrid w:val="0"/>
        <w:spacing w:before="0" w:beforeLines="0"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条款号：5.</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 xml:space="preserve">                   修改类型：修改</w:t>
      </w:r>
    </w:p>
    <w:p w14:paraId="643A040E">
      <w:pPr>
        <w:spacing w:line="360" w:lineRule="auto"/>
        <w:ind w:firstLine="482" w:firstLineChars="200"/>
        <w:jc w:val="left"/>
        <w:rPr>
          <w:rFonts w:ascii="宋体" w:hAnsi="宋体" w:cs="仿宋_GB2312"/>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原文：</w:t>
      </w:r>
      <w:r>
        <w:rPr>
          <w:rFonts w:hint="eastAsia" w:ascii="宋体" w:hAnsi="宋体" w:eastAsia="宋体" w:cs="宋体"/>
          <w:b w:val="0"/>
          <w:bCs/>
          <w:color w:val="000000" w:themeColor="text1"/>
          <w:sz w:val="24"/>
          <w:szCs w:val="24"/>
          <w:highlight w:val="none"/>
          <w14:textFill>
            <w14:solidFill>
              <w14:schemeClr w14:val="tx1"/>
            </w14:solidFill>
          </w14:textFill>
        </w:rPr>
        <w:t>5.2.6</w:t>
      </w:r>
      <w:r>
        <w:rPr>
          <w:rFonts w:hint="eastAsia" w:ascii="宋体" w:hAnsi="宋体" w:cs="仿宋_GB2312"/>
          <w:color w:val="000000" w:themeColor="text1"/>
          <w:sz w:val="24"/>
          <w:szCs w:val="24"/>
          <w:highlight w:val="none"/>
          <w:lang w:val="en-US" w:eastAsia="zh-CN"/>
          <w14:textFill>
            <w14:solidFill>
              <w14:schemeClr w14:val="tx1"/>
            </w14:solidFill>
          </w14:textFill>
        </w:rPr>
        <w:t>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2477F8D3">
      <w:pPr>
        <w:pStyle w:val="15"/>
        <w:pBdr>
          <w:bottom w:val="single" w:color="auto" w:sz="4" w:space="0"/>
        </w:pBdr>
        <w:spacing w:after="0" w:line="360" w:lineRule="auto"/>
        <w:ind w:firstLine="482"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现文：</w:t>
      </w:r>
      <w:r>
        <w:rPr>
          <w:rFonts w:hint="eastAsia" w:ascii="宋体" w:hAnsi="宋体" w:eastAsia="宋体" w:cs="宋体"/>
          <w:b w:val="0"/>
          <w:bCs/>
          <w:color w:val="000000" w:themeColor="text1"/>
          <w:sz w:val="24"/>
          <w:szCs w:val="24"/>
          <w:highlight w:val="none"/>
          <w14:textFill>
            <w14:solidFill>
              <w14:schemeClr w14:val="tx1"/>
            </w14:solidFill>
          </w14:textFill>
        </w:rPr>
        <w:t>5.2.6</w:t>
      </w:r>
      <w:r>
        <w:rPr>
          <w:rFonts w:hint="eastAsia"/>
          <w:color w:val="000000" w:themeColor="text1"/>
          <w:sz w:val="24"/>
          <w:highlight w:val="none"/>
          <w14:textFill>
            <w14:solidFill>
              <w14:schemeClr w14:val="tx1"/>
            </w14:solidFill>
          </w14:textFill>
        </w:rPr>
        <w:t>投标截止时间前未完成投标文件传输的或因投标人之外的原因造成投标文件未解密的，视为投标人撤回投标文件。因投标人原因造成投标文件未解密或未在规定的时间内解密的，视为撤销其投标文件。</w:t>
      </w:r>
    </w:p>
    <w:p w14:paraId="564A3CC7">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w:t>
      </w:r>
      <w:r>
        <w:rPr>
          <w:rFonts w:hint="eastAsia" w:ascii="宋体" w:hAnsi="宋体" w:eastAsia="宋体" w:cs="宋体"/>
          <w:color w:val="000000" w:themeColor="text1"/>
          <w:sz w:val="24"/>
          <w:szCs w:val="24"/>
          <w:highlight w:val="none"/>
          <w:lang w:val="en-US" w:eastAsia="zh-CN"/>
          <w14:textFill>
            <w14:solidFill>
              <w14:schemeClr w14:val="tx1"/>
            </w14:solidFill>
          </w14:textFill>
        </w:rPr>
        <w:t>6.1.1</w:t>
      </w:r>
      <w:r>
        <w:rPr>
          <w:rFonts w:hint="eastAsia" w:ascii="宋体" w:hAnsi="宋体" w:eastAsia="宋体" w:cs="宋体"/>
          <w:color w:val="000000" w:themeColor="text1"/>
          <w:sz w:val="24"/>
          <w:szCs w:val="24"/>
          <w:highlight w:val="none"/>
          <w14:textFill>
            <w14:solidFill>
              <w14:schemeClr w14:val="tx1"/>
            </w14:solidFill>
          </w14:textFill>
        </w:rPr>
        <w:t xml:space="preserve">                   修改类型：修改</w:t>
      </w:r>
    </w:p>
    <w:p w14:paraId="12424F16">
      <w:pPr>
        <w:pStyle w:val="36"/>
        <w:keepNext w:val="0"/>
        <w:keepLines w:val="0"/>
        <w:pageBreakBefore w:val="0"/>
        <w:widowControl w:val="0"/>
        <w:kinsoku/>
        <w:wordWrap/>
        <w:overflowPunct/>
        <w:topLinePunct w:val="0"/>
        <w:autoSpaceDE/>
        <w:autoSpaceDN/>
        <w:bidi w:val="0"/>
        <w:spacing w:after="0" w:line="360" w:lineRule="auto"/>
        <w:ind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原文：</w:t>
      </w:r>
      <w:r>
        <w:rPr>
          <w:rFonts w:hint="eastAsia" w:ascii="宋体" w:hAnsi="宋体" w:eastAsia="宋体" w:cs="宋体"/>
          <w:color w:val="000000" w:themeColor="text1"/>
          <w:sz w:val="24"/>
          <w:szCs w:val="24"/>
          <w:highlight w:val="none"/>
          <w14:textFill>
            <w14:solidFill>
              <w14:schemeClr w14:val="tx1"/>
            </w14:solidFill>
          </w14:textFill>
        </w:rPr>
        <w:t>6.1.1评标由招标人依法组建的评标委员会负责。评标委员会由有关技术、经济等方面的专家和招标人代表组成，专家从广东省综合评标评审专家库中抽取。评标委员会成员人数以及技术、经济等方面专家的确定方式见投标人须知前附表。</w:t>
      </w:r>
    </w:p>
    <w:p w14:paraId="43E9C015">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现文：</w:t>
      </w:r>
      <w:r>
        <w:rPr>
          <w:rFonts w:hint="eastAsia" w:ascii="宋体" w:hAnsi="宋体" w:eastAsia="宋体" w:cs="宋体"/>
          <w:color w:val="000000" w:themeColor="text1"/>
          <w:sz w:val="24"/>
          <w:szCs w:val="24"/>
          <w:highlight w:val="none"/>
          <w14:textFill>
            <w14:solidFill>
              <w14:schemeClr w14:val="tx1"/>
            </w14:solidFill>
          </w14:textFill>
        </w:rPr>
        <w:t>6.1.1</w:t>
      </w:r>
      <w:r>
        <w:rPr>
          <w:rFonts w:hint="eastAsia" w:ascii="宋体" w:hAnsi="宋体" w:eastAsia="宋体" w:cs="宋体"/>
          <w:color w:val="000000" w:themeColor="text1"/>
          <w:sz w:val="24"/>
          <w:highlight w:val="none"/>
          <w14:textFill>
            <w14:solidFill>
              <w14:schemeClr w14:val="tx1"/>
            </w14:solidFill>
          </w14:textFill>
        </w:rPr>
        <w:t>评标由招标人依法组建的评标委员会负责。评标委员会由招标人代表或其委托的招标代理机构熟悉相关业务的代表，以及由广东省综合评标评审专家库有关技术、经济等方面的专家组成。评标委员会成员人数以及技术、经济等方面专家的确定方式见投标人须知前附表。</w:t>
      </w:r>
    </w:p>
    <w:p w14:paraId="3AD02EE3">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w:t>
      </w:r>
      <w:r>
        <w:rPr>
          <w:rFonts w:hint="eastAsia" w:ascii="宋体" w:hAnsi="宋体" w:eastAsia="宋体" w:cs="宋体"/>
          <w:color w:val="000000" w:themeColor="text1"/>
          <w:sz w:val="24"/>
          <w:szCs w:val="24"/>
          <w:highlight w:val="none"/>
          <w:lang w:val="en-US" w:eastAsia="zh-CN"/>
          <w14:textFill>
            <w14:solidFill>
              <w14:schemeClr w14:val="tx1"/>
            </w14:solidFill>
          </w14:textFill>
        </w:rPr>
        <w:t>7.2.1</w:t>
      </w:r>
      <w:r>
        <w:rPr>
          <w:rFonts w:hint="eastAsia" w:ascii="宋体" w:hAnsi="宋体" w:eastAsia="宋体" w:cs="宋体"/>
          <w:color w:val="000000" w:themeColor="text1"/>
          <w:sz w:val="24"/>
          <w:szCs w:val="24"/>
          <w:highlight w:val="none"/>
          <w14:textFill>
            <w14:solidFill>
              <w14:schemeClr w14:val="tx1"/>
            </w14:solidFill>
          </w14:textFill>
        </w:rPr>
        <w:t xml:space="preserve">                   修改类型：修改</w:t>
      </w:r>
    </w:p>
    <w:p w14:paraId="30B9CBF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原文：</w:t>
      </w:r>
      <w:r>
        <w:rPr>
          <w:rFonts w:hint="eastAsia" w:ascii="宋体" w:hAnsi="宋体" w:eastAsia="宋体" w:cs="宋体"/>
          <w:b w:val="0"/>
          <w:bCs/>
          <w:color w:val="000000" w:themeColor="text1"/>
          <w:sz w:val="24"/>
          <w:szCs w:val="24"/>
          <w:highlight w:val="none"/>
          <w14:textFill>
            <w14:solidFill>
              <w14:schemeClr w14:val="tx1"/>
            </w14:solidFill>
          </w14:textFill>
        </w:rPr>
        <w:t>7.2.1招标人在《投标人须知前附表》规定的媒介公示中标候选人，公示期为三天，最后一天应为工作日。</w:t>
      </w:r>
    </w:p>
    <w:p w14:paraId="6B90F9CC">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现文：</w:t>
      </w:r>
      <w:r>
        <w:rPr>
          <w:rFonts w:hint="eastAsia" w:ascii="宋体" w:hAnsi="宋体" w:eastAsia="宋体" w:cs="宋体"/>
          <w:b w:val="0"/>
          <w:bCs/>
          <w:color w:val="000000" w:themeColor="text1"/>
          <w:sz w:val="24"/>
          <w:szCs w:val="24"/>
          <w:highlight w:val="none"/>
          <w14:textFill>
            <w14:solidFill>
              <w14:schemeClr w14:val="tx1"/>
            </w14:solidFill>
          </w14:textFill>
        </w:rPr>
        <w:t>7.2.1招标人在《投标人须知前附表》规定的媒介公示中标候选人，公示期为三天，最后一天应为工作日。</w:t>
      </w:r>
      <w:r>
        <w:rPr>
          <w:rFonts w:hint="eastAsia" w:ascii="宋体" w:hAnsi="宋体" w:eastAsia="宋体" w:cs="宋体"/>
          <w:color w:val="000000" w:themeColor="text1"/>
          <w:sz w:val="24"/>
          <w:highlight w:val="none"/>
          <w14:textFill>
            <w14:solidFill>
              <w14:schemeClr w14:val="tx1"/>
            </w14:solidFill>
          </w14:textFill>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14:paraId="70FC8DE2">
      <w:pPr>
        <w:pStyle w:val="3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w:t>
      </w:r>
      <w:r>
        <w:rPr>
          <w:rFonts w:hint="eastAsia" w:ascii="宋体" w:hAnsi="宋体" w:eastAsia="宋体" w:cs="宋体"/>
          <w:color w:val="000000" w:themeColor="text1"/>
          <w:sz w:val="24"/>
          <w:szCs w:val="24"/>
          <w:highlight w:val="none"/>
          <w:lang w:val="en-US" w:eastAsia="zh-CN"/>
          <w14:textFill>
            <w14:solidFill>
              <w14:schemeClr w14:val="tx1"/>
            </w14:solidFill>
          </w14:textFill>
        </w:rPr>
        <w:t>7.4.1</w:t>
      </w:r>
      <w:r>
        <w:rPr>
          <w:rFonts w:hint="eastAsia" w:ascii="宋体" w:hAnsi="宋体" w:eastAsia="宋体" w:cs="宋体"/>
          <w:color w:val="000000" w:themeColor="text1"/>
          <w:sz w:val="24"/>
          <w:szCs w:val="24"/>
          <w:highlight w:val="none"/>
          <w14:textFill>
            <w14:solidFill>
              <w14:schemeClr w14:val="tx1"/>
            </w14:solidFill>
          </w14:textFill>
        </w:rPr>
        <w:t xml:space="preserve">                   修改类型：修改</w:t>
      </w:r>
    </w:p>
    <w:p w14:paraId="3E4D0D4D">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原文：</w:t>
      </w:r>
      <w:r>
        <w:rPr>
          <w:rFonts w:hint="eastAsia" w:ascii="宋体" w:hAnsi="宋体"/>
          <w:color w:val="000000" w:themeColor="text1"/>
          <w:sz w:val="24"/>
          <w:highlight w:val="none"/>
          <w14:textFill>
            <w14:solidFill>
              <w14:schemeClr w14:val="tx1"/>
            </w14:solidFill>
          </w14:textFill>
        </w:rPr>
        <w:t>7.4.1在签订合同前，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14:paraId="762BE4BF">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现文：</w:t>
      </w:r>
      <w:r>
        <w:rPr>
          <w:rFonts w:hint="eastAsia" w:ascii="宋体" w:hAnsi="宋体" w:eastAsia="宋体" w:cs="宋体"/>
          <w:b w:val="0"/>
          <w:bCs/>
          <w:color w:val="000000" w:themeColor="text1"/>
          <w:sz w:val="24"/>
          <w:highlight w:val="none"/>
          <w:lang w:val="en-US" w:eastAsia="zh-CN"/>
          <w14:textFill>
            <w14:solidFill>
              <w14:schemeClr w14:val="tx1"/>
            </w14:solidFill>
          </w14:textFill>
        </w:rPr>
        <w:t>7.4.1</w:t>
      </w:r>
      <w:r>
        <w:rPr>
          <w:rFonts w:hint="eastAsia" w:ascii="宋体" w:hAnsi="宋体" w:eastAsia="宋体" w:cs="宋体"/>
          <w:color w:val="000000" w:themeColor="text1"/>
          <w:sz w:val="24"/>
          <w:highlight w:val="none"/>
          <w14:textFill>
            <w14:solidFill>
              <w14:schemeClr w14:val="tx1"/>
            </w14:solidFill>
          </w14:textFill>
        </w:rPr>
        <w:t>在合同签订后30日内，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14:paraId="214FE8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条款号：8.2</w:t>
      </w:r>
      <w:r>
        <w:rPr>
          <w:rFonts w:hint="eastAsia" w:ascii="宋体" w:hAnsi="宋体" w:eastAsia="宋体" w:cs="宋体"/>
          <w:bCs/>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修改类型：增加</w:t>
      </w:r>
    </w:p>
    <w:p w14:paraId="4C1E25EA">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现文：</w:t>
      </w:r>
      <w:r>
        <w:rPr>
          <w:rFonts w:hint="eastAsia" w:ascii="宋体" w:hAnsi="宋体" w:cs="宋体"/>
          <w:b w:val="0"/>
          <w:bCs/>
          <w:color w:val="000000" w:themeColor="text1"/>
          <w:sz w:val="24"/>
          <w:highlight w:val="none"/>
          <w:lang w:val="en-US" w:eastAsia="zh-CN"/>
          <w14:textFill>
            <w14:solidFill>
              <w14:schemeClr w14:val="tx1"/>
            </w14:solidFill>
          </w14:textFill>
        </w:rPr>
        <w:t>8.2</w:t>
      </w:r>
      <w:r>
        <w:rPr>
          <w:rFonts w:hint="eastAsia" w:ascii="宋体" w:hAnsi="宋体" w:eastAsia="宋体" w:cs="宋体"/>
          <w:color w:val="000000" w:themeColor="text1"/>
          <w:sz w:val="24"/>
          <w:highlight w:val="none"/>
          <w14:textFill>
            <w14:solidFill>
              <w14:schemeClr w14:val="tx1"/>
            </w14:solidFill>
          </w14:textFill>
        </w:rPr>
        <w:t>重新招标后，仍出现本章第8.1条规定情形之一的，属于必须审批的水务工程建设项目，经行政监督部门批准后不再进行招标。</w:t>
      </w:r>
    </w:p>
    <w:p w14:paraId="045008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条款号：</w:t>
      </w:r>
      <w:r>
        <w:rPr>
          <w:rFonts w:hint="eastAsia" w:ascii="宋体" w:hAnsi="宋体" w:eastAsia="宋体" w:cs="宋体"/>
          <w:color w:val="000000" w:themeColor="text1"/>
          <w:sz w:val="24"/>
          <w:highlight w:val="none"/>
          <w14:textFill>
            <w14:solidFill>
              <w14:schemeClr w14:val="tx1"/>
            </w14:solidFill>
          </w14:textFill>
        </w:rPr>
        <w:t xml:space="preserve">9.5 </w:t>
      </w:r>
      <w:r>
        <w:rPr>
          <w:rFonts w:hint="eastAsia" w:ascii="宋体" w:hAnsi="宋体" w:eastAsia="宋体" w:cs="宋体"/>
          <w:color w:val="000000" w:themeColor="text1"/>
          <w:sz w:val="24"/>
          <w:szCs w:val="24"/>
          <w:highlight w:val="none"/>
          <w14:textFill>
            <w14:solidFill>
              <w14:schemeClr w14:val="tx1"/>
            </w14:solidFill>
          </w14:textFill>
        </w:rPr>
        <w:t xml:space="preserve">                                 修改类型：增加</w:t>
      </w:r>
    </w:p>
    <w:p w14:paraId="7271BBE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现文：</w:t>
      </w:r>
      <w:r>
        <w:rPr>
          <w:rFonts w:hint="eastAsia" w:ascii="宋体" w:hAnsi="宋体" w:eastAsia="宋体" w:cs="宋体"/>
          <w:color w:val="000000" w:themeColor="text1"/>
          <w:sz w:val="24"/>
          <w:highlight w:val="none"/>
          <w14:textFill>
            <w14:solidFill>
              <w14:schemeClr w14:val="tx1"/>
            </w14:solidFill>
          </w14:textFill>
        </w:rPr>
        <w:t>9.5.1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14:paraId="6767D8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9.5.2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14:paraId="2E09233D">
      <w:pPr>
        <w:keepNext w:val="0"/>
        <w:keepLines w:val="0"/>
        <w:pageBreakBefore w:val="0"/>
        <w:widowControl w:val="0"/>
        <w:pBdr>
          <w:top w:val="none" w:color="auto" w:sz="0" w:space="0"/>
          <w:left w:val="none" w:color="auto" w:sz="0" w:space="0"/>
          <w:bottom w:val="single" w:color="auto" w:sz="4" w:space="0"/>
          <w:right w:val="none" w:color="auto" w:sz="0" w:space="0"/>
          <w:between w:val="none" w:color="auto" w:sz="0" w:space="0"/>
        </w:pBdr>
        <w:kinsoku/>
        <w:wordWrap/>
        <w:overflowPunct/>
        <w:topLinePunct w:val="0"/>
        <w:autoSpaceDE/>
        <w:autoSpaceDN/>
        <w:bidi w:val="0"/>
        <w:spacing w:line="360" w:lineRule="auto"/>
        <w:ind w:firstLine="480" w:firstLineChars="200"/>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bookmarkStart w:id="1277" w:name="_GoBack"/>
      <w:bookmarkEnd w:id="1277"/>
    </w:p>
    <w:p w14:paraId="1D2F9257">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0" w:firstLineChars="200"/>
        <w:jc w:val="left"/>
        <w:rPr>
          <w:rFonts w:hint="eastAsia" w:ascii="宋体" w:hAnsi="宋体" w:eastAsia="宋体" w:cs="宋体"/>
          <w:strike w:val="0"/>
          <w:color w:val="000000" w:themeColor="text1"/>
          <w:sz w:val="24"/>
          <w:szCs w:val="24"/>
          <w:highlight w:val="none"/>
          <w14:textFill>
            <w14:solidFill>
              <w14:schemeClr w14:val="tx1"/>
            </w14:solidFill>
          </w14:textFill>
        </w:rPr>
      </w:pPr>
      <w:r>
        <w:rPr>
          <w:rFonts w:hint="eastAsia" w:ascii="宋体" w:hAnsi="宋体" w:eastAsia="宋体" w:cs="宋体"/>
          <w:strike w:val="0"/>
          <w:color w:val="000000" w:themeColor="text1"/>
          <w:sz w:val="24"/>
          <w:szCs w:val="24"/>
          <w:highlight w:val="none"/>
          <w14:textFill>
            <w14:solidFill>
              <w14:schemeClr w14:val="tx1"/>
            </w14:solidFill>
          </w14:textFill>
        </w:rPr>
        <w:t>条款号：</w:t>
      </w:r>
      <w:r>
        <w:rPr>
          <w:rFonts w:hint="eastAsia" w:ascii="宋体" w:hAnsi="宋体" w:eastAsia="宋体" w:cs="宋体"/>
          <w:strike w:val="0"/>
          <w:color w:val="000000" w:themeColor="text1"/>
          <w:sz w:val="24"/>
          <w:szCs w:val="24"/>
          <w:highlight w:val="none"/>
          <w:lang w:val="en-US" w:eastAsia="zh-CN"/>
          <w14:textFill>
            <w14:solidFill>
              <w14:schemeClr w14:val="tx1"/>
            </w14:solidFill>
          </w14:textFill>
        </w:rPr>
        <w:t>10.1、10.2、10.3、104</w:t>
      </w:r>
      <w:r>
        <w:rPr>
          <w:rFonts w:hint="eastAsia" w:ascii="宋体" w:hAnsi="宋体" w:eastAsia="宋体" w:cs="宋体"/>
          <w:strike w:val="0"/>
          <w:color w:val="000000" w:themeColor="text1"/>
          <w:sz w:val="24"/>
          <w:szCs w:val="24"/>
          <w:highlight w:val="none"/>
          <w14:textFill>
            <w14:solidFill>
              <w14:schemeClr w14:val="tx1"/>
            </w14:solidFill>
          </w14:textFill>
        </w:rPr>
        <w:t xml:space="preserve">                 修改类型：增加</w:t>
      </w:r>
    </w:p>
    <w:p w14:paraId="75EE314A">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0" w:firstLineChars="200"/>
        <w:jc w:val="left"/>
        <w:rPr>
          <w:rFonts w:hint="eastAsia" w:ascii="宋体" w:hAnsi="宋体" w:eastAsia="宋体" w:cs="宋体"/>
          <w:strike w:val="0"/>
          <w:color w:val="000000" w:themeColor="text1"/>
          <w:sz w:val="24"/>
          <w:szCs w:val="24"/>
          <w:highlight w:val="none"/>
          <w14:textFill>
            <w14:solidFill>
              <w14:schemeClr w14:val="tx1"/>
            </w14:solidFill>
          </w14:textFill>
        </w:rPr>
      </w:pPr>
      <w:r>
        <w:rPr>
          <w:rFonts w:hint="eastAsia" w:ascii="宋体" w:hAnsi="宋体" w:eastAsia="宋体" w:cs="宋体"/>
          <w:strike w:val="0"/>
          <w:color w:val="000000" w:themeColor="text1"/>
          <w:sz w:val="24"/>
          <w:szCs w:val="24"/>
          <w:highlight w:val="none"/>
          <w14:textFill>
            <w14:solidFill>
              <w14:schemeClr w14:val="tx1"/>
            </w14:solidFill>
          </w14:textFill>
        </w:rPr>
        <w:t>现文：10.1承包人应根据《住房和城乡建设部人力资源社会保障部关于修改&lt;建筑工人实名制管理办法（试行）&gt;的通知》（建市〔2022〕59号）、《住房城乡建设部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w:t>
      </w:r>
      <w:r>
        <w:rPr>
          <w:rFonts w:hint="eastAsia" w:ascii="宋体" w:hAnsi="宋体" w:cs="宋体"/>
          <w:strike w:val="0"/>
          <w:color w:val="000000" w:themeColor="text1"/>
          <w:sz w:val="24"/>
          <w:szCs w:val="24"/>
          <w:highlight w:val="none"/>
          <w:lang w:eastAsia="zh-CN"/>
          <w14:textFill>
            <w14:solidFill>
              <w14:schemeClr w14:val="tx1"/>
            </w14:solidFill>
          </w14:textFill>
        </w:rPr>
        <w:t>》</w:t>
      </w:r>
      <w:r>
        <w:rPr>
          <w:rFonts w:hint="eastAsia" w:ascii="宋体" w:hAnsi="宋体" w:eastAsia="宋体" w:cs="宋体"/>
          <w:strike w:val="0"/>
          <w:color w:val="000000" w:themeColor="text1"/>
          <w:sz w:val="24"/>
          <w:szCs w:val="24"/>
          <w:highlight w:val="none"/>
          <w14:textFill>
            <w14:solidFill>
              <w14:schemeClr w14:val="tx1"/>
            </w14:solidFill>
          </w14:textFill>
        </w:rPr>
        <w:t>（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等有关要求，做好农民工工资支付工作及落实实名制和工人工资支付分账制度。</w:t>
      </w:r>
    </w:p>
    <w:p w14:paraId="587A6BDB">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0" w:firstLineChars="200"/>
        <w:jc w:val="left"/>
        <w:rPr>
          <w:rFonts w:hint="eastAsia" w:ascii="宋体" w:hAnsi="宋体" w:eastAsia="宋体" w:cs="宋体"/>
          <w:strike w:val="0"/>
          <w:color w:val="000000" w:themeColor="text1"/>
          <w:sz w:val="24"/>
          <w:szCs w:val="24"/>
          <w:highlight w:val="none"/>
          <w14:textFill>
            <w14:solidFill>
              <w14:schemeClr w14:val="tx1"/>
            </w14:solidFill>
          </w14:textFill>
        </w:rPr>
      </w:pPr>
      <w:r>
        <w:rPr>
          <w:rFonts w:hint="eastAsia" w:ascii="宋体" w:hAnsi="宋体" w:eastAsia="宋体" w:cs="宋体"/>
          <w:strike w:val="0"/>
          <w:color w:val="000000" w:themeColor="text1"/>
          <w:sz w:val="24"/>
          <w:szCs w:val="24"/>
          <w:highlight w:val="none"/>
          <w14:textFill>
            <w14:solidFill>
              <w14:schemeClr w14:val="tx1"/>
            </w14:solidFill>
          </w14:textFill>
        </w:rPr>
        <w:t>工程进度款中的工人工资款比例：参照施工招标的《中标通知书》中单列的人工费金额除以中标金额对应的工程价款计算。</w:t>
      </w:r>
    </w:p>
    <w:p w14:paraId="637401D1">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0" w:firstLineChars="200"/>
        <w:jc w:val="left"/>
        <w:rPr>
          <w:rFonts w:hint="eastAsia" w:ascii="宋体" w:hAnsi="宋体" w:eastAsia="宋体" w:cs="宋体"/>
          <w:strike w:val="0"/>
          <w:color w:val="000000" w:themeColor="text1"/>
          <w:sz w:val="24"/>
          <w:szCs w:val="24"/>
          <w:highlight w:val="none"/>
          <w14:textFill>
            <w14:solidFill>
              <w14:schemeClr w14:val="tx1"/>
            </w14:solidFill>
          </w14:textFill>
        </w:rPr>
      </w:pPr>
      <w:r>
        <w:rPr>
          <w:rFonts w:hint="eastAsia" w:ascii="宋体" w:hAnsi="宋体" w:eastAsia="宋体" w:cs="宋体"/>
          <w:strike w:val="0"/>
          <w:color w:val="000000" w:themeColor="text1"/>
          <w:sz w:val="24"/>
          <w:szCs w:val="24"/>
          <w:highlight w:val="none"/>
          <w14:textFill>
            <w14:solidFill>
              <w14:schemeClr w14:val="tx1"/>
            </w14:solidFill>
          </w14:textFill>
        </w:rPr>
        <w:t>10.2中标候选公示后，由招标人向广州交易集团有限公司（广州公共资源交易中心）缴纳交易服务费、向广州交易集团有限公司（广州公共资源交易中心）索取发票，并在取得发票后及时告知招标代理。（该交易服务费为中标金额的0.9‰，具体收费标准招标人可以在广州交易集团有限公司（广州公共资源交易中心）网站查阅，如有变更以广州交易集团有限公司（广州公共资源交易中心）最新发布的标准为准）。</w:t>
      </w:r>
    </w:p>
    <w:p w14:paraId="56C49081">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0" w:firstLineChars="200"/>
        <w:jc w:val="left"/>
        <w:rPr>
          <w:rFonts w:hint="eastAsia" w:ascii="宋体" w:hAnsi="宋体" w:eastAsia="宋体" w:cs="宋体"/>
          <w:strike w:val="0"/>
          <w:color w:val="000000" w:themeColor="text1"/>
          <w:sz w:val="24"/>
          <w:szCs w:val="24"/>
          <w:highlight w:val="none"/>
          <w14:textFill>
            <w14:solidFill>
              <w14:schemeClr w14:val="tx1"/>
            </w14:solidFill>
          </w14:textFill>
        </w:rPr>
      </w:pPr>
      <w:r>
        <w:rPr>
          <w:rFonts w:hint="eastAsia" w:ascii="宋体" w:hAnsi="宋体" w:eastAsia="宋体" w:cs="宋体"/>
          <w:strike w:val="0"/>
          <w:color w:val="000000" w:themeColor="text1"/>
          <w:sz w:val="24"/>
          <w:szCs w:val="24"/>
          <w:highlight w:val="none"/>
          <w14:textFill>
            <w14:solidFill>
              <w14:schemeClr w14:val="tx1"/>
            </w14:solidFill>
          </w14:textFill>
        </w:rPr>
        <w:t>10.3根据《广州市水务局关于印发广州市水务工程施工和监理企业诚信评价管理办法的通知》（穗水规字[2020] 11号）等有关规定，针对广州市水务投资集团有限公司（以下简称“市水投集团”）全资子公司广州市自来水有限公司组织实施的建设项目，市水投集团对不充分履约或严重违反合同约定的企业，按诚信评价标准对其作出评价，且该评价结果由广州市自来水有限公司直接录入诚信评价信息系统，并运用于建设项目招投标活动中。</w:t>
      </w:r>
    </w:p>
    <w:p w14:paraId="25E84A5D">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0" w:firstLineChars="200"/>
        <w:jc w:val="left"/>
        <w:rPr>
          <w:rFonts w:hint="eastAsia" w:ascii="宋体" w:hAnsi="宋体" w:eastAsia="宋体" w:cs="宋体"/>
          <w:strike w:val="0"/>
          <w:color w:val="000000" w:themeColor="text1"/>
          <w:sz w:val="24"/>
          <w:szCs w:val="24"/>
          <w:highlight w:val="none"/>
          <w14:textFill>
            <w14:solidFill>
              <w14:schemeClr w14:val="tx1"/>
            </w14:solidFill>
          </w14:textFill>
        </w:rPr>
      </w:pPr>
      <w:r>
        <w:rPr>
          <w:rFonts w:hint="eastAsia" w:ascii="宋体" w:hAnsi="宋体" w:eastAsia="宋体" w:cs="宋体"/>
          <w:strike w:val="0"/>
          <w:color w:val="000000" w:themeColor="text1"/>
          <w:sz w:val="24"/>
          <w:szCs w:val="24"/>
          <w:highlight w:val="none"/>
          <w14:textFill>
            <w14:solidFill>
              <w14:schemeClr w14:val="tx1"/>
            </w14:solidFill>
          </w14:textFill>
        </w:rPr>
        <w:t>10.4在发出中标通知书前，中标人应未被列入“在一定期限内依法取消参加依法必须进行招标的项目的投标资格”，具体名单以“信用广州”公布的“黑名单”为准。</w:t>
      </w:r>
    </w:p>
    <w:p w14:paraId="2DCE15B4">
      <w:pPr>
        <w:pBdr>
          <w:top w:val="single" w:color="auto" w:sz="4" w:space="0"/>
        </w:pBdr>
        <w:adjustRightInd w:val="0"/>
        <w:snapToGrid w:val="0"/>
        <w:spacing w:beforeLines="0" w:line="360" w:lineRule="auto"/>
        <w:ind w:firstLine="480" w:firstLineChars="200"/>
        <w:jc w:val="left"/>
        <w:rPr>
          <w:rFonts w:hint="eastAsia" w:ascii="宋体" w:hAnsi="宋体" w:eastAsia="宋体" w:cs="宋体"/>
          <w:strike w:val="0"/>
          <w:color w:val="000000" w:themeColor="text1"/>
          <w:sz w:val="24"/>
          <w:szCs w:val="24"/>
          <w:highlight w:val="none"/>
          <w14:textFill>
            <w14:solidFill>
              <w14:schemeClr w14:val="tx1"/>
            </w14:solidFill>
          </w14:textFill>
        </w:rPr>
      </w:pPr>
      <w:r>
        <w:rPr>
          <w:rFonts w:hint="eastAsia" w:ascii="宋体" w:hAnsi="宋体" w:eastAsia="宋体" w:cs="宋体"/>
          <w:strike w:val="0"/>
          <w:color w:val="000000" w:themeColor="text1"/>
          <w:sz w:val="24"/>
          <w:szCs w:val="24"/>
          <w:highlight w:val="none"/>
          <w14:textFill>
            <w14:solidFill>
              <w14:schemeClr w14:val="tx1"/>
            </w14:solidFill>
          </w14:textFill>
        </w:rPr>
        <w:t>条款号：附件</w:t>
      </w:r>
      <w:r>
        <w:rPr>
          <w:rFonts w:hint="eastAsia" w:ascii="宋体" w:hAnsi="宋体" w:eastAsia="宋体" w:cs="宋体"/>
          <w:strike w:val="0"/>
          <w:color w:val="000000" w:themeColor="text1"/>
          <w:sz w:val="24"/>
          <w:szCs w:val="24"/>
          <w:highlight w:val="none"/>
          <w:lang w:val="en-US" w:eastAsia="zh-CN"/>
          <w14:textFill>
            <w14:solidFill>
              <w14:schemeClr w14:val="tx1"/>
            </w14:solidFill>
          </w14:textFill>
        </w:rPr>
        <w:t>一</w:t>
      </w:r>
      <w:r>
        <w:rPr>
          <w:rFonts w:hint="eastAsia" w:ascii="宋体" w:hAnsi="宋体"/>
          <w:strike w:val="0"/>
          <w:color w:val="000000" w:themeColor="text1"/>
          <w:sz w:val="24"/>
          <w:highlight w:val="none"/>
          <w14:textFill>
            <w14:solidFill>
              <w14:schemeClr w14:val="tx1"/>
            </w14:solidFill>
          </w14:textFill>
        </w:rPr>
        <w:t>抽取评标基准价的下浮率记录表</w:t>
      </w:r>
      <w:r>
        <w:rPr>
          <w:rFonts w:hint="eastAsia" w:ascii="宋体" w:hAnsi="宋体" w:eastAsia="宋体" w:cs="宋体"/>
          <w:bCs/>
          <w:strike w:val="0"/>
          <w:color w:val="000000" w:themeColor="text1"/>
          <w:sz w:val="24"/>
          <w:highlight w:val="none"/>
          <w14:textFill>
            <w14:solidFill>
              <w14:schemeClr w14:val="tx1"/>
            </w14:solidFill>
          </w14:textFill>
        </w:rPr>
        <w:t xml:space="preserve">        </w:t>
      </w:r>
      <w:r>
        <w:rPr>
          <w:rFonts w:hint="eastAsia" w:ascii="宋体" w:hAnsi="宋体" w:eastAsia="宋体" w:cs="宋体"/>
          <w:strike w:val="0"/>
          <w:color w:val="000000" w:themeColor="text1"/>
          <w:sz w:val="24"/>
          <w:szCs w:val="24"/>
          <w:highlight w:val="none"/>
          <w14:textFill>
            <w14:solidFill>
              <w14:schemeClr w14:val="tx1"/>
            </w14:solidFill>
          </w14:textFill>
        </w:rPr>
        <w:t>修改类型：修改</w:t>
      </w:r>
    </w:p>
    <w:p w14:paraId="0F25FD1C">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2" w:firstLineChars="200"/>
        <w:rPr>
          <w:rFonts w:hint="eastAsia" w:ascii="宋体" w:hAnsi="宋体" w:eastAsia="宋体" w:cs="宋体"/>
          <w:strike w:val="0"/>
          <w:color w:val="000000" w:themeColor="text1"/>
          <w:sz w:val="24"/>
          <w:highlight w:val="none"/>
          <w14:textFill>
            <w14:solidFill>
              <w14:schemeClr w14:val="tx1"/>
            </w14:solidFill>
          </w14:textFill>
        </w:rPr>
      </w:pPr>
      <w:r>
        <w:rPr>
          <w:rFonts w:hint="eastAsia" w:ascii="宋体" w:hAnsi="宋体" w:eastAsia="宋体" w:cs="宋体"/>
          <w:b/>
          <w:strike w:val="0"/>
          <w:color w:val="000000" w:themeColor="text1"/>
          <w:sz w:val="24"/>
          <w:szCs w:val="24"/>
          <w:highlight w:val="none"/>
          <w:lang w:val="en-US" w:eastAsia="zh-CN"/>
          <w14:textFill>
            <w14:solidFill>
              <w14:schemeClr w14:val="tx1"/>
            </w14:solidFill>
          </w14:textFill>
        </w:rPr>
        <w:t>原</w:t>
      </w:r>
      <w:r>
        <w:rPr>
          <w:rFonts w:hint="eastAsia" w:ascii="宋体" w:hAnsi="宋体" w:eastAsia="宋体" w:cs="宋体"/>
          <w:b/>
          <w:strike w:val="0"/>
          <w:color w:val="000000" w:themeColor="text1"/>
          <w:sz w:val="24"/>
          <w:szCs w:val="24"/>
          <w:highlight w:val="none"/>
          <w14:textFill>
            <w14:solidFill>
              <w14:schemeClr w14:val="tx1"/>
            </w14:solidFill>
          </w14:textFill>
        </w:rPr>
        <w:t>文：</w:t>
      </w:r>
      <w:r>
        <w:rPr>
          <w:rFonts w:hint="eastAsia" w:ascii="宋体" w:hAnsi="宋体" w:eastAsia="宋体" w:cs="宋体"/>
          <w:b w:val="0"/>
          <w:strike w:val="0"/>
          <w:color w:val="000000" w:themeColor="text1"/>
          <w:sz w:val="24"/>
          <w:szCs w:val="24"/>
          <w:highlight w:val="none"/>
          <w:lang w:eastAsia="zh-CN"/>
          <w14:textFill>
            <w14:solidFill>
              <w14:schemeClr w14:val="tx1"/>
            </w14:solidFill>
          </w14:textFill>
        </w:rPr>
        <w:t>《</w:t>
      </w:r>
      <w:r>
        <w:rPr>
          <w:rFonts w:hint="eastAsia" w:ascii="宋体" w:hAnsi="宋体" w:eastAsia="宋体" w:cs="宋体"/>
          <w:strike w:val="0"/>
          <w:color w:val="000000" w:themeColor="text1"/>
          <w:sz w:val="24"/>
          <w:szCs w:val="24"/>
          <w:highlight w:val="none"/>
          <w14:textFill>
            <w14:solidFill>
              <w14:schemeClr w14:val="tx1"/>
            </w14:solidFill>
          </w14:textFill>
        </w:rPr>
        <w:t>抽取评标基准价的下浮率记录表</w:t>
      </w:r>
      <w:r>
        <w:rPr>
          <w:rFonts w:hint="eastAsia" w:ascii="宋体" w:hAnsi="宋体" w:eastAsia="宋体" w:cs="宋体"/>
          <w:b w:val="0"/>
          <w:strike w:val="0"/>
          <w:color w:val="000000" w:themeColor="text1"/>
          <w:sz w:val="24"/>
          <w:szCs w:val="24"/>
          <w:highlight w:val="none"/>
          <w:lang w:eastAsia="zh-CN"/>
          <w14:textFill>
            <w14:solidFill>
              <w14:schemeClr w14:val="tx1"/>
            </w14:solidFill>
          </w14:textFill>
        </w:rPr>
        <w:t>》</w:t>
      </w:r>
    </w:p>
    <w:p w14:paraId="55CDCFA2">
      <w:pPr>
        <w:pStyle w:val="15"/>
        <w:ind w:firstLine="482" w:firstLineChars="200"/>
        <w:rPr>
          <w:rFonts w:hint="eastAsia" w:ascii="宋体" w:hAnsi="宋体" w:eastAsia="宋体" w:cs="宋体"/>
          <w:b/>
          <w:strike w:val="0"/>
          <w:color w:val="000000" w:themeColor="text1"/>
          <w:sz w:val="24"/>
          <w:szCs w:val="24"/>
          <w:highlight w:val="none"/>
          <w14:textFill>
            <w14:solidFill>
              <w14:schemeClr w14:val="tx1"/>
            </w14:solidFill>
          </w14:textFill>
        </w:rPr>
      </w:pPr>
      <w:r>
        <w:rPr>
          <w:rFonts w:hint="eastAsia" w:ascii="宋体" w:hAnsi="宋体" w:eastAsia="宋体" w:cs="宋体"/>
          <w:b/>
          <w:strike w:val="0"/>
          <w:color w:val="000000" w:themeColor="text1"/>
          <w:sz w:val="24"/>
          <w:szCs w:val="24"/>
          <w:highlight w:val="none"/>
          <w14:textFill>
            <w14:solidFill>
              <w14:schemeClr w14:val="tx1"/>
            </w14:solidFill>
          </w14:textFill>
        </w:rPr>
        <w:t>现文：</w:t>
      </w:r>
      <w:r>
        <w:rPr>
          <w:rFonts w:hint="eastAsia" w:ascii="宋体" w:hAnsi="宋体" w:eastAsia="宋体" w:cs="宋体"/>
          <w:b w:val="0"/>
          <w:strike w:val="0"/>
          <w:color w:val="000000" w:themeColor="text1"/>
          <w:sz w:val="24"/>
          <w:szCs w:val="24"/>
          <w:highlight w:val="none"/>
          <w:lang w:val="en-US" w:eastAsia="zh-CN"/>
          <w14:textFill>
            <w14:solidFill>
              <w14:schemeClr w14:val="tx1"/>
            </w14:solidFill>
          </w14:textFill>
        </w:rPr>
        <w:t>详见《</w:t>
      </w:r>
      <w:r>
        <w:rPr>
          <w:rFonts w:hint="eastAsia" w:ascii="宋体" w:hAnsi="宋体" w:eastAsia="宋体" w:cs="宋体"/>
          <w:strike w:val="0"/>
          <w:color w:val="000000" w:themeColor="text1"/>
          <w:sz w:val="24"/>
          <w:szCs w:val="24"/>
          <w:highlight w:val="none"/>
          <w14:textFill>
            <w14:solidFill>
              <w14:schemeClr w14:val="tx1"/>
            </w14:solidFill>
          </w14:textFill>
        </w:rPr>
        <w:t>抽取评标基准价的下浮率记录表</w:t>
      </w:r>
      <w:r>
        <w:rPr>
          <w:rFonts w:hint="eastAsia" w:ascii="宋体" w:hAnsi="宋体" w:eastAsia="宋体" w:cs="宋体"/>
          <w:b w:val="0"/>
          <w:strike w:val="0"/>
          <w:color w:val="000000" w:themeColor="text1"/>
          <w:sz w:val="24"/>
          <w:szCs w:val="24"/>
          <w:highlight w:val="none"/>
          <w:lang w:val="en-US" w:eastAsia="zh-CN"/>
          <w14:textFill>
            <w14:solidFill>
              <w14:schemeClr w14:val="tx1"/>
            </w14:solidFill>
          </w14:textFill>
        </w:rPr>
        <w:t>》</w:t>
      </w:r>
    </w:p>
    <w:p w14:paraId="177F3AC0">
      <w:pPr>
        <w:pBdr>
          <w:top w:val="single" w:color="auto" w:sz="4" w:space="0"/>
        </w:pBdr>
        <w:adjustRightInd w:val="0"/>
        <w:snapToGrid w:val="0"/>
        <w:spacing w:beforeLines="0" w:line="360" w:lineRule="auto"/>
        <w:ind w:firstLine="480" w:firstLineChars="200"/>
        <w:rPr>
          <w:rFonts w:hint="eastAsia" w:ascii="宋体" w:hAnsi="宋体" w:eastAsia="宋体" w:cs="宋体"/>
          <w:strike w:val="0"/>
          <w:color w:val="000000" w:themeColor="text1"/>
          <w:sz w:val="24"/>
          <w:szCs w:val="24"/>
          <w:highlight w:val="none"/>
          <w14:textFill>
            <w14:solidFill>
              <w14:schemeClr w14:val="tx1"/>
            </w14:solidFill>
          </w14:textFill>
        </w:rPr>
      </w:pPr>
      <w:r>
        <w:rPr>
          <w:rFonts w:hint="eastAsia" w:ascii="宋体" w:hAnsi="宋体" w:eastAsia="宋体" w:cs="宋体"/>
          <w:strike w:val="0"/>
          <w:color w:val="000000" w:themeColor="text1"/>
          <w:sz w:val="24"/>
          <w:szCs w:val="24"/>
          <w:highlight w:val="none"/>
          <w14:textFill>
            <w14:solidFill>
              <w14:schemeClr w14:val="tx1"/>
            </w14:solidFill>
          </w14:textFill>
        </w:rPr>
        <w:t xml:space="preserve">条款号：附件二 </w:t>
      </w:r>
      <w:r>
        <w:rPr>
          <w:rFonts w:hint="eastAsia" w:ascii="宋体" w:hAnsi="宋体" w:eastAsia="宋体" w:cs="宋体"/>
          <w:bCs/>
          <w:strike w:val="0"/>
          <w:color w:val="000000" w:themeColor="text1"/>
          <w:sz w:val="24"/>
          <w:highlight w:val="none"/>
          <w14:textFill>
            <w14:solidFill>
              <w14:schemeClr w14:val="tx1"/>
            </w14:solidFill>
          </w14:textFill>
        </w:rPr>
        <w:t xml:space="preserve">                             </w:t>
      </w:r>
      <w:r>
        <w:rPr>
          <w:rFonts w:hint="eastAsia" w:ascii="宋体" w:hAnsi="宋体" w:eastAsia="宋体" w:cs="宋体"/>
          <w:strike w:val="0"/>
          <w:color w:val="000000" w:themeColor="text1"/>
          <w:sz w:val="24"/>
          <w:szCs w:val="24"/>
          <w:highlight w:val="none"/>
          <w14:textFill>
            <w14:solidFill>
              <w14:schemeClr w14:val="tx1"/>
            </w14:solidFill>
          </w14:textFill>
        </w:rPr>
        <w:t>修改类型：</w:t>
      </w:r>
      <w:r>
        <w:rPr>
          <w:rFonts w:hint="eastAsia" w:ascii="宋体" w:hAnsi="宋体" w:eastAsia="宋体" w:cs="宋体"/>
          <w:strike w:val="0"/>
          <w:color w:val="000000" w:themeColor="text1"/>
          <w:sz w:val="24"/>
          <w:szCs w:val="24"/>
          <w:highlight w:val="none"/>
          <w:lang w:val="en-US" w:eastAsia="zh-CN"/>
          <w14:textFill>
            <w14:solidFill>
              <w14:schemeClr w14:val="tx1"/>
            </w14:solidFill>
          </w14:textFill>
        </w:rPr>
        <w:t>修改</w:t>
      </w:r>
    </w:p>
    <w:p w14:paraId="11D53121">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2" w:firstLineChars="200"/>
        <w:rPr>
          <w:rFonts w:hint="eastAsia" w:ascii="宋体" w:hAnsi="宋体" w:eastAsia="宋体" w:cs="宋体"/>
          <w:strike w:val="0"/>
          <w:color w:val="000000" w:themeColor="text1"/>
          <w:sz w:val="24"/>
          <w:highlight w:val="none"/>
          <w14:textFill>
            <w14:solidFill>
              <w14:schemeClr w14:val="tx1"/>
            </w14:solidFill>
          </w14:textFill>
        </w:rPr>
      </w:pPr>
      <w:r>
        <w:rPr>
          <w:rFonts w:hint="eastAsia" w:ascii="宋体" w:hAnsi="宋体" w:eastAsia="宋体" w:cs="宋体"/>
          <w:b/>
          <w:strike w:val="0"/>
          <w:color w:val="000000" w:themeColor="text1"/>
          <w:sz w:val="24"/>
          <w:szCs w:val="24"/>
          <w:highlight w:val="none"/>
          <w:lang w:val="en-US" w:eastAsia="zh-CN"/>
          <w14:textFill>
            <w14:solidFill>
              <w14:schemeClr w14:val="tx1"/>
            </w14:solidFill>
          </w14:textFill>
        </w:rPr>
        <w:t>原</w:t>
      </w:r>
      <w:r>
        <w:rPr>
          <w:rFonts w:hint="eastAsia" w:ascii="宋体" w:hAnsi="宋体" w:eastAsia="宋体" w:cs="宋体"/>
          <w:b/>
          <w:strike w:val="0"/>
          <w:color w:val="000000" w:themeColor="text1"/>
          <w:sz w:val="24"/>
          <w:szCs w:val="24"/>
          <w:highlight w:val="none"/>
          <w14:textFill>
            <w14:solidFill>
              <w14:schemeClr w14:val="tx1"/>
            </w14:solidFill>
          </w14:textFill>
        </w:rPr>
        <w:t>文：</w:t>
      </w:r>
      <w:r>
        <w:rPr>
          <w:rFonts w:hint="eastAsia" w:ascii="宋体" w:hAnsi="宋体" w:eastAsia="宋体" w:cs="宋体"/>
          <w:strike w:val="0"/>
          <w:color w:val="000000" w:themeColor="text1"/>
          <w:sz w:val="24"/>
          <w:highlight w:val="none"/>
          <w14:textFill>
            <w14:solidFill>
              <w14:schemeClr w14:val="tx1"/>
            </w14:solidFill>
          </w14:textFill>
        </w:rPr>
        <w:t>问题澄清通知</w:t>
      </w:r>
    </w:p>
    <w:p w14:paraId="342D266E">
      <w:pPr>
        <w:pStyle w:val="37"/>
        <w:pBdr>
          <w:top w:val="none" w:color="auto" w:sz="0" w:space="0"/>
          <w:left w:val="none" w:color="auto" w:sz="0" w:space="0"/>
          <w:bottom w:val="single" w:color="auto" w:sz="4" w:space="0"/>
          <w:right w:val="none" w:color="auto" w:sz="0" w:space="0"/>
          <w:between w:val="none" w:color="auto" w:sz="0" w:space="0"/>
        </w:pBdr>
        <w:ind w:firstLine="482" w:firstLineChars="200"/>
        <w:rPr>
          <w:rFonts w:hint="default" w:ascii="Times New Roman" w:hAnsi="Times New Roman" w:eastAsia="宋体" w:cs="Times New Roman"/>
          <w:strike w:val="0"/>
          <w:color w:val="000000" w:themeColor="text1"/>
          <w:sz w:val="20"/>
          <w:highlight w:val="none"/>
          <w14:textFill>
            <w14:solidFill>
              <w14:schemeClr w14:val="tx1"/>
            </w14:solidFill>
          </w14:textFill>
        </w:rPr>
      </w:pPr>
      <w:r>
        <w:rPr>
          <w:rFonts w:hint="eastAsia" w:ascii="宋体" w:hAnsi="宋体" w:eastAsia="宋体" w:cs="宋体"/>
          <w:b/>
          <w:strike w:val="0"/>
          <w:color w:val="000000" w:themeColor="text1"/>
          <w:sz w:val="24"/>
          <w:szCs w:val="24"/>
          <w:highlight w:val="none"/>
          <w14:textFill>
            <w14:solidFill>
              <w14:schemeClr w14:val="tx1"/>
            </w14:solidFill>
          </w14:textFill>
        </w:rPr>
        <w:t>现文：</w:t>
      </w:r>
      <w:r>
        <w:rPr>
          <w:rFonts w:hint="eastAsia" w:ascii="宋体" w:hAnsi="宋体" w:eastAsia="宋体" w:cs="宋体"/>
          <w:b w:val="0"/>
          <w:strike w:val="0"/>
          <w:color w:val="000000" w:themeColor="text1"/>
          <w:sz w:val="24"/>
          <w:szCs w:val="24"/>
          <w:highlight w:val="none"/>
          <w:lang w:val="en-US" w:eastAsia="zh-CN"/>
          <w14:textFill>
            <w14:solidFill>
              <w14:schemeClr w14:val="tx1"/>
            </w14:solidFill>
          </w14:textFill>
        </w:rPr>
        <w:t>详见</w:t>
      </w:r>
      <w:r>
        <w:rPr>
          <w:rFonts w:hint="eastAsia" w:ascii="宋体" w:hAnsi="宋体" w:eastAsia="宋体" w:cs="宋体"/>
          <w:strike w:val="0"/>
          <w:color w:val="000000" w:themeColor="text1"/>
          <w:sz w:val="24"/>
          <w:highlight w:val="none"/>
          <w14:textFill>
            <w14:solidFill>
              <w14:schemeClr w14:val="tx1"/>
            </w14:solidFill>
          </w14:textFill>
        </w:rPr>
        <w:t>问题澄清通知</w:t>
      </w:r>
    </w:p>
    <w:p w14:paraId="37B4F67D">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0" w:firstLineChars="200"/>
        <w:rPr>
          <w:rFonts w:hint="eastAsia" w:ascii="宋体" w:hAnsi="宋体" w:eastAsia="宋体" w:cs="宋体"/>
          <w:strike w:val="0"/>
          <w:color w:val="000000" w:themeColor="text1"/>
          <w:sz w:val="24"/>
          <w:szCs w:val="24"/>
          <w:highlight w:val="none"/>
          <w14:textFill>
            <w14:solidFill>
              <w14:schemeClr w14:val="tx1"/>
            </w14:solidFill>
          </w14:textFill>
        </w:rPr>
      </w:pPr>
      <w:r>
        <w:rPr>
          <w:rFonts w:hint="eastAsia" w:ascii="宋体" w:hAnsi="宋体" w:eastAsia="宋体" w:cs="宋体"/>
          <w:strike w:val="0"/>
          <w:color w:val="000000" w:themeColor="text1"/>
          <w:sz w:val="24"/>
          <w:szCs w:val="24"/>
          <w:highlight w:val="none"/>
          <w14:textFill>
            <w14:solidFill>
              <w14:schemeClr w14:val="tx1"/>
            </w14:solidFill>
          </w14:textFill>
        </w:rPr>
        <w:t>条款号：附件三                              修改类型：</w:t>
      </w:r>
      <w:r>
        <w:rPr>
          <w:rFonts w:hint="eastAsia" w:ascii="宋体" w:hAnsi="宋体" w:eastAsia="宋体" w:cs="宋体"/>
          <w:strike w:val="0"/>
          <w:color w:val="000000" w:themeColor="text1"/>
          <w:sz w:val="24"/>
          <w:szCs w:val="24"/>
          <w:highlight w:val="none"/>
          <w:lang w:val="en-US" w:eastAsia="zh-CN"/>
          <w14:textFill>
            <w14:solidFill>
              <w14:schemeClr w14:val="tx1"/>
            </w14:solidFill>
          </w14:textFill>
        </w:rPr>
        <w:t>修改</w:t>
      </w:r>
    </w:p>
    <w:p w14:paraId="60A52446">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2" w:firstLineChars="200"/>
        <w:rPr>
          <w:rFonts w:hint="eastAsia" w:ascii="宋体" w:hAnsi="宋体" w:eastAsia="宋体" w:cs="宋体"/>
          <w:strike w:val="0"/>
          <w:color w:val="000000" w:themeColor="text1"/>
          <w:sz w:val="24"/>
          <w:highlight w:val="none"/>
          <w14:textFill>
            <w14:solidFill>
              <w14:schemeClr w14:val="tx1"/>
            </w14:solidFill>
          </w14:textFill>
        </w:rPr>
      </w:pPr>
      <w:r>
        <w:rPr>
          <w:rFonts w:hint="eastAsia" w:ascii="宋体" w:hAnsi="宋体" w:eastAsia="宋体" w:cs="宋体"/>
          <w:b/>
          <w:strike w:val="0"/>
          <w:color w:val="000000" w:themeColor="text1"/>
          <w:sz w:val="24"/>
          <w:szCs w:val="24"/>
          <w:highlight w:val="none"/>
          <w:lang w:val="en-US" w:eastAsia="zh-CN"/>
          <w14:textFill>
            <w14:solidFill>
              <w14:schemeClr w14:val="tx1"/>
            </w14:solidFill>
          </w14:textFill>
        </w:rPr>
        <w:t>原文：</w:t>
      </w:r>
      <w:r>
        <w:rPr>
          <w:rFonts w:hint="eastAsia" w:ascii="宋体" w:hAnsi="宋体" w:eastAsia="宋体" w:cs="宋体"/>
          <w:strike w:val="0"/>
          <w:color w:val="000000" w:themeColor="text1"/>
          <w:sz w:val="24"/>
          <w:highlight w:val="none"/>
          <w14:textFill>
            <w14:solidFill>
              <w14:schemeClr w14:val="tx1"/>
            </w14:solidFill>
          </w14:textFill>
        </w:rPr>
        <w:t>问题的澄清</w:t>
      </w:r>
    </w:p>
    <w:p w14:paraId="44403E19">
      <w:pPr>
        <w:pStyle w:val="37"/>
        <w:pBdr>
          <w:top w:val="none" w:color="auto" w:sz="0" w:space="0"/>
          <w:left w:val="none" w:color="auto" w:sz="0" w:space="0"/>
          <w:bottom w:val="single" w:color="auto" w:sz="4" w:space="0"/>
          <w:right w:val="none" w:color="auto" w:sz="0" w:space="0"/>
          <w:between w:val="none" w:color="auto" w:sz="0" w:space="0"/>
        </w:pBdr>
        <w:ind w:firstLine="482" w:firstLineChars="200"/>
        <w:rPr>
          <w:rFonts w:hint="eastAsia" w:ascii="宋体" w:hAnsi="宋体" w:eastAsia="宋体" w:cs="宋体"/>
          <w:strike w:val="0"/>
          <w:color w:val="000000" w:themeColor="text1"/>
          <w:sz w:val="24"/>
          <w:highlight w:val="none"/>
          <w14:textFill>
            <w14:solidFill>
              <w14:schemeClr w14:val="tx1"/>
            </w14:solidFill>
          </w14:textFill>
        </w:rPr>
      </w:pPr>
      <w:r>
        <w:rPr>
          <w:rFonts w:hint="eastAsia" w:ascii="宋体" w:hAnsi="宋体" w:eastAsia="宋体" w:cs="宋体"/>
          <w:b/>
          <w:strike w:val="0"/>
          <w:color w:val="000000" w:themeColor="text1"/>
          <w:sz w:val="24"/>
          <w:szCs w:val="24"/>
          <w:highlight w:val="none"/>
          <w14:textFill>
            <w14:solidFill>
              <w14:schemeClr w14:val="tx1"/>
            </w14:solidFill>
          </w14:textFill>
        </w:rPr>
        <w:t>现文：</w:t>
      </w:r>
      <w:r>
        <w:rPr>
          <w:rFonts w:hint="eastAsia" w:ascii="宋体" w:hAnsi="宋体" w:eastAsia="宋体" w:cs="宋体"/>
          <w:b w:val="0"/>
          <w:strike w:val="0"/>
          <w:color w:val="000000" w:themeColor="text1"/>
          <w:sz w:val="24"/>
          <w:szCs w:val="24"/>
          <w:highlight w:val="none"/>
          <w:lang w:val="en-US" w:eastAsia="zh-CN"/>
          <w14:textFill>
            <w14:solidFill>
              <w14:schemeClr w14:val="tx1"/>
            </w14:solidFill>
          </w14:textFill>
        </w:rPr>
        <w:t>详见</w:t>
      </w:r>
      <w:r>
        <w:rPr>
          <w:rFonts w:hint="eastAsia" w:ascii="宋体" w:hAnsi="宋体" w:eastAsia="宋体" w:cs="宋体"/>
          <w:strike w:val="0"/>
          <w:color w:val="000000" w:themeColor="text1"/>
          <w:sz w:val="24"/>
          <w:highlight w:val="none"/>
          <w14:textFill>
            <w14:solidFill>
              <w14:schemeClr w14:val="tx1"/>
            </w14:solidFill>
          </w14:textFill>
        </w:rPr>
        <w:t>问题的澄清</w:t>
      </w:r>
    </w:p>
    <w:p w14:paraId="2ECA0C47">
      <w:pPr>
        <w:pBdr>
          <w:top w:val="none" w:color="auto" w:sz="0" w:space="0"/>
          <w:left w:val="none" w:color="auto" w:sz="0" w:space="0"/>
          <w:bottom w:val="none" w:color="auto" w:sz="0" w:space="0"/>
          <w:right w:val="none" w:color="auto" w:sz="0" w:space="0"/>
          <w:between w:val="none" w:color="auto" w:sz="0" w:space="0"/>
        </w:pBdr>
        <w:adjustRightInd w:val="0"/>
        <w:snapToGrid w:val="0"/>
        <w:spacing w:beforeLines="0" w:line="360" w:lineRule="auto"/>
        <w:ind w:firstLine="480" w:firstLineChars="200"/>
        <w:rPr>
          <w:rFonts w:hint="default" w:ascii="宋体" w:hAnsi="宋体" w:eastAsia="宋体" w:cs="宋体"/>
          <w:strike w:val="0"/>
          <w:color w:val="000000" w:themeColor="text1"/>
          <w:sz w:val="24"/>
          <w:szCs w:val="24"/>
          <w:highlight w:val="none"/>
          <w:lang w:val="en-US"/>
          <w14:textFill>
            <w14:solidFill>
              <w14:schemeClr w14:val="tx1"/>
            </w14:solidFill>
          </w14:textFill>
        </w:rPr>
      </w:pPr>
      <w:r>
        <w:rPr>
          <w:rFonts w:hint="eastAsia" w:ascii="宋体" w:hAnsi="宋体" w:eastAsia="宋体" w:cs="宋体"/>
          <w:strike w:val="0"/>
          <w:color w:val="000000" w:themeColor="text1"/>
          <w:sz w:val="24"/>
          <w:szCs w:val="24"/>
          <w:highlight w:val="none"/>
          <w14:textFill>
            <w14:solidFill>
              <w14:schemeClr w14:val="tx1"/>
            </w14:solidFill>
          </w14:textFill>
        </w:rPr>
        <w:t>条款号：</w:t>
      </w:r>
      <w:r>
        <w:rPr>
          <w:rFonts w:hint="eastAsia" w:ascii="宋体" w:hAnsi="宋体" w:eastAsia="宋体" w:cs="宋体"/>
          <w:strike w:val="0"/>
          <w:color w:val="000000" w:themeColor="text1"/>
          <w:sz w:val="24"/>
          <w:szCs w:val="24"/>
          <w:highlight w:val="none"/>
          <w:lang w:val="en-US" w:eastAsia="zh-CN"/>
          <w14:textFill>
            <w14:solidFill>
              <w14:schemeClr w14:val="tx1"/>
            </w14:solidFill>
          </w14:textFill>
        </w:rPr>
        <w:t xml:space="preserve">附件五、附件六、附件七、附件八 </w:t>
      </w:r>
      <w:r>
        <w:rPr>
          <w:rFonts w:hint="eastAsia" w:ascii="宋体" w:hAnsi="宋体" w:eastAsia="宋体" w:cs="宋体"/>
          <w:strike w:val="0"/>
          <w:color w:val="000000" w:themeColor="text1"/>
          <w:sz w:val="24"/>
          <w:szCs w:val="24"/>
          <w:highlight w:val="none"/>
          <w14:textFill>
            <w14:solidFill>
              <w14:schemeClr w14:val="tx1"/>
            </w14:solidFill>
          </w14:textFill>
        </w:rPr>
        <w:t xml:space="preserve">      修改类型：</w:t>
      </w:r>
      <w:r>
        <w:rPr>
          <w:rFonts w:hint="eastAsia" w:ascii="宋体" w:hAnsi="宋体" w:eastAsia="宋体" w:cs="宋体"/>
          <w:strike w:val="0"/>
          <w:color w:val="000000" w:themeColor="text1"/>
          <w:sz w:val="24"/>
          <w:szCs w:val="24"/>
          <w:highlight w:val="none"/>
          <w:lang w:val="en-US" w:eastAsia="zh-CN"/>
          <w14:textFill>
            <w14:solidFill>
              <w14:schemeClr w14:val="tx1"/>
            </w14:solidFill>
          </w14:textFill>
        </w:rPr>
        <w:t>增加</w:t>
      </w:r>
    </w:p>
    <w:p w14:paraId="6501E76A">
      <w:pPr>
        <w:widowControl w:val="0"/>
        <w:pBdr>
          <w:top w:val="none" w:color="auto" w:sz="0" w:space="0"/>
          <w:left w:val="none" w:color="auto" w:sz="0" w:space="0"/>
          <w:bottom w:val="single" w:color="auto" w:sz="4" w:space="0"/>
          <w:right w:val="none" w:color="auto" w:sz="0" w:space="0"/>
          <w:between w:val="none" w:color="auto" w:sz="0" w:space="0"/>
        </w:pBdr>
        <w:adjustRightInd w:val="0"/>
        <w:snapToGrid w:val="0"/>
        <w:spacing w:after="120" w:line="360" w:lineRule="auto"/>
        <w:ind w:left="0" w:leftChars="0" w:firstLine="482" w:firstLineChars="200"/>
        <w:jc w:val="both"/>
        <w:textAlignment w:val="baseline"/>
        <w:rPr>
          <w:rFonts w:hint="default" w:ascii="Times New Roman" w:hAnsi="Times New Roman" w:eastAsia="宋体" w:cs="Times New Roman"/>
          <w:strike w:val="0"/>
          <w:color w:val="000000" w:themeColor="text1"/>
          <w:kern w:val="0"/>
          <w:sz w:val="20"/>
          <w:szCs w:val="24"/>
          <w:highlight w:val="none"/>
          <w:lang w:val="en-US" w:eastAsia="zh-CN" w:bidi="ar-SA"/>
          <w14:textFill>
            <w14:solidFill>
              <w14:schemeClr w14:val="tx1"/>
            </w14:solidFill>
          </w14:textFill>
        </w:rPr>
      </w:pPr>
      <w:r>
        <w:rPr>
          <w:rFonts w:hint="eastAsia" w:ascii="宋体" w:hAnsi="宋体" w:eastAsia="宋体" w:cs="宋体"/>
          <w:b/>
          <w:strike w:val="0"/>
          <w:color w:val="000000" w:themeColor="text1"/>
          <w:kern w:val="0"/>
          <w:sz w:val="24"/>
          <w:szCs w:val="24"/>
          <w:highlight w:val="none"/>
          <w:lang w:val="en-US" w:eastAsia="zh-CN" w:bidi="ar-SA"/>
          <w14:textFill>
            <w14:solidFill>
              <w14:schemeClr w14:val="tx1"/>
            </w14:solidFill>
          </w14:textFill>
        </w:rPr>
        <w:t>现文：</w:t>
      </w:r>
      <w:r>
        <w:rPr>
          <w:rFonts w:hint="eastAsia" w:ascii="宋体" w:hAnsi="宋体" w:eastAsia="宋体" w:cs="宋体"/>
          <w:b w:val="0"/>
          <w:strike w:val="0"/>
          <w:color w:val="000000" w:themeColor="text1"/>
          <w:kern w:val="0"/>
          <w:sz w:val="24"/>
          <w:szCs w:val="24"/>
          <w:highlight w:val="none"/>
          <w:lang w:val="en-US" w:eastAsia="zh-CN" w:bidi="ar-SA"/>
          <w14:textFill>
            <w14:solidFill>
              <w14:schemeClr w14:val="tx1"/>
            </w14:solidFill>
          </w14:textFill>
        </w:rPr>
        <w:t>详见</w:t>
      </w:r>
      <w:r>
        <w:rPr>
          <w:rFonts w:hint="eastAsia" w:ascii="宋体" w:hAnsi="宋体" w:eastAsia="宋体" w:cs="宋体"/>
          <w:strike w:val="0"/>
          <w:color w:val="000000" w:themeColor="text1"/>
          <w:kern w:val="0"/>
          <w:sz w:val="24"/>
          <w:szCs w:val="24"/>
          <w:highlight w:val="none"/>
          <w:lang w:val="en-US" w:eastAsia="zh-CN" w:bidi="ar-SA"/>
          <w14:textFill>
            <w14:solidFill>
              <w14:schemeClr w14:val="tx1"/>
            </w14:solidFill>
          </w14:textFill>
        </w:rPr>
        <w:t>附件五、附件六、附件七、附件八</w:t>
      </w:r>
    </w:p>
    <w:p w14:paraId="1833F7F8">
      <w:pPr>
        <w:pStyle w:val="36"/>
        <w:rPr>
          <w:rFonts w:hint="default"/>
          <w:color w:val="000000" w:themeColor="text1"/>
          <w:highlight w:val="none"/>
          <w14:textFill>
            <w14:solidFill>
              <w14:schemeClr w14:val="tx1"/>
            </w14:solidFill>
          </w14:textFill>
        </w:rPr>
      </w:pPr>
    </w:p>
    <w:p w14:paraId="14CB4B7E">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注：以上修改，仅限于本范本中有可供选择条款的情形。</w:t>
      </w:r>
    </w:p>
    <w:p w14:paraId="28C94F23">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（以下无正文）</w:t>
      </w:r>
    </w:p>
    <w:p w14:paraId="2CF72179">
      <w:pPr>
        <w:pStyle w:val="31"/>
        <w:spacing w:line="360" w:lineRule="auto"/>
        <w:rPr>
          <w:rFonts w:eastAsia="宋体"/>
          <w:b/>
          <w:color w:val="000000" w:themeColor="text1"/>
          <w:sz w:val="24"/>
          <w:highlight w:val="none"/>
          <w14:textFill>
            <w14:solidFill>
              <w14:schemeClr w14:val="tx1"/>
            </w14:solidFill>
          </w14:textFill>
        </w:rPr>
      </w:pPr>
    </w:p>
    <w:p w14:paraId="081A99E0">
      <w:pPr>
        <w:widowControl/>
        <w:jc w:val="left"/>
        <w:rPr>
          <w:rFonts w:ascii="宋体" w:hAnsi="宋体"/>
          <w:b/>
          <w:color w:val="000000" w:themeColor="text1"/>
          <w:sz w:val="24"/>
          <w:szCs w:val="24"/>
          <w:highlight w:val="none"/>
          <w:u w:val="singl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p>
    <w:p w14:paraId="078F9403">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222" w:name="_Toc17278"/>
      <w:bookmarkStart w:id="223" w:name="_Toc17454923"/>
      <w:bookmarkStart w:id="224" w:name="_Toc17454872"/>
      <w:bookmarkStart w:id="225" w:name="_Toc17556877"/>
      <w:bookmarkStart w:id="226" w:name="_Toc17451579"/>
      <w:bookmarkStart w:id="227" w:name="_Toc17451624"/>
      <w:bookmarkStart w:id="228" w:name="_Toc17452665"/>
      <w:bookmarkStart w:id="229" w:name="_Toc17451102"/>
      <w:r>
        <w:rPr>
          <w:rFonts w:hint="eastAsia" w:ascii="黑体" w:hAnsi="黑体" w:eastAsia="黑体"/>
          <w:color w:val="000000" w:themeColor="text1"/>
          <w:sz w:val="28"/>
          <w:szCs w:val="27"/>
          <w:highlight w:val="none"/>
          <w14:textFill>
            <w14:solidFill>
              <w14:schemeClr w14:val="tx1"/>
            </w14:solidFill>
          </w14:textFill>
        </w:rPr>
        <w:t>三、</w:t>
      </w:r>
      <w:r>
        <w:rPr>
          <w:rFonts w:hint="eastAsia" w:ascii="黑体" w:hAnsi="黑体" w:eastAsia="黑体"/>
          <w:color w:val="000000" w:themeColor="text1"/>
          <w:sz w:val="28"/>
          <w:szCs w:val="27"/>
          <w:highlight w:val="none"/>
          <w:lang w:eastAsia="zh-CN"/>
          <w14:textFill>
            <w14:solidFill>
              <w14:schemeClr w14:val="tx1"/>
            </w14:solidFill>
          </w14:textFill>
        </w:rPr>
        <w:t>投标人须知</w:t>
      </w:r>
      <w:r>
        <w:rPr>
          <w:rFonts w:hint="eastAsia" w:ascii="黑体" w:hAnsi="黑体" w:eastAsia="黑体"/>
          <w:color w:val="000000" w:themeColor="text1"/>
          <w:sz w:val="28"/>
          <w:szCs w:val="27"/>
          <w:highlight w:val="none"/>
          <w14:textFill>
            <w14:solidFill>
              <w14:schemeClr w14:val="tx1"/>
            </w14:solidFill>
          </w14:textFill>
        </w:rPr>
        <w:t>通用条款</w:t>
      </w:r>
      <w:bookmarkEnd w:id="222"/>
      <w:bookmarkEnd w:id="223"/>
      <w:bookmarkEnd w:id="224"/>
      <w:bookmarkEnd w:id="225"/>
      <w:bookmarkEnd w:id="226"/>
      <w:bookmarkEnd w:id="227"/>
      <w:bookmarkEnd w:id="228"/>
      <w:bookmarkEnd w:id="229"/>
    </w:p>
    <w:p w14:paraId="49EDAF82">
      <w:pPr>
        <w:jc w:val="center"/>
        <w:outlineLvl w:val="3"/>
        <w:rPr>
          <w:rFonts w:ascii="仿宋" w:hAnsi="仿宋" w:eastAsia="仿宋"/>
          <w:b/>
          <w:color w:val="000000" w:themeColor="text1"/>
          <w:sz w:val="30"/>
          <w:szCs w:val="30"/>
          <w:highlight w:val="none"/>
          <w14:textFill>
            <w14:solidFill>
              <w14:schemeClr w14:val="tx1"/>
            </w14:solidFill>
          </w14:textFill>
        </w:rPr>
      </w:pPr>
      <w:bookmarkStart w:id="230" w:name="_Toc85505512"/>
      <w:bookmarkStart w:id="231" w:name="_Toc32220"/>
      <w:bookmarkStart w:id="232" w:name="_Toc20572"/>
      <w:bookmarkStart w:id="233" w:name="_Toc9212"/>
      <w:bookmarkStart w:id="234" w:name="_Toc101777612"/>
      <w:bookmarkStart w:id="235" w:name="_Toc262229163"/>
      <w:r>
        <w:rPr>
          <w:rFonts w:hint="eastAsia" w:ascii="仿宋" w:hAnsi="仿宋" w:eastAsia="仿宋"/>
          <w:b/>
          <w:color w:val="000000" w:themeColor="text1"/>
          <w:sz w:val="30"/>
          <w:szCs w:val="30"/>
          <w:highlight w:val="none"/>
          <w14:textFill>
            <w14:solidFill>
              <w14:schemeClr w14:val="tx1"/>
            </w14:solidFill>
          </w14:textFill>
        </w:rPr>
        <w:t>（一）总则</w:t>
      </w:r>
      <w:bookmarkEnd w:id="230"/>
      <w:bookmarkEnd w:id="231"/>
      <w:bookmarkEnd w:id="232"/>
      <w:bookmarkEnd w:id="233"/>
      <w:bookmarkEnd w:id="234"/>
      <w:bookmarkEnd w:id="235"/>
    </w:p>
    <w:p w14:paraId="1DC86DA3">
      <w:pPr>
        <w:pStyle w:val="36"/>
        <w:spacing w:after="0" w:line="360" w:lineRule="auto"/>
        <w:ind w:firstLine="482" w:firstLineChars="200"/>
        <w:outlineLvl w:val="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1.1 项目概况</w:t>
      </w:r>
    </w:p>
    <w:p w14:paraId="66D29371">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1.1.1根据《中华人民共和国招标投标法》等有关法律、法规和规章的规定，本招标项目已具备招标条件，现对本标段施工进行招标。</w:t>
      </w:r>
    </w:p>
    <w:p w14:paraId="3E9037E5">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1.1.2 本招标项目招标人：见投标人须知前附表。</w:t>
      </w:r>
    </w:p>
    <w:p w14:paraId="3313C51C">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1.1.3 本标段招标代理机构：见投标人须知前附表。</w:t>
      </w:r>
    </w:p>
    <w:p w14:paraId="77C265D2">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1.1.4 本招标项目名称：见投标人须知前附表。</w:t>
      </w:r>
    </w:p>
    <w:p w14:paraId="56ED9A80">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1.1.5 本标段建设地点：见投标人须知前附表。</w:t>
      </w:r>
    </w:p>
    <w:p w14:paraId="0220ECEB">
      <w:pPr>
        <w:pStyle w:val="36"/>
        <w:spacing w:after="0" w:line="360" w:lineRule="auto"/>
        <w:ind w:firstLine="482" w:firstLineChars="200"/>
        <w:outlineLvl w:val="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1.2 资金来源和落实情况</w:t>
      </w:r>
    </w:p>
    <w:p w14:paraId="727CFF41">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1.2.1 本招标项目的资金来源及出资比例：见投标人须知前附表。</w:t>
      </w:r>
    </w:p>
    <w:p w14:paraId="23597686">
      <w:pPr>
        <w:pStyle w:val="4"/>
        <w:numPr>
          <w:ilvl w:val="0"/>
          <w:numId w:val="0"/>
        </w:numPr>
        <w:spacing w:line="360" w:lineRule="auto"/>
        <w:ind w:left="480" w:leftChars="0"/>
        <w:rPr>
          <w:color w:val="000000" w:themeColor="text1"/>
          <w:sz w:val="24"/>
          <w:szCs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1.2.</w:t>
      </w:r>
      <w:r>
        <w:rPr>
          <w:rFonts w:hint="eastAsia" w:ascii="宋体" w:hAnsi="宋体"/>
          <w:bCs/>
          <w:color w:val="000000" w:themeColor="text1"/>
          <w:sz w:val="24"/>
          <w:highlight w:val="none"/>
          <w:lang w:val="en-US" w:eastAsia="zh-CN"/>
          <w14:textFill>
            <w14:solidFill>
              <w14:schemeClr w14:val="tx1"/>
            </w14:solidFill>
          </w14:textFill>
        </w:rPr>
        <w:t>2</w:t>
      </w:r>
      <w:r>
        <w:rPr>
          <w:rFonts w:hint="eastAsia" w:ascii="宋体" w:hAnsi="宋体"/>
          <w:bCs/>
          <w:color w:val="000000" w:themeColor="text1"/>
          <w:sz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本招标项目的资金落实情况：见投标人须知前附表。</w:t>
      </w:r>
    </w:p>
    <w:p w14:paraId="1E1C1D97">
      <w:pPr>
        <w:pStyle w:val="36"/>
        <w:spacing w:after="0" w:line="360" w:lineRule="auto"/>
        <w:ind w:firstLine="482" w:firstLineChars="200"/>
        <w:outlineLvl w:val="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1.3 招标范围、计划工期和质量要求</w:t>
      </w:r>
    </w:p>
    <w:p w14:paraId="72BE0938">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1.3.1 本次招标范围：见投标人须知前附表。</w:t>
      </w:r>
    </w:p>
    <w:p w14:paraId="760AB540">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1.3.2 本标段的计划工期：见投标人须知前附表。</w:t>
      </w:r>
    </w:p>
    <w:p w14:paraId="741F4AA4">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1.3.3 本标段的质量要求：见投标人须知前附表。</w:t>
      </w:r>
    </w:p>
    <w:p w14:paraId="7CA42D48">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1.3.4 本招标项目的承包方式：见投标人须知前附表。</w:t>
      </w:r>
    </w:p>
    <w:p w14:paraId="1060B1EF">
      <w:pPr>
        <w:pStyle w:val="36"/>
        <w:spacing w:after="0" w:line="360" w:lineRule="auto"/>
        <w:ind w:firstLine="482" w:firstLineChars="200"/>
        <w:outlineLvl w:val="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1.4 投标人资格要求</w:t>
      </w:r>
    </w:p>
    <w:p w14:paraId="670C61D3">
      <w:pPr>
        <w:spacing w:line="360" w:lineRule="auto"/>
        <w:ind w:firstLine="480" w:firstLineChars="200"/>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1.4.1 投标人应具备承担本项目施工的资质条件、能力和信誉</w:t>
      </w:r>
      <w:r>
        <w:rPr>
          <w:rFonts w:hint="eastAsia" w:ascii="宋体" w:hAnsi="宋体"/>
          <w:bCs/>
          <w:color w:val="000000" w:themeColor="text1"/>
          <w:sz w:val="24"/>
          <w:highlight w:val="none"/>
          <w:lang w:eastAsia="zh-CN"/>
          <w14:textFill>
            <w14:solidFill>
              <w14:schemeClr w14:val="tx1"/>
            </w14:solidFill>
          </w14:textFill>
        </w:rPr>
        <w:t>，详见本项目招标公告。</w:t>
      </w:r>
    </w:p>
    <w:p w14:paraId="632BD803">
      <w:pPr>
        <w:kinsoku/>
        <w:overflowPunct/>
        <w:spacing w:line="360" w:lineRule="auto"/>
        <w:ind w:firstLine="480" w:firstLineChars="200"/>
        <w:rPr>
          <w:rFonts w:hint="eastAsia" w:ascii="宋体" w:hAnsi="宋体" w:eastAsia="宋体" w:cs="Times New Roman"/>
          <w:bCs/>
          <w:color w:val="000000" w:themeColor="text1"/>
          <w:sz w:val="24"/>
          <w:szCs w:val="22"/>
          <w:highlight w:val="none"/>
          <w14:textFill>
            <w14:solidFill>
              <w14:schemeClr w14:val="tx1"/>
            </w14:solidFill>
          </w14:textFill>
        </w:rPr>
      </w:pPr>
      <w:r>
        <w:rPr>
          <w:rFonts w:hint="eastAsia" w:ascii="宋体" w:hAnsi="宋体" w:eastAsia="宋体" w:cs="Times New Roman"/>
          <w:bCs/>
          <w:color w:val="000000" w:themeColor="text1"/>
          <w:sz w:val="24"/>
          <w:szCs w:val="22"/>
          <w:highlight w:val="none"/>
          <w14:textFill>
            <w14:solidFill>
              <w14:schemeClr w14:val="tx1"/>
            </w14:solidFill>
          </w14:textFill>
        </w:rPr>
        <w:t>1.4.2 投标人须知前附表规定接受联合体投标的，联合体除应符合本章第 1.4.1 项和投标人须知前附表的要求外，还应遵守以下规定：</w:t>
      </w:r>
    </w:p>
    <w:p w14:paraId="41C18FAC">
      <w:pPr>
        <w:kinsoku/>
        <w:overflowPunct/>
        <w:spacing w:line="360" w:lineRule="auto"/>
        <w:ind w:firstLine="480" w:firstLineChars="200"/>
        <w:rPr>
          <w:rFonts w:hint="eastAsia" w:ascii="宋体" w:hAnsi="宋体" w:eastAsia="宋体" w:cs="Times New Roman"/>
          <w:bCs/>
          <w:color w:val="000000" w:themeColor="text1"/>
          <w:sz w:val="24"/>
          <w:szCs w:val="22"/>
          <w:highlight w:val="none"/>
          <w14:textFill>
            <w14:solidFill>
              <w14:schemeClr w14:val="tx1"/>
            </w14:solidFill>
          </w14:textFill>
        </w:rPr>
      </w:pPr>
      <w:r>
        <w:rPr>
          <w:rFonts w:hint="eastAsia" w:ascii="宋体" w:hAnsi="宋体" w:eastAsia="宋体" w:cs="Times New Roman"/>
          <w:bCs/>
          <w:color w:val="000000" w:themeColor="text1"/>
          <w:sz w:val="24"/>
          <w:szCs w:val="22"/>
          <w:highlight w:val="none"/>
          <w14:textFill>
            <w14:solidFill>
              <w14:schemeClr w14:val="tx1"/>
            </w14:solidFill>
          </w14:textFill>
        </w:rPr>
        <w:t>（1）联合体各方应按招标文件提供的格式签订联合体协议书，明确联合体</w:t>
      </w:r>
      <w:r>
        <w:rPr>
          <w:rFonts w:hint="eastAsia" w:ascii="宋体" w:hAnsi="宋体" w:eastAsia="宋体" w:cs="Times New Roman"/>
          <w:bCs/>
          <w:color w:val="000000" w:themeColor="text1"/>
          <w:spacing w:val="0"/>
          <w:sz w:val="24"/>
          <w:szCs w:val="22"/>
          <w:highlight w:val="none"/>
          <w:lang w:eastAsia="zh-CN"/>
          <w14:textFill>
            <w14:solidFill>
              <w14:schemeClr w14:val="tx1"/>
            </w14:solidFill>
          </w14:textFill>
        </w:rPr>
        <w:t>主办方</w:t>
      </w:r>
      <w:r>
        <w:rPr>
          <w:rFonts w:hint="eastAsia" w:ascii="宋体" w:hAnsi="宋体" w:eastAsia="宋体" w:cs="Times New Roman"/>
          <w:bCs/>
          <w:color w:val="000000" w:themeColor="text1"/>
          <w:sz w:val="24"/>
          <w:szCs w:val="22"/>
          <w:highlight w:val="none"/>
          <w14:textFill>
            <w14:solidFill>
              <w14:schemeClr w14:val="tx1"/>
            </w14:solidFill>
          </w14:textFill>
        </w:rPr>
        <w:t>和各方权利义务，并承诺就中标项目向招标人承担连带责任；</w:t>
      </w:r>
    </w:p>
    <w:p w14:paraId="23D09779">
      <w:pPr>
        <w:kinsoku/>
        <w:overflowPunct/>
        <w:spacing w:line="360" w:lineRule="auto"/>
        <w:ind w:firstLine="480" w:firstLineChars="200"/>
        <w:rPr>
          <w:rFonts w:hint="eastAsia" w:ascii="宋体" w:hAnsi="宋体" w:eastAsia="宋体" w:cs="Times New Roman"/>
          <w:bCs/>
          <w:color w:val="000000" w:themeColor="text1"/>
          <w:sz w:val="24"/>
          <w:szCs w:val="22"/>
          <w:highlight w:val="none"/>
          <w14:textFill>
            <w14:solidFill>
              <w14:schemeClr w14:val="tx1"/>
            </w14:solidFill>
          </w14:textFill>
        </w:rPr>
      </w:pPr>
      <w:r>
        <w:rPr>
          <w:rFonts w:hint="eastAsia" w:ascii="宋体" w:hAnsi="宋体" w:eastAsia="宋体" w:cs="Times New Roman"/>
          <w:bCs/>
          <w:color w:val="000000" w:themeColor="text1"/>
          <w:sz w:val="24"/>
          <w:szCs w:val="22"/>
          <w:highlight w:val="none"/>
          <w14:textFill>
            <w14:solidFill>
              <w14:schemeClr w14:val="tx1"/>
            </w14:solidFill>
          </w14:textFill>
        </w:rPr>
        <w:t>（2）由同一专业的单位组成的联合体，按照资质等级较低的单位确定资质等级；</w:t>
      </w:r>
    </w:p>
    <w:p w14:paraId="57BE55E1">
      <w:pPr>
        <w:kinsoku/>
        <w:overflowPunct/>
        <w:spacing w:line="360" w:lineRule="auto"/>
        <w:ind w:firstLine="480" w:firstLineChars="200"/>
        <w:rPr>
          <w:rFonts w:hint="eastAsia" w:ascii="宋体" w:hAnsi="宋体" w:eastAsia="宋体" w:cs="Times New Roman"/>
          <w:bCs/>
          <w:color w:val="000000" w:themeColor="text1"/>
          <w:sz w:val="24"/>
          <w:szCs w:val="22"/>
          <w:highlight w:val="none"/>
          <w14:textFill>
            <w14:solidFill>
              <w14:schemeClr w14:val="tx1"/>
            </w14:solidFill>
          </w14:textFill>
        </w:rPr>
      </w:pPr>
      <w:r>
        <w:rPr>
          <w:rFonts w:hint="eastAsia" w:ascii="宋体" w:hAnsi="宋体" w:eastAsia="宋体" w:cs="Times New Roman"/>
          <w:bCs/>
          <w:color w:val="000000" w:themeColor="text1"/>
          <w:sz w:val="24"/>
          <w:szCs w:val="22"/>
          <w:highlight w:val="none"/>
          <w14:textFill>
            <w14:solidFill>
              <w14:schemeClr w14:val="tx1"/>
            </w14:solidFill>
          </w14:textFill>
        </w:rPr>
        <w:t>（3）联合体各方不得再以自己名义单独或参加其他联合体在本招标项目中投标，否则各相关投标均无效。</w:t>
      </w:r>
    </w:p>
    <w:p w14:paraId="763A6AC7">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1.4.</w:t>
      </w:r>
      <w:r>
        <w:rPr>
          <w:rFonts w:hint="eastAsia" w:ascii="宋体" w:hAnsi="宋体"/>
          <w:bCs/>
          <w:color w:val="000000" w:themeColor="text1"/>
          <w:sz w:val="24"/>
          <w:highlight w:val="none"/>
          <w:lang w:val="en-US" w:eastAsia="zh-CN"/>
          <w14:textFill>
            <w14:solidFill>
              <w14:schemeClr w14:val="tx1"/>
            </w14:solidFill>
          </w14:textFill>
        </w:rPr>
        <w:t>3</w:t>
      </w:r>
      <w:r>
        <w:rPr>
          <w:rFonts w:hint="eastAsia" w:ascii="宋体" w:hAnsi="宋体"/>
          <w:bCs/>
          <w:color w:val="000000" w:themeColor="text1"/>
          <w:sz w:val="24"/>
          <w:highlight w:val="none"/>
          <w14:textFill>
            <w14:solidFill>
              <w14:schemeClr w14:val="tx1"/>
            </w14:solidFill>
          </w14:textFill>
        </w:rPr>
        <w:t>投标人不得存在下列情形之一：</w:t>
      </w:r>
    </w:p>
    <w:p w14:paraId="318F737B">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（1）为招标人不具有独立法人资格的附属机构（单位）；</w:t>
      </w:r>
    </w:p>
    <w:p w14:paraId="47A72C06">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（2）为本标段前期准备提供设计或咨询服务或者与本项目设计人或提供咨询服务的机构存在附属关系的；</w:t>
      </w:r>
    </w:p>
    <w:p w14:paraId="0315B268">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（3）为本项目监理人或者与本项目监理人存在隶属关系或者其他利害关系；</w:t>
      </w:r>
    </w:p>
    <w:p w14:paraId="7A23AFA9">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（4）为本标段的代建人；</w:t>
      </w:r>
    </w:p>
    <w:p w14:paraId="66D7636A">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（5）为本标段提供招标代理服务的；</w:t>
      </w:r>
    </w:p>
    <w:p w14:paraId="15628CCF">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（6）与本标段的监理人或代建人或招标代理机构同为一个法定代表人的；</w:t>
      </w:r>
    </w:p>
    <w:p w14:paraId="19D10580">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（7）与本标段的监理人或代建人或招标代理机构互相控股或参股的；</w:t>
      </w:r>
    </w:p>
    <w:p w14:paraId="4D55D52D">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（8）与本标段的监理人或代建人或招标代理机构相互任职或工作的；</w:t>
      </w:r>
    </w:p>
    <w:p w14:paraId="5AC00159">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（9）与本标段的检测机构</w:t>
      </w:r>
      <w:r>
        <w:rPr>
          <w:rFonts w:hint="eastAsia" w:ascii="宋体" w:hAnsi="宋体" w:eastAsia="宋体"/>
          <w:color w:val="000000" w:themeColor="text1"/>
          <w:sz w:val="24"/>
          <w:szCs w:val="24"/>
          <w:highlight w:val="none"/>
          <w:lang w:eastAsia="zh-CN"/>
          <w14:textFill>
            <w14:solidFill>
              <w14:schemeClr w14:val="tx1"/>
            </w14:solidFill>
          </w14:textFill>
        </w:rPr>
        <w:t>、</w:t>
      </w:r>
      <w:r>
        <w:rPr>
          <w:rFonts w:hint="eastAsia" w:ascii="宋体" w:hAnsi="宋体" w:eastAsia="宋体"/>
          <w:color w:val="000000" w:themeColor="text1"/>
          <w:sz w:val="24"/>
          <w:szCs w:val="24"/>
          <w:highlight w:val="none"/>
          <w14:textFill>
            <w14:solidFill>
              <w14:schemeClr w14:val="tx1"/>
            </w14:solidFill>
          </w14:textFill>
        </w:rPr>
        <w:t>建设、</w:t>
      </w:r>
      <w:r>
        <w:rPr>
          <w:rFonts w:hint="eastAsia" w:ascii="宋体" w:hAnsi="宋体" w:eastAsia="宋体"/>
          <w:color w:val="000000" w:themeColor="text1"/>
          <w:sz w:val="24"/>
          <w:szCs w:val="24"/>
          <w:highlight w:val="none"/>
          <w:lang w:eastAsia="zh-CN"/>
          <w14:textFill>
            <w14:solidFill>
              <w14:schemeClr w14:val="tx1"/>
            </w14:solidFill>
          </w14:textFill>
        </w:rPr>
        <w:t>监理单位</w:t>
      </w:r>
      <w:r>
        <w:rPr>
          <w:rFonts w:hint="eastAsia" w:ascii="宋体" w:hAnsi="宋体" w:eastAsia="宋体"/>
          <w:color w:val="000000" w:themeColor="text1"/>
          <w:sz w:val="24"/>
          <w:szCs w:val="24"/>
          <w:highlight w:val="none"/>
          <w14:textFill>
            <w14:solidFill>
              <w14:schemeClr w14:val="tx1"/>
            </w14:solidFill>
          </w14:textFill>
        </w:rPr>
        <w:t>以及建筑材料、建筑构配件和设备供应商有隶属关系或者其他利害关系有隶属关系或者其他利害关系；</w:t>
      </w:r>
    </w:p>
    <w:p w14:paraId="1F912807">
      <w:pPr>
        <w:pStyle w:val="85"/>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（10）与招标人存在利害关系且可能影响招标公正性；</w:t>
      </w:r>
    </w:p>
    <w:p w14:paraId="47F3A99D">
      <w:pPr>
        <w:pStyle w:val="85"/>
        <w:spacing w:line="360" w:lineRule="auto"/>
        <w:ind w:firstLine="480" w:firstLineChars="20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76045383">
      <w:pPr>
        <w:pStyle w:val="85"/>
        <w:spacing w:line="360" w:lineRule="auto"/>
        <w:ind w:firstLine="480" w:firstLineChars="20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（12）被责令停产停业、暂扣或者吊销许可证、暂扣或者吊销执照的（本项事实应当以根据《中华人民共和国行政处罚法》依法作出并已经生效的行政处罚决定为认定依据。）；</w:t>
      </w:r>
    </w:p>
    <w:p w14:paraId="0778F965">
      <w:pPr>
        <w:pStyle w:val="85"/>
        <w:spacing w:line="360" w:lineRule="auto"/>
        <w:ind w:firstLine="480" w:firstLineChars="20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（13）进入清算程序，或被宣布破产，或其他丧失履约能力的情形；</w:t>
      </w:r>
    </w:p>
    <w:p w14:paraId="29507A21">
      <w:pPr>
        <w:pStyle w:val="85"/>
        <w:spacing w:line="360" w:lineRule="auto"/>
        <w:ind w:firstLine="480" w:firstLineChars="20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5D9580C1">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w:t>
      </w:r>
      <w:r>
        <w:rPr>
          <w:rFonts w:hint="eastAsia" w:ascii="宋体" w:hAnsi="宋体" w:eastAsia="宋体"/>
          <w:color w:val="000000" w:themeColor="text1"/>
          <w:sz w:val="24"/>
          <w:szCs w:val="24"/>
          <w:highlight w:val="none"/>
          <w:lang w:val="en-US" w:eastAsia="zh-CN"/>
          <w14:textFill>
            <w14:solidFill>
              <w14:schemeClr w14:val="tx1"/>
            </w14:solidFill>
          </w14:textFill>
        </w:rPr>
        <w:t>15</w:t>
      </w:r>
      <w:r>
        <w:rPr>
          <w:rFonts w:hint="eastAsia" w:ascii="宋体" w:hAnsi="宋体" w:eastAsia="宋体"/>
          <w:color w:val="000000" w:themeColor="text1"/>
          <w:sz w:val="24"/>
          <w:szCs w:val="24"/>
          <w:highlight w:val="none"/>
          <w14:textFill>
            <w14:solidFill>
              <w14:schemeClr w14:val="tx1"/>
            </w14:solidFill>
          </w14:textFill>
        </w:rPr>
        <w:t>）法律法规规定的其他情形</w:t>
      </w:r>
      <w:r>
        <w:rPr>
          <w:rFonts w:hint="eastAsia" w:ascii="宋体" w:hAnsi="宋体" w:eastAsia="宋体" w:cs="Times New Roman"/>
          <w:color w:val="000000" w:themeColor="text1"/>
          <w:sz w:val="24"/>
          <w:szCs w:val="24"/>
          <w:highlight w:val="none"/>
          <w14:textFill>
            <w14:solidFill>
              <w14:schemeClr w14:val="tx1"/>
            </w14:solidFill>
          </w14:textFill>
        </w:rPr>
        <w:t>。</w:t>
      </w:r>
    </w:p>
    <w:p w14:paraId="7C8022D3">
      <w:pPr>
        <w:spacing w:line="360" w:lineRule="auto"/>
        <w:ind w:firstLine="482" w:firstLineChars="200"/>
        <w:outlineLvl w:val="9"/>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1.5 费用承担</w:t>
      </w:r>
    </w:p>
    <w:p w14:paraId="463DD969">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投标人准备和参加投标活动发生的费用自理。</w:t>
      </w:r>
    </w:p>
    <w:p w14:paraId="486339B6">
      <w:pPr>
        <w:pStyle w:val="36"/>
        <w:spacing w:after="0" w:line="360" w:lineRule="auto"/>
        <w:ind w:firstLine="482" w:firstLineChars="200"/>
        <w:outlineLvl w:val="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1.6 保密</w:t>
      </w:r>
    </w:p>
    <w:p w14:paraId="635816AF">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参与招标投标活动的各方应对招标文件和投标文件中的商业和技术等秘密保密，违者应对由此造成的后果承担法律责任。</w:t>
      </w:r>
    </w:p>
    <w:p w14:paraId="2A99250F">
      <w:pPr>
        <w:pStyle w:val="36"/>
        <w:spacing w:after="0" w:line="360" w:lineRule="auto"/>
        <w:ind w:firstLine="482" w:firstLineChars="200"/>
        <w:outlineLvl w:val="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1.7 语言文字</w:t>
      </w:r>
    </w:p>
    <w:p w14:paraId="5559CEF3">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除专用术语外，与招标投标有关的语言均使用中文。必要时专用术语应附有中文注释。</w:t>
      </w:r>
    </w:p>
    <w:p w14:paraId="3123D9C0">
      <w:pPr>
        <w:pStyle w:val="36"/>
        <w:spacing w:after="0" w:line="360" w:lineRule="auto"/>
        <w:ind w:firstLine="482" w:firstLineChars="200"/>
        <w:outlineLvl w:val="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1.8 计量单位</w:t>
      </w:r>
    </w:p>
    <w:p w14:paraId="0FF7A63C">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所有计量均采用中华人民共和国法定计量单位。</w:t>
      </w:r>
    </w:p>
    <w:p w14:paraId="41BDC201">
      <w:pPr>
        <w:pStyle w:val="36"/>
        <w:spacing w:after="0" w:line="360" w:lineRule="auto"/>
        <w:ind w:firstLine="482" w:firstLineChars="200"/>
        <w:outlineLvl w:val="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1.9 踏勘现场</w:t>
      </w:r>
    </w:p>
    <w:p w14:paraId="3976E009">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1.9.1 投标人按投标人须知前附表规定的时间、地点自行踏勘项目现场。 </w:t>
      </w:r>
    </w:p>
    <w:p w14:paraId="01F0AA6D">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1.9.2 投标人踏勘现场发生的费用自理。</w:t>
      </w:r>
    </w:p>
    <w:p w14:paraId="24F52C9B">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1.9.3 除招标人的原因外，投标人自行负责在踏勘现场中所发生的人员伤亡和财产损失。</w:t>
      </w:r>
    </w:p>
    <w:p w14:paraId="07B0F252">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1.9.4 招标人在踏勘现场中了解的工程场地和相关的周边环境情况，供投标人在编制投标文件时参考，招标人不对投标人据此作出的判断和决策负责。</w:t>
      </w:r>
    </w:p>
    <w:p w14:paraId="120B7B5C">
      <w:pPr>
        <w:tabs>
          <w:tab w:val="left" w:pos="105"/>
        </w:tabs>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1.10</w:t>
      </w:r>
      <w:r>
        <w:rPr>
          <w:rFonts w:ascii="宋体" w:hAnsi="宋体"/>
          <w:b/>
          <w:color w:val="000000" w:themeColor="text1"/>
          <w:sz w:val="24"/>
          <w:highlight w:val="none"/>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投标预备会</w:t>
      </w:r>
    </w:p>
    <w:p w14:paraId="323BE680">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1.10.1招标人不召开投标预备会，投标人提出的澄清问题通过交易中心网站提交。网上答疑的相关事项详见招标文件2.2款。</w:t>
      </w:r>
    </w:p>
    <w:p w14:paraId="754B782E">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1.10.2 投标人应在投标人须知前附表规定的时间前，在交易中心网站上提出须澄清的问题。</w:t>
      </w:r>
    </w:p>
    <w:p w14:paraId="660496CD">
      <w:pPr>
        <w:pStyle w:val="36"/>
        <w:spacing w:after="0" w:line="360" w:lineRule="auto"/>
        <w:ind w:firstLine="482" w:firstLineChars="200"/>
        <w:outlineLvl w:val="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1.11 偏离</w:t>
      </w:r>
    </w:p>
    <w:p w14:paraId="55174434">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投标人须知前附表允许投标文件偏离招标文件某些要求的，偏离应当符合招标文件规定的偏离范围和幅度。</w:t>
      </w:r>
    </w:p>
    <w:p w14:paraId="19CB93B8">
      <w:pPr>
        <w:jc w:val="center"/>
        <w:outlineLvl w:val="3"/>
        <w:rPr>
          <w:rFonts w:ascii="仿宋" w:hAnsi="仿宋" w:eastAsia="仿宋"/>
          <w:b/>
          <w:color w:val="000000" w:themeColor="text1"/>
          <w:sz w:val="30"/>
          <w:szCs w:val="30"/>
          <w:highlight w:val="none"/>
          <w14:textFill>
            <w14:solidFill>
              <w14:schemeClr w14:val="tx1"/>
            </w14:solidFill>
          </w14:textFill>
        </w:rPr>
      </w:pPr>
      <w:bookmarkStart w:id="236" w:name="_Toc21143"/>
      <w:bookmarkStart w:id="237" w:name="_Toc262229164"/>
      <w:bookmarkStart w:id="238" w:name="_Toc31366"/>
      <w:bookmarkStart w:id="239" w:name="_Toc3868"/>
      <w:r>
        <w:rPr>
          <w:rFonts w:hint="eastAsia" w:ascii="仿宋" w:hAnsi="仿宋" w:eastAsia="仿宋"/>
          <w:b/>
          <w:color w:val="000000" w:themeColor="text1"/>
          <w:sz w:val="30"/>
          <w:szCs w:val="30"/>
          <w:highlight w:val="none"/>
          <w14:textFill>
            <w14:solidFill>
              <w14:schemeClr w14:val="tx1"/>
            </w14:solidFill>
          </w14:textFill>
        </w:rPr>
        <w:t>（二）招标文件</w:t>
      </w:r>
      <w:bookmarkEnd w:id="236"/>
      <w:bookmarkEnd w:id="237"/>
      <w:bookmarkEnd w:id="238"/>
      <w:bookmarkEnd w:id="239"/>
    </w:p>
    <w:p w14:paraId="2450488C">
      <w:pPr>
        <w:tabs>
          <w:tab w:val="left" w:pos="105"/>
        </w:tabs>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2.1 招标文件的组成</w:t>
      </w:r>
    </w:p>
    <w:p w14:paraId="0B3A2F80">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2.1.1</w:t>
      </w:r>
      <w:r>
        <w:rPr>
          <w:rFonts w:hint="eastAsia" w:ascii="宋体" w:hAnsi="宋体"/>
          <w:color w:val="000000" w:themeColor="text1"/>
          <w:sz w:val="24"/>
          <w:highlight w:val="none"/>
          <w14:textFill>
            <w14:solidFill>
              <w14:schemeClr w14:val="tx1"/>
            </w14:solidFill>
          </w14:textFill>
        </w:rPr>
        <w:t>本招标文件包括下列文件，以及所有按本须知第</w:t>
      </w:r>
      <w:r>
        <w:rPr>
          <w:rFonts w:hint="eastAsia" w:ascii="宋体" w:hAnsi="宋体"/>
          <w:color w:val="000000" w:themeColor="text1"/>
          <w:sz w:val="24"/>
          <w:highlight w:val="none"/>
          <w:lang w:val="en-US" w:eastAsia="zh-CN"/>
          <w14:textFill>
            <w14:solidFill>
              <w14:schemeClr w14:val="tx1"/>
            </w14:solidFill>
          </w14:textFill>
        </w:rPr>
        <w:t>2.3</w:t>
      </w:r>
      <w:r>
        <w:rPr>
          <w:rFonts w:hint="eastAsia" w:ascii="宋体" w:hAnsi="宋体"/>
          <w:color w:val="000000" w:themeColor="text1"/>
          <w:sz w:val="24"/>
          <w:highlight w:val="none"/>
          <w14:textFill>
            <w14:solidFill>
              <w14:schemeClr w14:val="tx1"/>
            </w14:solidFill>
          </w14:textFill>
        </w:rPr>
        <w:t>条发出的澄清或修改和按本须知第</w:t>
      </w:r>
      <w:r>
        <w:rPr>
          <w:rFonts w:hint="eastAsia" w:ascii="宋体" w:hAnsi="宋体"/>
          <w:color w:val="000000" w:themeColor="text1"/>
          <w:sz w:val="24"/>
          <w:highlight w:val="none"/>
          <w:lang w:val="en-US" w:eastAsia="zh-CN"/>
          <w14:textFill>
            <w14:solidFill>
              <w14:schemeClr w14:val="tx1"/>
            </w14:solidFill>
          </w14:textFill>
        </w:rPr>
        <w:t>2.2</w:t>
      </w:r>
      <w:r>
        <w:rPr>
          <w:rFonts w:hint="eastAsia" w:ascii="宋体" w:hAnsi="宋体"/>
          <w:color w:val="000000" w:themeColor="text1"/>
          <w:sz w:val="24"/>
          <w:highlight w:val="none"/>
          <w14:textFill>
            <w14:solidFill>
              <w14:schemeClr w14:val="tx1"/>
            </w14:solidFill>
          </w14:textFill>
        </w:rPr>
        <w:t>条发出的招标答疑纪要：</w:t>
      </w:r>
    </w:p>
    <w:p w14:paraId="42C97005">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（1）招标公告；</w:t>
      </w:r>
    </w:p>
    <w:p w14:paraId="590EAD1C">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（2）投标人须知；</w:t>
      </w:r>
    </w:p>
    <w:p w14:paraId="6508933C">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（3）评标办法；</w:t>
      </w:r>
    </w:p>
    <w:p w14:paraId="46D4CFBD">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（4）合同条款及格式；</w:t>
      </w:r>
    </w:p>
    <w:p w14:paraId="1E24DE02">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（5）工程量清单； </w:t>
      </w:r>
    </w:p>
    <w:p w14:paraId="5A67EAB2">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（6）图纸； </w:t>
      </w:r>
    </w:p>
    <w:p w14:paraId="2E43375F">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（7）技术标准和要求； </w:t>
      </w:r>
    </w:p>
    <w:p w14:paraId="29C6AD98">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（8）投标文件格式；</w:t>
      </w:r>
    </w:p>
    <w:p w14:paraId="6BC4A215">
      <w:pPr>
        <w:spacing w:line="360" w:lineRule="auto"/>
        <w:ind w:firstLine="480" w:firstLineChars="200"/>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（9</w:t>
      </w:r>
      <w:r>
        <w:rPr>
          <w:rFonts w:ascii="宋体" w:hAnsi="宋体"/>
          <w:bCs/>
          <w:color w:val="000000" w:themeColor="text1"/>
          <w:sz w:val="24"/>
          <w:highlight w:val="none"/>
          <w14:textFill>
            <w14:solidFill>
              <w14:schemeClr w14:val="tx1"/>
            </w14:solidFill>
          </w14:textFill>
        </w:rPr>
        <w:t>）</w:t>
      </w:r>
      <w:r>
        <w:rPr>
          <w:rFonts w:hint="eastAsia" w:ascii="宋体" w:hAnsi="宋体"/>
          <w:bCs/>
          <w:color w:val="000000" w:themeColor="text1"/>
          <w:sz w:val="24"/>
          <w:highlight w:val="none"/>
          <w14:textFill>
            <w14:solidFill>
              <w14:schemeClr w14:val="tx1"/>
            </w14:solidFill>
          </w14:textFill>
        </w:rPr>
        <w:t>否决性条款汇总</w:t>
      </w:r>
      <w:r>
        <w:rPr>
          <w:rFonts w:hint="eastAsia" w:ascii="宋体" w:hAnsi="宋体"/>
          <w:bCs/>
          <w:color w:val="000000" w:themeColor="text1"/>
          <w:sz w:val="24"/>
          <w:highlight w:val="none"/>
          <w:lang w:eastAsia="zh-CN"/>
          <w14:textFill>
            <w14:solidFill>
              <w14:schemeClr w14:val="tx1"/>
            </w14:solidFill>
          </w14:textFill>
        </w:rPr>
        <w:t>；</w:t>
      </w:r>
    </w:p>
    <w:p w14:paraId="34871178">
      <w:pPr>
        <w:spacing w:line="360" w:lineRule="auto"/>
        <w:ind w:firstLine="480" w:firstLineChars="20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（10）</w:t>
      </w:r>
      <w:r>
        <w:rPr>
          <w:rFonts w:hint="eastAsia" w:ascii="宋体" w:hAnsi="宋体"/>
          <w:bCs/>
          <w:color w:val="000000" w:themeColor="text1"/>
          <w:sz w:val="24"/>
          <w:szCs w:val="24"/>
          <w:highlight w:val="none"/>
          <w14:textFill>
            <w14:solidFill>
              <w14:schemeClr w14:val="tx1"/>
            </w14:solidFill>
          </w14:textFill>
        </w:rPr>
        <w:t>最高投标限价（招标控制价）</w:t>
      </w:r>
      <w:r>
        <w:rPr>
          <w:rFonts w:hint="eastAsia" w:ascii="宋体" w:hAnsi="宋体"/>
          <w:bCs/>
          <w:color w:val="000000" w:themeColor="text1"/>
          <w:sz w:val="24"/>
          <w:highlight w:val="none"/>
          <w14:textFill>
            <w14:solidFill>
              <w14:schemeClr w14:val="tx1"/>
            </w14:solidFill>
          </w14:textFill>
        </w:rPr>
        <w:t>。</w:t>
      </w:r>
    </w:p>
    <w:p w14:paraId="5A736A94">
      <w:pPr>
        <w:spacing w:line="360" w:lineRule="auto"/>
        <w:ind w:firstLine="480" w:firstLineChars="20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（11）投标人须知前附表规定的其他材料。</w:t>
      </w:r>
    </w:p>
    <w:p w14:paraId="36BA3538">
      <w:pPr>
        <w:spacing w:line="360" w:lineRule="auto"/>
        <w:ind w:firstLine="480" w:firstLineChars="20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招标人应在技术条件（工程建设标准）中明确施工现场建筑垃圾源头减量的具体要求和建筑垃圾综合利用产品的使用要求。</w:t>
      </w:r>
    </w:p>
    <w:p w14:paraId="38212E9D">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2.1.2根据本章第1.10款、第2.2款和第2.3款对招标文件所作的澄清、修改，构成招标文件的组成部分。</w:t>
      </w:r>
    </w:p>
    <w:p w14:paraId="73248BE5">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2.1.3招标人（或委托招标代理机构）使用广东省内依法设立的电子认证服务机构签发的电子签章认证证书对电子形式的招标文件进行电子签章。该电子签章对招标人手写签名或者盖章同等的法律效力。</w:t>
      </w:r>
    </w:p>
    <w:p w14:paraId="0BCB441B">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2.1.4投标人获取电子招标文件后，应仔细检查电子招标文件的合法有效性。合法有效的电子招标文件应具有招标人（或招标代理机构）的电子签章。</w:t>
      </w:r>
    </w:p>
    <w:p w14:paraId="7782386B">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2.1.5</w:t>
      </w:r>
      <w:r>
        <w:rPr>
          <w:rFonts w:hint="eastAsia" w:ascii="宋体" w:hAnsi="宋体"/>
          <w:bCs/>
          <w:color w:val="000000" w:themeColor="text1"/>
          <w:sz w:val="24"/>
          <w:highlight w:val="none"/>
          <w14:textFill>
            <w14:solidFill>
              <w14:schemeClr w14:val="tx1"/>
            </w14:solidFill>
          </w14:textFill>
        </w:rPr>
        <w:t>招标人应在招标文件中明确投标文件主要内容编制的格式要求。</w:t>
      </w:r>
    </w:p>
    <w:p w14:paraId="0695835E">
      <w:pPr>
        <w:widowControl/>
        <w:snapToGrid w:val="0"/>
        <w:spacing w:line="360" w:lineRule="auto"/>
        <w:ind w:firstLine="482" w:firstLineChars="200"/>
        <w:jc w:val="left"/>
        <w:outlineLvl w:val="9"/>
        <w:rPr>
          <w:rFonts w:ascii="宋体" w:hAnsi="宋体"/>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2.2招标答疑</w:t>
      </w:r>
    </w:p>
    <w:p w14:paraId="03C6AE3D">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szCs w:val="21"/>
          <w:highlight w:val="none"/>
          <w14:textFill>
            <w14:solidFill>
              <w14:schemeClr w14:val="tx1"/>
            </w14:solidFill>
          </w14:textFill>
        </w:rPr>
        <w:t>2.2.1</w:t>
      </w:r>
      <w:r>
        <w:rPr>
          <w:rFonts w:hint="eastAsia" w:ascii="宋体" w:hAnsi="宋体" w:eastAsia="宋体"/>
          <w:color w:val="000000" w:themeColor="text1"/>
          <w:sz w:val="24"/>
          <w:highlight w:val="none"/>
          <w14:textFill>
            <w14:solidFill>
              <w14:schemeClr w14:val="tx1"/>
            </w14:solidFill>
          </w14:textFill>
        </w:rPr>
        <w:t xml:space="preserve"> 招标答疑采用网上答疑方式进行。投标人若对招标文件（包括招标图纸、清单、招标控制价）有疑问的，</w:t>
      </w:r>
      <w:r>
        <w:rPr>
          <w:rFonts w:hint="eastAsia" w:ascii="宋体" w:hAnsi="宋体" w:eastAsia="宋体" w:cs="宋体"/>
          <w:bCs/>
          <w:color w:val="000000" w:themeColor="text1"/>
          <w:sz w:val="24"/>
          <w:highlight w:val="none"/>
          <w:u w:val="none"/>
          <w:lang w:eastAsia="zh-CN"/>
          <w14:textFill>
            <w14:solidFill>
              <w14:schemeClr w14:val="tx1"/>
            </w14:solidFill>
          </w14:textFill>
        </w:rPr>
        <w:t>通过</w:t>
      </w:r>
      <w:r>
        <w:rPr>
          <w:rFonts w:hint="eastAsia" w:ascii="宋体" w:hAnsi="宋体" w:eastAsia="宋体" w:cs="宋体"/>
          <w:bCs/>
          <w:color w:val="000000" w:themeColor="text1"/>
          <w:sz w:val="24"/>
          <w:highlight w:val="none"/>
          <w:u w:val="single"/>
          <w:lang w:eastAsia="zh-CN"/>
          <w14:textFill>
            <w14:solidFill>
              <w14:schemeClr w14:val="tx1"/>
            </w14:solidFill>
          </w14:textFill>
        </w:rPr>
        <w:t>广州交易集团有限公司（广州公共资源交易中心）</w:t>
      </w:r>
      <w:r>
        <w:rPr>
          <w:rFonts w:hint="eastAsia" w:ascii="宋体" w:hAnsi="宋体" w:eastAsia="宋体" w:cs="宋体"/>
          <w:bCs/>
          <w:color w:val="000000" w:themeColor="text1"/>
          <w:sz w:val="24"/>
          <w:highlight w:val="none"/>
          <w:u w:val="none"/>
          <w:lang w:eastAsia="zh-CN"/>
          <w14:textFill>
            <w14:solidFill>
              <w14:schemeClr w14:val="tx1"/>
            </w14:solidFill>
          </w14:textFill>
        </w:rPr>
        <w:t>网站提交，</w:t>
      </w:r>
      <w:r>
        <w:rPr>
          <w:rFonts w:hint="eastAsia" w:ascii="宋体" w:hAnsi="宋体" w:eastAsia="宋体" w:cs="宋体"/>
          <w:bCs/>
          <w:color w:val="000000" w:themeColor="text1"/>
          <w:sz w:val="24"/>
          <w:highlight w:val="none"/>
          <w:u w:val="none"/>
          <w14:textFill>
            <w14:solidFill>
              <w14:schemeClr w14:val="tx1"/>
            </w14:solidFill>
          </w14:textFill>
        </w:rPr>
        <w:t>应按照</w:t>
      </w:r>
      <w:r>
        <w:rPr>
          <w:rFonts w:hint="eastAsia" w:ascii="宋体" w:hAnsi="宋体" w:eastAsia="宋体" w:cs="宋体"/>
          <w:bCs/>
          <w:color w:val="000000" w:themeColor="text1"/>
          <w:sz w:val="24"/>
          <w:szCs w:val="20"/>
          <w:highlight w:val="none"/>
          <w:u w:val="none"/>
          <w:lang w:eastAsia="zh-CN"/>
          <w14:textFill>
            <w14:solidFill>
              <w14:schemeClr w14:val="tx1"/>
            </w14:solidFill>
          </w14:textFill>
        </w:rPr>
        <w:t>广州交易集团有限公司（广州公共资源交易中心）网站关于全流程电子化项目的相关指南进行操作</w:t>
      </w:r>
      <w:r>
        <w:rPr>
          <w:rFonts w:hint="eastAsia" w:ascii="宋体" w:hAnsi="宋体" w:eastAsia="宋体" w:cs="宋体"/>
          <w:bCs/>
          <w:color w:val="000000" w:themeColor="text1"/>
          <w:sz w:val="24"/>
          <w:highlight w:val="none"/>
          <w:u w:val="none"/>
          <w14:textFill>
            <w14:solidFill>
              <w14:schemeClr w14:val="tx1"/>
            </w14:solidFill>
          </w14:textFill>
        </w:rPr>
        <w:t>。</w:t>
      </w:r>
      <w:r>
        <w:rPr>
          <w:rFonts w:hint="eastAsia" w:ascii="宋体" w:hAnsi="宋体" w:eastAsia="宋体"/>
          <w:color w:val="000000" w:themeColor="text1"/>
          <w:sz w:val="24"/>
          <w:highlight w:val="none"/>
          <w14:textFill>
            <w14:solidFill>
              <w14:schemeClr w14:val="tx1"/>
            </w14:solidFill>
          </w14:textFill>
        </w:rPr>
        <w:t>提交问题时一律不得署名。</w:t>
      </w:r>
    </w:p>
    <w:p w14:paraId="2A22480A">
      <w:pPr>
        <w:spacing w:line="360" w:lineRule="auto"/>
        <w:ind w:firstLine="480" w:firstLineChars="200"/>
        <w:contextualSpacing/>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2.2.2</w:t>
      </w:r>
      <w:r>
        <w:rPr>
          <w:rFonts w:hint="eastAsia" w:ascii="宋体" w:hAnsi="宋体"/>
          <w:bCs/>
          <w:color w:val="000000" w:themeColor="text1"/>
          <w:sz w:val="24"/>
          <w:highlight w:val="none"/>
          <w14:textFill>
            <w14:solidFill>
              <w14:schemeClr w14:val="tx1"/>
            </w14:solidFill>
          </w14:textFill>
        </w:rPr>
        <w:t>招标答疑纪要将在提交投标文件截止时间 15 日前在</w:t>
      </w:r>
      <w:r>
        <w:rPr>
          <w:rFonts w:hint="eastAsia" w:ascii="宋体" w:hAnsi="宋体"/>
          <w:bCs/>
          <w:color w:val="000000" w:themeColor="text1"/>
          <w:sz w:val="24"/>
          <w:highlight w:val="none"/>
          <w:u w:val="single"/>
          <w:lang w:eastAsia="zh-CN"/>
          <w14:textFill>
            <w14:solidFill>
              <w14:schemeClr w14:val="tx1"/>
            </w14:solidFill>
          </w14:textFill>
        </w:rPr>
        <w:t>广州交易集团有限公司（广州公共资源交易中心）</w:t>
      </w:r>
      <w:r>
        <w:rPr>
          <w:rFonts w:hint="eastAsia" w:ascii="宋体" w:hAnsi="宋体"/>
          <w:bCs/>
          <w:color w:val="000000" w:themeColor="text1"/>
          <w:sz w:val="24"/>
          <w:highlight w:val="none"/>
          <w:lang w:eastAsia="zh-CN"/>
          <w14:textFill>
            <w14:solidFill>
              <w14:schemeClr w14:val="tx1"/>
            </w14:solidFill>
          </w14:textFill>
        </w:rPr>
        <w:t>网站</w:t>
      </w:r>
      <w:r>
        <w:rPr>
          <w:rFonts w:hint="eastAsia" w:ascii="宋体" w:hAnsi="宋体"/>
          <w:bCs/>
          <w:color w:val="000000" w:themeColor="text1"/>
          <w:sz w:val="24"/>
          <w:highlight w:val="none"/>
          <w14:textFill>
            <w14:solidFill>
              <w14:schemeClr w14:val="tx1"/>
            </w14:solidFill>
          </w14:textFill>
        </w:rPr>
        <w:t>“项目答疑纪要”专区公开发布。答疑纪要一经在</w:t>
      </w:r>
      <w:r>
        <w:rPr>
          <w:rFonts w:hint="eastAsia" w:ascii="宋体" w:hAnsi="宋体"/>
          <w:bCs/>
          <w:color w:val="000000" w:themeColor="text1"/>
          <w:sz w:val="24"/>
          <w:highlight w:val="none"/>
          <w:u w:val="single"/>
          <w:lang w:eastAsia="zh-CN"/>
          <w14:textFill>
            <w14:solidFill>
              <w14:schemeClr w14:val="tx1"/>
            </w14:solidFill>
          </w14:textFill>
        </w:rPr>
        <w:t>广州交易集团有限公司（广州公共资源交易中心）</w:t>
      </w:r>
      <w:r>
        <w:rPr>
          <w:rFonts w:hint="eastAsia" w:ascii="宋体" w:hAnsi="宋体"/>
          <w:bCs/>
          <w:color w:val="000000" w:themeColor="text1"/>
          <w:sz w:val="24"/>
          <w:highlight w:val="none"/>
          <w:lang w:eastAsia="zh-CN"/>
          <w14:textFill>
            <w14:solidFill>
              <w14:schemeClr w14:val="tx1"/>
            </w14:solidFill>
          </w14:textFill>
        </w:rPr>
        <w:t>网站</w:t>
      </w:r>
      <w:r>
        <w:rPr>
          <w:rFonts w:hint="eastAsia" w:ascii="宋体" w:hAnsi="宋体"/>
          <w:bCs/>
          <w:color w:val="000000" w:themeColor="text1"/>
          <w:sz w:val="24"/>
          <w:highlight w:val="none"/>
          <w14:textFill>
            <w14:solidFill>
              <w14:schemeClr w14:val="tx1"/>
            </w14:solidFill>
          </w14:textFill>
        </w:rPr>
        <w:t>发布，视作已发放给所有投标人。</w:t>
      </w:r>
    </w:p>
    <w:p w14:paraId="3606BBC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2.2.</w:t>
      </w:r>
      <w:r>
        <w:rPr>
          <w:rFonts w:hint="eastAsia" w:ascii="宋体" w:hAnsi="宋体"/>
          <w:color w:val="000000" w:themeColor="text1"/>
          <w:sz w:val="24"/>
          <w:highlight w:val="none"/>
          <w14:textFill>
            <w14:solidFill>
              <w14:schemeClr w14:val="tx1"/>
            </w14:solidFill>
          </w14:textFill>
        </w:rPr>
        <w:t>3招标答疑纪要为招标文件的一部分。</w:t>
      </w:r>
    </w:p>
    <w:p w14:paraId="78BCBE8E">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ascii="宋体" w:hAnsi="宋体" w:eastAsia="宋体"/>
          <w:color w:val="000000" w:themeColor="text1"/>
          <w:sz w:val="24"/>
          <w:highlight w:val="none"/>
          <w14:textFill>
            <w14:solidFill>
              <w14:schemeClr w14:val="tx1"/>
            </w14:solidFill>
          </w14:textFill>
        </w:rPr>
        <w:t>2.2.</w:t>
      </w:r>
      <w:r>
        <w:rPr>
          <w:rFonts w:hint="eastAsia" w:ascii="宋体" w:hAnsi="宋体" w:eastAsia="宋体"/>
          <w:color w:val="000000" w:themeColor="text1"/>
          <w:sz w:val="24"/>
          <w:highlight w:val="none"/>
          <w14:textFill>
            <w14:solidFill>
              <w14:schemeClr w14:val="tx1"/>
            </w14:solidFill>
          </w14:textFill>
        </w:rPr>
        <w:t>4若招标答疑纪要与招标文件有矛盾时，以</w:t>
      </w:r>
      <w:r>
        <w:rPr>
          <w:rFonts w:hint="eastAsia" w:ascii="宋体" w:hAnsi="宋体" w:eastAsia="宋体" w:cs="宋体"/>
          <w:bCs/>
          <w:color w:val="000000" w:themeColor="text1"/>
          <w:sz w:val="24"/>
          <w:highlight w:val="none"/>
          <w:u w:val="single"/>
          <w:lang w:eastAsia="zh-CN"/>
          <w14:textFill>
            <w14:solidFill>
              <w14:schemeClr w14:val="tx1"/>
            </w14:solidFill>
          </w14:textFill>
        </w:rPr>
        <w:t>广州交易集团有限公司（广州公共资源交易中心）</w:t>
      </w:r>
      <w:r>
        <w:rPr>
          <w:rFonts w:hint="eastAsia" w:ascii="宋体" w:hAnsi="宋体" w:eastAsia="宋体" w:cs="宋体"/>
          <w:bCs/>
          <w:color w:val="000000" w:themeColor="text1"/>
          <w:sz w:val="24"/>
          <w:highlight w:val="none"/>
          <w:lang w:eastAsia="zh-CN"/>
          <w14:textFill>
            <w14:solidFill>
              <w14:schemeClr w14:val="tx1"/>
            </w14:solidFill>
          </w14:textFill>
        </w:rPr>
        <w:t>网站</w:t>
      </w:r>
      <w:r>
        <w:rPr>
          <w:rFonts w:hint="eastAsia" w:ascii="宋体" w:hAnsi="宋体" w:eastAsia="宋体"/>
          <w:color w:val="000000" w:themeColor="text1"/>
          <w:sz w:val="24"/>
          <w:highlight w:val="none"/>
          <w14:textFill>
            <w14:solidFill>
              <w14:schemeClr w14:val="tx1"/>
            </w14:solidFill>
          </w14:textFill>
        </w:rPr>
        <w:t>最后发布的答疑纪要为准。</w:t>
      </w:r>
    </w:p>
    <w:p w14:paraId="69548C4F">
      <w:pPr>
        <w:tabs>
          <w:tab w:val="left" w:pos="105"/>
        </w:tabs>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2.3</w:t>
      </w:r>
      <w:r>
        <w:rPr>
          <w:rFonts w:ascii="宋体" w:hAnsi="宋体"/>
          <w:b/>
          <w:color w:val="000000" w:themeColor="text1"/>
          <w:sz w:val="24"/>
          <w:szCs w:val="24"/>
          <w:highlight w:val="none"/>
          <w14:textFill>
            <w14:solidFill>
              <w14:schemeClr w14:val="tx1"/>
            </w14:solidFill>
          </w14:textFill>
        </w:rPr>
        <w:t>招标文件的</w:t>
      </w:r>
      <w:r>
        <w:rPr>
          <w:rFonts w:hint="eastAsia" w:ascii="宋体" w:hAnsi="宋体"/>
          <w:b/>
          <w:color w:val="000000" w:themeColor="text1"/>
          <w:sz w:val="24"/>
          <w:szCs w:val="24"/>
          <w:highlight w:val="none"/>
          <w14:textFill>
            <w14:solidFill>
              <w14:schemeClr w14:val="tx1"/>
            </w14:solidFill>
          </w14:textFill>
        </w:rPr>
        <w:t>澄清与</w:t>
      </w:r>
      <w:r>
        <w:rPr>
          <w:rFonts w:ascii="宋体" w:hAnsi="宋体"/>
          <w:b/>
          <w:color w:val="000000" w:themeColor="text1"/>
          <w:sz w:val="24"/>
          <w:szCs w:val="24"/>
          <w:highlight w:val="none"/>
          <w14:textFill>
            <w14:solidFill>
              <w14:schemeClr w14:val="tx1"/>
            </w14:solidFill>
          </w14:textFill>
        </w:rPr>
        <w:t>修改</w:t>
      </w:r>
    </w:p>
    <w:p w14:paraId="3E16C35F">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2.3.1 在</w:t>
      </w:r>
      <w:r>
        <w:rPr>
          <w:rFonts w:hint="eastAsia" w:ascii="宋体" w:hAnsi="宋体"/>
          <w:bCs/>
          <w:color w:val="000000" w:themeColor="text1"/>
          <w:sz w:val="24"/>
          <w:highlight w:val="none"/>
          <w:lang w:eastAsia="zh-CN"/>
          <w14:textFill>
            <w14:solidFill>
              <w14:schemeClr w14:val="tx1"/>
            </w14:solidFill>
          </w14:textFill>
        </w:rPr>
        <w:t>投标人须知</w:t>
      </w:r>
      <w:r>
        <w:rPr>
          <w:rFonts w:hint="eastAsia" w:ascii="宋体" w:hAnsi="宋体"/>
          <w:bCs/>
          <w:color w:val="000000" w:themeColor="text1"/>
          <w:sz w:val="24"/>
          <w:highlight w:val="none"/>
          <w14:textFill>
            <w14:solidFill>
              <w14:schemeClr w14:val="tx1"/>
            </w14:solidFill>
          </w14:textFill>
        </w:rPr>
        <w:t>前附表规定的时间前，招标人可以书面形式修改招标文件，并通过</w:t>
      </w:r>
      <w:r>
        <w:rPr>
          <w:rFonts w:hint="eastAsia" w:ascii="宋体" w:hAnsi="宋体"/>
          <w:bCs/>
          <w:color w:val="000000" w:themeColor="text1"/>
          <w:sz w:val="24"/>
          <w:highlight w:val="none"/>
          <w:lang w:eastAsia="zh-CN"/>
          <w14:textFill>
            <w14:solidFill>
              <w14:schemeClr w14:val="tx1"/>
            </w14:solidFill>
          </w14:textFill>
        </w:rPr>
        <w:t>广州交易集团有限公司（广州公共资源交易中心）</w:t>
      </w:r>
      <w:r>
        <w:rPr>
          <w:rFonts w:hint="eastAsia" w:ascii="宋体" w:hAnsi="宋体"/>
          <w:bCs/>
          <w:color w:val="000000" w:themeColor="text1"/>
          <w:sz w:val="24"/>
          <w:highlight w:val="none"/>
          <w14:textFill>
            <w14:solidFill>
              <w14:schemeClr w14:val="tx1"/>
            </w14:solidFill>
          </w14:textFill>
        </w:rPr>
        <w:t>网站发布。如果修改招标文件的时间距投标截止时间不足</w:t>
      </w:r>
      <w:r>
        <w:rPr>
          <w:rFonts w:hint="eastAsia" w:ascii="宋体" w:hAnsi="宋体"/>
          <w:bCs/>
          <w:color w:val="000000" w:themeColor="text1"/>
          <w:sz w:val="24"/>
          <w:highlight w:val="none"/>
          <w:lang w:eastAsia="zh-CN"/>
          <w14:textFill>
            <w14:solidFill>
              <w14:schemeClr w14:val="tx1"/>
            </w14:solidFill>
          </w14:textFill>
        </w:rPr>
        <w:t>投标人须知</w:t>
      </w:r>
      <w:r>
        <w:rPr>
          <w:rFonts w:hint="eastAsia" w:ascii="宋体" w:hAnsi="宋体"/>
          <w:bCs/>
          <w:color w:val="000000" w:themeColor="text1"/>
          <w:sz w:val="24"/>
          <w:highlight w:val="none"/>
          <w14:textFill>
            <w14:solidFill>
              <w14:schemeClr w14:val="tx1"/>
            </w14:solidFill>
          </w14:textFill>
        </w:rPr>
        <w:t>前附表规定的时间，并且修改内容影响投标文件编制的，相应延长投标截止时间。</w:t>
      </w:r>
    </w:p>
    <w:p w14:paraId="313FA6CB">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2.3.2投标人应及时通过</w:t>
      </w:r>
      <w:r>
        <w:rPr>
          <w:rFonts w:hint="eastAsia" w:ascii="宋体" w:hAnsi="宋体"/>
          <w:bCs/>
          <w:color w:val="000000" w:themeColor="text1"/>
          <w:sz w:val="24"/>
          <w:highlight w:val="none"/>
          <w:lang w:eastAsia="zh-CN"/>
          <w14:textFill>
            <w14:solidFill>
              <w14:schemeClr w14:val="tx1"/>
            </w14:solidFill>
          </w14:textFill>
        </w:rPr>
        <w:t>广州交易集团有限公司（广州公共资源交易中心）</w:t>
      </w:r>
      <w:r>
        <w:rPr>
          <w:rFonts w:hint="eastAsia" w:ascii="宋体" w:hAnsi="宋体"/>
          <w:bCs/>
          <w:color w:val="000000" w:themeColor="text1"/>
          <w:sz w:val="24"/>
          <w:highlight w:val="none"/>
          <w14:textFill>
            <w14:solidFill>
              <w14:schemeClr w14:val="tx1"/>
            </w14:solidFill>
          </w14:textFill>
        </w:rPr>
        <w:t>网站浏览、下载招标文件修改。</w:t>
      </w:r>
    </w:p>
    <w:p w14:paraId="5238A5BD">
      <w:pPr>
        <w:pStyle w:val="36"/>
        <w:spacing w:before="50" w:after="5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2.3.3招标文件的澄清或修改在</w:t>
      </w:r>
      <w:r>
        <w:rPr>
          <w:rFonts w:hint="eastAsia" w:ascii="宋体" w:hAnsi="宋体" w:eastAsia="宋体"/>
          <w:color w:val="000000" w:themeColor="text1"/>
          <w:sz w:val="24"/>
          <w:highlight w:val="none"/>
          <w:lang w:eastAsia="zh-CN"/>
          <w14:textFill>
            <w14:solidFill>
              <w14:schemeClr w14:val="tx1"/>
            </w14:solidFill>
          </w14:textFill>
        </w:rPr>
        <w:t>广州交易集团有限公司（广州公共资源交易中心）</w:t>
      </w:r>
      <w:r>
        <w:rPr>
          <w:rFonts w:hint="eastAsia" w:ascii="宋体" w:hAnsi="宋体" w:eastAsia="宋体"/>
          <w:color w:val="000000" w:themeColor="text1"/>
          <w:sz w:val="24"/>
          <w:highlight w:val="none"/>
          <w14:textFill>
            <w14:solidFill>
              <w14:schemeClr w14:val="tx1"/>
            </w14:solidFill>
          </w14:textFill>
        </w:rPr>
        <w:t>网站发布。招标文件的澄清或修改一经在</w:t>
      </w:r>
      <w:r>
        <w:rPr>
          <w:rFonts w:hint="eastAsia" w:ascii="宋体" w:hAnsi="宋体" w:eastAsia="宋体"/>
          <w:color w:val="000000" w:themeColor="text1"/>
          <w:sz w:val="24"/>
          <w:highlight w:val="none"/>
          <w:lang w:eastAsia="zh-CN"/>
          <w14:textFill>
            <w14:solidFill>
              <w14:schemeClr w14:val="tx1"/>
            </w14:solidFill>
          </w14:textFill>
        </w:rPr>
        <w:t>广州交易集团有限公司（广州公共资源交易中心）</w:t>
      </w:r>
      <w:r>
        <w:rPr>
          <w:rFonts w:hint="eastAsia" w:ascii="宋体" w:hAnsi="宋体" w:eastAsia="宋体"/>
          <w:color w:val="000000" w:themeColor="text1"/>
          <w:sz w:val="24"/>
          <w:highlight w:val="none"/>
          <w14:textFill>
            <w14:solidFill>
              <w14:schemeClr w14:val="tx1"/>
            </w14:solidFill>
          </w14:textFill>
        </w:rPr>
        <w:t>网站发布，视作已发放给所有投标人。</w:t>
      </w:r>
    </w:p>
    <w:p w14:paraId="66DA4977">
      <w:pPr>
        <w:pStyle w:val="36"/>
        <w:spacing w:before="50" w:after="5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2.3.4招标文件的澄清、修改作为招标文件的组成部分，具有约束作用。</w:t>
      </w:r>
    </w:p>
    <w:p w14:paraId="144F1340">
      <w:pPr>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2.3.5招标文件的澄清、修改均以</w:t>
      </w:r>
      <w:r>
        <w:rPr>
          <w:rFonts w:hint="eastAsia" w:ascii="宋体" w:hAnsi="宋体"/>
          <w:color w:val="000000" w:themeColor="text1"/>
          <w:sz w:val="24"/>
          <w:highlight w:val="none"/>
          <w:lang w:eastAsia="zh-CN"/>
          <w14:textFill>
            <w14:solidFill>
              <w14:schemeClr w14:val="tx1"/>
            </w14:solidFill>
          </w14:textFill>
        </w:rPr>
        <w:t>广州交易集团有限公司（广州公共资源交易中心）</w:t>
      </w:r>
      <w:r>
        <w:rPr>
          <w:rFonts w:hint="eastAsia" w:ascii="宋体" w:hAnsi="宋体"/>
          <w:color w:val="000000" w:themeColor="text1"/>
          <w:sz w:val="24"/>
          <w:highlight w:val="none"/>
          <w14:textFill>
            <w14:solidFill>
              <w14:schemeClr w14:val="tx1"/>
            </w14:solidFill>
          </w14:textFill>
        </w:rPr>
        <w:t>网站</w:t>
      </w:r>
      <w:r>
        <w:rPr>
          <w:rFonts w:hint="eastAsia" w:ascii="宋体" w:hAnsi="宋体"/>
          <w:color w:val="000000" w:themeColor="text1"/>
          <w:sz w:val="24"/>
          <w:szCs w:val="24"/>
          <w:highlight w:val="none"/>
          <w14:textFill>
            <w14:solidFill>
              <w14:schemeClr w14:val="tx1"/>
            </w14:solidFill>
          </w14:textFill>
        </w:rPr>
        <w:t>发布</w:t>
      </w:r>
      <w:r>
        <w:rPr>
          <w:rFonts w:hint="eastAsia" w:ascii="宋体" w:hAnsi="宋体"/>
          <w:color w:val="000000" w:themeColor="text1"/>
          <w:sz w:val="24"/>
          <w:highlight w:val="none"/>
          <w14:textFill>
            <w14:solidFill>
              <w14:schemeClr w14:val="tx1"/>
            </w14:solidFill>
          </w14:textFill>
        </w:rPr>
        <w:t>的内容为准。当招标文件的澄清、修改在同一内容的表述不一致时，以</w:t>
      </w:r>
      <w:r>
        <w:rPr>
          <w:rFonts w:hint="eastAsia" w:ascii="宋体" w:hAnsi="宋体"/>
          <w:color w:val="000000" w:themeColor="text1"/>
          <w:sz w:val="24"/>
          <w:highlight w:val="none"/>
          <w:lang w:eastAsia="zh-CN"/>
          <w14:textFill>
            <w14:solidFill>
              <w14:schemeClr w14:val="tx1"/>
            </w14:solidFill>
          </w14:textFill>
        </w:rPr>
        <w:t>广州交易集团有限公司（广州公共资源交易中心）</w:t>
      </w:r>
      <w:r>
        <w:rPr>
          <w:rFonts w:hint="eastAsia" w:ascii="宋体" w:hAnsi="宋体"/>
          <w:color w:val="000000" w:themeColor="text1"/>
          <w:sz w:val="24"/>
          <w:highlight w:val="none"/>
          <w14:textFill>
            <w14:solidFill>
              <w14:schemeClr w14:val="tx1"/>
            </w14:solidFill>
          </w14:textFill>
        </w:rPr>
        <w:t>网站最后发布的内容为准。</w:t>
      </w:r>
    </w:p>
    <w:p w14:paraId="79C4EA13">
      <w:pPr>
        <w:jc w:val="center"/>
        <w:outlineLvl w:val="3"/>
        <w:rPr>
          <w:rFonts w:ascii="宋体" w:hAnsi="宋体"/>
          <w:b/>
          <w:color w:val="000000" w:themeColor="text1"/>
          <w:sz w:val="30"/>
          <w:szCs w:val="30"/>
          <w:highlight w:val="none"/>
          <w14:textFill>
            <w14:solidFill>
              <w14:schemeClr w14:val="tx1"/>
            </w14:solidFill>
          </w14:textFill>
        </w:rPr>
      </w:pPr>
      <w:bookmarkStart w:id="240" w:name="_Toc262229165"/>
      <w:bookmarkStart w:id="241" w:name="_Toc101777614"/>
      <w:bookmarkStart w:id="242" w:name="_Toc17033"/>
      <w:bookmarkStart w:id="243" w:name="_Toc1616"/>
      <w:bookmarkStart w:id="244" w:name="_Toc4467"/>
      <w:r>
        <w:rPr>
          <w:rFonts w:hint="eastAsia" w:ascii="宋体" w:hAnsi="宋体"/>
          <w:b/>
          <w:color w:val="000000" w:themeColor="text1"/>
          <w:sz w:val="30"/>
          <w:szCs w:val="30"/>
          <w:highlight w:val="none"/>
          <w14:textFill>
            <w14:solidFill>
              <w14:schemeClr w14:val="tx1"/>
            </w14:solidFill>
          </w14:textFill>
        </w:rPr>
        <w:t>（三）投标文件的编制</w:t>
      </w:r>
      <w:bookmarkEnd w:id="240"/>
      <w:bookmarkEnd w:id="241"/>
      <w:bookmarkEnd w:id="242"/>
      <w:bookmarkEnd w:id="243"/>
      <w:bookmarkEnd w:id="244"/>
    </w:p>
    <w:p w14:paraId="3FA19D3F">
      <w:pPr>
        <w:pStyle w:val="36"/>
        <w:spacing w:after="0" w:line="360" w:lineRule="auto"/>
        <w:ind w:firstLine="482" w:firstLineChars="200"/>
        <w:outlineLvl w:val="9"/>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3.1 投标文件的组成</w:t>
      </w:r>
    </w:p>
    <w:p w14:paraId="42E8369F">
      <w:pPr>
        <w:pStyle w:val="36"/>
        <w:spacing w:after="0" w:line="360" w:lineRule="auto"/>
        <w:ind w:firstLine="480" w:firstLineChars="200"/>
        <w:outlineLvl w:val="9"/>
        <w:rPr>
          <w:rFonts w:ascii="宋体" w:hAnsi="宋体" w:eastAsia="宋体"/>
          <w:color w:val="000000" w:themeColor="text1"/>
          <w:sz w:val="24"/>
          <w:highlight w:val="none"/>
          <w:u w:val="single"/>
          <w14:textFill>
            <w14:solidFill>
              <w14:schemeClr w14:val="tx1"/>
            </w14:solidFill>
          </w14:textFill>
        </w:rPr>
      </w:pPr>
      <w:r>
        <w:rPr>
          <w:rFonts w:hint="eastAsia" w:ascii="宋体" w:hAnsi="宋体" w:eastAsia="宋体"/>
          <w:color w:val="000000" w:themeColor="text1"/>
          <w:sz w:val="24"/>
          <w:highlight w:val="none"/>
          <w:u w:val="single"/>
          <w14:textFill>
            <w14:solidFill>
              <w14:schemeClr w14:val="tx1"/>
            </w14:solidFill>
          </w14:textFill>
        </w:rPr>
        <w:t>3.1.1投标文件应包括下列内容：</w:t>
      </w:r>
    </w:p>
    <w:p w14:paraId="3543A21E">
      <w:pPr>
        <w:pStyle w:val="36"/>
        <w:spacing w:after="0" w:line="360" w:lineRule="auto"/>
        <w:ind w:firstLine="480" w:firstLineChars="200"/>
        <w:rPr>
          <w:rFonts w:ascii="宋体" w:hAnsi="宋体" w:eastAsia="宋体"/>
          <w:color w:val="000000" w:themeColor="text1"/>
          <w:sz w:val="24"/>
          <w:highlight w:val="none"/>
          <w:u w:val="single"/>
          <w14:textFill>
            <w14:solidFill>
              <w14:schemeClr w14:val="tx1"/>
            </w14:solidFill>
          </w14:textFill>
        </w:rPr>
      </w:pPr>
      <w:r>
        <w:rPr>
          <w:rFonts w:hint="eastAsia" w:ascii="宋体" w:hAnsi="宋体" w:eastAsia="宋体"/>
          <w:color w:val="000000" w:themeColor="text1"/>
          <w:sz w:val="24"/>
          <w:highlight w:val="none"/>
          <w:u w:val="single"/>
          <w14:textFill>
            <w14:solidFill>
              <w14:schemeClr w14:val="tx1"/>
            </w14:solidFill>
          </w14:textFill>
        </w:rPr>
        <w:t>（1）投标函及投标函附录；</w:t>
      </w:r>
    </w:p>
    <w:p w14:paraId="2DA83A87">
      <w:pPr>
        <w:pStyle w:val="36"/>
        <w:spacing w:after="0" w:line="360" w:lineRule="auto"/>
        <w:ind w:firstLine="480" w:firstLineChars="200"/>
        <w:rPr>
          <w:rFonts w:ascii="宋体" w:hAnsi="宋体" w:eastAsia="宋体"/>
          <w:color w:val="000000" w:themeColor="text1"/>
          <w:sz w:val="24"/>
          <w:highlight w:val="none"/>
          <w:u w:val="single"/>
          <w14:textFill>
            <w14:solidFill>
              <w14:schemeClr w14:val="tx1"/>
            </w14:solidFill>
          </w14:textFill>
        </w:rPr>
      </w:pPr>
      <w:r>
        <w:rPr>
          <w:rFonts w:hint="eastAsia" w:ascii="宋体" w:hAnsi="宋体" w:eastAsia="宋体"/>
          <w:color w:val="000000" w:themeColor="text1"/>
          <w:sz w:val="24"/>
          <w:highlight w:val="none"/>
          <w:u w:val="single"/>
          <w14:textFill>
            <w14:solidFill>
              <w14:schemeClr w14:val="tx1"/>
            </w14:solidFill>
          </w14:textFill>
        </w:rPr>
        <w:t>（2）法定代表人身份证明；</w:t>
      </w:r>
    </w:p>
    <w:p w14:paraId="0112EC5B">
      <w:pPr>
        <w:pStyle w:val="36"/>
        <w:spacing w:after="0" w:line="360" w:lineRule="auto"/>
        <w:ind w:firstLine="480" w:firstLineChars="200"/>
        <w:rPr>
          <w:rFonts w:hint="eastAsia" w:ascii="宋体" w:hAnsi="宋体" w:eastAsia="宋体"/>
          <w:color w:val="000000" w:themeColor="text1"/>
          <w:sz w:val="24"/>
          <w:highlight w:val="none"/>
          <w:u w:val="single"/>
          <w14:textFill>
            <w14:solidFill>
              <w14:schemeClr w14:val="tx1"/>
            </w14:solidFill>
          </w14:textFill>
        </w:rPr>
      </w:pPr>
      <w:r>
        <w:rPr>
          <w:rFonts w:hint="eastAsia" w:ascii="宋体" w:hAnsi="宋体" w:eastAsia="宋体"/>
          <w:color w:val="000000" w:themeColor="text1"/>
          <w:sz w:val="24"/>
          <w:highlight w:val="none"/>
          <w:u w:val="single"/>
          <w14:textFill>
            <w14:solidFill>
              <w14:schemeClr w14:val="tx1"/>
            </w14:solidFill>
          </w14:textFill>
        </w:rPr>
        <w:t>（3）授权委托书（适用于有委托代理人的情况）；</w:t>
      </w:r>
    </w:p>
    <w:p w14:paraId="31B84DD8">
      <w:pPr>
        <w:pStyle w:val="36"/>
        <w:spacing w:after="0" w:line="360" w:lineRule="auto"/>
        <w:ind w:firstLine="480" w:firstLineChars="200"/>
        <w:rPr>
          <w:rFonts w:ascii="宋体" w:hAnsi="宋体" w:eastAsia="宋体"/>
          <w:color w:val="000000" w:themeColor="text1"/>
          <w:sz w:val="24"/>
          <w:highlight w:val="none"/>
          <w:u w:val="single"/>
          <w14:textFill>
            <w14:solidFill>
              <w14:schemeClr w14:val="tx1"/>
            </w14:solidFill>
          </w14:textFill>
        </w:rPr>
      </w:pPr>
      <w:r>
        <w:rPr>
          <w:rFonts w:hint="eastAsia" w:ascii="宋体" w:hAnsi="宋体" w:eastAsia="宋体"/>
          <w:color w:val="000000" w:themeColor="text1"/>
          <w:sz w:val="24"/>
          <w:highlight w:val="none"/>
          <w:u w:val="single"/>
          <w14:textFill>
            <w14:solidFill>
              <w14:schemeClr w14:val="tx1"/>
            </w14:solidFill>
          </w14:textFill>
        </w:rPr>
        <w:t>（</w:t>
      </w:r>
      <w:r>
        <w:rPr>
          <w:rFonts w:hint="eastAsia" w:ascii="宋体" w:hAnsi="宋体" w:eastAsia="宋体"/>
          <w:color w:val="000000" w:themeColor="text1"/>
          <w:sz w:val="24"/>
          <w:highlight w:val="none"/>
          <w:u w:val="single"/>
          <w:lang w:val="en-US" w:eastAsia="zh-CN"/>
          <w14:textFill>
            <w14:solidFill>
              <w14:schemeClr w14:val="tx1"/>
            </w14:solidFill>
          </w14:textFill>
        </w:rPr>
        <w:t>4</w:t>
      </w:r>
      <w:r>
        <w:rPr>
          <w:rFonts w:hint="eastAsia" w:ascii="宋体" w:hAnsi="宋体" w:eastAsia="宋体"/>
          <w:color w:val="000000" w:themeColor="text1"/>
          <w:sz w:val="24"/>
          <w:highlight w:val="none"/>
          <w:u w:val="single"/>
          <w14:textFill>
            <w14:solidFill>
              <w14:schemeClr w14:val="tx1"/>
            </w14:solidFill>
          </w14:textFill>
        </w:rPr>
        <w:t>）投标保证金；</w:t>
      </w:r>
    </w:p>
    <w:p w14:paraId="1F38EA62">
      <w:pPr>
        <w:pStyle w:val="36"/>
        <w:spacing w:after="0" w:line="360" w:lineRule="auto"/>
        <w:ind w:firstLine="480" w:firstLineChars="200"/>
        <w:rPr>
          <w:rFonts w:ascii="宋体" w:hAnsi="宋体" w:eastAsia="宋体"/>
          <w:color w:val="000000" w:themeColor="text1"/>
          <w:sz w:val="24"/>
          <w:highlight w:val="none"/>
          <w:u w:val="single"/>
          <w14:textFill>
            <w14:solidFill>
              <w14:schemeClr w14:val="tx1"/>
            </w14:solidFill>
          </w14:textFill>
        </w:rPr>
      </w:pPr>
      <w:r>
        <w:rPr>
          <w:rFonts w:hint="eastAsia" w:ascii="宋体" w:hAnsi="宋体" w:eastAsia="宋体"/>
          <w:color w:val="000000" w:themeColor="text1"/>
          <w:sz w:val="24"/>
          <w:highlight w:val="none"/>
          <w:u w:val="single"/>
          <w14:textFill>
            <w14:solidFill>
              <w14:schemeClr w14:val="tx1"/>
            </w14:solidFill>
          </w14:textFill>
        </w:rPr>
        <w:t>（</w:t>
      </w:r>
      <w:r>
        <w:rPr>
          <w:rFonts w:hint="eastAsia" w:ascii="宋体" w:hAnsi="宋体" w:eastAsia="宋体"/>
          <w:color w:val="000000" w:themeColor="text1"/>
          <w:sz w:val="24"/>
          <w:highlight w:val="none"/>
          <w:u w:val="single"/>
          <w:lang w:val="en-US" w:eastAsia="zh-CN"/>
          <w14:textFill>
            <w14:solidFill>
              <w14:schemeClr w14:val="tx1"/>
            </w14:solidFill>
          </w14:textFill>
        </w:rPr>
        <w:t>5</w:t>
      </w:r>
      <w:r>
        <w:rPr>
          <w:rFonts w:hint="eastAsia" w:ascii="宋体" w:hAnsi="宋体" w:eastAsia="宋体"/>
          <w:color w:val="000000" w:themeColor="text1"/>
          <w:sz w:val="24"/>
          <w:highlight w:val="none"/>
          <w:u w:val="single"/>
          <w14:textFill>
            <w14:solidFill>
              <w14:schemeClr w14:val="tx1"/>
            </w14:solidFill>
          </w14:textFill>
        </w:rPr>
        <w:t>）已标价工程量清单；</w:t>
      </w:r>
    </w:p>
    <w:p w14:paraId="02CA452C">
      <w:pPr>
        <w:pStyle w:val="36"/>
        <w:spacing w:after="0" w:line="360" w:lineRule="auto"/>
        <w:ind w:firstLine="480" w:firstLineChars="200"/>
        <w:rPr>
          <w:rFonts w:ascii="宋体" w:hAnsi="宋体" w:eastAsia="宋体"/>
          <w:color w:val="000000" w:themeColor="text1"/>
          <w:sz w:val="24"/>
          <w:highlight w:val="none"/>
          <w:u w:val="single"/>
          <w14:textFill>
            <w14:solidFill>
              <w14:schemeClr w14:val="tx1"/>
            </w14:solidFill>
          </w14:textFill>
        </w:rPr>
      </w:pPr>
      <w:r>
        <w:rPr>
          <w:rFonts w:hint="eastAsia" w:ascii="宋体" w:hAnsi="宋体" w:eastAsia="宋体"/>
          <w:color w:val="000000" w:themeColor="text1"/>
          <w:sz w:val="24"/>
          <w:highlight w:val="none"/>
          <w:u w:val="single"/>
          <w14:textFill>
            <w14:solidFill>
              <w14:schemeClr w14:val="tx1"/>
            </w14:solidFill>
          </w14:textFill>
        </w:rPr>
        <w:t>（</w:t>
      </w:r>
      <w:r>
        <w:rPr>
          <w:rFonts w:hint="eastAsia" w:ascii="宋体" w:hAnsi="宋体" w:eastAsia="宋体"/>
          <w:color w:val="000000" w:themeColor="text1"/>
          <w:sz w:val="24"/>
          <w:highlight w:val="none"/>
          <w:u w:val="single"/>
          <w:lang w:val="en-US" w:eastAsia="zh-CN"/>
          <w14:textFill>
            <w14:solidFill>
              <w14:schemeClr w14:val="tx1"/>
            </w14:solidFill>
          </w14:textFill>
        </w:rPr>
        <w:t>6</w:t>
      </w:r>
      <w:r>
        <w:rPr>
          <w:rFonts w:hint="eastAsia" w:ascii="宋体" w:hAnsi="宋体" w:eastAsia="宋体"/>
          <w:color w:val="000000" w:themeColor="text1"/>
          <w:sz w:val="24"/>
          <w:highlight w:val="none"/>
          <w:u w:val="single"/>
          <w14:textFill>
            <w14:solidFill>
              <w14:schemeClr w14:val="tx1"/>
            </w14:solidFill>
          </w14:textFill>
        </w:rPr>
        <w:t>）施工组织设计（</w:t>
      </w:r>
      <w:r>
        <w:rPr>
          <w:rFonts w:hint="eastAsia" w:ascii="宋体" w:hAnsi="宋体" w:eastAsia="宋体" w:cs="宋体"/>
          <w:color w:val="000000" w:themeColor="text1"/>
          <w:sz w:val="24"/>
          <w:highlight w:val="none"/>
          <w:u w:val="single"/>
          <w14:textFill>
            <w14:solidFill>
              <w14:schemeClr w14:val="tx1"/>
            </w14:solidFill>
          </w14:textFill>
        </w:rPr>
        <w:t>本项目要求编制技术标，需要提交详细施工组织设计</w:t>
      </w:r>
      <w:r>
        <w:rPr>
          <w:rFonts w:hint="eastAsia" w:ascii="宋体" w:hAnsi="宋体" w:eastAsia="宋体" w:cs="宋体"/>
          <w:color w:val="000000" w:themeColor="text1"/>
          <w:sz w:val="24"/>
          <w:highlight w:val="none"/>
          <w:u w:val="single"/>
          <w:lang w:eastAsia="zh-CN"/>
          <w14:textFill>
            <w14:solidFill>
              <w14:schemeClr w14:val="tx1"/>
            </w14:solidFill>
          </w14:textFill>
        </w:rPr>
        <w:t>；</w:t>
      </w:r>
      <w:r>
        <w:rPr>
          <w:rFonts w:hint="eastAsia" w:ascii="宋体" w:hAnsi="宋体" w:eastAsia="宋体"/>
          <w:color w:val="000000" w:themeColor="text1"/>
          <w:sz w:val="24"/>
          <w:highlight w:val="none"/>
          <w:u w:val="single"/>
          <w14:textFill>
            <w14:solidFill>
              <w14:schemeClr w14:val="tx1"/>
            </w14:solidFill>
          </w14:textFill>
        </w:rPr>
        <w:t xml:space="preserve">投标人在编制施工组织设计或施工方案时应按照招标人提出的施工现场建筑垃圾源头减量的具体要求以及建筑垃圾综合利用产品的使用要求提供相应措施）； </w:t>
      </w:r>
    </w:p>
    <w:p w14:paraId="1A7D2032">
      <w:pPr>
        <w:pStyle w:val="36"/>
        <w:spacing w:after="0" w:line="360" w:lineRule="auto"/>
        <w:ind w:firstLine="480" w:firstLineChars="200"/>
        <w:rPr>
          <w:rFonts w:ascii="宋体" w:hAnsi="宋体" w:eastAsia="宋体"/>
          <w:color w:val="000000" w:themeColor="text1"/>
          <w:sz w:val="24"/>
          <w:highlight w:val="none"/>
          <w:u w:val="single"/>
          <w14:textFill>
            <w14:solidFill>
              <w14:schemeClr w14:val="tx1"/>
            </w14:solidFill>
          </w14:textFill>
        </w:rPr>
      </w:pPr>
      <w:r>
        <w:rPr>
          <w:rFonts w:hint="eastAsia" w:ascii="宋体" w:hAnsi="宋体" w:eastAsia="宋体"/>
          <w:color w:val="000000" w:themeColor="text1"/>
          <w:sz w:val="24"/>
          <w:highlight w:val="none"/>
          <w:u w:val="single"/>
          <w14:textFill>
            <w14:solidFill>
              <w14:schemeClr w14:val="tx1"/>
            </w14:solidFill>
          </w14:textFill>
        </w:rPr>
        <w:t>（</w:t>
      </w:r>
      <w:r>
        <w:rPr>
          <w:rFonts w:hint="eastAsia" w:ascii="宋体" w:hAnsi="宋体" w:eastAsia="宋体"/>
          <w:color w:val="000000" w:themeColor="text1"/>
          <w:sz w:val="24"/>
          <w:highlight w:val="none"/>
          <w:u w:val="single"/>
          <w:lang w:val="en-US" w:eastAsia="zh-CN"/>
          <w14:textFill>
            <w14:solidFill>
              <w14:schemeClr w14:val="tx1"/>
            </w14:solidFill>
          </w14:textFill>
        </w:rPr>
        <w:t>7</w:t>
      </w:r>
      <w:r>
        <w:rPr>
          <w:rFonts w:hint="eastAsia" w:ascii="宋体" w:hAnsi="宋体" w:eastAsia="宋体"/>
          <w:color w:val="000000" w:themeColor="text1"/>
          <w:sz w:val="24"/>
          <w:highlight w:val="none"/>
          <w:u w:val="single"/>
          <w14:textFill>
            <w14:solidFill>
              <w14:schemeClr w14:val="tx1"/>
            </w14:solidFill>
          </w14:textFill>
        </w:rPr>
        <w:t>）项目管理机构；</w:t>
      </w:r>
    </w:p>
    <w:p w14:paraId="7668E728">
      <w:pPr>
        <w:pStyle w:val="36"/>
        <w:spacing w:after="0" w:line="360" w:lineRule="auto"/>
        <w:ind w:firstLine="480" w:firstLineChars="200"/>
        <w:rPr>
          <w:rFonts w:ascii="宋体" w:hAnsi="宋体" w:eastAsia="宋体"/>
          <w:color w:val="000000" w:themeColor="text1"/>
          <w:sz w:val="24"/>
          <w:highlight w:val="none"/>
          <w:u w:val="single"/>
          <w14:textFill>
            <w14:solidFill>
              <w14:schemeClr w14:val="tx1"/>
            </w14:solidFill>
          </w14:textFill>
        </w:rPr>
      </w:pPr>
      <w:r>
        <w:rPr>
          <w:rFonts w:hint="eastAsia" w:ascii="宋体" w:hAnsi="宋体" w:eastAsia="宋体"/>
          <w:color w:val="000000" w:themeColor="text1"/>
          <w:sz w:val="24"/>
          <w:highlight w:val="none"/>
          <w:u w:val="single"/>
          <w14:textFill>
            <w14:solidFill>
              <w14:schemeClr w14:val="tx1"/>
            </w14:solidFill>
          </w14:textFill>
        </w:rPr>
        <w:t>（</w:t>
      </w:r>
      <w:r>
        <w:rPr>
          <w:rFonts w:hint="eastAsia" w:ascii="宋体" w:hAnsi="宋体" w:eastAsia="宋体"/>
          <w:color w:val="000000" w:themeColor="text1"/>
          <w:sz w:val="24"/>
          <w:highlight w:val="none"/>
          <w:u w:val="single"/>
          <w:lang w:val="en-US" w:eastAsia="zh-CN"/>
          <w14:textFill>
            <w14:solidFill>
              <w14:schemeClr w14:val="tx1"/>
            </w14:solidFill>
          </w14:textFill>
        </w:rPr>
        <w:t>8</w:t>
      </w:r>
      <w:r>
        <w:rPr>
          <w:rFonts w:hint="eastAsia" w:ascii="宋体" w:hAnsi="宋体" w:eastAsia="宋体"/>
          <w:color w:val="000000" w:themeColor="text1"/>
          <w:sz w:val="24"/>
          <w:highlight w:val="none"/>
          <w:u w:val="single"/>
          <w14:textFill>
            <w14:solidFill>
              <w14:schemeClr w14:val="tx1"/>
            </w14:solidFill>
          </w14:textFill>
        </w:rPr>
        <w:t>）资格审查资料；</w:t>
      </w:r>
    </w:p>
    <w:p w14:paraId="7BCE85B2">
      <w:pPr>
        <w:pStyle w:val="36"/>
        <w:spacing w:after="0" w:line="360" w:lineRule="auto"/>
        <w:ind w:firstLine="480" w:firstLineChars="200"/>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u w:val="single"/>
          <w14:textFill>
            <w14:solidFill>
              <w14:schemeClr w14:val="tx1"/>
            </w14:solidFill>
          </w14:textFill>
        </w:rPr>
        <w:t>（</w:t>
      </w:r>
      <w:r>
        <w:rPr>
          <w:rFonts w:hint="eastAsia" w:ascii="宋体" w:hAnsi="宋体" w:eastAsia="宋体"/>
          <w:color w:val="000000" w:themeColor="text1"/>
          <w:sz w:val="24"/>
          <w:highlight w:val="none"/>
          <w:u w:val="single"/>
          <w:lang w:val="en-US" w:eastAsia="zh-CN"/>
          <w14:textFill>
            <w14:solidFill>
              <w14:schemeClr w14:val="tx1"/>
            </w14:solidFill>
          </w14:textFill>
        </w:rPr>
        <w:t>9</w:t>
      </w:r>
      <w:r>
        <w:rPr>
          <w:rFonts w:hint="eastAsia" w:ascii="宋体" w:hAnsi="宋体" w:eastAsia="宋体"/>
          <w:color w:val="000000" w:themeColor="text1"/>
          <w:sz w:val="24"/>
          <w:highlight w:val="none"/>
          <w:u w:val="single"/>
          <w14:textFill>
            <w14:solidFill>
              <w14:schemeClr w14:val="tx1"/>
            </w14:solidFill>
          </w14:textFill>
        </w:rPr>
        <w:t>）其他应提交的材料。</w:t>
      </w:r>
    </w:p>
    <w:p w14:paraId="2FBDB934">
      <w:pPr>
        <w:pStyle w:val="36"/>
        <w:spacing w:after="0" w:line="360" w:lineRule="auto"/>
        <w:ind w:firstLine="482" w:firstLineChars="200"/>
        <w:outlineLvl w:val="9"/>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3.2 投标报价</w:t>
      </w:r>
    </w:p>
    <w:p w14:paraId="43F97476">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3.2.1 投标人应按第五章“工程量清单”的要求填写相应表格。</w:t>
      </w:r>
    </w:p>
    <w:p w14:paraId="7CA1214E">
      <w:pPr>
        <w:pStyle w:val="36"/>
        <w:spacing w:after="0" w:line="360" w:lineRule="auto"/>
        <w:ind w:firstLine="480" w:firstLineChars="200"/>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3.2.2 投标人在投标截止时间前修改投标函中的投标报价总额，应同时修改“已标价工程量清单”中的相应报价，投标报价总额为各分项金额之和。此修改须符合本章第4.3款的有关要求。</w:t>
      </w:r>
    </w:p>
    <w:p w14:paraId="1FB3376A">
      <w:pPr>
        <w:pStyle w:val="36"/>
        <w:spacing w:after="0" w:line="360" w:lineRule="auto"/>
        <w:ind w:firstLine="480" w:firstLineChars="200"/>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3.2.3投标人的投标报价不得超过最高投标限价，最高投标限价见投标人须知前附表。</w:t>
      </w:r>
    </w:p>
    <w:p w14:paraId="5D43F623">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3.2.4成本警示价见投标人须知前附表。对低于该</w:t>
      </w:r>
      <w:r>
        <w:rPr>
          <w:rFonts w:hint="eastAsia" w:ascii="宋体" w:hAnsi="宋体" w:eastAsia="宋体"/>
          <w:color w:val="000000" w:themeColor="text1"/>
          <w:sz w:val="24"/>
          <w:highlight w:val="none"/>
          <w:lang w:eastAsia="zh-CN"/>
          <w14:textFill>
            <w14:solidFill>
              <w14:schemeClr w14:val="tx1"/>
            </w14:solidFill>
          </w14:textFill>
        </w:rPr>
        <w:t>成本</w:t>
      </w:r>
      <w:r>
        <w:rPr>
          <w:rFonts w:hint="eastAsia" w:ascii="宋体" w:hAnsi="宋体" w:eastAsia="宋体"/>
          <w:color w:val="000000" w:themeColor="text1"/>
          <w:sz w:val="24"/>
          <w:highlight w:val="none"/>
          <w14:textFill>
            <w14:solidFill>
              <w14:schemeClr w14:val="tx1"/>
            </w14:solidFill>
          </w14:textFill>
        </w:rPr>
        <w:t>警示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示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34198CBA">
      <w:pPr>
        <w:pStyle w:val="36"/>
        <w:spacing w:after="0" w:line="360" w:lineRule="auto"/>
        <w:ind w:firstLine="482" w:firstLineChars="200"/>
        <w:outlineLvl w:val="9"/>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3.3 投标有效期</w:t>
      </w:r>
    </w:p>
    <w:p w14:paraId="5D1281B7">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3.3.1 投标有效期见</w:t>
      </w:r>
      <w:r>
        <w:rPr>
          <w:rFonts w:hint="eastAsia" w:ascii="宋体" w:hAnsi="宋体" w:eastAsia="宋体"/>
          <w:color w:val="000000" w:themeColor="text1"/>
          <w:sz w:val="24"/>
          <w:highlight w:val="none"/>
          <w:lang w:eastAsia="zh-CN"/>
          <w14:textFill>
            <w14:solidFill>
              <w14:schemeClr w14:val="tx1"/>
            </w14:solidFill>
          </w14:textFill>
        </w:rPr>
        <w:t>投标人须知</w:t>
      </w:r>
      <w:r>
        <w:rPr>
          <w:rFonts w:hint="eastAsia" w:ascii="宋体" w:hAnsi="宋体" w:eastAsia="宋体"/>
          <w:color w:val="000000" w:themeColor="text1"/>
          <w:sz w:val="24"/>
          <w:highlight w:val="none"/>
          <w14:textFill>
            <w14:solidFill>
              <w14:schemeClr w14:val="tx1"/>
            </w14:solidFill>
          </w14:textFill>
        </w:rPr>
        <w:t>前附表所规定的期限，在此期限内，凡符合本招标文件要求的投标文件均保持有效。</w:t>
      </w:r>
    </w:p>
    <w:p w14:paraId="65F554B5">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3.3.2在投标有效期内，投标人撤销或修改其投标文件的，应承担招标文件和法律规定的责任。</w:t>
      </w:r>
    </w:p>
    <w:p w14:paraId="4A858FDA">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7E17E90A">
      <w:pPr>
        <w:pStyle w:val="36"/>
        <w:spacing w:after="0" w:line="360" w:lineRule="auto"/>
        <w:ind w:firstLine="482" w:firstLineChars="200"/>
        <w:outlineLvl w:val="9"/>
        <w:rPr>
          <w:rFonts w:hint="eastAsia" w:ascii="宋体" w:hAnsi="宋体" w:eastAsia="宋体"/>
          <w:b/>
          <w:bCs/>
          <w:color w:val="000000" w:themeColor="text1"/>
          <w:sz w:val="24"/>
          <w:highlight w:val="none"/>
          <w:lang w:eastAsia="zh-CN"/>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3.4 投标保证金</w:t>
      </w:r>
    </w:p>
    <w:p w14:paraId="226AA2F3">
      <w:pPr>
        <w:pStyle w:val="36"/>
        <w:spacing w:after="0" w:line="360" w:lineRule="auto"/>
        <w:ind w:firstLine="480" w:firstLineChars="200"/>
        <w:rPr>
          <w:rFonts w:ascii="宋体" w:hAnsi="宋体" w:eastAsia="宋体"/>
          <w:b/>
          <w:bCs/>
          <w:color w:val="000000" w:themeColor="text1"/>
          <w:sz w:val="24"/>
          <w:highlight w:val="none"/>
          <w:lang w:eastAsia="zh-CN"/>
          <w14:textFill>
            <w14:solidFill>
              <w14:schemeClr w14:val="tx1"/>
            </w14:solidFill>
          </w14:textFill>
        </w:rPr>
      </w:pPr>
      <w:r>
        <w:rPr>
          <w:rFonts w:hint="eastAsia" w:ascii="宋体" w:hAnsi="宋体" w:eastAsia="宋体"/>
          <w:color w:val="000000" w:themeColor="text1"/>
          <w:sz w:val="24"/>
          <w:highlight w:val="none"/>
          <w:lang w:eastAsia="zh-CN"/>
          <w14:textFill>
            <w14:solidFill>
              <w14:schemeClr w14:val="tx1"/>
            </w14:solidFill>
          </w14:textFill>
        </w:rPr>
        <w:t>3.4.1</w:t>
      </w:r>
      <w:r>
        <w:rPr>
          <w:rFonts w:hint="eastAsia" w:ascii="宋体" w:hAnsi="宋体" w:eastAsia="宋体"/>
          <w:color w:val="000000" w:themeColor="text1"/>
          <w:sz w:val="24"/>
          <w:highlight w:val="none"/>
          <w14:textFill>
            <w14:solidFill>
              <w14:schemeClr w14:val="tx1"/>
            </w14:solidFill>
          </w14:textFill>
        </w:rPr>
        <w:t>投标人应按</w:t>
      </w:r>
      <w:r>
        <w:rPr>
          <w:rFonts w:hint="eastAsia" w:ascii="宋体" w:hAnsi="宋体" w:eastAsia="宋体"/>
          <w:color w:val="000000" w:themeColor="text1"/>
          <w:sz w:val="24"/>
          <w:highlight w:val="none"/>
          <w:lang w:eastAsia="zh-CN"/>
          <w14:textFill>
            <w14:solidFill>
              <w14:schemeClr w14:val="tx1"/>
            </w14:solidFill>
          </w14:textFill>
        </w:rPr>
        <w:t>投标人须知</w:t>
      </w:r>
      <w:r>
        <w:rPr>
          <w:rFonts w:hint="eastAsia" w:ascii="宋体" w:hAnsi="宋体" w:eastAsia="宋体"/>
          <w:color w:val="000000" w:themeColor="text1"/>
          <w:sz w:val="24"/>
          <w:highlight w:val="none"/>
          <w14:textFill>
            <w14:solidFill>
              <w14:schemeClr w14:val="tx1"/>
            </w14:solidFill>
          </w14:textFill>
        </w:rPr>
        <w:t>前附表规定的金额和时间递交投标保证金。招标人应当允许投标人自主选择现金、银行保函、保证保险、专业工程担保公司担保等方式缴纳投标保证金。联合体投标的，其投标</w:t>
      </w:r>
      <w:r>
        <w:rPr>
          <w:rFonts w:hint="eastAsia" w:ascii="宋体" w:hAnsi="宋体" w:eastAsia="宋体"/>
          <w:color w:val="000000" w:themeColor="text1"/>
          <w:sz w:val="24"/>
          <w:highlight w:val="none"/>
          <w:lang w:eastAsia="zh-CN"/>
          <w14:textFill>
            <w14:solidFill>
              <w14:schemeClr w14:val="tx1"/>
            </w14:solidFill>
          </w14:textFill>
        </w:rPr>
        <w:t>保证金</w:t>
      </w:r>
      <w:r>
        <w:rPr>
          <w:rFonts w:hint="eastAsia" w:ascii="宋体" w:hAnsi="宋体" w:eastAsia="宋体"/>
          <w:color w:val="000000" w:themeColor="text1"/>
          <w:sz w:val="24"/>
          <w:highlight w:val="none"/>
          <w14:textFill>
            <w14:solidFill>
              <w14:schemeClr w14:val="tx1"/>
            </w14:solidFill>
          </w14:textFill>
        </w:rPr>
        <w:t>可以由</w:t>
      </w:r>
      <w:r>
        <w:rPr>
          <w:rFonts w:hint="eastAsia" w:ascii="宋体" w:hAnsi="宋体" w:eastAsia="宋体"/>
          <w:color w:val="000000" w:themeColor="text1"/>
          <w:sz w:val="24"/>
          <w:highlight w:val="none"/>
          <w:lang w:eastAsia="zh-CN"/>
          <w14:textFill>
            <w14:solidFill>
              <w14:schemeClr w14:val="tx1"/>
            </w14:solidFill>
          </w14:textFill>
        </w:rPr>
        <w:t>主办方</w:t>
      </w:r>
      <w:r>
        <w:rPr>
          <w:rFonts w:hint="eastAsia" w:ascii="宋体" w:hAnsi="宋体" w:eastAsia="宋体"/>
          <w:color w:val="000000" w:themeColor="text1"/>
          <w:sz w:val="24"/>
          <w:highlight w:val="none"/>
          <w14:textFill>
            <w14:solidFill>
              <w14:schemeClr w14:val="tx1"/>
            </w14:solidFill>
          </w14:textFill>
        </w:rPr>
        <w:t>递交，并应符合投标人须知前附表的规定。</w:t>
      </w:r>
    </w:p>
    <w:p w14:paraId="675A3B30">
      <w:pPr>
        <w:pStyle w:val="36"/>
        <w:spacing w:after="0" w:line="360" w:lineRule="auto"/>
        <w:ind w:firstLine="480" w:firstLineChars="200"/>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3.4.</w:t>
      </w:r>
      <w:r>
        <w:rPr>
          <w:rFonts w:hint="eastAsia" w:ascii="宋体" w:hAnsi="宋体" w:eastAsia="宋体"/>
          <w:color w:val="000000" w:themeColor="text1"/>
          <w:sz w:val="24"/>
          <w:highlight w:val="none"/>
          <w:lang w:val="en-US" w:eastAsia="zh-CN"/>
          <w14:textFill>
            <w14:solidFill>
              <w14:schemeClr w14:val="tx1"/>
            </w14:solidFill>
          </w14:textFill>
        </w:rPr>
        <w:t>2</w:t>
      </w:r>
      <w:r>
        <w:rPr>
          <w:rFonts w:hint="eastAsia" w:ascii="宋体" w:hAnsi="宋体" w:eastAsia="宋体"/>
          <w:color w:val="000000" w:themeColor="text1"/>
          <w:sz w:val="24"/>
          <w:highlight w:val="none"/>
          <w14:textFill>
            <w14:solidFill>
              <w14:schemeClr w14:val="tx1"/>
            </w14:solidFill>
          </w14:textFill>
        </w:rPr>
        <w:t xml:space="preserve"> 中标候选人以外的投标人的投标保证金将尽快退还，最迟不超过中标通知书发出之日起五日内</w:t>
      </w:r>
      <w:r>
        <w:rPr>
          <w:rFonts w:hint="eastAsia" w:ascii="宋体" w:hAnsi="宋体" w:eastAsia="宋体"/>
          <w:color w:val="000000" w:themeColor="text1"/>
          <w:sz w:val="24"/>
          <w:highlight w:val="none"/>
          <w:lang w:eastAsia="zh-CN"/>
          <w14:textFill>
            <w14:solidFill>
              <w14:schemeClr w14:val="tx1"/>
            </w14:solidFill>
          </w14:textFill>
        </w:rPr>
        <w:t>；</w:t>
      </w:r>
    </w:p>
    <w:p w14:paraId="2169A815">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lang w:val="en-US" w:eastAsia="zh-CN"/>
          <w14:textFill>
            <w14:solidFill>
              <w14:schemeClr w14:val="tx1"/>
            </w14:solidFill>
          </w14:textFill>
        </w:rPr>
        <w:t>3.4.3</w:t>
      </w:r>
      <w:r>
        <w:rPr>
          <w:rFonts w:hint="eastAsia" w:ascii="宋体" w:hAnsi="宋体" w:eastAsia="宋体"/>
          <w:color w:val="000000" w:themeColor="text1"/>
          <w:sz w:val="24"/>
          <w:highlight w:val="none"/>
          <w14:textFill>
            <w14:solidFill>
              <w14:schemeClr w14:val="tx1"/>
            </w14:solidFill>
          </w14:textFill>
        </w:rPr>
        <w:t>中标人和其他中标候选人的投标保证金，在书面合同订立之日起五日内予以退还</w:t>
      </w:r>
      <w:r>
        <w:rPr>
          <w:rFonts w:hint="eastAsia" w:ascii="宋体" w:hAnsi="宋体" w:eastAsia="宋体" w:cs="宋体"/>
          <w:i w:val="0"/>
          <w:iCs w:val="0"/>
          <w:caps w:val="0"/>
          <w:color w:val="000000" w:themeColor="text1"/>
          <w:spacing w:val="0"/>
          <w:sz w:val="24"/>
          <w:szCs w:val="24"/>
          <w:highlight w:val="none"/>
          <w:shd w:val="clear" w:color="auto" w:fill="FFFFFF"/>
          <w14:textFill>
            <w14:solidFill>
              <w14:schemeClr w14:val="tx1"/>
            </w14:solidFill>
          </w14:textFill>
        </w:rPr>
        <w:t>。</w:t>
      </w:r>
    </w:p>
    <w:p w14:paraId="0E608CA2">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3.4.</w:t>
      </w:r>
      <w:r>
        <w:rPr>
          <w:rFonts w:hint="eastAsia" w:ascii="宋体" w:hAnsi="宋体" w:eastAsia="宋体"/>
          <w:color w:val="000000" w:themeColor="text1"/>
          <w:sz w:val="24"/>
          <w:highlight w:val="none"/>
          <w:lang w:val="en-US" w:eastAsia="zh-CN"/>
          <w14:textFill>
            <w14:solidFill>
              <w14:schemeClr w14:val="tx1"/>
            </w14:solidFill>
          </w14:textFill>
        </w:rPr>
        <w:t>4</w:t>
      </w:r>
      <w:r>
        <w:rPr>
          <w:rFonts w:hint="eastAsia" w:ascii="宋体" w:hAnsi="宋体" w:eastAsia="宋体"/>
          <w:color w:val="000000" w:themeColor="text1"/>
          <w:sz w:val="24"/>
          <w:highlight w:val="none"/>
          <w14:textFill>
            <w14:solidFill>
              <w14:schemeClr w14:val="tx1"/>
            </w14:solidFill>
          </w14:textFill>
        </w:rPr>
        <w:t xml:space="preserve"> 有下列情形之一的，投标保证金将不予退还</w:t>
      </w:r>
      <w:r>
        <w:rPr>
          <w:rFonts w:hint="eastAsia" w:ascii="宋体" w:hAnsi="宋体" w:eastAsia="宋体"/>
          <w:color w:val="000000" w:themeColor="text1"/>
          <w:sz w:val="24"/>
          <w:highlight w:val="none"/>
          <w:lang w:eastAsia="zh-CN"/>
          <w14:textFill>
            <w14:solidFill>
              <w14:schemeClr w14:val="tx1"/>
            </w14:solidFill>
          </w14:textFill>
        </w:rPr>
        <w:t>（是否退还投标保证金由招标人在招标文件中规定）</w:t>
      </w:r>
      <w:r>
        <w:rPr>
          <w:rFonts w:hint="eastAsia" w:ascii="宋体" w:hAnsi="宋体" w:eastAsia="宋体"/>
          <w:color w:val="000000" w:themeColor="text1"/>
          <w:sz w:val="24"/>
          <w:highlight w:val="none"/>
          <w14:textFill>
            <w14:solidFill>
              <w14:schemeClr w14:val="tx1"/>
            </w14:solidFill>
          </w14:textFill>
        </w:rPr>
        <w:t xml:space="preserve">： </w:t>
      </w:r>
    </w:p>
    <w:p w14:paraId="7FFF3CC5">
      <w:pPr>
        <w:pStyle w:val="36"/>
        <w:spacing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ascii="宋体" w:hAnsi="宋体" w:eastAsia="宋体"/>
          <w:color w:val="000000" w:themeColor="text1"/>
          <w:sz w:val="24"/>
          <w:highlight w:val="none"/>
          <w14:textFill>
            <w14:solidFill>
              <w14:schemeClr w14:val="tx1"/>
            </w14:solidFill>
          </w14:textFill>
        </w:rPr>
        <w:t>3.4</w:t>
      </w:r>
      <w:r>
        <w:rPr>
          <w:rFonts w:hint="eastAsia" w:ascii="宋体" w:hAnsi="宋体" w:eastAsia="宋体"/>
          <w:color w:val="000000" w:themeColor="text1"/>
          <w:sz w:val="24"/>
          <w:highlight w:val="none"/>
          <w14:textFill>
            <w14:solidFill>
              <w14:schemeClr w14:val="tx1"/>
            </w14:solidFill>
          </w14:textFill>
        </w:rPr>
        <w:t>.</w:t>
      </w:r>
      <w:r>
        <w:rPr>
          <w:rFonts w:hint="eastAsia" w:ascii="宋体" w:hAnsi="宋体" w:eastAsia="宋体"/>
          <w:color w:val="000000" w:themeColor="text1"/>
          <w:sz w:val="24"/>
          <w:highlight w:val="none"/>
          <w:lang w:val="en-US" w:eastAsia="zh-CN"/>
          <w14:textFill>
            <w14:solidFill>
              <w14:schemeClr w14:val="tx1"/>
            </w14:solidFill>
          </w14:textFill>
        </w:rPr>
        <w:t>4</w:t>
      </w:r>
      <w:r>
        <w:rPr>
          <w:rFonts w:hint="eastAsia" w:ascii="宋体" w:hAnsi="宋体" w:eastAsia="宋体"/>
          <w:color w:val="000000" w:themeColor="text1"/>
          <w:sz w:val="24"/>
          <w:highlight w:val="none"/>
          <w14:textFill>
            <w14:solidFill>
              <w14:schemeClr w14:val="tx1"/>
            </w14:solidFill>
          </w14:textFill>
        </w:rPr>
        <w:t>.</w:t>
      </w:r>
      <w:r>
        <w:rPr>
          <w:rFonts w:hint="eastAsia" w:ascii="宋体" w:hAnsi="宋体" w:eastAsia="宋体"/>
          <w:color w:val="000000" w:themeColor="text1"/>
          <w:sz w:val="24"/>
          <w:highlight w:val="none"/>
          <w:lang w:val="en-US" w:eastAsia="zh-CN"/>
          <w14:textFill>
            <w14:solidFill>
              <w14:schemeClr w14:val="tx1"/>
            </w14:solidFill>
          </w14:textFill>
        </w:rPr>
        <w:t>1</w:t>
      </w:r>
      <w:r>
        <w:rPr>
          <w:rFonts w:hint="eastAsia" w:ascii="宋体" w:hAnsi="宋体" w:eastAsia="宋体"/>
          <w:color w:val="000000" w:themeColor="text1"/>
          <w:sz w:val="24"/>
          <w:highlight w:val="none"/>
          <w14:textFill>
            <w14:solidFill>
              <w14:schemeClr w14:val="tx1"/>
            </w14:solidFill>
          </w14:textFill>
        </w:rPr>
        <w:t>投标人在规定的投标有效期内撤</w:t>
      </w:r>
      <w:r>
        <w:rPr>
          <w:rFonts w:hint="eastAsia" w:ascii="宋体" w:hAnsi="宋体" w:eastAsia="宋体"/>
          <w:color w:val="000000" w:themeColor="text1"/>
          <w:sz w:val="24"/>
          <w:highlight w:val="none"/>
          <w:lang w:eastAsia="zh-CN"/>
          <w14:textFill>
            <w14:solidFill>
              <w14:schemeClr w14:val="tx1"/>
            </w14:solidFill>
          </w14:textFill>
        </w:rPr>
        <w:t>销</w:t>
      </w:r>
      <w:r>
        <w:rPr>
          <w:rFonts w:hint="eastAsia" w:ascii="宋体" w:hAnsi="宋体" w:eastAsia="宋体"/>
          <w:color w:val="000000" w:themeColor="text1"/>
          <w:sz w:val="24"/>
          <w:highlight w:val="none"/>
          <w14:textFill>
            <w14:solidFill>
              <w14:schemeClr w14:val="tx1"/>
            </w14:solidFill>
          </w14:textFill>
        </w:rPr>
        <w:t>其投标文件；</w:t>
      </w:r>
    </w:p>
    <w:p w14:paraId="62059AA3">
      <w:pPr>
        <w:pStyle w:val="36"/>
        <w:spacing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ascii="宋体" w:hAnsi="宋体" w:eastAsia="宋体"/>
          <w:color w:val="000000" w:themeColor="text1"/>
          <w:sz w:val="24"/>
          <w:highlight w:val="none"/>
          <w14:textFill>
            <w14:solidFill>
              <w14:schemeClr w14:val="tx1"/>
            </w14:solidFill>
          </w14:textFill>
        </w:rPr>
        <w:t>3.4</w:t>
      </w:r>
      <w:r>
        <w:rPr>
          <w:rFonts w:hint="eastAsia" w:ascii="宋体" w:hAnsi="宋体" w:eastAsia="宋体"/>
          <w:color w:val="000000" w:themeColor="text1"/>
          <w:sz w:val="24"/>
          <w:highlight w:val="none"/>
          <w14:textFill>
            <w14:solidFill>
              <w14:schemeClr w14:val="tx1"/>
            </w14:solidFill>
          </w14:textFill>
        </w:rPr>
        <w:t>.</w:t>
      </w:r>
      <w:r>
        <w:rPr>
          <w:rFonts w:hint="eastAsia" w:ascii="宋体" w:hAnsi="宋体" w:eastAsia="宋体"/>
          <w:color w:val="000000" w:themeColor="text1"/>
          <w:sz w:val="24"/>
          <w:highlight w:val="none"/>
          <w:lang w:val="en-US" w:eastAsia="zh-CN"/>
          <w14:textFill>
            <w14:solidFill>
              <w14:schemeClr w14:val="tx1"/>
            </w14:solidFill>
          </w14:textFill>
        </w:rPr>
        <w:t>4</w:t>
      </w:r>
      <w:r>
        <w:rPr>
          <w:rFonts w:hint="eastAsia" w:ascii="宋体" w:hAnsi="宋体" w:eastAsia="宋体"/>
          <w:color w:val="000000" w:themeColor="text1"/>
          <w:sz w:val="24"/>
          <w:highlight w:val="none"/>
          <w14:textFill>
            <w14:solidFill>
              <w14:schemeClr w14:val="tx1"/>
            </w14:solidFill>
          </w14:textFill>
        </w:rPr>
        <w:t>.</w:t>
      </w:r>
      <w:r>
        <w:rPr>
          <w:rFonts w:hint="eastAsia" w:ascii="宋体" w:hAnsi="宋体" w:eastAsia="宋体"/>
          <w:color w:val="000000" w:themeColor="text1"/>
          <w:sz w:val="24"/>
          <w:highlight w:val="none"/>
          <w:lang w:val="en-US" w:eastAsia="zh-CN"/>
          <w14:textFill>
            <w14:solidFill>
              <w14:schemeClr w14:val="tx1"/>
            </w14:solidFill>
          </w14:textFill>
        </w:rPr>
        <w:t>2</w:t>
      </w:r>
      <w:r>
        <w:rPr>
          <w:rFonts w:hint="eastAsia" w:ascii="宋体" w:hAnsi="宋体" w:eastAsia="宋体"/>
          <w:color w:val="000000" w:themeColor="text1"/>
          <w:sz w:val="24"/>
          <w:highlight w:val="none"/>
          <w14:textFill>
            <w14:solidFill>
              <w14:schemeClr w14:val="tx1"/>
            </w14:solidFill>
          </w14:textFill>
        </w:rPr>
        <w:t>中标人未能在规定期限内按要求提交履约担保；</w:t>
      </w:r>
    </w:p>
    <w:p w14:paraId="2E656867">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ascii="宋体" w:hAnsi="宋体" w:eastAsia="宋体"/>
          <w:color w:val="000000" w:themeColor="text1"/>
          <w:sz w:val="24"/>
          <w:highlight w:val="none"/>
          <w14:textFill>
            <w14:solidFill>
              <w14:schemeClr w14:val="tx1"/>
            </w14:solidFill>
          </w14:textFill>
        </w:rPr>
        <w:t>3.4</w:t>
      </w:r>
      <w:r>
        <w:rPr>
          <w:rFonts w:hint="eastAsia" w:ascii="宋体" w:hAnsi="宋体" w:eastAsia="宋体"/>
          <w:color w:val="000000" w:themeColor="text1"/>
          <w:sz w:val="24"/>
          <w:highlight w:val="none"/>
          <w14:textFill>
            <w14:solidFill>
              <w14:schemeClr w14:val="tx1"/>
            </w14:solidFill>
          </w14:textFill>
        </w:rPr>
        <w:t>.</w:t>
      </w:r>
      <w:r>
        <w:rPr>
          <w:rFonts w:hint="eastAsia" w:ascii="宋体" w:hAnsi="宋体" w:eastAsia="宋体"/>
          <w:color w:val="000000" w:themeColor="text1"/>
          <w:sz w:val="24"/>
          <w:highlight w:val="none"/>
          <w:lang w:val="en-US" w:eastAsia="zh-CN"/>
          <w14:textFill>
            <w14:solidFill>
              <w14:schemeClr w14:val="tx1"/>
            </w14:solidFill>
          </w14:textFill>
        </w:rPr>
        <w:t>4</w:t>
      </w:r>
      <w:r>
        <w:rPr>
          <w:rFonts w:hint="eastAsia" w:ascii="宋体" w:hAnsi="宋体" w:eastAsia="宋体"/>
          <w:color w:val="000000" w:themeColor="text1"/>
          <w:sz w:val="24"/>
          <w:highlight w:val="none"/>
          <w14:textFill>
            <w14:solidFill>
              <w14:schemeClr w14:val="tx1"/>
            </w14:solidFill>
          </w14:textFill>
        </w:rPr>
        <w:t>.</w:t>
      </w:r>
      <w:r>
        <w:rPr>
          <w:rFonts w:hint="eastAsia" w:ascii="宋体" w:hAnsi="宋体" w:eastAsia="宋体"/>
          <w:color w:val="000000" w:themeColor="text1"/>
          <w:sz w:val="24"/>
          <w:highlight w:val="none"/>
          <w:lang w:val="en-US" w:eastAsia="zh-CN"/>
          <w14:textFill>
            <w14:solidFill>
              <w14:schemeClr w14:val="tx1"/>
            </w14:solidFill>
          </w14:textFill>
        </w:rPr>
        <w:t>3</w:t>
      </w:r>
      <w:r>
        <w:rPr>
          <w:rFonts w:hint="eastAsia" w:ascii="宋体" w:hAnsi="宋体" w:eastAsia="宋体"/>
          <w:color w:val="000000" w:themeColor="text1"/>
          <w:sz w:val="24"/>
          <w:highlight w:val="none"/>
          <w14:textFill>
            <w14:solidFill>
              <w14:schemeClr w14:val="tx1"/>
            </w14:solidFill>
          </w14:textFill>
        </w:rPr>
        <w:t>中标人未能在规定期限内签署合同协议。</w:t>
      </w:r>
    </w:p>
    <w:p w14:paraId="1C638108">
      <w:pPr>
        <w:pStyle w:val="36"/>
        <w:spacing w:after="0" w:line="360" w:lineRule="auto"/>
        <w:ind w:firstLine="482" w:firstLineChars="200"/>
        <w:outlineLvl w:val="9"/>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3.5 资格审查资料</w:t>
      </w:r>
    </w:p>
    <w:p w14:paraId="47613507">
      <w:pPr>
        <w:pStyle w:val="36"/>
        <w:spacing w:after="0" w:line="360" w:lineRule="auto"/>
        <w:ind w:firstLine="480" w:firstLineChars="200"/>
        <w:rPr>
          <w:color w:val="000000" w:themeColor="text1"/>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3.5.1 “投标人基本情况表”应附投标人营业执照副本、资质证书副本和安全生产许可证等材料的</w:t>
      </w:r>
      <w:r>
        <w:rPr>
          <w:rFonts w:hint="eastAsia" w:ascii="宋体" w:hAnsi="宋体" w:eastAsia="宋体"/>
          <w:color w:val="000000" w:themeColor="text1"/>
          <w:sz w:val="24"/>
          <w:highlight w:val="none"/>
          <w:lang w:val="en-US" w:eastAsia="zh-CN"/>
          <w14:textFill>
            <w14:solidFill>
              <w14:schemeClr w14:val="tx1"/>
            </w14:solidFill>
          </w14:textFill>
        </w:rPr>
        <w:t>扫描件</w:t>
      </w:r>
      <w:r>
        <w:rPr>
          <w:rFonts w:hint="eastAsia" w:ascii="宋体" w:hAnsi="宋体" w:eastAsia="宋体"/>
          <w:color w:val="000000" w:themeColor="text1"/>
          <w:sz w:val="24"/>
          <w:highlight w:val="none"/>
          <w14:textFill>
            <w14:solidFill>
              <w14:schemeClr w14:val="tx1"/>
            </w14:solidFill>
          </w14:textFill>
        </w:rPr>
        <w:t>。</w:t>
      </w:r>
    </w:p>
    <w:p w14:paraId="299BE3F4">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3.5.2 项目负责人建造师证和</w:t>
      </w:r>
      <w:r>
        <w:rPr>
          <w:rFonts w:hint="eastAsia" w:ascii="宋体" w:hAnsi="宋体" w:eastAsia="宋体"/>
          <w:color w:val="000000" w:themeColor="text1"/>
          <w:sz w:val="24"/>
          <w:highlight w:val="none"/>
          <w:lang w:eastAsia="zh-CN"/>
          <w14:textFill>
            <w14:solidFill>
              <w14:schemeClr w14:val="tx1"/>
            </w14:solidFill>
          </w14:textFill>
        </w:rPr>
        <w:t>安全生产考核合格证</w:t>
      </w:r>
      <w:r>
        <w:rPr>
          <w:rFonts w:hint="eastAsia" w:ascii="宋体" w:hAnsi="宋体" w:eastAsia="宋体"/>
          <w:color w:val="000000" w:themeColor="text1"/>
          <w:sz w:val="24"/>
          <w:highlight w:val="none"/>
          <w14:textFill>
            <w14:solidFill>
              <w14:schemeClr w14:val="tx1"/>
            </w14:solidFill>
          </w14:textFill>
        </w:rPr>
        <w:t>（B证）</w:t>
      </w:r>
      <w:r>
        <w:rPr>
          <w:rFonts w:hint="eastAsia" w:ascii="宋体" w:hAnsi="宋体" w:eastAsia="宋体" w:cs="Times New Roman"/>
          <w:color w:val="000000" w:themeColor="text1"/>
          <w:sz w:val="24"/>
          <w:szCs w:val="24"/>
          <w:highlight w:val="none"/>
          <w14:textFill>
            <w14:solidFill>
              <w14:schemeClr w14:val="tx1"/>
            </w14:solidFill>
          </w14:textFill>
        </w:rPr>
        <w:t>或建筑施工企业项目负责人安全生产考核合格证书</w:t>
      </w:r>
      <w:r>
        <w:rPr>
          <w:rFonts w:hint="eastAsia" w:ascii="宋体" w:hAnsi="宋体" w:eastAsia="宋体" w:cs="Times New Roman"/>
          <w:color w:val="000000" w:themeColor="text1"/>
          <w:sz w:val="24"/>
          <w:szCs w:val="24"/>
          <w:highlight w:val="none"/>
          <w:u w:val="single"/>
          <w:lang w:val="en-US" w:eastAsia="zh-CN"/>
          <w14:textFill>
            <w14:solidFill>
              <w14:schemeClr w14:val="tx1"/>
            </w14:solidFill>
          </w14:textFill>
        </w:rPr>
        <w:t>扫描件</w:t>
      </w:r>
      <w:r>
        <w:rPr>
          <w:rFonts w:hint="eastAsia" w:ascii="宋体" w:hAnsi="宋体" w:eastAsia="宋体"/>
          <w:color w:val="000000" w:themeColor="text1"/>
          <w:sz w:val="24"/>
          <w:highlight w:val="none"/>
          <w14:textFill>
            <w14:solidFill>
              <w14:schemeClr w14:val="tx1"/>
            </w14:solidFill>
          </w14:textFill>
        </w:rPr>
        <w:t>。</w:t>
      </w:r>
    </w:p>
    <w:p w14:paraId="661268BD">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3.5.3专职安全员</w:t>
      </w:r>
      <w:r>
        <w:rPr>
          <w:rFonts w:hint="eastAsia" w:ascii="宋体" w:hAnsi="宋体" w:eastAsia="宋体"/>
          <w:color w:val="000000" w:themeColor="text1"/>
          <w:sz w:val="24"/>
          <w:highlight w:val="none"/>
          <w:lang w:eastAsia="zh-CN"/>
          <w14:textFill>
            <w14:solidFill>
              <w14:schemeClr w14:val="tx1"/>
            </w14:solidFill>
          </w14:textFill>
        </w:rPr>
        <w:t>安全生产考核合格证</w:t>
      </w:r>
      <w:r>
        <w:rPr>
          <w:rFonts w:hint="eastAsia" w:ascii="宋体" w:hAnsi="宋体" w:eastAsia="宋体"/>
          <w:color w:val="000000" w:themeColor="text1"/>
          <w:sz w:val="24"/>
          <w:highlight w:val="none"/>
          <w14:textFill>
            <w14:solidFill>
              <w14:schemeClr w14:val="tx1"/>
            </w14:solidFill>
          </w14:textFill>
        </w:rPr>
        <w:t>（C证）</w:t>
      </w:r>
      <w:r>
        <w:rPr>
          <w:rFonts w:hint="eastAsia" w:ascii="宋体" w:hAnsi="宋体" w:eastAsia="宋体" w:cs="Times New Roman"/>
          <w:color w:val="000000" w:themeColor="text1"/>
          <w:sz w:val="24"/>
          <w:szCs w:val="24"/>
          <w:highlight w:val="none"/>
          <w14:textFill>
            <w14:solidFill>
              <w14:schemeClr w14:val="tx1"/>
            </w14:solidFill>
          </w14:textFill>
        </w:rPr>
        <w:t>或建筑施工企业专职安全生产管理人员安全生产考核合格证书</w:t>
      </w:r>
      <w:r>
        <w:rPr>
          <w:rFonts w:hint="eastAsia" w:ascii="宋体" w:hAnsi="宋体" w:eastAsia="宋体" w:cs="Times New Roman"/>
          <w:color w:val="000000" w:themeColor="text1"/>
          <w:sz w:val="24"/>
          <w:szCs w:val="24"/>
          <w:highlight w:val="none"/>
          <w:u w:val="single"/>
          <w:lang w:val="en-US" w:eastAsia="zh-CN"/>
          <w14:textFill>
            <w14:solidFill>
              <w14:schemeClr w14:val="tx1"/>
            </w14:solidFill>
          </w14:textFill>
        </w:rPr>
        <w:t>扫描件</w:t>
      </w:r>
      <w:r>
        <w:rPr>
          <w:rFonts w:hint="eastAsia" w:ascii="宋体" w:hAnsi="宋体" w:eastAsia="宋体"/>
          <w:color w:val="000000" w:themeColor="text1"/>
          <w:sz w:val="24"/>
          <w:highlight w:val="none"/>
          <w14:textFill>
            <w14:solidFill>
              <w14:schemeClr w14:val="tx1"/>
            </w14:solidFill>
          </w14:textFill>
        </w:rPr>
        <w:t>。</w:t>
      </w:r>
    </w:p>
    <w:p w14:paraId="15B42678">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3.5.</w:t>
      </w:r>
      <w:r>
        <w:rPr>
          <w:rFonts w:hint="eastAsia" w:ascii="宋体" w:hAnsi="宋体" w:eastAsia="宋体"/>
          <w:color w:val="000000" w:themeColor="text1"/>
          <w:sz w:val="24"/>
          <w:highlight w:val="none"/>
          <w:lang w:eastAsia="zh-CN"/>
          <w14:textFill>
            <w14:solidFill>
              <w14:schemeClr w14:val="tx1"/>
            </w14:solidFill>
          </w14:textFill>
        </w:rPr>
        <w:t>4</w:t>
      </w:r>
      <w:r>
        <w:rPr>
          <w:rFonts w:hint="eastAsia" w:ascii="宋体" w:hAnsi="宋体" w:eastAsia="宋体"/>
          <w:color w:val="000000" w:themeColor="text1"/>
          <w:sz w:val="24"/>
          <w:highlight w:val="none"/>
          <w14:textFill>
            <w14:solidFill>
              <w14:schemeClr w14:val="tx1"/>
            </w14:solidFill>
          </w14:textFill>
        </w:rPr>
        <w:t xml:space="preserve"> “近年完成的类似项目情况表”应附投标人资格要求及评分因素要求提供相关材料的扫描件。每张表格只填写一个项目，并标明序号。</w:t>
      </w:r>
    </w:p>
    <w:p w14:paraId="1F4D44B1">
      <w:pPr>
        <w:pStyle w:val="36"/>
        <w:spacing w:after="0"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3.5.</w:t>
      </w:r>
      <w:r>
        <w:rPr>
          <w:rFonts w:hint="eastAsia" w:ascii="宋体" w:hAnsi="宋体" w:eastAsia="宋体"/>
          <w:color w:val="000000" w:themeColor="text1"/>
          <w:sz w:val="24"/>
          <w:highlight w:val="none"/>
          <w:lang w:val="en-US" w:eastAsia="zh-CN"/>
          <w14:textFill>
            <w14:solidFill>
              <w14:schemeClr w14:val="tx1"/>
            </w14:solidFill>
          </w14:textFill>
        </w:rPr>
        <w:t>6</w:t>
      </w:r>
      <w:r>
        <w:rPr>
          <w:rFonts w:hint="eastAsia" w:ascii="宋体" w:hAnsi="宋体" w:eastAsia="宋体"/>
          <w:color w:val="000000" w:themeColor="text1"/>
          <w:sz w:val="24"/>
          <w:highlight w:val="none"/>
          <w14:textFill>
            <w14:solidFill>
              <w14:schemeClr w14:val="tx1"/>
            </w14:solidFill>
          </w14:textFill>
        </w:rPr>
        <w:t>资审要求的其他材料。</w:t>
      </w:r>
    </w:p>
    <w:p w14:paraId="54593F64">
      <w:pPr>
        <w:pStyle w:val="36"/>
        <w:spacing w:after="0" w:line="360" w:lineRule="auto"/>
        <w:ind w:firstLineChars="200"/>
        <w:rPr>
          <w:rFonts w:ascii="宋体" w:hAnsi="宋体" w:eastAsia="宋体"/>
          <w:i/>
          <w:color w:val="000000" w:themeColor="text1"/>
          <w:sz w:val="21"/>
          <w:szCs w:val="21"/>
          <w:highlight w:val="none"/>
          <w14:textFill>
            <w14:solidFill>
              <w14:schemeClr w14:val="tx1"/>
            </w14:solidFill>
          </w14:textFill>
        </w:rPr>
      </w:pPr>
      <w:r>
        <w:rPr>
          <w:rFonts w:hint="eastAsia" w:ascii="宋体" w:hAnsi="宋体" w:eastAsia="宋体"/>
          <w:i/>
          <w:color w:val="000000" w:themeColor="text1"/>
          <w:sz w:val="21"/>
          <w:szCs w:val="21"/>
          <w:highlight w:val="none"/>
          <w14:textFill>
            <w14:solidFill>
              <w14:schemeClr w14:val="tx1"/>
            </w14:solidFill>
          </w14:textFill>
        </w:rPr>
        <w:t>（说明：3.5.</w:t>
      </w:r>
      <w:r>
        <w:rPr>
          <w:rFonts w:hint="eastAsia" w:ascii="宋体" w:hAnsi="宋体" w:eastAsia="宋体"/>
          <w:i/>
          <w:color w:val="000000" w:themeColor="text1"/>
          <w:szCs w:val="21"/>
          <w:highlight w:val="none"/>
          <w14:textFill>
            <w14:solidFill>
              <w14:schemeClr w14:val="tx1"/>
            </w14:solidFill>
          </w14:textFill>
        </w:rPr>
        <w:t>4</w:t>
      </w:r>
      <w:r>
        <w:rPr>
          <w:rFonts w:ascii="宋体" w:hAnsi="宋体" w:eastAsia="宋体"/>
          <w:i/>
          <w:color w:val="000000" w:themeColor="text1"/>
          <w:sz w:val="21"/>
          <w:szCs w:val="21"/>
          <w:highlight w:val="none"/>
          <w14:textFill>
            <w14:solidFill>
              <w14:schemeClr w14:val="tx1"/>
            </w14:solidFill>
          </w14:textFill>
        </w:rPr>
        <w:t xml:space="preserve"> </w:t>
      </w:r>
      <w:r>
        <w:rPr>
          <w:rFonts w:hint="eastAsia" w:ascii="宋体" w:hAnsi="宋体" w:eastAsia="宋体"/>
          <w:i/>
          <w:color w:val="000000" w:themeColor="text1"/>
          <w:sz w:val="21"/>
          <w:szCs w:val="21"/>
          <w:highlight w:val="none"/>
          <w14:textFill>
            <w14:solidFill>
              <w14:schemeClr w14:val="tx1"/>
            </w14:solidFill>
          </w14:textFill>
        </w:rPr>
        <w:t>~</w:t>
      </w:r>
      <w:r>
        <w:rPr>
          <w:rFonts w:ascii="宋体" w:hAnsi="宋体" w:eastAsia="宋体"/>
          <w:i/>
          <w:color w:val="000000" w:themeColor="text1"/>
          <w:sz w:val="21"/>
          <w:szCs w:val="21"/>
          <w:highlight w:val="none"/>
          <w14:textFill>
            <w14:solidFill>
              <w14:schemeClr w14:val="tx1"/>
            </w14:solidFill>
          </w14:textFill>
        </w:rPr>
        <w:t xml:space="preserve"> </w:t>
      </w:r>
      <w:r>
        <w:rPr>
          <w:rFonts w:hint="eastAsia" w:ascii="宋体" w:hAnsi="宋体" w:eastAsia="宋体"/>
          <w:i/>
          <w:color w:val="000000" w:themeColor="text1"/>
          <w:sz w:val="21"/>
          <w:szCs w:val="21"/>
          <w:highlight w:val="none"/>
          <w14:textFill>
            <w14:solidFill>
              <w14:schemeClr w14:val="tx1"/>
            </w14:solidFill>
          </w14:textFill>
        </w:rPr>
        <w:t>3.5.</w:t>
      </w:r>
      <w:r>
        <w:rPr>
          <w:rFonts w:hint="eastAsia" w:ascii="宋体" w:hAnsi="宋体" w:eastAsia="宋体"/>
          <w:i/>
          <w:color w:val="000000" w:themeColor="text1"/>
          <w:szCs w:val="21"/>
          <w:highlight w:val="none"/>
          <w:lang w:val="en-US" w:eastAsia="zh-CN"/>
          <w14:textFill>
            <w14:solidFill>
              <w14:schemeClr w14:val="tx1"/>
            </w14:solidFill>
          </w14:textFill>
        </w:rPr>
        <w:t>5</w:t>
      </w:r>
      <w:r>
        <w:rPr>
          <w:rFonts w:hint="eastAsia" w:ascii="宋体" w:hAnsi="宋体" w:eastAsia="宋体"/>
          <w:i/>
          <w:color w:val="000000" w:themeColor="text1"/>
          <w:sz w:val="21"/>
          <w:szCs w:val="21"/>
          <w:highlight w:val="none"/>
          <w14:textFill>
            <w14:solidFill>
              <w14:schemeClr w14:val="tx1"/>
            </w14:solidFill>
          </w14:textFill>
        </w:rPr>
        <w:t>为可选项。若资格条件里没有业绩等方面的要求，可不做要求）</w:t>
      </w:r>
    </w:p>
    <w:p w14:paraId="4EF9D1AA">
      <w:pPr>
        <w:pStyle w:val="36"/>
        <w:spacing w:after="0" w:line="360" w:lineRule="auto"/>
        <w:ind w:firstLine="482" w:firstLineChars="200"/>
        <w:outlineLvl w:val="9"/>
        <w:rPr>
          <w:rFonts w:ascii="宋体" w:hAnsi="宋体" w:eastAsia="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3.6 投标文件的编制</w:t>
      </w:r>
    </w:p>
    <w:p w14:paraId="408965CB">
      <w:pPr>
        <w:pStyle w:val="36"/>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3.6.1投标人应采用单位数字证书，按招标文件要求在相应位置加盖电子印章。投标文件中需个人签字或盖章的，应加盖个人电子印章或在线下完成后扫描上传。按照</w:t>
      </w:r>
      <w:r>
        <w:rPr>
          <w:rFonts w:hint="eastAsia" w:ascii="宋体" w:hAnsi="宋体" w:eastAsia="宋体" w:cs="Times New Roman"/>
          <w:color w:val="000000" w:themeColor="text1"/>
          <w:sz w:val="24"/>
          <w:szCs w:val="24"/>
          <w:highlight w:val="none"/>
          <w:lang w:eastAsia="zh-CN"/>
          <w14:textFill>
            <w14:solidFill>
              <w14:schemeClr w14:val="tx1"/>
            </w14:solidFill>
          </w14:textFill>
        </w:rPr>
        <w:t>广州交易集团有限公司（广州公共资源交易中心）网站关于全流程电子化项目的相关指南进行操作</w:t>
      </w:r>
      <w:r>
        <w:rPr>
          <w:rFonts w:hint="eastAsia" w:ascii="宋体" w:hAnsi="宋体" w:eastAsia="宋体" w:cs="Times New Roman"/>
          <w:color w:val="000000" w:themeColor="text1"/>
          <w:sz w:val="24"/>
          <w:szCs w:val="24"/>
          <w:highlight w:val="none"/>
          <w14:textFill>
            <w14:solidFill>
              <w14:schemeClr w14:val="tx1"/>
            </w14:solidFill>
          </w14:textFill>
        </w:rPr>
        <w:t>。</w:t>
      </w:r>
    </w:p>
    <w:p w14:paraId="164374E3">
      <w:pPr>
        <w:pStyle w:val="36"/>
        <w:spacing w:after="0" w:line="360" w:lineRule="auto"/>
        <w:ind w:firstLine="480" w:firstLineChars="200"/>
        <w:rPr>
          <w:rFonts w:hint="eastAsia" w:ascii="宋体" w:hAnsi="宋体" w:eastAsia="宋体"/>
          <w:bCs/>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3.6.</w:t>
      </w:r>
      <w:r>
        <w:rPr>
          <w:rFonts w:hint="eastAsia" w:ascii="宋体" w:hAnsi="宋体" w:eastAsia="宋体"/>
          <w:color w:val="000000" w:themeColor="text1"/>
          <w:sz w:val="24"/>
          <w:szCs w:val="24"/>
          <w:highlight w:val="none"/>
          <w:lang w:val="en-US" w:eastAsia="zh-CN"/>
          <w14:textFill>
            <w14:solidFill>
              <w14:schemeClr w14:val="tx1"/>
            </w14:solidFill>
          </w14:textFill>
        </w:rPr>
        <w:t>3</w:t>
      </w:r>
      <w:r>
        <w:rPr>
          <w:rFonts w:hint="eastAsia" w:ascii="宋体" w:hAnsi="宋体" w:eastAsia="宋体" w:cs="Times New Roman"/>
          <w:bCs/>
          <w:color w:val="000000" w:themeColor="text1"/>
          <w:kern w:val="2"/>
          <w:sz w:val="24"/>
          <w:szCs w:val="24"/>
          <w:highlight w:val="none"/>
          <w14:textFill>
            <w14:solidFill>
              <w14:schemeClr w14:val="tx1"/>
            </w14:solidFill>
          </w14:textFill>
        </w:rPr>
        <w:t>投标文件应按照</w:t>
      </w:r>
      <w:r>
        <w:rPr>
          <w:rFonts w:hint="eastAsia" w:ascii="宋体" w:hAnsi="宋体" w:eastAsia="宋体" w:cs="Times New Roman"/>
          <w:bCs/>
          <w:color w:val="000000" w:themeColor="text1"/>
          <w:kern w:val="2"/>
          <w:sz w:val="24"/>
          <w:szCs w:val="24"/>
          <w:highlight w:val="none"/>
          <w:lang w:eastAsia="zh-CN"/>
          <w14:textFill>
            <w14:solidFill>
              <w14:schemeClr w14:val="tx1"/>
            </w14:solidFill>
          </w14:textFill>
        </w:rPr>
        <w:t>广州交易集团有限公司（广州公共资源交易中心）网站</w:t>
      </w:r>
      <w:r>
        <w:rPr>
          <w:rFonts w:hint="eastAsia" w:ascii="宋体" w:hAnsi="宋体" w:eastAsia="宋体" w:cs="Times New Roman"/>
          <w:bCs/>
          <w:color w:val="000000" w:themeColor="text1"/>
          <w:kern w:val="2"/>
          <w:sz w:val="24"/>
          <w:szCs w:val="24"/>
          <w:highlight w:val="none"/>
          <w14:textFill>
            <w14:solidFill>
              <w14:schemeClr w14:val="tx1"/>
            </w14:solidFill>
          </w14:textFill>
        </w:rPr>
        <w:t>关于全流程电子化项目的相关指南进行编制。如因不按上述编排要求编制而所引起系统无法检索、读取相关信息时，其后果将由投标人自行承担。</w:t>
      </w:r>
    </w:p>
    <w:p w14:paraId="0872CB0F">
      <w:pPr>
        <w:pStyle w:val="36"/>
        <w:spacing w:after="0" w:line="360" w:lineRule="auto"/>
        <w:ind w:firstLine="480" w:firstLineChars="200"/>
        <w:rPr>
          <w:rFonts w:ascii="宋体" w:hAnsi="宋体" w:eastAsia="宋体"/>
          <w:i/>
          <w:color w:val="000000" w:themeColor="text1"/>
          <w:sz w:val="24"/>
          <w:highlight w:val="none"/>
          <w14:textFill>
            <w14:solidFill>
              <w14:schemeClr w14:val="tx1"/>
            </w14:solidFill>
          </w14:textFill>
        </w:rPr>
      </w:pPr>
      <w:r>
        <w:rPr>
          <w:rFonts w:hint="eastAsia" w:ascii="宋体" w:hAnsi="宋体" w:eastAsia="宋体"/>
          <w:i/>
          <w:color w:val="000000" w:themeColor="text1"/>
          <w:sz w:val="24"/>
          <w:highlight w:val="none"/>
          <w14:textFill>
            <w14:solidFill>
              <w14:schemeClr w14:val="tx1"/>
            </w14:solidFill>
          </w14:textFill>
        </w:rPr>
        <w:t>（</w:t>
      </w:r>
      <w:r>
        <w:rPr>
          <w:rFonts w:hint="eastAsia" w:ascii="宋体" w:hAnsi="宋体" w:eastAsia="宋体"/>
          <w:i/>
          <w:color w:val="000000" w:themeColor="text1"/>
          <w:szCs w:val="21"/>
          <w:highlight w:val="none"/>
          <w14:textFill>
            <w14:solidFill>
              <w14:schemeClr w14:val="tx1"/>
            </w14:solidFill>
          </w14:textFill>
        </w:rPr>
        <w:t>给排水项目投标文件按交易中心的投标文件制作工具编制</w:t>
      </w:r>
      <w:r>
        <w:rPr>
          <w:rFonts w:hint="eastAsia" w:ascii="宋体" w:hAnsi="宋体" w:eastAsia="宋体"/>
          <w:i/>
          <w:color w:val="000000" w:themeColor="text1"/>
          <w:sz w:val="24"/>
          <w:highlight w:val="none"/>
          <w14:textFill>
            <w14:solidFill>
              <w14:schemeClr w14:val="tx1"/>
            </w14:solidFill>
          </w14:textFill>
        </w:rPr>
        <w:t>）</w:t>
      </w:r>
    </w:p>
    <w:p w14:paraId="4A602E0E">
      <w:pPr>
        <w:pStyle w:val="36"/>
        <w:spacing w:after="0" w:line="360" w:lineRule="auto"/>
        <w:ind w:firstLine="482" w:firstLineChars="200"/>
        <w:rPr>
          <w:rFonts w:ascii="宋体" w:hAnsi="宋体" w:eastAsia="宋体"/>
          <w:b/>
          <w:bCs/>
          <w:color w:val="000000" w:themeColor="text1"/>
          <w:sz w:val="24"/>
          <w:highlight w:val="none"/>
          <w14:textFill>
            <w14:solidFill>
              <w14:schemeClr w14:val="tx1"/>
            </w14:solidFill>
          </w14:textFill>
        </w:rPr>
      </w:pPr>
    </w:p>
    <w:p w14:paraId="141DE26F">
      <w:pPr>
        <w:jc w:val="center"/>
        <w:outlineLvl w:val="3"/>
        <w:rPr>
          <w:rFonts w:ascii="宋体" w:hAnsi="宋体"/>
          <w:b/>
          <w:color w:val="000000" w:themeColor="text1"/>
          <w:sz w:val="30"/>
          <w:szCs w:val="30"/>
          <w:highlight w:val="none"/>
          <w14:textFill>
            <w14:solidFill>
              <w14:schemeClr w14:val="tx1"/>
            </w14:solidFill>
          </w14:textFill>
        </w:rPr>
      </w:pPr>
      <w:bookmarkStart w:id="245" w:name="_Toc27642"/>
      <w:bookmarkStart w:id="246" w:name="_Toc30620"/>
      <w:bookmarkStart w:id="247" w:name="_Toc262229166"/>
      <w:bookmarkStart w:id="248" w:name="_Toc101777615"/>
      <w:bookmarkStart w:id="249" w:name="_Toc23847"/>
      <w:r>
        <w:rPr>
          <w:rFonts w:hint="eastAsia" w:ascii="宋体" w:hAnsi="宋体"/>
          <w:b/>
          <w:color w:val="000000" w:themeColor="text1"/>
          <w:sz w:val="30"/>
          <w:szCs w:val="30"/>
          <w:highlight w:val="none"/>
          <w14:textFill>
            <w14:solidFill>
              <w14:schemeClr w14:val="tx1"/>
            </w14:solidFill>
          </w14:textFill>
        </w:rPr>
        <w:t>（四）投标文件的递交</w:t>
      </w:r>
      <w:bookmarkEnd w:id="245"/>
      <w:bookmarkEnd w:id="246"/>
      <w:bookmarkEnd w:id="247"/>
      <w:bookmarkEnd w:id="248"/>
      <w:bookmarkEnd w:id="249"/>
    </w:p>
    <w:p w14:paraId="62EC0FA7">
      <w:pPr>
        <w:pStyle w:val="36"/>
        <w:spacing w:after="0" w:line="360" w:lineRule="auto"/>
        <w:ind w:firstLine="482" w:firstLineChars="200"/>
        <w:outlineLvl w:val="9"/>
        <w:rPr>
          <w:rFonts w:hint="eastAsia" w:ascii="宋体" w:hAnsi="宋体" w:eastAsia="宋体"/>
          <w:b/>
          <w:bCs/>
          <w:color w:val="000000" w:themeColor="text1"/>
          <w:sz w:val="24"/>
          <w:highlight w:val="none"/>
          <w:lang w:eastAsia="zh-CN"/>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 xml:space="preserve">4.1 </w:t>
      </w:r>
      <w:r>
        <w:rPr>
          <w:rFonts w:hint="eastAsia" w:ascii="宋体" w:hAnsi="宋体" w:eastAsia="宋体"/>
          <w:b/>
          <w:color w:val="000000" w:themeColor="text1"/>
          <w:sz w:val="24"/>
          <w:szCs w:val="24"/>
          <w:highlight w:val="none"/>
          <w14:textFill>
            <w14:solidFill>
              <w14:schemeClr w14:val="tx1"/>
            </w14:solidFill>
          </w14:textFill>
        </w:rPr>
        <w:t>投标文件的密封和标</w:t>
      </w:r>
      <w:r>
        <w:rPr>
          <w:rFonts w:hint="eastAsia" w:ascii="宋体" w:hAnsi="宋体" w:eastAsia="宋体"/>
          <w:b/>
          <w:color w:val="000000" w:themeColor="text1"/>
          <w:sz w:val="24"/>
          <w:szCs w:val="24"/>
          <w:highlight w:val="none"/>
          <w:lang w:eastAsia="zh-CN"/>
          <w14:textFill>
            <w14:solidFill>
              <w14:schemeClr w14:val="tx1"/>
            </w14:solidFill>
          </w14:textFill>
        </w:rPr>
        <w:t>记</w:t>
      </w:r>
    </w:p>
    <w:p w14:paraId="2E15EED8">
      <w:pPr>
        <w:spacing w:line="360" w:lineRule="auto"/>
        <w:ind w:firstLine="480" w:firstLineChars="200"/>
        <w:rPr>
          <w:rFonts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4.1.1递交的电子投标文件（不含备用光盘）必须进行加密。按照</w:t>
      </w:r>
      <w:r>
        <w:rPr>
          <w:rFonts w:hint="eastAsia" w:ascii="宋体" w:hAnsi="宋体"/>
          <w:color w:val="000000" w:themeColor="text1"/>
          <w:sz w:val="24"/>
          <w:szCs w:val="24"/>
          <w:highlight w:val="none"/>
          <w:u w:val="single"/>
          <w:lang w:eastAsia="zh-CN"/>
          <w14:textFill>
            <w14:solidFill>
              <w14:schemeClr w14:val="tx1"/>
            </w14:solidFill>
          </w14:textFill>
        </w:rPr>
        <w:t>广州交易集团有限公司（广州公共资源交易中心）</w:t>
      </w:r>
      <w:r>
        <w:rPr>
          <w:rFonts w:hint="eastAsia" w:ascii="宋体" w:hAnsi="宋体"/>
          <w:color w:val="000000" w:themeColor="text1"/>
          <w:sz w:val="24"/>
          <w:szCs w:val="21"/>
          <w:highlight w:val="none"/>
          <w:lang w:eastAsia="zh-CN"/>
          <w14:textFill>
            <w14:solidFill>
              <w14:schemeClr w14:val="tx1"/>
            </w14:solidFill>
          </w14:textFill>
        </w:rPr>
        <w:t>网站</w:t>
      </w:r>
      <w:r>
        <w:rPr>
          <w:rFonts w:hint="eastAsia" w:ascii="宋体" w:hAnsi="宋体"/>
          <w:color w:val="000000" w:themeColor="text1"/>
          <w:sz w:val="24"/>
          <w:szCs w:val="21"/>
          <w:highlight w:val="none"/>
          <w14:textFill>
            <w14:solidFill>
              <w14:schemeClr w14:val="tx1"/>
            </w14:solidFill>
          </w14:textFill>
        </w:rPr>
        <w:t>关于全流程电子化项目的相关指南进行操作。</w:t>
      </w:r>
    </w:p>
    <w:p w14:paraId="5DAF8598">
      <w:pPr>
        <w:spacing w:line="360" w:lineRule="auto"/>
        <w:ind w:firstLine="480" w:firstLineChars="200"/>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4.1.2未按要求加密的投标文件，</w:t>
      </w:r>
      <w:r>
        <w:rPr>
          <w:rFonts w:hint="eastAsia" w:ascii="宋体" w:hAnsi="宋体"/>
          <w:color w:val="000000" w:themeColor="text1"/>
          <w:sz w:val="24"/>
          <w:szCs w:val="24"/>
          <w:highlight w:val="none"/>
          <w:u w:val="single"/>
          <w:lang w:eastAsia="zh-CN"/>
          <w14:textFill>
            <w14:solidFill>
              <w14:schemeClr w14:val="tx1"/>
            </w14:solidFill>
          </w14:textFill>
        </w:rPr>
        <w:t>广州交易集团有限公司（广州公共资源交易中心）</w:t>
      </w:r>
      <w:r>
        <w:rPr>
          <w:rFonts w:hint="eastAsia" w:ascii="宋体" w:hAnsi="宋体"/>
          <w:color w:val="000000" w:themeColor="text1"/>
          <w:sz w:val="24"/>
          <w:szCs w:val="21"/>
          <w:highlight w:val="none"/>
          <w:lang w:eastAsia="zh-CN"/>
          <w14:textFill>
            <w14:solidFill>
              <w14:schemeClr w14:val="tx1"/>
            </w14:solidFill>
          </w14:textFill>
        </w:rPr>
        <w:t>网站交易</w:t>
      </w:r>
      <w:r>
        <w:rPr>
          <w:rFonts w:hint="eastAsia" w:ascii="宋体" w:hAnsi="宋体"/>
          <w:color w:val="000000" w:themeColor="text1"/>
          <w:sz w:val="24"/>
          <w:szCs w:val="21"/>
          <w:highlight w:val="none"/>
          <w14:textFill>
            <w14:solidFill>
              <w14:schemeClr w14:val="tx1"/>
            </w14:solidFill>
          </w14:textFill>
        </w:rPr>
        <w:t>平台将予以拒收</w:t>
      </w:r>
      <w:r>
        <w:rPr>
          <w:rFonts w:hint="eastAsia" w:ascii="宋体" w:hAnsi="宋体"/>
          <w:color w:val="000000" w:themeColor="text1"/>
          <w:sz w:val="24"/>
          <w:szCs w:val="21"/>
          <w:highlight w:val="none"/>
          <w:lang w:eastAsia="zh-CN"/>
          <w14:textFill>
            <w14:solidFill>
              <w14:schemeClr w14:val="tx1"/>
            </w14:solidFill>
          </w14:textFill>
        </w:rPr>
        <w:t>。</w:t>
      </w:r>
    </w:p>
    <w:p w14:paraId="215C043A">
      <w:pPr>
        <w:spacing w:line="360" w:lineRule="auto"/>
        <w:ind w:firstLine="482" w:firstLineChars="200"/>
        <w:outlineLvl w:val="9"/>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4.2</w:t>
      </w:r>
      <w:r>
        <w:rPr>
          <w:rFonts w:ascii="宋体" w:hAnsi="宋体"/>
          <w:b/>
          <w:bCs/>
          <w:color w:val="000000" w:themeColor="text1"/>
          <w:sz w:val="24"/>
          <w:highlight w:val="none"/>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投标文件的递交和接收</w:t>
      </w:r>
    </w:p>
    <w:p w14:paraId="1BC64E15">
      <w:pPr>
        <w:spacing w:line="360" w:lineRule="auto"/>
        <w:ind w:firstLine="523" w:firstLineChars="218"/>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4.2.1投标人通过</w:t>
      </w:r>
      <w:r>
        <w:rPr>
          <w:rFonts w:hint="eastAsia" w:ascii="宋体" w:hAnsi="宋体"/>
          <w:color w:val="000000" w:themeColor="text1"/>
          <w:sz w:val="24"/>
          <w:szCs w:val="24"/>
          <w:highlight w:val="none"/>
          <w:u w:val="single"/>
          <w:lang w:eastAsia="zh-CN"/>
          <w14:textFill>
            <w14:solidFill>
              <w14:schemeClr w14:val="tx1"/>
            </w14:solidFill>
          </w14:textFill>
        </w:rPr>
        <w:t>广州交易集团有限公司（广州公共资源交易中心）网站</w:t>
      </w:r>
      <w:r>
        <w:rPr>
          <w:rFonts w:hint="eastAsia" w:ascii="宋体" w:hAnsi="宋体"/>
          <w:color w:val="000000" w:themeColor="text1"/>
          <w:sz w:val="24"/>
          <w:szCs w:val="24"/>
          <w:highlight w:val="none"/>
          <w14:textFill>
            <w14:solidFill>
              <w14:schemeClr w14:val="tx1"/>
            </w14:solidFill>
          </w14:textFill>
        </w:rPr>
        <w:t>交易平台递交电子投标文件。</w:t>
      </w:r>
    </w:p>
    <w:p w14:paraId="11CC1490">
      <w:pPr>
        <w:spacing w:line="360" w:lineRule="auto"/>
        <w:ind w:firstLine="523" w:firstLineChars="218"/>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4.2.2投标人完成电子投标文件上传后，</w:t>
      </w:r>
      <w:r>
        <w:rPr>
          <w:rFonts w:hint="eastAsia" w:ascii="宋体" w:hAnsi="宋体"/>
          <w:color w:val="000000" w:themeColor="text1"/>
          <w:sz w:val="24"/>
          <w:szCs w:val="24"/>
          <w:highlight w:val="none"/>
          <w:u w:val="single"/>
          <w:lang w:eastAsia="zh-CN"/>
          <w14:textFill>
            <w14:solidFill>
              <w14:schemeClr w14:val="tx1"/>
            </w14:solidFill>
          </w14:textFill>
        </w:rPr>
        <w:t>广州交易集团有限公司（广州公共资源交易中心）网站</w:t>
      </w:r>
      <w:r>
        <w:rPr>
          <w:rFonts w:hint="eastAsia" w:ascii="宋体" w:hAnsi="宋体"/>
          <w:color w:val="000000" w:themeColor="text1"/>
          <w:sz w:val="24"/>
          <w:szCs w:val="24"/>
          <w:highlight w:val="none"/>
          <w14:textFill>
            <w14:solidFill>
              <w14:schemeClr w14:val="tx1"/>
            </w14:solidFill>
          </w14:textFill>
        </w:rPr>
        <w:t>交易平台即时向投标人发出递交回执通知。递交时间以递交回执通知载明的传输完成时间为准。</w:t>
      </w:r>
    </w:p>
    <w:p w14:paraId="05DF81C2">
      <w:pPr>
        <w:spacing w:line="360" w:lineRule="auto"/>
        <w:ind w:firstLine="523" w:firstLineChars="218"/>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4.2.3逾期送达的电子投标文件，</w:t>
      </w:r>
      <w:r>
        <w:rPr>
          <w:rFonts w:hint="eastAsia" w:ascii="宋体" w:hAnsi="宋体"/>
          <w:color w:val="000000" w:themeColor="text1"/>
          <w:sz w:val="24"/>
          <w:szCs w:val="24"/>
          <w:highlight w:val="none"/>
          <w:u w:val="single"/>
          <w:lang w:eastAsia="zh-CN"/>
          <w14:textFill>
            <w14:solidFill>
              <w14:schemeClr w14:val="tx1"/>
            </w14:solidFill>
          </w14:textFill>
        </w:rPr>
        <w:t>广州交易集团有限公司（广州公共资源交易中心）网站</w:t>
      </w:r>
      <w:r>
        <w:rPr>
          <w:rFonts w:hint="eastAsia" w:ascii="宋体" w:hAnsi="宋体"/>
          <w:color w:val="000000" w:themeColor="text1"/>
          <w:sz w:val="24"/>
          <w:szCs w:val="24"/>
          <w:highlight w:val="none"/>
          <w14:textFill>
            <w14:solidFill>
              <w14:schemeClr w14:val="tx1"/>
            </w14:solidFill>
          </w14:textFill>
        </w:rPr>
        <w:t>交易平台将予以拒收。</w:t>
      </w:r>
    </w:p>
    <w:p w14:paraId="2E2EEEC5">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w:t>
      </w:r>
      <w:r>
        <w:rPr>
          <w:rFonts w:hint="eastAsia" w:ascii="宋体" w:hAnsi="宋体"/>
          <w:color w:val="000000" w:themeColor="text1"/>
          <w:sz w:val="24"/>
          <w:highlight w:val="none"/>
          <w14:textFill>
            <w14:solidFill>
              <w14:schemeClr w14:val="tx1"/>
            </w14:solidFill>
          </w14:textFill>
        </w:rPr>
        <w:t xml:space="preserve">.4 </w:t>
      </w:r>
      <w:r>
        <w:rPr>
          <w:rFonts w:hint="eastAsia" w:ascii="宋体" w:hAnsi="宋体"/>
          <w:color w:val="000000" w:themeColor="text1"/>
          <w:sz w:val="24"/>
          <w:szCs w:val="24"/>
          <w:highlight w:val="none"/>
          <w14:textFill>
            <w14:solidFill>
              <w14:schemeClr w14:val="tx1"/>
            </w14:solidFill>
          </w14:textFill>
        </w:rPr>
        <w:t>投标截止前，招标人拒绝接收符合条件的投标文件，投标人可向招标监督机构投诉。</w:t>
      </w:r>
    </w:p>
    <w:p w14:paraId="5CE4A6CC">
      <w:pPr>
        <w:spacing w:line="360" w:lineRule="auto"/>
        <w:ind w:firstLine="480" w:firstLineChars="200"/>
        <w:outlineLvl w:val="9"/>
        <w:rPr>
          <w:rFonts w:ascii="宋体" w:hAnsi="宋体"/>
          <w:b/>
          <w:bCs/>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投标文件递交的截止时间</w:t>
      </w:r>
    </w:p>
    <w:p w14:paraId="7D11AB98">
      <w:pPr>
        <w:spacing w:line="360" w:lineRule="auto"/>
        <w:ind w:firstLine="480" w:firstLineChars="200"/>
        <w:rPr>
          <w:rFonts w:ascii="宋体" w:hAnsi="宋体"/>
          <w:b/>
          <w:bCs/>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w:t>
      </w:r>
      <w:r>
        <w:rPr>
          <w:rFonts w:hint="eastAsia" w:ascii="宋体" w:hAnsi="宋体"/>
          <w:color w:val="000000" w:themeColor="text1"/>
          <w:sz w:val="24"/>
          <w:highlight w:val="none"/>
          <w14:textFill>
            <w14:solidFill>
              <w14:schemeClr w14:val="tx1"/>
            </w14:solidFill>
          </w14:textFill>
        </w:rPr>
        <w:t>.1投标人应在4.2.1所述的时间前递交投标文件。截止时间以</w:t>
      </w:r>
      <w:r>
        <w:rPr>
          <w:rFonts w:hint="eastAsia" w:ascii="宋体" w:hAnsi="宋体"/>
          <w:color w:val="000000" w:themeColor="text1"/>
          <w:sz w:val="24"/>
          <w:highlight w:val="none"/>
          <w:lang w:eastAsia="zh-CN"/>
          <w14:textFill>
            <w14:solidFill>
              <w14:schemeClr w14:val="tx1"/>
            </w14:solidFill>
          </w14:textFill>
        </w:rPr>
        <w:t>广州交易集团有限公司（广州公共资源交易中心）</w:t>
      </w:r>
      <w:r>
        <w:rPr>
          <w:rFonts w:hint="eastAsia" w:ascii="宋体" w:hAnsi="宋体"/>
          <w:color w:val="000000" w:themeColor="text1"/>
          <w:sz w:val="24"/>
          <w:highlight w:val="none"/>
          <w14:textFill>
            <w14:solidFill>
              <w14:schemeClr w14:val="tx1"/>
            </w14:solidFill>
          </w14:textFill>
        </w:rPr>
        <w:t>电子评标系统服务器从中国科学院国家授时中心取得的北京时间为准。</w:t>
      </w:r>
    </w:p>
    <w:p w14:paraId="7B3180F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w:t>
      </w:r>
      <w:r>
        <w:rPr>
          <w:rFonts w:hint="eastAsia" w:ascii="宋体" w:hAnsi="宋体"/>
          <w:color w:val="000000" w:themeColor="text1"/>
          <w:sz w:val="24"/>
          <w:highlight w:val="none"/>
          <w14:textFill>
            <w14:solidFill>
              <w14:schemeClr w14:val="tx1"/>
            </w14:solidFill>
          </w14:textFill>
        </w:rPr>
        <w:t>.2招标人可按本须知第2.</w:t>
      </w: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条规定以招标文件修改的方式，酌情延长递交投标文件的截止时间。在此情况下，投标人的所有权利和义务以及投标人受制约的截止时间，均以延长后新的投标截止时间为准。</w:t>
      </w:r>
    </w:p>
    <w:p w14:paraId="3A80A94D">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4.3</w:t>
      </w:r>
      <w:r>
        <w:rPr>
          <w:rFonts w:hint="eastAsia" w:ascii="宋体" w:hAnsi="宋体"/>
          <w:color w:val="000000" w:themeColor="text1"/>
          <w:sz w:val="24"/>
          <w:highlight w:val="none"/>
          <w14:textFill>
            <w14:solidFill>
              <w14:schemeClr w14:val="tx1"/>
            </w14:solidFill>
          </w14:textFill>
        </w:rPr>
        <w:t>.3</w:t>
      </w:r>
      <w:r>
        <w:rPr>
          <w:rFonts w:hint="eastAsia" w:ascii="宋体" w:hAnsi="宋体" w:eastAsia="宋体" w:cs="宋体"/>
          <w:color w:val="000000" w:themeColor="text1"/>
          <w:sz w:val="24"/>
          <w:highlight w:val="none"/>
          <w:u w:val="none"/>
          <w14:textFill>
            <w14:solidFill>
              <w14:schemeClr w14:val="tx1"/>
            </w14:solidFill>
          </w14:textFill>
        </w:rPr>
        <w:t>当投标登记或递交投标文件或通过资格审查或经评议有效投标的投标人不足3名时，重新组织招标。</w:t>
      </w:r>
    </w:p>
    <w:p w14:paraId="103E6EF1">
      <w:pPr>
        <w:spacing w:line="360" w:lineRule="auto"/>
        <w:ind w:firstLine="480" w:firstLineChars="200"/>
        <w:outlineLvl w:val="9"/>
        <w:rPr>
          <w:rFonts w:ascii="宋体" w:hAnsi="宋体"/>
          <w:b/>
          <w:bCs/>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w:t>
      </w:r>
      <w:r>
        <w:rPr>
          <w:rFonts w:hint="eastAsia" w:ascii="宋体" w:hAnsi="宋体"/>
          <w:b/>
          <w:bCs/>
          <w:color w:val="000000" w:themeColor="text1"/>
          <w:sz w:val="24"/>
          <w:highlight w:val="none"/>
          <w14:textFill>
            <w14:solidFill>
              <w14:schemeClr w14:val="tx1"/>
            </w14:solidFill>
          </w14:textFill>
        </w:rPr>
        <w:t xml:space="preserve"> 迟交的投标文件</w:t>
      </w:r>
    </w:p>
    <w:p w14:paraId="4677AC64">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w:t>
      </w:r>
      <w:r>
        <w:rPr>
          <w:rFonts w:hint="eastAsia" w:ascii="宋体" w:hAnsi="宋体"/>
          <w:color w:val="000000" w:themeColor="text1"/>
          <w:sz w:val="24"/>
          <w:highlight w:val="none"/>
          <w14:textFill>
            <w14:solidFill>
              <w14:schemeClr w14:val="tx1"/>
            </w14:solidFill>
          </w14:textFill>
        </w:rPr>
        <w:t>.1本须知前附表第4.3.1项规定的投标截止时间后送达的电子投标文件，</w:t>
      </w:r>
      <w:r>
        <w:rPr>
          <w:rFonts w:hint="eastAsia" w:ascii="宋体" w:hAnsi="宋体"/>
          <w:color w:val="000000" w:themeColor="text1"/>
          <w:sz w:val="24"/>
          <w:szCs w:val="24"/>
          <w:highlight w:val="none"/>
          <w:u w:val="single"/>
          <w:lang w:eastAsia="zh-CN"/>
          <w14:textFill>
            <w14:solidFill>
              <w14:schemeClr w14:val="tx1"/>
            </w14:solidFill>
          </w14:textFill>
        </w:rPr>
        <w:t>广州交易集团有限公司（广州公共资源交易中心）网站交易</w:t>
      </w:r>
      <w:r>
        <w:rPr>
          <w:rFonts w:hint="eastAsia" w:ascii="宋体" w:hAnsi="宋体"/>
          <w:color w:val="000000" w:themeColor="text1"/>
          <w:sz w:val="24"/>
          <w:highlight w:val="none"/>
          <w14:textFill>
            <w14:solidFill>
              <w14:schemeClr w14:val="tx1"/>
            </w14:solidFill>
          </w14:textFill>
        </w:rPr>
        <w:t>平台将予以拒收。</w:t>
      </w:r>
    </w:p>
    <w:p w14:paraId="52FDB739">
      <w:pPr>
        <w:spacing w:line="360" w:lineRule="auto"/>
        <w:ind w:firstLine="480" w:firstLineChars="200"/>
        <w:outlineLvl w:val="9"/>
        <w:rPr>
          <w:rFonts w:ascii="宋体" w:hAnsi="宋体"/>
          <w:b/>
          <w:bCs/>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w:t>
      </w:r>
      <w:r>
        <w:rPr>
          <w:rFonts w:hint="eastAsia" w:ascii="宋体" w:hAnsi="宋体"/>
          <w:b/>
          <w:bCs/>
          <w:color w:val="000000" w:themeColor="text1"/>
          <w:sz w:val="24"/>
          <w:highlight w:val="none"/>
          <w14:textFill>
            <w14:solidFill>
              <w14:schemeClr w14:val="tx1"/>
            </w14:solidFill>
          </w14:textFill>
        </w:rPr>
        <w:t xml:space="preserve"> 投标文件的补充、修改与撤回</w:t>
      </w:r>
    </w:p>
    <w:p w14:paraId="1C3223B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w:t>
      </w:r>
      <w:r>
        <w:rPr>
          <w:rFonts w:hint="eastAsia" w:ascii="宋体" w:hAnsi="宋体"/>
          <w:color w:val="000000" w:themeColor="text1"/>
          <w:sz w:val="24"/>
          <w:highlight w:val="none"/>
          <w14:textFill>
            <w14:solidFill>
              <w14:schemeClr w14:val="tx1"/>
            </w14:solidFill>
          </w14:textFill>
        </w:rPr>
        <w:t>.1 投标人在递交投标文件以后，在规定的投标截止时间之前，可以修改或撤回已递交的投标文件。</w:t>
      </w:r>
    </w:p>
    <w:p w14:paraId="76B8989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 xml:space="preserve"> 在投标截止时间之后，投标人不得补充、修改和更换投标文件。</w:t>
      </w:r>
    </w:p>
    <w:p w14:paraId="5CBEA885">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在投标截止后，投标人在投标文件格式中规定的有效期终止日前，投标人不能撤</w:t>
      </w:r>
      <w:r>
        <w:rPr>
          <w:rFonts w:hint="eastAsia" w:ascii="宋体" w:hAnsi="宋体"/>
          <w:color w:val="000000" w:themeColor="text1"/>
          <w:sz w:val="24"/>
          <w:highlight w:val="none"/>
          <w:lang w:val="en-US" w:eastAsia="zh-CN"/>
          <w14:textFill>
            <w14:solidFill>
              <w14:schemeClr w14:val="tx1"/>
            </w14:solidFill>
          </w14:textFill>
        </w:rPr>
        <w:t>销</w:t>
      </w:r>
      <w:r>
        <w:rPr>
          <w:rFonts w:hint="eastAsia" w:ascii="宋体" w:hAnsi="宋体"/>
          <w:color w:val="000000" w:themeColor="text1"/>
          <w:sz w:val="24"/>
          <w:highlight w:val="none"/>
          <w14:textFill>
            <w14:solidFill>
              <w14:schemeClr w14:val="tx1"/>
            </w14:solidFill>
          </w14:textFill>
        </w:rPr>
        <w:t>投标文件，否则其投标保证金将被没收，且招标人有权就其撤</w:t>
      </w:r>
      <w:r>
        <w:rPr>
          <w:rFonts w:hint="eastAsia" w:ascii="宋体" w:hAnsi="宋体"/>
          <w:color w:val="000000" w:themeColor="text1"/>
          <w:sz w:val="24"/>
          <w:highlight w:val="none"/>
          <w:lang w:val="en-US" w:eastAsia="zh-CN"/>
          <w14:textFill>
            <w14:solidFill>
              <w14:schemeClr w14:val="tx1"/>
            </w14:solidFill>
          </w14:textFill>
        </w:rPr>
        <w:t>销</w:t>
      </w:r>
      <w:r>
        <w:rPr>
          <w:rFonts w:hint="eastAsia" w:ascii="宋体" w:hAnsi="宋体"/>
          <w:color w:val="000000" w:themeColor="text1"/>
          <w:sz w:val="24"/>
          <w:highlight w:val="none"/>
          <w14:textFill>
            <w14:solidFill>
              <w14:schemeClr w14:val="tx1"/>
            </w14:solidFill>
          </w14:textFill>
        </w:rPr>
        <w:t>行为报告政府主管部门载入不良信用记录。</w:t>
      </w:r>
    </w:p>
    <w:p w14:paraId="48A35F35">
      <w:pPr>
        <w:snapToGrid w:val="0"/>
        <w:spacing w:line="360" w:lineRule="auto"/>
        <w:ind w:firstLine="480"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4.6</w:t>
      </w:r>
      <w:r>
        <w:rPr>
          <w:rFonts w:hint="eastAsia" w:ascii="宋体" w:hAnsi="宋体"/>
          <w:b/>
          <w:color w:val="000000" w:themeColor="text1"/>
          <w:sz w:val="24"/>
          <w:highlight w:val="none"/>
          <w14:textFill>
            <w14:solidFill>
              <w14:schemeClr w14:val="tx1"/>
            </w14:solidFill>
          </w14:textFill>
        </w:rPr>
        <w:t xml:space="preserve"> 投标信息录入</w:t>
      </w:r>
    </w:p>
    <w:p w14:paraId="222BB19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4.6</w:t>
      </w:r>
      <w:r>
        <w:rPr>
          <w:rFonts w:hint="eastAsia" w:ascii="宋体" w:hAnsi="宋体"/>
          <w:color w:val="000000" w:themeColor="text1"/>
          <w:sz w:val="24"/>
          <w:highlight w:val="none"/>
          <w14:textFill>
            <w14:solidFill>
              <w14:schemeClr w14:val="tx1"/>
            </w14:solidFill>
          </w14:textFill>
        </w:rPr>
        <w:t>.1 投标人应在上传电子投标文件前将</w:t>
      </w:r>
      <w:r>
        <w:rPr>
          <w:rFonts w:hint="eastAsia" w:ascii="宋体" w:hAnsi="宋体"/>
          <w:color w:val="000000" w:themeColor="text1"/>
          <w:sz w:val="24"/>
          <w:highlight w:val="none"/>
          <w:lang w:eastAsia="zh-CN"/>
          <w14:textFill>
            <w14:solidFill>
              <w14:schemeClr w14:val="tx1"/>
            </w14:solidFill>
          </w14:textFill>
        </w:rPr>
        <w:t>广州交易集团有限公司（广州公共资源交易中心）</w:t>
      </w:r>
      <w:r>
        <w:rPr>
          <w:rFonts w:hint="eastAsia" w:ascii="宋体" w:hAnsi="宋体"/>
          <w:color w:val="000000" w:themeColor="text1"/>
          <w:sz w:val="24"/>
          <w:highlight w:val="none"/>
          <w14:textFill>
            <w14:solidFill>
              <w14:schemeClr w14:val="tx1"/>
            </w14:solidFill>
          </w14:textFill>
        </w:rPr>
        <w:t>交易服务系统要求的相关信息在</w:t>
      </w:r>
      <w:r>
        <w:rPr>
          <w:rFonts w:hint="eastAsia" w:ascii="宋体" w:hAnsi="宋体"/>
          <w:color w:val="000000" w:themeColor="text1"/>
          <w:sz w:val="24"/>
          <w:highlight w:val="none"/>
          <w:lang w:eastAsia="zh-CN"/>
          <w14:textFill>
            <w14:solidFill>
              <w14:schemeClr w14:val="tx1"/>
            </w14:solidFill>
          </w14:textFill>
        </w:rPr>
        <w:t>广州交易集团有限公司（广州公共资源交易中心）</w:t>
      </w:r>
      <w:r>
        <w:rPr>
          <w:rFonts w:hint="eastAsia" w:ascii="宋体" w:hAnsi="宋体"/>
          <w:color w:val="000000" w:themeColor="text1"/>
          <w:sz w:val="24"/>
          <w:highlight w:val="none"/>
          <w14:textFill>
            <w14:solidFill>
              <w14:schemeClr w14:val="tx1"/>
            </w14:solidFill>
          </w14:textFill>
        </w:rPr>
        <w:t>交易服务系统中录入完毕。</w:t>
      </w:r>
    </w:p>
    <w:p w14:paraId="5DE6FE90">
      <w:pPr>
        <w:spacing w:line="360" w:lineRule="auto"/>
        <w:ind w:firstLine="480"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4.7</w:t>
      </w:r>
      <w:r>
        <w:rPr>
          <w:rFonts w:hint="eastAsia" w:ascii="宋体" w:hAnsi="宋体"/>
          <w:b/>
          <w:color w:val="000000" w:themeColor="text1"/>
          <w:sz w:val="24"/>
          <w:highlight w:val="none"/>
          <w14:textFill>
            <w14:solidFill>
              <w14:schemeClr w14:val="tx1"/>
            </w14:solidFill>
          </w14:textFill>
        </w:rPr>
        <w:t xml:space="preserve"> 投标文件的解密</w:t>
      </w:r>
    </w:p>
    <w:p w14:paraId="1A339A88">
      <w:pPr>
        <w:tabs>
          <w:tab w:val="left" w:pos="105"/>
        </w:tabs>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4.7</w:t>
      </w:r>
      <w:r>
        <w:rPr>
          <w:rFonts w:hint="eastAsia" w:ascii="宋体" w:hAnsi="宋体" w:cs="仿宋_GB2312"/>
          <w:color w:val="000000" w:themeColor="text1"/>
          <w:sz w:val="24"/>
          <w:szCs w:val="24"/>
          <w:highlight w:val="none"/>
          <w14:textFill>
            <w14:solidFill>
              <w14:schemeClr w14:val="tx1"/>
            </w14:solidFill>
          </w14:textFill>
        </w:rPr>
        <w:t>.</w:t>
      </w:r>
      <w:r>
        <w:rPr>
          <w:rFonts w:ascii="宋体" w:hAnsi="宋体" w:cs="仿宋_GB2312"/>
          <w:color w:val="000000" w:themeColor="text1"/>
          <w:sz w:val="24"/>
          <w:szCs w:val="24"/>
          <w:highlight w:val="none"/>
          <w14:textFill>
            <w14:solidFill>
              <w14:schemeClr w14:val="tx1"/>
            </w14:solidFill>
          </w14:textFill>
        </w:rPr>
        <w:t>1</w:t>
      </w:r>
      <w:r>
        <w:rPr>
          <w:rFonts w:hint="eastAsia"/>
          <w:color w:val="000000" w:themeColor="text1"/>
          <w:sz w:val="24"/>
          <w:highlight w:val="none"/>
          <w14:textFill>
            <w14:solidFill>
              <w14:schemeClr w14:val="tx1"/>
            </w14:solidFill>
          </w14:textFill>
        </w:rPr>
        <w:t>投标人必须在</w:t>
      </w:r>
      <w:r>
        <w:rPr>
          <w:rFonts w:hint="eastAsia"/>
          <w:color w:val="000000" w:themeColor="text1"/>
          <w:sz w:val="24"/>
          <w:highlight w:val="none"/>
          <w:lang w:eastAsia="zh-CN"/>
          <w14:textFill>
            <w14:solidFill>
              <w14:schemeClr w14:val="tx1"/>
            </w14:solidFill>
          </w14:textFill>
        </w:rPr>
        <w:t>投标人须知</w:t>
      </w:r>
      <w:r>
        <w:rPr>
          <w:rFonts w:hint="eastAsia"/>
          <w:color w:val="000000" w:themeColor="text1"/>
          <w:sz w:val="24"/>
          <w:highlight w:val="none"/>
          <w14:textFill>
            <w14:solidFill>
              <w14:schemeClr w14:val="tx1"/>
            </w14:solidFill>
          </w14:textFill>
        </w:rPr>
        <w:t>前附表规定的时间内对</w:t>
      </w:r>
      <w:r>
        <w:rPr>
          <w:rFonts w:hint="eastAsia" w:ascii="宋体" w:hAnsi="宋体"/>
          <w:color w:val="000000" w:themeColor="text1"/>
          <w:sz w:val="24"/>
          <w:highlight w:val="none"/>
          <w14:textFill>
            <w14:solidFill>
              <w14:schemeClr w14:val="tx1"/>
            </w14:solidFill>
          </w14:textFill>
        </w:rPr>
        <w:t>投标文件进行解密。</w:t>
      </w:r>
      <w:r>
        <w:rPr>
          <w:rFonts w:hint="eastAsia" w:ascii="宋体" w:hAnsi="宋体" w:cs="仿宋_GB2312"/>
          <w:color w:val="000000" w:themeColor="text1"/>
          <w:sz w:val="24"/>
          <w:szCs w:val="24"/>
          <w:highlight w:val="none"/>
          <w14:textFill>
            <w14:solidFill>
              <w14:schemeClr w14:val="tx1"/>
            </w14:solidFill>
          </w14:textFill>
        </w:rPr>
        <w:t>因投标人原因造成投标文件未解密或未在规定的时间内解密的，视为撤销其投标文件。</w:t>
      </w:r>
    </w:p>
    <w:p w14:paraId="5D3F05BA">
      <w:pPr>
        <w:jc w:val="center"/>
        <w:outlineLvl w:val="3"/>
        <w:rPr>
          <w:rFonts w:ascii="宋体" w:hAnsi="宋体"/>
          <w:b/>
          <w:color w:val="000000" w:themeColor="text1"/>
          <w:sz w:val="30"/>
          <w:szCs w:val="30"/>
          <w:highlight w:val="none"/>
          <w14:textFill>
            <w14:solidFill>
              <w14:schemeClr w14:val="tx1"/>
            </w14:solidFill>
          </w14:textFill>
        </w:rPr>
      </w:pPr>
      <w:bookmarkStart w:id="250" w:name="_Toc14894"/>
      <w:bookmarkStart w:id="251" w:name="_Toc28492"/>
      <w:bookmarkStart w:id="252" w:name="_Toc17091"/>
      <w:r>
        <w:rPr>
          <w:rFonts w:hint="eastAsia" w:ascii="宋体" w:hAnsi="宋体"/>
          <w:b/>
          <w:color w:val="000000" w:themeColor="text1"/>
          <w:sz w:val="30"/>
          <w:szCs w:val="30"/>
          <w:highlight w:val="none"/>
          <w14:textFill>
            <w14:solidFill>
              <w14:schemeClr w14:val="tx1"/>
            </w14:solidFill>
          </w14:textFill>
        </w:rPr>
        <w:t>（五）开标</w:t>
      </w:r>
      <w:bookmarkEnd w:id="250"/>
      <w:bookmarkEnd w:id="251"/>
      <w:bookmarkEnd w:id="252"/>
    </w:p>
    <w:p w14:paraId="4F113898">
      <w:pPr>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5.1 开标时间和地点</w:t>
      </w:r>
    </w:p>
    <w:p w14:paraId="6C9F8D07">
      <w:pPr>
        <w:spacing w:line="360" w:lineRule="auto"/>
        <w:ind w:firstLine="480" w:firstLineChars="2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5.1.1招标人按</w:t>
      </w:r>
      <w:r>
        <w:rPr>
          <w:rFonts w:hint="eastAsia"/>
          <w:color w:val="000000" w:themeColor="text1"/>
          <w:sz w:val="24"/>
          <w:highlight w:val="none"/>
          <w:lang w:eastAsia="zh-CN"/>
          <w14:textFill>
            <w14:solidFill>
              <w14:schemeClr w14:val="tx1"/>
            </w14:solidFill>
          </w14:textFill>
        </w:rPr>
        <w:t>投标人须知</w:t>
      </w:r>
      <w:r>
        <w:rPr>
          <w:rFonts w:hint="eastAsia"/>
          <w:color w:val="000000" w:themeColor="text1"/>
          <w:sz w:val="24"/>
          <w:highlight w:val="none"/>
          <w14:textFill>
            <w14:solidFill>
              <w14:schemeClr w14:val="tx1"/>
            </w14:solidFill>
          </w14:textFill>
        </w:rPr>
        <w:t>前附表规定的时间和地点公开开标，并邀请所有投标人参加。</w:t>
      </w:r>
      <w:r>
        <w:rPr>
          <w:rFonts w:hint="eastAsia"/>
          <w:color w:val="000000" w:themeColor="text1"/>
          <w:sz w:val="24"/>
          <w:highlight w:val="none"/>
          <w:lang w:eastAsia="zh-CN"/>
          <w14:textFill>
            <w14:solidFill>
              <w14:schemeClr w14:val="tx1"/>
            </w14:solidFill>
          </w14:textFill>
        </w:rPr>
        <w:t>投标人也可选择参加在线开标，具体按照交易平台相关指南进行操作。</w:t>
      </w:r>
      <w:r>
        <w:rPr>
          <w:rFonts w:hint="eastAsia"/>
          <w:color w:val="000000" w:themeColor="text1"/>
          <w:sz w:val="24"/>
          <w:highlight w:val="none"/>
          <w14:textFill>
            <w14:solidFill>
              <w14:schemeClr w14:val="tx1"/>
            </w14:solidFill>
          </w14:textFill>
        </w:rPr>
        <w:t>投标人不派代表</w:t>
      </w:r>
      <w:r>
        <w:rPr>
          <w:rFonts w:hint="eastAsia"/>
          <w:color w:val="000000" w:themeColor="text1"/>
          <w:sz w:val="24"/>
          <w:highlight w:val="none"/>
          <w:lang w:eastAsia="zh-CN"/>
          <w14:textFill>
            <w14:solidFill>
              <w14:schemeClr w14:val="tx1"/>
            </w14:solidFill>
          </w14:textFill>
        </w:rPr>
        <w:t>参加</w:t>
      </w:r>
      <w:r>
        <w:rPr>
          <w:rFonts w:hint="eastAsia"/>
          <w:color w:val="000000" w:themeColor="text1"/>
          <w:sz w:val="24"/>
          <w:highlight w:val="none"/>
          <w14:textFill>
            <w14:solidFill>
              <w14:schemeClr w14:val="tx1"/>
            </w14:solidFill>
          </w14:textFill>
        </w:rPr>
        <w:t>开标会，则视其为放弃参与开标的权利，认可开标结果。截标后，开标开始时间因故推迟的，相关评标信息仍以原定的开标开始时间的信息为准。</w:t>
      </w:r>
    </w:p>
    <w:p w14:paraId="1DE669DF">
      <w:pPr>
        <w:spacing w:line="360" w:lineRule="auto"/>
        <w:ind w:firstLine="480" w:firstLineChars="200"/>
        <w:jc w:val="left"/>
        <w:rPr>
          <w:rFonts w:ascii="宋体" w:hAnsi="宋体" w:cs="仿宋_GB2312"/>
          <w:color w:val="000000" w:themeColor="text1"/>
          <w:sz w:val="24"/>
          <w:szCs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5.1.2招标人在招标文件要求提交投标文件的截止时间前收到</w:t>
      </w:r>
      <w:r>
        <w:rPr>
          <w:rFonts w:hint="eastAsia"/>
          <w:color w:val="000000" w:themeColor="text1"/>
          <w:sz w:val="24"/>
          <w:highlight w:val="none"/>
          <w:u w:val="single"/>
          <w:lang w:val="en-US" w:eastAsia="zh-CN"/>
          <w14:textFill>
            <w14:solidFill>
              <w14:schemeClr w14:val="tx1"/>
            </w14:solidFill>
          </w14:textFill>
        </w:rPr>
        <w:t>并</w:t>
      </w:r>
      <w:r>
        <w:rPr>
          <w:rFonts w:hint="eastAsia"/>
          <w:color w:val="000000" w:themeColor="text1"/>
          <w:sz w:val="24"/>
          <w:highlight w:val="none"/>
          <w:u w:val="single"/>
          <w14:textFill>
            <w14:solidFill>
              <w14:schemeClr w14:val="tx1"/>
            </w14:solidFill>
          </w14:textFill>
        </w:rPr>
        <w:t>完成投标人解密</w:t>
      </w:r>
      <w:r>
        <w:rPr>
          <w:rFonts w:hint="eastAsia"/>
          <w:color w:val="000000" w:themeColor="text1"/>
          <w:sz w:val="24"/>
          <w:highlight w:val="none"/>
          <w14:textFill>
            <w14:solidFill>
              <w14:schemeClr w14:val="tx1"/>
            </w14:solidFill>
          </w14:textFill>
        </w:rPr>
        <w:t>的投标文件，开标时都当众予以解密、公布</w:t>
      </w:r>
      <w:r>
        <w:rPr>
          <w:rFonts w:hint="eastAsia" w:ascii="宋体" w:hAnsi="宋体" w:cs="仿宋_GB2312"/>
          <w:color w:val="000000" w:themeColor="text1"/>
          <w:sz w:val="24"/>
          <w:szCs w:val="24"/>
          <w:highlight w:val="none"/>
          <w14:textFill>
            <w14:solidFill>
              <w14:schemeClr w14:val="tx1"/>
            </w14:solidFill>
          </w14:textFill>
        </w:rPr>
        <w:t>。</w:t>
      </w:r>
    </w:p>
    <w:p w14:paraId="7D59AEE2">
      <w:pPr>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5.2 开标程序</w:t>
      </w:r>
    </w:p>
    <w:p w14:paraId="6424BEDF">
      <w:pPr>
        <w:tabs>
          <w:tab w:val="left" w:pos="105"/>
        </w:tabs>
        <w:spacing w:line="360" w:lineRule="auto"/>
        <w:ind w:firstLine="480" w:firstLineChars="200"/>
        <w:rPr>
          <w:rFonts w:hint="default" w:ascii="宋体" w:hAnsi="宋体" w:eastAsia="宋体" w:cs="仿宋_GB2312"/>
          <w:color w:val="000000" w:themeColor="text1"/>
          <w:sz w:val="24"/>
          <w:szCs w:val="24"/>
          <w:highlight w:val="none"/>
          <w:lang w:val="en-US" w:eastAsia="zh-CN"/>
          <w14:textFill>
            <w14:solidFill>
              <w14:schemeClr w14:val="tx1"/>
            </w14:solidFill>
          </w14:textFill>
        </w:rPr>
      </w:pPr>
      <w:r>
        <w:rPr>
          <w:rFonts w:hint="eastAsia" w:ascii="宋体" w:hAnsi="宋体" w:cs="仿宋_GB2312"/>
          <w:color w:val="000000" w:themeColor="text1"/>
          <w:sz w:val="24"/>
          <w:szCs w:val="24"/>
          <w:highlight w:val="none"/>
          <w:lang w:val="en-US" w:eastAsia="zh-CN"/>
          <w14:textFill>
            <w14:solidFill>
              <w14:schemeClr w14:val="tx1"/>
            </w14:solidFill>
          </w14:textFill>
        </w:rPr>
        <w:t>5.2.1在投标截止时间后半小时内，投标人通过广州交易集团有限公司（广州公共资源交易中心）网站交易平台对已递交的电子投标文件进行解密。投标人完成解密后，再由招标人进行解密。解密完成后，公布招标项目名称、投标人名称及其他内容。</w:t>
      </w:r>
    </w:p>
    <w:p w14:paraId="6910FE70">
      <w:pPr>
        <w:tabs>
          <w:tab w:val="left" w:pos="105"/>
        </w:tabs>
        <w:spacing w:line="360" w:lineRule="auto"/>
        <w:ind w:firstLine="480" w:firstLineChars="200"/>
        <w:rPr>
          <w:rFonts w:ascii="宋体" w:hAnsi="宋体" w:cs="仿宋_GB2312"/>
          <w:color w:val="000000" w:themeColor="text1"/>
          <w:sz w:val="24"/>
          <w:szCs w:val="24"/>
          <w:highlight w:val="none"/>
          <w14:textFill>
            <w14:solidFill>
              <w14:schemeClr w14:val="tx1"/>
            </w14:solidFill>
          </w14:textFill>
        </w:rPr>
      </w:pPr>
      <w:r>
        <w:rPr>
          <w:rFonts w:hint="eastAsia" w:ascii="宋体" w:hAnsi="宋体" w:cs="仿宋_GB2312"/>
          <w:color w:val="000000" w:themeColor="text1"/>
          <w:sz w:val="24"/>
          <w:szCs w:val="24"/>
          <w:highlight w:val="none"/>
          <w14:textFill>
            <w14:solidFill>
              <w14:schemeClr w14:val="tx1"/>
            </w14:solidFill>
          </w14:textFill>
        </w:rPr>
        <w:t>5.2.</w:t>
      </w:r>
      <w:r>
        <w:rPr>
          <w:rFonts w:hint="eastAsia" w:ascii="宋体" w:hAnsi="宋体" w:cs="仿宋_GB2312"/>
          <w:color w:val="000000" w:themeColor="text1"/>
          <w:sz w:val="24"/>
          <w:szCs w:val="24"/>
          <w:highlight w:val="none"/>
          <w:lang w:val="en-US" w:eastAsia="zh-CN"/>
          <w14:textFill>
            <w14:solidFill>
              <w14:schemeClr w14:val="tx1"/>
            </w14:solidFill>
          </w14:textFill>
        </w:rPr>
        <w:t>2</w:t>
      </w:r>
      <w:r>
        <w:rPr>
          <w:rFonts w:hint="eastAsia" w:ascii="宋体" w:hAnsi="宋体" w:cs="仿宋_GB2312"/>
          <w:color w:val="000000" w:themeColor="text1"/>
          <w:sz w:val="24"/>
          <w:szCs w:val="24"/>
          <w:highlight w:val="none"/>
          <w14:textFill>
            <w14:solidFill>
              <w14:schemeClr w14:val="tx1"/>
            </w14:solidFill>
          </w14:textFill>
        </w:rPr>
        <w:t>公开摇取评标基准价下浮率（下浮率取值范围在</w:t>
      </w:r>
      <w:r>
        <w:rPr>
          <w:rFonts w:hint="eastAsia" w:ascii="宋体" w:hAnsi="宋体" w:cs="仿宋_GB2312"/>
          <w:color w:val="000000" w:themeColor="text1"/>
          <w:sz w:val="24"/>
          <w:szCs w:val="24"/>
          <w:highlight w:val="none"/>
          <w:lang w:val="en-US" w:eastAsia="zh-CN"/>
          <w14:textFill>
            <w14:solidFill>
              <w14:schemeClr w14:val="tx1"/>
            </w14:solidFill>
          </w14:textFill>
        </w:rPr>
        <w:t>2</w:t>
      </w:r>
      <w:r>
        <w:rPr>
          <w:rFonts w:hint="eastAsia" w:ascii="宋体" w:hAnsi="宋体" w:cs="仿宋_GB2312"/>
          <w:color w:val="000000" w:themeColor="text1"/>
          <w:sz w:val="24"/>
          <w:szCs w:val="24"/>
          <w:highlight w:val="none"/>
          <w14:textFill>
            <w14:solidFill>
              <w14:schemeClr w14:val="tx1"/>
            </w14:solidFill>
          </w14:textFill>
        </w:rPr>
        <w:t>%~</w:t>
      </w:r>
      <w:r>
        <w:rPr>
          <w:rFonts w:hint="eastAsia" w:ascii="宋体" w:hAnsi="宋体" w:cs="仿宋_GB2312"/>
          <w:color w:val="000000" w:themeColor="text1"/>
          <w:sz w:val="24"/>
          <w:szCs w:val="24"/>
          <w:highlight w:val="none"/>
          <w:lang w:val="en-US" w:eastAsia="zh-CN"/>
          <w14:textFill>
            <w14:solidFill>
              <w14:schemeClr w14:val="tx1"/>
            </w14:solidFill>
          </w14:textFill>
        </w:rPr>
        <w:t>5</w:t>
      </w:r>
      <w:r>
        <w:rPr>
          <w:rFonts w:hint="eastAsia" w:ascii="宋体" w:hAnsi="宋体" w:cs="仿宋_GB2312"/>
          <w:color w:val="000000" w:themeColor="text1"/>
          <w:sz w:val="24"/>
          <w:szCs w:val="24"/>
          <w:highlight w:val="none"/>
          <w14:textFill>
            <w14:solidFill>
              <w14:schemeClr w14:val="tx1"/>
            </w14:solidFill>
          </w14:textFill>
        </w:rPr>
        <w:t>%，按0.5%设定级差）。</w:t>
      </w:r>
    </w:p>
    <w:p w14:paraId="05FF6E69">
      <w:pPr>
        <w:tabs>
          <w:tab w:val="left" w:pos="105"/>
        </w:tabs>
        <w:spacing w:line="360" w:lineRule="auto"/>
        <w:ind w:firstLine="480" w:firstLineChars="200"/>
        <w:rPr>
          <w:rFonts w:hint="eastAsia" w:ascii="宋体" w:hAnsi="宋体" w:cs="仿宋_GB2312"/>
          <w:color w:val="000000" w:themeColor="text1"/>
          <w:sz w:val="24"/>
          <w:szCs w:val="24"/>
          <w:highlight w:val="none"/>
          <w14:textFill>
            <w14:solidFill>
              <w14:schemeClr w14:val="tx1"/>
            </w14:solidFill>
          </w14:textFill>
        </w:rPr>
      </w:pPr>
      <w:r>
        <w:rPr>
          <w:rFonts w:hint="eastAsia" w:ascii="宋体" w:hAnsi="宋体" w:cs="仿宋_GB2312"/>
          <w:color w:val="000000" w:themeColor="text1"/>
          <w:sz w:val="24"/>
          <w:szCs w:val="24"/>
          <w:highlight w:val="none"/>
          <w14:textFill>
            <w14:solidFill>
              <w14:schemeClr w14:val="tx1"/>
            </w14:solidFill>
          </w14:textFill>
        </w:rPr>
        <w:t>5.2.</w:t>
      </w:r>
      <w:r>
        <w:rPr>
          <w:rFonts w:hint="eastAsia" w:ascii="宋体" w:hAnsi="宋体" w:cs="仿宋_GB2312"/>
          <w:color w:val="000000" w:themeColor="text1"/>
          <w:sz w:val="24"/>
          <w:szCs w:val="24"/>
          <w:highlight w:val="none"/>
          <w:lang w:val="en-US" w:eastAsia="zh-CN"/>
          <w14:textFill>
            <w14:solidFill>
              <w14:schemeClr w14:val="tx1"/>
            </w14:solidFill>
          </w14:textFill>
        </w:rPr>
        <w:t>3</w:t>
      </w:r>
      <w:r>
        <w:rPr>
          <w:rFonts w:hint="eastAsia" w:ascii="宋体" w:hAnsi="宋体" w:cs="仿宋_GB2312"/>
          <w:color w:val="000000" w:themeColor="text1"/>
          <w:sz w:val="24"/>
          <w:szCs w:val="24"/>
          <w:highlight w:val="none"/>
          <w14:textFill>
            <w14:solidFill>
              <w14:schemeClr w14:val="tx1"/>
            </w14:solidFill>
          </w14:textFill>
        </w:rPr>
        <w:t>按开标记录表规定的内容进行唱标。</w:t>
      </w:r>
    </w:p>
    <w:p w14:paraId="028BEFD4">
      <w:pPr>
        <w:tabs>
          <w:tab w:val="left" w:pos="105"/>
        </w:tabs>
        <w:spacing w:line="360" w:lineRule="auto"/>
        <w:ind w:firstLine="480" w:firstLineChars="200"/>
        <w:rPr>
          <w:rFonts w:ascii="宋体" w:hAnsi="宋体" w:cs="仿宋_GB2312"/>
          <w:color w:val="000000" w:themeColor="text1"/>
          <w:sz w:val="24"/>
          <w:szCs w:val="24"/>
          <w:highlight w:val="none"/>
          <w14:textFill>
            <w14:solidFill>
              <w14:schemeClr w14:val="tx1"/>
            </w14:solidFill>
          </w14:textFill>
        </w:rPr>
      </w:pPr>
      <w:r>
        <w:rPr>
          <w:rFonts w:hint="eastAsia" w:ascii="宋体" w:hAnsi="宋体" w:cs="仿宋_GB2312"/>
          <w:color w:val="000000" w:themeColor="text1"/>
          <w:sz w:val="24"/>
          <w:szCs w:val="24"/>
          <w:highlight w:val="none"/>
          <w14:textFill>
            <w14:solidFill>
              <w14:schemeClr w14:val="tx1"/>
            </w14:solidFill>
          </w14:textFill>
        </w:rPr>
        <w:t>5.2.</w:t>
      </w:r>
      <w:r>
        <w:rPr>
          <w:rFonts w:hint="eastAsia" w:ascii="宋体" w:hAnsi="宋体" w:cs="仿宋_GB2312"/>
          <w:color w:val="000000" w:themeColor="text1"/>
          <w:sz w:val="24"/>
          <w:szCs w:val="24"/>
          <w:highlight w:val="none"/>
          <w:lang w:val="en-US" w:eastAsia="zh-CN"/>
          <w14:textFill>
            <w14:solidFill>
              <w14:schemeClr w14:val="tx1"/>
            </w14:solidFill>
          </w14:textFill>
        </w:rPr>
        <w:t>4</w:t>
      </w:r>
      <w:r>
        <w:rPr>
          <w:rFonts w:hint="eastAsia" w:ascii="宋体" w:hAnsi="宋体" w:cs="仿宋_GB2312"/>
          <w:color w:val="000000" w:themeColor="text1"/>
          <w:sz w:val="24"/>
          <w:szCs w:val="24"/>
          <w:highlight w:val="none"/>
          <w14:textFill>
            <w14:solidFill>
              <w14:schemeClr w14:val="tx1"/>
            </w14:solidFill>
          </w14:textFill>
        </w:rPr>
        <w:t>投标人代表、招标人代表、监标人、记录人等有关人员在开标记录上签字确认；若有关人员不签字的，不影响开标程序。</w:t>
      </w:r>
    </w:p>
    <w:p w14:paraId="1022AA4C">
      <w:pPr>
        <w:tabs>
          <w:tab w:val="left" w:pos="105"/>
        </w:tabs>
        <w:spacing w:line="360" w:lineRule="auto"/>
        <w:ind w:firstLine="480" w:firstLineChars="200"/>
        <w:rPr>
          <w:rFonts w:hint="eastAsia" w:ascii="宋体" w:hAnsi="宋体" w:cs="仿宋_GB2312"/>
          <w:color w:val="000000" w:themeColor="text1"/>
          <w:sz w:val="24"/>
          <w:szCs w:val="24"/>
          <w:highlight w:val="none"/>
          <w:lang w:val="en-US" w:eastAsia="zh-CN"/>
          <w14:textFill>
            <w14:solidFill>
              <w14:schemeClr w14:val="tx1"/>
            </w14:solidFill>
          </w14:textFill>
        </w:rPr>
      </w:pPr>
      <w:r>
        <w:rPr>
          <w:rFonts w:hint="eastAsia" w:ascii="宋体" w:hAnsi="宋体" w:cs="仿宋_GB2312"/>
          <w:color w:val="000000" w:themeColor="text1"/>
          <w:sz w:val="24"/>
          <w:szCs w:val="24"/>
          <w:highlight w:val="none"/>
          <w:lang w:val="en-US" w:eastAsia="zh-CN"/>
          <w14:textFill>
            <w14:solidFill>
              <w14:schemeClr w14:val="tx1"/>
            </w14:solidFill>
          </w14:textFill>
        </w:rPr>
        <w:t>5.2.5开标结束。</w:t>
      </w:r>
    </w:p>
    <w:p w14:paraId="1CFC5EC2">
      <w:pPr>
        <w:tabs>
          <w:tab w:val="left" w:pos="105"/>
        </w:tabs>
        <w:spacing w:line="360" w:lineRule="auto"/>
        <w:ind w:firstLine="480" w:firstLineChars="200"/>
        <w:rPr>
          <w:rFonts w:hint="eastAsia" w:ascii="宋体" w:hAnsi="宋体" w:cs="仿宋_GB2312"/>
          <w:color w:val="000000" w:themeColor="text1"/>
          <w:sz w:val="24"/>
          <w:szCs w:val="24"/>
          <w:highlight w:val="none"/>
          <w:lang w:val="en-US" w:eastAsia="zh-CN"/>
          <w14:textFill>
            <w14:solidFill>
              <w14:schemeClr w14:val="tx1"/>
            </w14:solidFill>
          </w14:textFill>
        </w:rPr>
      </w:pPr>
      <w:r>
        <w:rPr>
          <w:rFonts w:hint="eastAsia" w:ascii="宋体" w:hAnsi="宋体" w:cs="仿宋_GB2312"/>
          <w:color w:val="000000" w:themeColor="text1"/>
          <w:sz w:val="24"/>
          <w:szCs w:val="24"/>
          <w:highlight w:val="none"/>
          <w:lang w:val="en-US" w:eastAsia="zh-CN"/>
          <w14:textFill>
            <w14:solidFill>
              <w14:schemeClr w14:val="tx1"/>
            </w14:solidFill>
          </w14:textFill>
        </w:rPr>
        <w:t>5.2.6投标截止时间前未完成投标文件传输的或因投标人之外的原因造成投标文件未解密的，视为投标人撤回投标文件。因投标人原因造成投标文件未解密或未在规定的时间内解密的，视为撤销其投标文件。</w:t>
      </w:r>
    </w:p>
    <w:p w14:paraId="2DAF5919">
      <w:pPr>
        <w:tabs>
          <w:tab w:val="left" w:pos="105"/>
        </w:tabs>
        <w:spacing w:line="360" w:lineRule="auto"/>
        <w:ind w:firstLine="480" w:firstLineChars="200"/>
        <w:rPr>
          <w:rFonts w:hint="default" w:ascii="宋体" w:hAnsi="宋体" w:cs="仿宋_GB2312"/>
          <w:color w:val="000000" w:themeColor="text1"/>
          <w:sz w:val="24"/>
          <w:szCs w:val="24"/>
          <w:highlight w:val="none"/>
          <w:lang w:val="en-US" w:eastAsia="zh-CN"/>
          <w14:textFill>
            <w14:solidFill>
              <w14:schemeClr w14:val="tx1"/>
            </w14:solidFill>
          </w14:textFill>
        </w:rPr>
      </w:pPr>
      <w:r>
        <w:rPr>
          <w:rFonts w:hint="eastAsia" w:ascii="宋体" w:hAnsi="宋体" w:cs="仿宋_GB2312"/>
          <w:color w:val="000000" w:themeColor="text1"/>
          <w:sz w:val="24"/>
          <w:szCs w:val="24"/>
          <w:highlight w:val="none"/>
          <w:lang w:val="en-US" w:eastAsia="zh-CN"/>
          <w14:textFill>
            <w14:solidFill>
              <w14:schemeClr w14:val="tx1"/>
            </w14:solidFill>
          </w14:textFill>
        </w:rPr>
        <w:t>5.2.7开标时，两个（含两个）以上的投标人加密打包投标文件电脑机器特征码一致的，不参与下一程序，并由评标委员会否决其投标。</w:t>
      </w:r>
    </w:p>
    <w:p w14:paraId="19ECB11F">
      <w:pPr>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5.3 开标异议</w:t>
      </w:r>
    </w:p>
    <w:p w14:paraId="0CE528F2">
      <w:pPr>
        <w:pStyle w:val="32"/>
        <w:shd w:val="clear" w:color="auto" w:fill="auto"/>
        <w:spacing w:before="0" w:beforeAutospacing="0" w:after="0" w:afterAutospacing="0" w:line="360" w:lineRule="auto"/>
        <w:ind w:firstLine="48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5.3.1</w:t>
      </w:r>
      <w:r>
        <w:rPr>
          <w:rFonts w:hint="eastAsia"/>
          <w:color w:val="000000" w:themeColor="text1"/>
          <w:sz w:val="24"/>
          <w:highlight w:val="none"/>
          <w:lang w:eastAsia="zh-CN"/>
          <w14:textFill>
            <w14:solidFill>
              <w14:schemeClr w14:val="tx1"/>
            </w14:solidFill>
          </w14:textFill>
        </w:rPr>
        <w:t>若投标人代表对开标过程有异议的，参加现场开标的，</w:t>
      </w:r>
      <w:r>
        <w:rPr>
          <w:rFonts w:hint="eastAsia"/>
          <w:color w:val="000000" w:themeColor="text1"/>
          <w:sz w:val="24"/>
          <w:highlight w:val="none"/>
          <w14:textFill>
            <w14:solidFill>
              <w14:schemeClr w14:val="tx1"/>
            </w14:solidFill>
          </w14:textFill>
        </w:rPr>
        <w:t>应当在开标现场提出，</w:t>
      </w:r>
      <w:r>
        <w:rPr>
          <w:rFonts w:hint="eastAsia"/>
          <w:color w:val="000000" w:themeColor="text1"/>
          <w:sz w:val="24"/>
          <w:highlight w:val="none"/>
          <w:lang w:eastAsia="zh-CN"/>
          <w14:textFill>
            <w14:solidFill>
              <w14:schemeClr w14:val="tx1"/>
            </w14:solidFill>
          </w14:textFill>
        </w:rPr>
        <w:t>同时出示本人身份证原件，</w:t>
      </w:r>
      <w:r>
        <w:rPr>
          <w:rFonts w:hint="eastAsia"/>
          <w:color w:val="000000" w:themeColor="text1"/>
          <w:sz w:val="24"/>
          <w:highlight w:val="none"/>
          <w14:textFill>
            <w14:solidFill>
              <w14:schemeClr w14:val="tx1"/>
            </w14:solidFill>
          </w14:textFill>
        </w:rPr>
        <w:t>招标人</w:t>
      </w:r>
      <w:r>
        <w:rPr>
          <w:rFonts w:hint="eastAsia"/>
          <w:color w:val="000000" w:themeColor="text1"/>
          <w:sz w:val="24"/>
          <w:highlight w:val="none"/>
          <w:lang w:eastAsia="zh-CN"/>
          <w14:textFill>
            <w14:solidFill>
              <w14:schemeClr w14:val="tx1"/>
            </w14:solidFill>
          </w14:textFill>
        </w:rPr>
        <w:t>应当</w:t>
      </w:r>
      <w:r>
        <w:rPr>
          <w:rFonts w:hint="eastAsia"/>
          <w:color w:val="000000" w:themeColor="text1"/>
          <w:sz w:val="24"/>
          <w:highlight w:val="none"/>
          <w14:textFill>
            <w14:solidFill>
              <w14:schemeClr w14:val="tx1"/>
            </w14:solidFill>
          </w14:textFill>
        </w:rPr>
        <w:t>当场作出答复，并制作记录</w:t>
      </w:r>
      <w:r>
        <w:rPr>
          <w:rFonts w:hint="eastAsia"/>
          <w:color w:val="000000" w:themeColor="text1"/>
          <w:sz w:val="24"/>
          <w:highlight w:val="none"/>
          <w:lang w:eastAsia="zh-CN"/>
          <w14:textFill>
            <w14:solidFill>
              <w14:schemeClr w14:val="tx1"/>
            </w14:solidFill>
          </w14:textFill>
        </w:rPr>
        <w:t>；参加在线开标的，投标人应通过交易平台在线提出，招标人应通过交易平台答复，答复后方可结束开标</w:t>
      </w:r>
      <w:r>
        <w:rPr>
          <w:rFonts w:hint="eastAsia" w:ascii="宋体" w:hAnsi="宋体"/>
          <w:color w:val="000000" w:themeColor="text1"/>
          <w:highlight w:val="none"/>
          <w14:textFill>
            <w14:solidFill>
              <w14:schemeClr w14:val="tx1"/>
            </w14:solidFill>
          </w14:textFill>
        </w:rPr>
        <w:t>。</w:t>
      </w:r>
    </w:p>
    <w:p w14:paraId="20527CC6">
      <w:pPr>
        <w:widowControl/>
        <w:shd w:val="clear" w:color="auto" w:fill="auto"/>
        <w:spacing w:line="360" w:lineRule="auto"/>
        <w:ind w:firstLine="480" w:firstLineChars="200"/>
        <w:jc w:val="left"/>
        <w:rPr>
          <w:rFonts w:hint="eastAsia"/>
          <w:color w:val="000000" w:themeColor="text1"/>
          <w:sz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5.3.2对开标的异议，招标人应当当场作出答复并予以书面记录，异议成立的，招标人应当及时采取纠正措施，或者提交评标委员会评审确认；异议不成立的，招标人应当当场给予解释说明。</w:t>
      </w:r>
      <w:r>
        <w:rPr>
          <w:rFonts w:hint="eastAsia"/>
          <w:color w:val="000000" w:themeColor="text1"/>
          <w:sz w:val="24"/>
          <w:highlight w:val="none"/>
          <w:lang w:eastAsia="zh-CN"/>
          <w14:textFill>
            <w14:solidFill>
              <w14:schemeClr w14:val="tx1"/>
            </w14:solidFill>
          </w14:textFill>
        </w:rPr>
        <w:t>投标人未参加开标或在规定的时间内未提出异议的，视为对开标无异议。</w:t>
      </w:r>
    </w:p>
    <w:p w14:paraId="741C29DA">
      <w:pPr>
        <w:widowControl/>
        <w:shd w:val="clear" w:color="auto" w:fill="auto"/>
        <w:spacing w:line="360" w:lineRule="auto"/>
        <w:ind w:firstLine="480" w:firstLineChars="200"/>
        <w:jc w:val="left"/>
        <w:rPr>
          <w:rFonts w:hint="eastAsia" w:ascii="宋体" w:hAnsi="宋体" w:cs="宋体"/>
          <w:color w:val="000000" w:themeColor="text1"/>
          <w:kern w:val="0"/>
          <w:sz w:val="32"/>
          <w:szCs w:val="32"/>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5.3.3招标人应当按照同一异议提起人一份记录的方式，对异议事项的处理应逐条进行书面记录，并由异议提起人、招标人签名确认。书面记录含义应清晰而明确，包括但不限于纠正的措施、解释说明的内容、相关依据等</w:t>
      </w:r>
      <w:r>
        <w:rPr>
          <w:rFonts w:hint="eastAsia" w:ascii="宋体" w:hAnsi="宋体" w:cs="宋体"/>
          <w:color w:val="000000" w:themeColor="text1"/>
          <w:kern w:val="0"/>
          <w:sz w:val="32"/>
          <w:szCs w:val="32"/>
          <w:highlight w:val="none"/>
          <w14:textFill>
            <w14:solidFill>
              <w14:schemeClr w14:val="tx1"/>
            </w14:solidFill>
          </w14:textFill>
        </w:rPr>
        <w:t>。</w:t>
      </w:r>
    </w:p>
    <w:p w14:paraId="296B7E91">
      <w:pPr>
        <w:jc w:val="center"/>
        <w:outlineLvl w:val="3"/>
        <w:rPr>
          <w:rFonts w:ascii="宋体" w:hAnsi="宋体"/>
          <w:b/>
          <w:color w:val="000000" w:themeColor="text1"/>
          <w:sz w:val="30"/>
          <w:szCs w:val="30"/>
          <w:highlight w:val="none"/>
          <w14:textFill>
            <w14:solidFill>
              <w14:schemeClr w14:val="tx1"/>
            </w14:solidFill>
          </w14:textFill>
        </w:rPr>
      </w:pPr>
      <w:bookmarkStart w:id="253" w:name="_Toc3307"/>
      <w:bookmarkStart w:id="254" w:name="_Toc9489"/>
      <w:bookmarkStart w:id="255" w:name="_Toc22746"/>
      <w:r>
        <w:rPr>
          <w:rFonts w:hint="eastAsia" w:ascii="宋体" w:hAnsi="宋体"/>
          <w:b/>
          <w:color w:val="000000" w:themeColor="text1"/>
          <w:sz w:val="30"/>
          <w:szCs w:val="30"/>
          <w:highlight w:val="none"/>
          <w14:textFill>
            <w14:solidFill>
              <w14:schemeClr w14:val="tx1"/>
            </w14:solidFill>
          </w14:textFill>
        </w:rPr>
        <w:t>（六）评标</w:t>
      </w:r>
      <w:bookmarkEnd w:id="253"/>
      <w:bookmarkEnd w:id="254"/>
      <w:bookmarkEnd w:id="255"/>
    </w:p>
    <w:p w14:paraId="2B9B5500">
      <w:pPr>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6.1 评标委员会</w:t>
      </w:r>
    </w:p>
    <w:p w14:paraId="6E720349">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6.1.1评标由招标人依法组建的评标委员会负责。评标委员会由</w:t>
      </w:r>
      <w:r>
        <w:rPr>
          <w:rFonts w:hint="eastAsia" w:ascii="宋体" w:hAnsi="宋体"/>
          <w:color w:val="000000" w:themeColor="text1"/>
          <w:sz w:val="24"/>
          <w:highlight w:val="none"/>
          <w:u w:val="single"/>
          <w14:textFill>
            <w14:solidFill>
              <w14:schemeClr w14:val="tx1"/>
            </w14:solidFill>
          </w14:textFill>
        </w:rPr>
        <w:t>招标人代表或其委托的招标代理机构熟悉相关业务的代表，以及由广东省综合评标评审专家库有关技术、经济等方面的专家组成。</w:t>
      </w:r>
      <w:r>
        <w:rPr>
          <w:rFonts w:hint="eastAsia" w:ascii="宋体" w:hAnsi="宋体"/>
          <w:color w:val="000000" w:themeColor="text1"/>
          <w:sz w:val="24"/>
          <w:highlight w:val="none"/>
          <w14:textFill>
            <w14:solidFill>
              <w14:schemeClr w14:val="tx1"/>
            </w14:solidFill>
          </w14:textFill>
        </w:rPr>
        <w:t>评标委员会成员人数以及技术、经济等方面专家的确定方式见投标人须知前附表。</w:t>
      </w:r>
    </w:p>
    <w:p w14:paraId="2A1B25CE">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6.1.2 评标委员会成员有下列情形之一的，应当回避：</w:t>
      </w:r>
    </w:p>
    <w:p w14:paraId="6CDC10E9">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（1）招标人或投标人的主要负责人的近亲属；</w:t>
      </w:r>
    </w:p>
    <w:p w14:paraId="43AFA0A6">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（2）项目主管部门或者行政监督部门的人员；</w:t>
      </w:r>
    </w:p>
    <w:p w14:paraId="1A207714">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招标人</w:t>
      </w:r>
      <w:r>
        <w:rPr>
          <w:rFonts w:hint="eastAsia" w:ascii="宋体" w:hAnsi="宋体"/>
          <w:color w:val="000000" w:themeColor="text1"/>
          <w:sz w:val="24"/>
          <w:highlight w:val="none"/>
          <w:lang w:val="en-US" w:eastAsia="zh-CN"/>
          <w14:textFill>
            <w14:solidFill>
              <w14:schemeClr w14:val="tx1"/>
            </w14:solidFill>
          </w14:textFill>
        </w:rPr>
        <w:t>或</w:t>
      </w:r>
      <w:r>
        <w:rPr>
          <w:rFonts w:hint="eastAsia" w:ascii="宋体" w:hAnsi="宋体"/>
          <w:color w:val="000000" w:themeColor="text1"/>
          <w:sz w:val="24"/>
          <w:highlight w:val="none"/>
          <w14:textFill>
            <w14:solidFill>
              <w14:schemeClr w14:val="tx1"/>
            </w14:solidFill>
          </w14:textFill>
        </w:rPr>
        <w:t>投标人的工作人员、退休或离职未满3年的人员；</w:t>
      </w:r>
    </w:p>
    <w:p w14:paraId="57D03BA5">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）与投标人有经济利益关系，可能影响对投标公正评审的；</w:t>
      </w:r>
    </w:p>
    <w:p w14:paraId="48637084">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5</w:t>
      </w:r>
      <w:r>
        <w:rPr>
          <w:rFonts w:hint="eastAsia" w:ascii="宋体" w:hAnsi="宋体"/>
          <w:color w:val="000000" w:themeColor="text1"/>
          <w:sz w:val="24"/>
          <w:highlight w:val="none"/>
          <w14:textFill>
            <w14:solidFill>
              <w14:schemeClr w14:val="tx1"/>
            </w14:solidFill>
          </w14:textFill>
        </w:rPr>
        <w:t>）曾因在招标、评标以及其他与招标投标有关活动中从事违法行为而受过行政处罚或刑事处罚的。</w:t>
      </w:r>
    </w:p>
    <w:p w14:paraId="3E541F60">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6</w:t>
      </w:r>
      <w:r>
        <w:rPr>
          <w:rFonts w:hint="eastAsia" w:ascii="宋体" w:hAnsi="宋体"/>
          <w:color w:val="000000" w:themeColor="text1"/>
          <w:sz w:val="24"/>
          <w:highlight w:val="none"/>
          <w14:textFill>
            <w14:solidFill>
              <w14:schemeClr w14:val="tx1"/>
            </w14:solidFill>
          </w14:textFill>
        </w:rPr>
        <w:t>）与投标人有其他利害关系。</w:t>
      </w:r>
    </w:p>
    <w:p w14:paraId="309A60B8">
      <w:pPr>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6.2 评标原则</w:t>
      </w:r>
      <w:r>
        <w:rPr>
          <w:rFonts w:hint="eastAsia" w:ascii="宋体" w:hAnsi="宋体"/>
          <w:b/>
          <w:color w:val="000000" w:themeColor="text1"/>
          <w:sz w:val="24"/>
          <w:highlight w:val="none"/>
          <w14:textFill>
            <w14:solidFill>
              <w14:schemeClr w14:val="tx1"/>
            </w14:solidFill>
          </w14:textFill>
        </w:rPr>
        <w:tab/>
      </w:r>
    </w:p>
    <w:p w14:paraId="49E673F1">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评标活动遵循公平、公正、科学和择优的原则。</w:t>
      </w:r>
    </w:p>
    <w:p w14:paraId="00A03D85">
      <w:pPr>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6.3 评标</w:t>
      </w:r>
    </w:p>
    <w:p w14:paraId="7B37851F">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评标委员会按照第三章“评标办法”规定的方法、评审因素、标准和程序对投标文件进行评审。第三章“评标办法”没有规定的方法、评审因素和标准，不作为评标依据。</w:t>
      </w:r>
    </w:p>
    <w:p w14:paraId="2AF31DDB">
      <w:pPr>
        <w:jc w:val="center"/>
        <w:outlineLvl w:val="3"/>
        <w:rPr>
          <w:rFonts w:ascii="宋体" w:hAnsi="宋体"/>
          <w:b/>
          <w:color w:val="000000" w:themeColor="text1"/>
          <w:sz w:val="30"/>
          <w:szCs w:val="30"/>
          <w:highlight w:val="none"/>
          <w14:textFill>
            <w14:solidFill>
              <w14:schemeClr w14:val="tx1"/>
            </w14:solidFill>
          </w14:textFill>
        </w:rPr>
      </w:pPr>
      <w:bookmarkStart w:id="256" w:name="_Toc27608"/>
      <w:bookmarkStart w:id="257" w:name="_Toc18583"/>
      <w:bookmarkStart w:id="258" w:name="_Toc7840"/>
      <w:r>
        <w:rPr>
          <w:rFonts w:hint="eastAsia" w:ascii="宋体" w:hAnsi="宋体"/>
          <w:b/>
          <w:color w:val="000000" w:themeColor="text1"/>
          <w:sz w:val="30"/>
          <w:szCs w:val="30"/>
          <w:highlight w:val="none"/>
          <w14:textFill>
            <w14:solidFill>
              <w14:schemeClr w14:val="tx1"/>
            </w14:solidFill>
          </w14:textFill>
        </w:rPr>
        <w:t>（七）合同授予</w:t>
      </w:r>
      <w:bookmarkEnd w:id="256"/>
      <w:bookmarkEnd w:id="257"/>
      <w:bookmarkEnd w:id="258"/>
    </w:p>
    <w:p w14:paraId="35E9C86C">
      <w:pPr>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7.1 定标方式</w:t>
      </w:r>
    </w:p>
    <w:p w14:paraId="125B36E4">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招标人根据评标委员会推荐的中标候选人确定中标人，评标委员会推荐中标候选人的人数为3个。</w:t>
      </w:r>
    </w:p>
    <w:p w14:paraId="6E9A017D">
      <w:pPr>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7.2 中标候选人公示</w:t>
      </w:r>
    </w:p>
    <w:p w14:paraId="65733D52">
      <w:pPr>
        <w:spacing w:line="360" w:lineRule="auto"/>
        <w:ind w:firstLine="480" w:firstLineChars="2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7.2.1招标人在《投标人须知前附表》规定的媒介公示中标候选人，公示期为三天，最后一天应为工作日。</w:t>
      </w:r>
      <w:r>
        <w:rPr>
          <w:rFonts w:hint="eastAsia" w:ascii="宋体" w:hAnsi="宋体" w:eastAsia="宋体" w:cs="宋体"/>
          <w:color w:val="000000" w:themeColor="text1"/>
          <w:sz w:val="24"/>
          <w:highlight w:val="none"/>
          <w:u w:val="single"/>
          <w14:textFill>
            <w14:solidFill>
              <w14:schemeClr w14:val="tx1"/>
            </w14:solidFill>
          </w14:textFill>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14:paraId="78D4CE23">
      <w:pPr>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7.2.2中标候选人公示时，招标人将同时公示中标候选人的投标文件中人员、业绩、奖项等资料。</w:t>
      </w:r>
    </w:p>
    <w:p w14:paraId="32FD543A">
      <w:pPr>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7.2.3重新评标的，评标信息（含业绩、奖项等）仍以投标截止时投标人的信息为准。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029FF076">
      <w:pPr>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7.3 中标通知</w:t>
      </w:r>
    </w:p>
    <w:p w14:paraId="379C1767">
      <w:pPr>
        <w:snapToGrid w:val="0"/>
        <w:spacing w:line="360" w:lineRule="auto"/>
        <w:ind w:firstLine="480" w:firstLineChars="200"/>
        <w:rPr>
          <w:rFonts w:hint="eastAsia"/>
          <w:color w:val="000000" w:themeColor="text1"/>
          <w:sz w:val="24"/>
          <w:highlight w:val="none"/>
          <w:u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7.3.1</w:t>
      </w:r>
      <w:r>
        <w:rPr>
          <w:rFonts w:hint="eastAsia" w:ascii="宋体" w:hAnsi="宋体"/>
          <w:color w:val="000000" w:themeColor="text1"/>
          <w:sz w:val="24"/>
          <w:highlight w:val="none"/>
          <w14:textFill>
            <w14:solidFill>
              <w14:schemeClr w14:val="tx1"/>
            </w14:solidFill>
          </w14:textFill>
        </w:rPr>
        <w:t>在法规规定的时间内，招标人以书面形式向中标人发出中标通知书。</w:t>
      </w:r>
      <w:r>
        <w:rPr>
          <w:rFonts w:hint="eastAsia"/>
          <w:color w:val="000000" w:themeColor="text1"/>
          <w:sz w:val="24"/>
          <w:highlight w:val="none"/>
          <w14:textFill>
            <w14:solidFill>
              <w14:schemeClr w14:val="tx1"/>
            </w14:solidFill>
          </w14:textFill>
        </w:rPr>
        <w:t>在</w:t>
      </w:r>
      <w:r>
        <w:rPr>
          <w:rFonts w:hint="eastAsia" w:ascii="宋体" w:hAnsi="宋体"/>
          <w:color w:val="000000" w:themeColor="text1"/>
          <w:sz w:val="24"/>
          <w:szCs w:val="24"/>
          <w:highlight w:val="none"/>
          <w:lang w:eastAsia="zh-CN"/>
          <w14:textFill>
            <w14:solidFill>
              <w14:schemeClr w14:val="tx1"/>
            </w14:solidFill>
          </w14:textFill>
        </w:rPr>
        <w:t>广州交易集团有限公司（广州公共资源交易中心）</w:t>
      </w:r>
      <w:r>
        <w:rPr>
          <w:rFonts w:hint="eastAsia" w:ascii="宋体" w:hAnsi="宋体"/>
          <w:color w:val="000000" w:themeColor="text1"/>
          <w:sz w:val="24"/>
          <w:szCs w:val="24"/>
          <w:highlight w:val="none"/>
          <w:u w:val="none"/>
          <w14:textFill>
            <w14:solidFill>
              <w14:schemeClr w14:val="tx1"/>
            </w14:solidFill>
          </w14:textFill>
        </w:rPr>
        <w:t>网</w:t>
      </w:r>
      <w:r>
        <w:rPr>
          <w:rFonts w:hint="eastAsia" w:ascii="宋体" w:hAnsi="宋体" w:eastAsia="宋体" w:cs="宋体"/>
          <w:bCs w:val="0"/>
          <w:color w:val="000000" w:themeColor="text1"/>
          <w:sz w:val="24"/>
          <w:szCs w:val="24"/>
          <w:highlight w:val="none"/>
          <w:u w:val="none"/>
          <w:lang w:val="en-US" w:eastAsia="zh-CN"/>
          <w14:textFill>
            <w14:solidFill>
              <w14:schemeClr w14:val="tx1"/>
            </w14:solidFill>
          </w14:textFill>
        </w:rPr>
        <w:t>和</w:t>
      </w:r>
      <w:r>
        <w:rPr>
          <w:rFonts w:hint="eastAsia" w:ascii="宋体" w:hAnsi="宋体" w:eastAsia="宋体" w:cs="宋体"/>
          <w:bCs w:val="0"/>
          <w:color w:val="000000" w:themeColor="text1"/>
          <w:sz w:val="24"/>
          <w:szCs w:val="24"/>
          <w:highlight w:val="none"/>
          <w:u w:val="none"/>
          <w14:textFill>
            <w14:solidFill>
              <w14:schemeClr w14:val="tx1"/>
            </w14:solidFill>
          </w14:textFill>
        </w:rPr>
        <w:t>广东省招标投标监管网</w:t>
      </w:r>
      <w:r>
        <w:rPr>
          <w:rFonts w:hint="eastAsia"/>
          <w:color w:val="000000" w:themeColor="text1"/>
          <w:sz w:val="24"/>
          <w:highlight w:val="none"/>
          <w:u w:val="none"/>
          <w14:textFill>
            <w14:solidFill>
              <w14:schemeClr w14:val="tx1"/>
            </w14:solidFill>
          </w14:textFill>
        </w:rPr>
        <w:t>发布中标信息，视同将中标结果通知未中标的投标人。</w:t>
      </w:r>
    </w:p>
    <w:p w14:paraId="345BD7EA">
      <w:pPr>
        <w:spacing w:line="360" w:lineRule="auto"/>
        <w:ind w:firstLine="480" w:firstLineChars="200"/>
        <w:jc w:val="left"/>
        <w:rPr>
          <w:rFonts w:hint="default" w:eastAsia="宋体"/>
          <w:color w:val="000000" w:themeColor="text1"/>
          <w:sz w:val="24"/>
          <w:szCs w:val="24"/>
          <w:highlight w:val="none"/>
          <w:u w:val="none"/>
          <w:lang w:val="en-US" w:eastAsia="zh-CN"/>
          <w14:textFill>
            <w14:solidFill>
              <w14:schemeClr w14:val="tx1"/>
            </w14:solidFill>
          </w14:textFill>
        </w:rPr>
      </w:pPr>
      <w:r>
        <w:rPr>
          <w:rFonts w:hint="eastAsia"/>
          <w:color w:val="000000" w:themeColor="text1"/>
          <w:sz w:val="24"/>
          <w:szCs w:val="24"/>
          <w:highlight w:val="none"/>
          <w:u w:val="none"/>
          <w:lang w:val="en-US" w:eastAsia="zh-CN"/>
          <w14:textFill>
            <w14:solidFill>
              <w14:schemeClr w14:val="tx1"/>
            </w14:solidFill>
          </w14:textFill>
        </w:rPr>
        <w:t>7.3.2</w:t>
      </w:r>
      <w:r>
        <w:rPr>
          <w:rFonts w:hint="eastAsia" w:ascii="宋体" w:hAnsi="宋体" w:eastAsia="宋体" w:cs="宋体"/>
          <w:color w:val="000000" w:themeColor="text1"/>
          <w:sz w:val="24"/>
          <w:szCs w:val="24"/>
          <w:highlight w:val="none"/>
          <w:u w:val="none"/>
          <w14:textFill>
            <w14:solidFill>
              <w14:schemeClr w14:val="tx1"/>
            </w14:solidFill>
          </w14:textFill>
        </w:rPr>
        <w:t>中标通知书发出前，中标人应未被纳入失信联合惩戒名单，否则招标人将取消其中标资格。失信联合惩戒名单以“信用广州”网站公布的“黑名单”为准。</w:t>
      </w:r>
    </w:p>
    <w:p w14:paraId="0DF82A5C">
      <w:pPr>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7.4 履约担保</w:t>
      </w:r>
    </w:p>
    <w:p w14:paraId="357A9277">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7.4.1</w:t>
      </w:r>
      <w:r>
        <w:rPr>
          <w:rFonts w:hint="eastAsia" w:ascii="宋体" w:hAnsi="宋体" w:eastAsia="宋体" w:cs="宋体"/>
          <w:color w:val="000000" w:themeColor="text1"/>
          <w:sz w:val="24"/>
          <w:highlight w:val="none"/>
          <w:u w:val="single"/>
          <w14:textFill>
            <w14:solidFill>
              <w14:schemeClr w14:val="tx1"/>
            </w14:solidFill>
          </w14:textFill>
        </w:rPr>
        <w:t>在合同签订后30日内，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14:paraId="6F52BE9E">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7.4.2 中标人不能按本章第7.4.1项要求提交履约担保的，视为放弃中标，其投标保证金不予退还，给招标人造成的损失超过投标保证金数额的，中标人还应当对超过部分予以赔偿。</w:t>
      </w:r>
    </w:p>
    <w:p w14:paraId="351A39B1">
      <w:pPr>
        <w:spacing w:line="360" w:lineRule="auto"/>
        <w:ind w:firstLine="482" w:firstLineChars="200"/>
        <w:outlineLvl w:val="9"/>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7.5 签订合同</w:t>
      </w:r>
    </w:p>
    <w:p w14:paraId="63598D8B">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7.5.1招标人和中标人应当自中标通知书发出之日起30天内，根据招标文件和中标人的投标文件订立书面合同</w:t>
      </w:r>
      <w:r>
        <w:rPr>
          <w:rFonts w:hint="eastAsia"/>
          <w:color w:val="000000" w:themeColor="text1"/>
          <w:sz w:val="24"/>
          <w:highlight w:val="none"/>
          <w:lang w:eastAsia="zh-CN"/>
          <w14:textFill>
            <w14:solidFill>
              <w14:schemeClr w14:val="tx1"/>
            </w14:solidFill>
          </w14:textFill>
        </w:rPr>
        <w:t>，并通过电子交易系统与中标人在线签订合同</w:t>
      </w:r>
      <w:r>
        <w:rPr>
          <w:rFonts w:hint="eastAsia" w:ascii="宋体" w:hAnsi="宋体"/>
          <w:color w:val="000000" w:themeColor="text1"/>
          <w:sz w:val="24"/>
          <w:highlight w:val="none"/>
          <w14:textFill>
            <w14:solidFill>
              <w14:schemeClr w14:val="tx1"/>
            </w14:solidFill>
          </w14:textFill>
        </w:rPr>
        <w:t xml:space="preserve">。中标人无正当理由拒签合同的，招标人取消其中标资格，其投标保证金不予退还；给招标人造成的损失超过投标保证金数额的，中标人还应当对超过部分予以赔偿。 </w:t>
      </w:r>
    </w:p>
    <w:p w14:paraId="50EDFF6C">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7.5.2 发出中标通知书后，招标人无正当理由拒签合同的，招标人向中标人退还投标保证金；给中标人造成损失的，还应当赔偿损失。</w:t>
      </w:r>
    </w:p>
    <w:p w14:paraId="1FFCB414">
      <w:pPr>
        <w:jc w:val="center"/>
        <w:outlineLvl w:val="3"/>
        <w:rPr>
          <w:rFonts w:ascii="宋体" w:hAnsi="宋体"/>
          <w:b/>
          <w:color w:val="000000" w:themeColor="text1"/>
          <w:sz w:val="30"/>
          <w:szCs w:val="30"/>
          <w:highlight w:val="none"/>
          <w14:textFill>
            <w14:solidFill>
              <w14:schemeClr w14:val="tx1"/>
            </w14:solidFill>
          </w14:textFill>
        </w:rPr>
      </w:pPr>
      <w:bookmarkStart w:id="259" w:name="_Toc10524"/>
      <w:bookmarkStart w:id="260" w:name="_Toc23579"/>
      <w:bookmarkStart w:id="261" w:name="_Toc13109"/>
      <w:r>
        <w:rPr>
          <w:rFonts w:hint="eastAsia" w:ascii="宋体" w:hAnsi="宋体"/>
          <w:b/>
          <w:color w:val="000000" w:themeColor="text1"/>
          <w:sz w:val="30"/>
          <w:szCs w:val="30"/>
          <w:highlight w:val="none"/>
          <w14:textFill>
            <w14:solidFill>
              <w14:schemeClr w14:val="tx1"/>
            </w14:solidFill>
          </w14:textFill>
        </w:rPr>
        <w:t>（八）重新招标</w:t>
      </w:r>
      <w:bookmarkEnd w:id="259"/>
      <w:bookmarkEnd w:id="260"/>
      <w:bookmarkEnd w:id="261"/>
    </w:p>
    <w:p w14:paraId="3AED02F0">
      <w:pPr>
        <w:spacing w:line="360" w:lineRule="auto"/>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8.1 重新招标</w:t>
      </w:r>
    </w:p>
    <w:p w14:paraId="39C04F64">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有下列情形之一的，招标人将重新招标；</w:t>
      </w:r>
    </w:p>
    <w:p w14:paraId="7A69A14D">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（1）投标截止时间止，投标人少于3个的；</w:t>
      </w:r>
    </w:p>
    <w:p w14:paraId="5E7BA780">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（2）经评标委员会评审后否决所有投标的；</w:t>
      </w:r>
    </w:p>
    <w:p w14:paraId="54043343">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（3）资审合格的投标人少于3家或经评审有效标少于3家的；</w:t>
      </w:r>
    </w:p>
    <w:p w14:paraId="6A82CE8C">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（4）同意延长投标有效期的投标人少于3个的；</w:t>
      </w:r>
    </w:p>
    <w:p w14:paraId="23A2F90E">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（5）中标候选人均未与招标人签订合同的。</w:t>
      </w:r>
    </w:p>
    <w:p w14:paraId="6D4AE209">
      <w:pPr>
        <w:snapToGrid w:val="0"/>
        <w:spacing w:line="360" w:lineRule="auto"/>
        <w:ind w:firstLine="480" w:firstLineChars="200"/>
        <w:rPr>
          <w:rFonts w:hint="eastAsia"/>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w:t>
      </w:r>
      <w:r>
        <w:rPr>
          <w:rFonts w:hint="eastAsia"/>
          <w:color w:val="000000" w:themeColor="text1"/>
          <w:sz w:val="24"/>
          <w:highlight w:val="none"/>
          <w14:textFill>
            <w14:solidFill>
              <w14:schemeClr w14:val="tx1"/>
            </w14:solidFill>
          </w14:textFill>
        </w:rPr>
        <w:t>当N个标段同时招标且不允许兼中时，若有效投标人不足N+2家，则重新组织招标</w:t>
      </w:r>
      <w:r>
        <w:rPr>
          <w:rFonts w:hint="eastAsia"/>
          <w:color w:val="000000" w:themeColor="text1"/>
          <w:sz w:val="24"/>
          <w:highlight w:val="none"/>
          <w:lang w:eastAsia="zh-CN"/>
          <w14:textFill>
            <w14:solidFill>
              <w14:schemeClr w14:val="tx1"/>
            </w14:solidFill>
          </w14:textFill>
        </w:rPr>
        <w:t>。</w:t>
      </w:r>
    </w:p>
    <w:p w14:paraId="3E06814E">
      <w:pPr>
        <w:snapToGrid w:val="0"/>
        <w:spacing w:line="360" w:lineRule="auto"/>
        <w:ind w:firstLine="480" w:firstLineChars="200"/>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s="宋体"/>
          <w:b w:val="0"/>
          <w:bCs/>
          <w:color w:val="000000" w:themeColor="text1"/>
          <w:sz w:val="24"/>
          <w:highlight w:val="none"/>
          <w:lang w:val="en-US" w:eastAsia="zh-CN"/>
          <w14:textFill>
            <w14:solidFill>
              <w14:schemeClr w14:val="tx1"/>
            </w14:solidFill>
          </w14:textFill>
        </w:rPr>
        <w:t>8.2</w:t>
      </w:r>
      <w:r>
        <w:rPr>
          <w:rFonts w:hint="eastAsia" w:ascii="宋体" w:hAnsi="宋体" w:eastAsia="宋体" w:cs="宋体"/>
          <w:color w:val="000000" w:themeColor="text1"/>
          <w:sz w:val="24"/>
          <w:highlight w:val="none"/>
          <w14:textFill>
            <w14:solidFill>
              <w14:schemeClr w14:val="tx1"/>
            </w14:solidFill>
          </w14:textFill>
        </w:rPr>
        <w:t>重新招标后，仍出现本章第8.1条规定情形之一的，属于必须审批的水务工程建设项目，经行政监督部门批准后不再进行招标。</w:t>
      </w:r>
    </w:p>
    <w:p w14:paraId="3899DB58">
      <w:pPr>
        <w:jc w:val="center"/>
        <w:outlineLvl w:val="3"/>
        <w:rPr>
          <w:rFonts w:ascii="宋体" w:hAnsi="宋体"/>
          <w:b/>
          <w:color w:val="000000" w:themeColor="text1"/>
          <w:sz w:val="30"/>
          <w:szCs w:val="30"/>
          <w:highlight w:val="none"/>
          <w14:textFill>
            <w14:solidFill>
              <w14:schemeClr w14:val="tx1"/>
            </w14:solidFill>
          </w14:textFill>
        </w:rPr>
      </w:pPr>
      <w:bookmarkStart w:id="262" w:name="_Toc27874"/>
      <w:bookmarkStart w:id="263" w:name="_Toc18618"/>
      <w:bookmarkStart w:id="264" w:name="_Toc23157"/>
      <w:r>
        <w:rPr>
          <w:rFonts w:hint="eastAsia" w:ascii="宋体" w:hAnsi="宋体"/>
          <w:b/>
          <w:color w:val="000000" w:themeColor="text1"/>
          <w:sz w:val="30"/>
          <w:szCs w:val="30"/>
          <w:highlight w:val="none"/>
          <w14:textFill>
            <w14:solidFill>
              <w14:schemeClr w14:val="tx1"/>
            </w14:solidFill>
          </w14:textFill>
        </w:rPr>
        <w:t>（九）纪律和监督</w:t>
      </w:r>
      <w:bookmarkEnd w:id="262"/>
      <w:bookmarkEnd w:id="263"/>
      <w:bookmarkEnd w:id="264"/>
    </w:p>
    <w:p w14:paraId="4C446448">
      <w:pPr>
        <w:spacing w:line="360" w:lineRule="auto"/>
        <w:ind w:firstLine="482" w:firstLineChars="200"/>
        <w:outlineLvl w:val="9"/>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9.1对招标人的纪律要求</w:t>
      </w:r>
    </w:p>
    <w:p w14:paraId="6B8253A9">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招标人不得泄漏招标投标活动中应当保密的情况和资料，不得与投标人串通损害国家利益、社会公共利益或者他人合法权益。</w:t>
      </w:r>
    </w:p>
    <w:p w14:paraId="6FBBEB99">
      <w:pPr>
        <w:spacing w:line="360" w:lineRule="auto"/>
        <w:ind w:firstLine="482" w:firstLineChars="200"/>
        <w:outlineLvl w:val="9"/>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9.2 对投标人的纪律要求</w:t>
      </w:r>
    </w:p>
    <w:p w14:paraId="6D26F1C1">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75AD2B73">
      <w:pPr>
        <w:spacing w:line="360" w:lineRule="auto"/>
        <w:ind w:firstLine="482" w:firstLineChars="200"/>
        <w:outlineLvl w:val="9"/>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9.3 对评标委员会成员的纪律要求</w:t>
      </w:r>
    </w:p>
    <w:p w14:paraId="6B3A71C7">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7728C62F">
      <w:pPr>
        <w:spacing w:line="360" w:lineRule="auto"/>
        <w:ind w:firstLine="482" w:firstLineChars="200"/>
        <w:outlineLvl w:val="9"/>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9.4 对与评标活动有关的工作人员的纪律要求</w:t>
      </w:r>
    </w:p>
    <w:p w14:paraId="17A3FE14">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A4BA05A">
      <w:pPr>
        <w:spacing w:line="360" w:lineRule="auto"/>
        <w:ind w:firstLine="482" w:firstLineChars="200"/>
        <w:outlineLvl w:val="9"/>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9.5 投诉</w:t>
      </w:r>
    </w:p>
    <w:p w14:paraId="3E3DC070">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和其他利害关系人认为本次招标活动违反法律、法规和规章规定的，有权向投标人须知前附表规定的行政监督部门投诉。就招标文件、开标、评标结果进行投诉的，投标人和其他利害关系人应当先向招标人提出异议。</w:t>
      </w:r>
    </w:p>
    <w:p w14:paraId="5F17DAF1">
      <w:pPr>
        <w:adjustRightInd w:val="0"/>
        <w:snapToGrid w:val="0"/>
        <w:spacing w:beforeLines="0" w:line="360" w:lineRule="auto"/>
        <w:ind w:firstLine="48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9.5.1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14:paraId="4CEC824E">
      <w:pPr>
        <w:adjustRightInd w:val="0"/>
        <w:snapToGrid w:val="0"/>
        <w:spacing w:beforeLines="0" w:line="360" w:lineRule="auto"/>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9.5.2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14:paraId="24F53D96">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14:paraId="1C9234DA">
      <w:pPr>
        <w:jc w:val="center"/>
        <w:outlineLvl w:val="3"/>
        <w:rPr>
          <w:rFonts w:ascii="宋体" w:hAnsi="宋体"/>
          <w:b/>
          <w:color w:val="000000" w:themeColor="text1"/>
          <w:sz w:val="30"/>
          <w:szCs w:val="30"/>
          <w:highlight w:val="none"/>
          <w14:textFill>
            <w14:solidFill>
              <w14:schemeClr w14:val="tx1"/>
            </w14:solidFill>
          </w14:textFill>
        </w:rPr>
      </w:pPr>
      <w:bookmarkStart w:id="265" w:name="_Toc18751"/>
      <w:bookmarkStart w:id="266" w:name="_Toc15307"/>
      <w:bookmarkStart w:id="267" w:name="_Toc26479"/>
      <w:r>
        <w:rPr>
          <w:rFonts w:hint="eastAsia" w:ascii="宋体" w:hAnsi="宋体"/>
          <w:b/>
          <w:color w:val="000000" w:themeColor="text1"/>
          <w:sz w:val="30"/>
          <w:szCs w:val="30"/>
          <w:highlight w:val="none"/>
          <w14:textFill>
            <w14:solidFill>
              <w14:schemeClr w14:val="tx1"/>
            </w14:solidFill>
          </w14:textFill>
        </w:rPr>
        <w:t>（十）需要补充的其他内容</w:t>
      </w:r>
      <w:bookmarkEnd w:id="265"/>
      <w:bookmarkEnd w:id="266"/>
      <w:bookmarkEnd w:id="267"/>
    </w:p>
    <w:p w14:paraId="3FB701ED">
      <w:pPr>
        <w:snapToGrid w:val="0"/>
        <w:spacing w:line="360" w:lineRule="auto"/>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10.1</w:t>
      </w:r>
      <w:r>
        <w:rPr>
          <w:rFonts w:hint="eastAsia" w:ascii="宋体" w:hAnsi="宋体" w:eastAsia="宋体" w:cs="宋体"/>
          <w:color w:val="000000" w:themeColor="text1"/>
          <w:sz w:val="24"/>
          <w:highlight w:val="none"/>
          <w:u w:val="single"/>
          <w14:textFill>
            <w14:solidFill>
              <w14:schemeClr w14:val="tx1"/>
            </w14:solidFill>
          </w14:textFill>
        </w:rPr>
        <w:t>承包人应根据《住房和城乡建设部人力资源社会保障部关于修改&lt;建筑工人实名制管理办法（试行）&gt;的通知》（建市〔2022〕59号）、《住房城乡建设部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w:t>
      </w:r>
      <w:r>
        <w:rPr>
          <w:rFonts w:hint="eastAsia" w:ascii="宋体" w:hAnsi="宋体" w:cs="宋体"/>
          <w:color w:val="000000" w:themeColor="text1"/>
          <w:sz w:val="24"/>
          <w:highlight w:val="none"/>
          <w:u w:val="single"/>
          <w:lang w:eastAsia="zh-CN"/>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等有关要求，做好农民工工资支付工作及落实实名制和工人工资支付分账制度。</w:t>
      </w:r>
    </w:p>
    <w:p w14:paraId="38F4D601">
      <w:pPr>
        <w:snapToGrid w:val="0"/>
        <w:spacing w:line="360" w:lineRule="auto"/>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工程进度款中的工人工资款比例：参照施工招标的《中标通知书》中单列的人工费金额除以中标金额对应的工程价款计算。</w:t>
      </w:r>
    </w:p>
    <w:p w14:paraId="390F4F08">
      <w:pPr>
        <w:snapToGrid w:val="0"/>
        <w:spacing w:line="360" w:lineRule="auto"/>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10.2中标候选公示后，由招标人向广州交易集团有限公司（广州公共资源交易中心）缴纳交易服务费、向广州交易集团有限公司（广州公共资源交易中心）索取发票，并在取得发票后及时告知招标代理。（该交易服务费为中标金额的0.9‰，具体收费标准招标人可以在广州交易集团有限公司（广州公共资源交易中心）网站查阅，如有变更以广州交易集团有限公司（广州公共资源交易中心）最新发布的标准为准）。</w:t>
      </w:r>
    </w:p>
    <w:p w14:paraId="0AB5DE46">
      <w:pPr>
        <w:snapToGrid w:val="0"/>
        <w:spacing w:line="360" w:lineRule="auto"/>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10.3根据《广州市水务局关于印发广州市水务工程施工和监理企业诚信评价管理办法的通知》（穗水规字[2020] 11号）等有关规定，针对广州市水务投资集团有限公司（以下简称“市水投集团”）全资子公司广州市自来水有限公司组织实施的建设项目，市水投集团对不充分履约或严重违反合同约定的企业，按诚信评价标准对其作出评价，且该评价结果由广州市自来水有限公司直接录入诚信评价信息系统，并运用于建设项目招投标活动中。</w:t>
      </w:r>
    </w:p>
    <w:p w14:paraId="329A8327">
      <w:pPr>
        <w:snapToGrid w:val="0"/>
        <w:spacing w:line="360" w:lineRule="auto"/>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10.</w:t>
      </w:r>
      <w:r>
        <w:rPr>
          <w:rFonts w:hint="default" w:ascii="宋体" w:hAnsi="宋体" w:eastAsia="宋体" w:cs="宋体"/>
          <w:color w:val="000000" w:themeColor="text1"/>
          <w:sz w:val="24"/>
          <w:highlight w:val="none"/>
          <w:u w:val="single"/>
          <w:lang w:val="en-US"/>
          <w14:textFill>
            <w14:solidFill>
              <w14:schemeClr w14:val="tx1"/>
            </w14:solidFill>
          </w14:textFill>
        </w:rPr>
        <w:t>4</w:t>
      </w:r>
      <w:r>
        <w:rPr>
          <w:rFonts w:hint="eastAsia" w:ascii="宋体" w:hAnsi="宋体" w:eastAsia="宋体" w:cs="宋体"/>
          <w:color w:val="000000" w:themeColor="text1"/>
          <w:sz w:val="24"/>
          <w:highlight w:val="none"/>
          <w:u w:val="single"/>
          <w14:textFill>
            <w14:solidFill>
              <w14:schemeClr w14:val="tx1"/>
            </w14:solidFill>
          </w14:textFill>
        </w:rPr>
        <w:t>在发出中标通知书前，中标人应未被列入“在一定期限内依法取消参加依法必须进行招标的项目的投标资格”，具体名单以“信用广州”公布的“黑名单”为准。</w:t>
      </w:r>
    </w:p>
    <w:p w14:paraId="567BABA7">
      <w:pPr>
        <w:widowControl/>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3C69C72F">
      <w:pPr>
        <w:spacing w:line="360" w:lineRule="auto"/>
        <w:jc w:val="left"/>
        <w:outlineLvl w:val="2"/>
        <w:rPr>
          <w:rFonts w:ascii="黑体" w:hAnsi="黑体" w:eastAsia="黑体"/>
          <w:color w:val="000000" w:themeColor="text1"/>
          <w:sz w:val="28"/>
          <w:szCs w:val="27"/>
          <w:highlight w:val="none"/>
          <w14:textFill>
            <w14:solidFill>
              <w14:schemeClr w14:val="tx1"/>
            </w14:solidFill>
          </w14:textFill>
        </w:rPr>
      </w:pPr>
      <w:bookmarkStart w:id="268" w:name="_Toc6533"/>
      <w:bookmarkStart w:id="269" w:name="_Toc332641306"/>
      <w:bookmarkStart w:id="270" w:name="_Toc17452666"/>
      <w:bookmarkStart w:id="271" w:name="_Toc152042358"/>
      <w:bookmarkStart w:id="272" w:name="_Toc247085739"/>
      <w:bookmarkStart w:id="273" w:name="_Toc179632599"/>
      <w:bookmarkStart w:id="274" w:name="_Toc12482"/>
      <w:bookmarkStart w:id="275" w:name="_Toc152045581"/>
      <w:bookmarkStart w:id="276" w:name="_Toc17454873"/>
      <w:bookmarkStart w:id="277" w:name="_Toc144974548"/>
      <w:bookmarkStart w:id="278" w:name="_Toc17451625"/>
      <w:bookmarkStart w:id="279" w:name="_Toc227"/>
      <w:bookmarkStart w:id="280" w:name="_Toc17556878"/>
      <w:bookmarkStart w:id="281" w:name="_Toc17454924"/>
      <w:bookmarkStart w:id="282" w:name="_Toc17451103"/>
      <w:bookmarkStart w:id="283" w:name="_Toc25377"/>
      <w:bookmarkStart w:id="284" w:name="_Toc17451580"/>
      <w:r>
        <w:rPr>
          <w:rFonts w:hint="eastAsia" w:ascii="黑体" w:hAnsi="黑体" w:eastAsia="黑体"/>
          <w:color w:val="000000" w:themeColor="text1"/>
          <w:sz w:val="28"/>
          <w:szCs w:val="27"/>
          <w:highlight w:val="none"/>
          <w14:textFill>
            <w14:solidFill>
              <w14:schemeClr w14:val="tx1"/>
            </w14:solidFill>
          </w14:textFill>
        </w:rPr>
        <w:t>附件一：开标记录表</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5742AC55">
      <w:pPr>
        <w:spacing w:line="400" w:lineRule="exact"/>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u w:val="single"/>
          <w14:textFill>
            <w14:solidFill>
              <w14:schemeClr w14:val="tx1"/>
            </w14:solidFill>
          </w14:textFill>
        </w:rPr>
        <w:t xml:space="preserve">        </w:t>
      </w:r>
      <w:r>
        <w:rPr>
          <w:rFonts w:hint="eastAsia" w:ascii="宋体" w:hAnsi="宋体"/>
          <w:b/>
          <w:color w:val="000000" w:themeColor="text1"/>
          <w:sz w:val="28"/>
          <w:szCs w:val="28"/>
          <w:highlight w:val="none"/>
          <w14:textFill>
            <w14:solidFill>
              <w14:schemeClr w14:val="tx1"/>
            </w14:solidFill>
          </w14:textFill>
        </w:rPr>
        <w:t>（项目名称）开标记录表</w:t>
      </w:r>
    </w:p>
    <w:p w14:paraId="34010FD3">
      <w:pPr>
        <w:spacing w:line="500" w:lineRule="exact"/>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评标</w:t>
      </w:r>
      <w:r>
        <w:rPr>
          <w:rFonts w:hint="eastAsia" w:ascii="宋体" w:hAnsi="宋体"/>
          <w:color w:val="000000" w:themeColor="text1"/>
          <w:szCs w:val="21"/>
          <w:highlight w:val="none"/>
          <w:lang w:val="en-US" w:eastAsia="zh-CN"/>
          <w14:textFill>
            <w14:solidFill>
              <w14:schemeClr w14:val="tx1"/>
            </w14:solidFill>
          </w14:textFill>
        </w:rPr>
        <w:t>基准</w:t>
      </w:r>
      <w:r>
        <w:rPr>
          <w:rFonts w:hint="eastAsia" w:ascii="宋体" w:hAnsi="宋体"/>
          <w:color w:val="000000" w:themeColor="text1"/>
          <w:szCs w:val="21"/>
          <w:highlight w:val="none"/>
          <w14:textFill>
            <w14:solidFill>
              <w14:schemeClr w14:val="tx1"/>
            </w14:solidFill>
          </w14:textFill>
        </w:rPr>
        <w:t>价下浮率：                开标时间：</w:t>
      </w:r>
      <w:r>
        <w:rPr>
          <w:rFonts w:hint="eastAsia" w:ascii="宋体" w:hAnsi="宋体"/>
          <w:color w:val="000000" w:themeColor="text1"/>
          <w:sz w:val="28"/>
          <w:szCs w:val="28"/>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 w:val="28"/>
          <w:szCs w:val="28"/>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 w:val="28"/>
          <w:szCs w:val="28"/>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r>
        <w:rPr>
          <w:rFonts w:hint="eastAsia" w:ascii="宋体" w:hAnsi="宋体"/>
          <w:color w:val="000000" w:themeColor="text1"/>
          <w:sz w:val="28"/>
          <w:szCs w:val="28"/>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时</w:t>
      </w:r>
      <w:r>
        <w:rPr>
          <w:rFonts w:hint="eastAsia" w:ascii="宋体" w:hAnsi="宋体"/>
          <w:color w:val="000000" w:themeColor="text1"/>
          <w:sz w:val="28"/>
          <w:szCs w:val="28"/>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分</w:t>
      </w:r>
    </w:p>
    <w:tbl>
      <w:tblPr>
        <w:tblStyle w:val="38"/>
        <w:tblW w:w="0" w:type="auto"/>
        <w:tblInd w:w="0" w:type="dxa"/>
        <w:tblLayout w:type="fixed"/>
        <w:tblCellMar>
          <w:top w:w="0" w:type="dxa"/>
          <w:left w:w="108" w:type="dxa"/>
          <w:bottom w:w="0" w:type="dxa"/>
          <w:right w:w="108" w:type="dxa"/>
        </w:tblCellMar>
      </w:tblPr>
      <w:tblGrid>
        <w:gridCol w:w="544"/>
        <w:gridCol w:w="870"/>
        <w:gridCol w:w="700"/>
        <w:gridCol w:w="773"/>
        <w:gridCol w:w="960"/>
        <w:gridCol w:w="492"/>
        <w:gridCol w:w="141"/>
        <w:gridCol w:w="698"/>
        <w:gridCol w:w="450"/>
        <w:gridCol w:w="452"/>
        <w:gridCol w:w="450"/>
        <w:gridCol w:w="450"/>
        <w:gridCol w:w="896"/>
        <w:gridCol w:w="959"/>
      </w:tblGrid>
      <w:tr w14:paraId="22080B26">
        <w:tblPrEx>
          <w:tblCellMar>
            <w:top w:w="0" w:type="dxa"/>
            <w:left w:w="108" w:type="dxa"/>
            <w:bottom w:w="0" w:type="dxa"/>
            <w:right w:w="108" w:type="dxa"/>
          </w:tblCellMar>
        </w:tblPrEx>
        <w:trPr>
          <w:trHeight w:val="1273" w:hRule="atLeast"/>
        </w:trPr>
        <w:tc>
          <w:tcPr>
            <w:tcW w:w="544" w:type="dxa"/>
            <w:vMerge w:val="restart"/>
            <w:tcBorders>
              <w:top w:val="single" w:color="auto" w:sz="4" w:space="0"/>
              <w:left w:val="single" w:color="auto" w:sz="4" w:space="0"/>
              <w:right w:val="single" w:color="auto" w:sz="4" w:space="0"/>
            </w:tcBorders>
            <w:noWrap w:val="0"/>
            <w:vAlign w:val="center"/>
          </w:tcPr>
          <w:p w14:paraId="5C907D1F">
            <w:pPr>
              <w:spacing w:line="50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序号</w:t>
            </w:r>
          </w:p>
        </w:tc>
        <w:tc>
          <w:tcPr>
            <w:tcW w:w="870" w:type="dxa"/>
            <w:vMerge w:val="restart"/>
            <w:tcBorders>
              <w:top w:val="single" w:color="auto" w:sz="4" w:space="0"/>
              <w:left w:val="single" w:color="auto" w:sz="4" w:space="0"/>
              <w:right w:val="single" w:color="auto" w:sz="4" w:space="0"/>
            </w:tcBorders>
            <w:noWrap w:val="0"/>
            <w:vAlign w:val="center"/>
          </w:tcPr>
          <w:p w14:paraId="7A68FD70">
            <w:pPr>
              <w:spacing w:line="50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投标人</w:t>
            </w:r>
          </w:p>
        </w:tc>
        <w:tc>
          <w:tcPr>
            <w:tcW w:w="700" w:type="dxa"/>
            <w:vMerge w:val="restart"/>
            <w:tcBorders>
              <w:top w:val="single" w:color="auto" w:sz="4" w:space="0"/>
              <w:left w:val="single" w:color="auto" w:sz="4" w:space="0"/>
              <w:right w:val="single" w:color="auto" w:sz="4" w:space="0"/>
            </w:tcBorders>
            <w:noWrap w:val="0"/>
            <w:vAlign w:val="center"/>
          </w:tcPr>
          <w:p w14:paraId="56D695F1">
            <w:pPr>
              <w:spacing w:line="5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解密情况</w:t>
            </w:r>
          </w:p>
        </w:tc>
        <w:tc>
          <w:tcPr>
            <w:tcW w:w="773" w:type="dxa"/>
            <w:vMerge w:val="restart"/>
            <w:tcBorders>
              <w:top w:val="single" w:color="auto" w:sz="4" w:space="0"/>
              <w:left w:val="single" w:color="auto" w:sz="4" w:space="0"/>
              <w:right w:val="single" w:color="auto" w:sz="4" w:space="0"/>
            </w:tcBorders>
            <w:noWrap w:val="0"/>
            <w:vAlign w:val="center"/>
          </w:tcPr>
          <w:p w14:paraId="2E9DB90D">
            <w:pPr>
              <w:spacing w:line="50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投标保证金</w:t>
            </w:r>
          </w:p>
        </w:tc>
        <w:tc>
          <w:tcPr>
            <w:tcW w:w="960" w:type="dxa"/>
            <w:vMerge w:val="restart"/>
            <w:tcBorders>
              <w:top w:val="single" w:color="auto" w:sz="4" w:space="0"/>
              <w:left w:val="single" w:color="auto" w:sz="4" w:space="0"/>
              <w:right w:val="single" w:color="auto" w:sz="4" w:space="0"/>
            </w:tcBorders>
            <w:noWrap w:val="0"/>
            <w:vAlign w:val="center"/>
          </w:tcPr>
          <w:p w14:paraId="69872FED">
            <w:pPr>
              <w:spacing w:line="50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投标报价（元）</w:t>
            </w:r>
          </w:p>
        </w:tc>
        <w:tc>
          <w:tcPr>
            <w:tcW w:w="633" w:type="dxa"/>
            <w:gridSpan w:val="2"/>
            <w:vMerge w:val="restart"/>
            <w:tcBorders>
              <w:top w:val="single" w:color="auto" w:sz="4" w:space="0"/>
              <w:left w:val="single" w:color="auto" w:sz="4" w:space="0"/>
              <w:right w:val="single" w:color="auto" w:sz="4" w:space="0"/>
            </w:tcBorders>
            <w:noWrap w:val="0"/>
            <w:vAlign w:val="center"/>
          </w:tcPr>
          <w:p w14:paraId="259226A0">
            <w:pPr>
              <w:spacing w:line="50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质量</w:t>
            </w:r>
            <w:r>
              <w:rPr>
                <w:rFonts w:hint="eastAsia" w:ascii="宋体" w:hAnsi="宋体"/>
                <w:color w:val="000000" w:themeColor="text1"/>
                <w:szCs w:val="21"/>
                <w:highlight w:val="none"/>
                <w14:textFill>
                  <w14:solidFill>
                    <w14:schemeClr w14:val="tx1"/>
                  </w14:solidFill>
                </w14:textFill>
              </w:rPr>
              <w:t>标准</w:t>
            </w:r>
          </w:p>
        </w:tc>
        <w:tc>
          <w:tcPr>
            <w:tcW w:w="698" w:type="dxa"/>
            <w:vMerge w:val="restart"/>
            <w:tcBorders>
              <w:top w:val="single" w:color="auto" w:sz="4" w:space="0"/>
              <w:left w:val="single" w:color="auto" w:sz="4" w:space="0"/>
              <w:right w:val="single" w:color="auto" w:sz="4" w:space="0"/>
            </w:tcBorders>
            <w:noWrap w:val="0"/>
            <w:vAlign w:val="center"/>
          </w:tcPr>
          <w:p w14:paraId="0F9A5EE0">
            <w:pPr>
              <w:spacing w:line="500" w:lineRule="exact"/>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工期</w:t>
            </w:r>
            <w:r>
              <w:rPr>
                <w:rFonts w:hint="eastAsia" w:ascii="宋体" w:hAnsi="宋体"/>
                <w:color w:val="000000" w:themeColor="text1"/>
                <w:szCs w:val="21"/>
                <w:highlight w:val="none"/>
                <w14:textFill>
                  <w14:solidFill>
                    <w14:schemeClr w14:val="tx1"/>
                  </w14:solidFill>
                </w14:textFill>
              </w:rPr>
              <w:t>（天）</w:t>
            </w:r>
          </w:p>
        </w:tc>
        <w:tc>
          <w:tcPr>
            <w:tcW w:w="902" w:type="dxa"/>
            <w:gridSpan w:val="2"/>
            <w:tcBorders>
              <w:top w:val="single" w:color="auto" w:sz="4" w:space="0"/>
              <w:left w:val="single" w:color="auto" w:sz="4" w:space="0"/>
              <w:bottom w:val="single" w:color="auto" w:sz="4" w:space="0"/>
              <w:right w:val="single" w:color="auto" w:sz="4" w:space="0"/>
            </w:tcBorders>
            <w:noWrap w:val="0"/>
            <w:vAlign w:val="center"/>
          </w:tcPr>
          <w:p w14:paraId="798FC5F9">
            <w:pPr>
              <w:spacing w:line="5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项目负责人</w:t>
            </w:r>
          </w:p>
        </w:tc>
        <w:tc>
          <w:tcPr>
            <w:tcW w:w="900" w:type="dxa"/>
            <w:gridSpan w:val="2"/>
            <w:tcBorders>
              <w:top w:val="single" w:color="auto" w:sz="4" w:space="0"/>
              <w:left w:val="single" w:color="auto" w:sz="4" w:space="0"/>
              <w:bottom w:val="single" w:color="auto" w:sz="4" w:space="0"/>
              <w:right w:val="single" w:color="auto" w:sz="4" w:space="0"/>
            </w:tcBorders>
            <w:noWrap w:val="0"/>
            <w:vAlign w:val="center"/>
          </w:tcPr>
          <w:p w14:paraId="6B8594D7">
            <w:pPr>
              <w:spacing w:line="5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专</w:t>
            </w:r>
            <w:r>
              <w:rPr>
                <w:rFonts w:hint="eastAsia" w:ascii="宋体" w:hAnsi="宋体"/>
                <w:color w:val="000000" w:themeColor="text1"/>
                <w:szCs w:val="21"/>
                <w:highlight w:val="none"/>
                <w:lang w:val="en-US" w:eastAsia="zh-CN"/>
                <w14:textFill>
                  <w14:solidFill>
                    <w14:schemeClr w14:val="tx1"/>
                  </w14:solidFill>
                </w14:textFill>
              </w:rPr>
              <w:t>职</w:t>
            </w:r>
            <w:r>
              <w:rPr>
                <w:rFonts w:hint="eastAsia" w:ascii="宋体" w:hAnsi="宋体"/>
                <w:color w:val="000000" w:themeColor="text1"/>
                <w:szCs w:val="21"/>
                <w:highlight w:val="none"/>
                <w14:textFill>
                  <w14:solidFill>
                    <w14:schemeClr w14:val="tx1"/>
                  </w14:solidFill>
                </w14:textFill>
              </w:rPr>
              <w:t>安全员</w:t>
            </w:r>
          </w:p>
        </w:tc>
        <w:tc>
          <w:tcPr>
            <w:tcW w:w="896" w:type="dxa"/>
            <w:vMerge w:val="restart"/>
            <w:tcBorders>
              <w:top w:val="single" w:color="auto" w:sz="4" w:space="0"/>
              <w:left w:val="single" w:color="auto" w:sz="4" w:space="0"/>
              <w:right w:val="single" w:color="auto" w:sz="4" w:space="0"/>
            </w:tcBorders>
            <w:noWrap w:val="0"/>
            <w:vAlign w:val="center"/>
          </w:tcPr>
          <w:p w14:paraId="081420EE">
            <w:pPr>
              <w:spacing w:line="500" w:lineRule="exact"/>
              <w:jc w:val="center"/>
              <w:rPr>
                <w:rFonts w:hint="eastAsia" w:ascii="宋体" w:hAnsi="宋体"/>
                <w:color w:val="000000" w:themeColor="text1"/>
                <w:kern w:val="2"/>
                <w:sz w:val="21"/>
                <w:szCs w:val="21"/>
                <w:highlight w:val="none"/>
                <w:lang w:val="en-US" w:eastAsia="zh-CN" w:bidi="ar-SA"/>
                <w14:textFill>
                  <w14:solidFill>
                    <w14:schemeClr w14:val="tx1"/>
                  </w14:solidFill>
                </w14:textFill>
              </w:rPr>
            </w:pPr>
            <w:r>
              <w:rPr>
                <w:rFonts w:ascii="宋体" w:hAnsi="宋体"/>
                <w:color w:val="000000" w:themeColor="text1"/>
                <w:szCs w:val="21"/>
                <w:highlight w:val="none"/>
                <w14:textFill>
                  <w14:solidFill>
                    <w14:schemeClr w14:val="tx1"/>
                  </w14:solidFill>
                </w14:textFill>
              </w:rPr>
              <w:t>签名</w:t>
            </w:r>
          </w:p>
        </w:tc>
        <w:tc>
          <w:tcPr>
            <w:tcW w:w="959" w:type="dxa"/>
            <w:vMerge w:val="restart"/>
            <w:tcBorders>
              <w:top w:val="single" w:color="auto" w:sz="4" w:space="0"/>
              <w:left w:val="single" w:color="auto" w:sz="4" w:space="0"/>
              <w:right w:val="single" w:color="auto" w:sz="4" w:space="0"/>
            </w:tcBorders>
            <w:noWrap w:val="0"/>
            <w:vAlign w:val="center"/>
          </w:tcPr>
          <w:p w14:paraId="779A8FFF">
            <w:pPr>
              <w:spacing w:line="5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备注</w:t>
            </w:r>
          </w:p>
        </w:tc>
      </w:tr>
      <w:tr w14:paraId="63D9EB3C">
        <w:tblPrEx>
          <w:tblCellMar>
            <w:top w:w="0" w:type="dxa"/>
            <w:left w:w="108" w:type="dxa"/>
            <w:bottom w:w="0" w:type="dxa"/>
            <w:right w:w="108" w:type="dxa"/>
          </w:tblCellMar>
        </w:tblPrEx>
        <w:trPr>
          <w:trHeight w:val="1233" w:hRule="atLeast"/>
        </w:trPr>
        <w:tc>
          <w:tcPr>
            <w:tcW w:w="544" w:type="dxa"/>
            <w:vMerge w:val="continue"/>
            <w:tcBorders>
              <w:left w:val="single" w:color="auto" w:sz="4" w:space="0"/>
              <w:bottom w:val="single" w:color="auto" w:sz="4" w:space="0"/>
              <w:right w:val="single" w:color="auto" w:sz="4" w:space="0"/>
            </w:tcBorders>
            <w:noWrap w:val="0"/>
            <w:vAlign w:val="center"/>
          </w:tcPr>
          <w:p w14:paraId="44E7A0EE">
            <w:pPr>
              <w:spacing w:line="500" w:lineRule="exact"/>
              <w:jc w:val="center"/>
              <w:rPr>
                <w:rFonts w:ascii="宋体" w:hAnsi="宋体"/>
                <w:color w:val="000000" w:themeColor="text1"/>
                <w:szCs w:val="21"/>
                <w:highlight w:val="none"/>
                <w14:textFill>
                  <w14:solidFill>
                    <w14:schemeClr w14:val="tx1"/>
                  </w14:solidFill>
                </w14:textFill>
              </w:rPr>
            </w:pPr>
          </w:p>
        </w:tc>
        <w:tc>
          <w:tcPr>
            <w:tcW w:w="870" w:type="dxa"/>
            <w:vMerge w:val="continue"/>
            <w:tcBorders>
              <w:left w:val="single" w:color="auto" w:sz="4" w:space="0"/>
              <w:bottom w:val="single" w:color="auto" w:sz="4" w:space="0"/>
              <w:right w:val="single" w:color="auto" w:sz="4" w:space="0"/>
            </w:tcBorders>
            <w:noWrap w:val="0"/>
            <w:vAlign w:val="center"/>
          </w:tcPr>
          <w:p w14:paraId="4E3E7955">
            <w:pPr>
              <w:spacing w:line="500" w:lineRule="exact"/>
              <w:jc w:val="center"/>
              <w:rPr>
                <w:rFonts w:ascii="宋体" w:hAnsi="宋体"/>
                <w:color w:val="000000" w:themeColor="text1"/>
                <w:szCs w:val="21"/>
                <w:highlight w:val="none"/>
                <w14:textFill>
                  <w14:solidFill>
                    <w14:schemeClr w14:val="tx1"/>
                  </w14:solidFill>
                </w14:textFill>
              </w:rPr>
            </w:pPr>
          </w:p>
        </w:tc>
        <w:tc>
          <w:tcPr>
            <w:tcW w:w="700" w:type="dxa"/>
            <w:vMerge w:val="continue"/>
            <w:tcBorders>
              <w:left w:val="single" w:color="auto" w:sz="4" w:space="0"/>
              <w:bottom w:val="single" w:color="auto" w:sz="4" w:space="0"/>
              <w:right w:val="single" w:color="auto" w:sz="4" w:space="0"/>
            </w:tcBorders>
            <w:noWrap w:val="0"/>
            <w:vAlign w:val="center"/>
          </w:tcPr>
          <w:p w14:paraId="6B3641F8">
            <w:pPr>
              <w:spacing w:line="500" w:lineRule="exact"/>
              <w:jc w:val="center"/>
              <w:rPr>
                <w:rFonts w:hint="eastAsia" w:ascii="宋体" w:hAnsi="宋体"/>
                <w:color w:val="000000" w:themeColor="text1"/>
                <w:szCs w:val="21"/>
                <w:highlight w:val="none"/>
                <w14:textFill>
                  <w14:solidFill>
                    <w14:schemeClr w14:val="tx1"/>
                  </w14:solidFill>
                </w14:textFill>
              </w:rPr>
            </w:pPr>
          </w:p>
        </w:tc>
        <w:tc>
          <w:tcPr>
            <w:tcW w:w="773" w:type="dxa"/>
            <w:vMerge w:val="continue"/>
            <w:tcBorders>
              <w:left w:val="single" w:color="auto" w:sz="4" w:space="0"/>
              <w:bottom w:val="single" w:color="auto" w:sz="4" w:space="0"/>
              <w:right w:val="single" w:color="auto" w:sz="4" w:space="0"/>
            </w:tcBorders>
            <w:noWrap w:val="0"/>
            <w:vAlign w:val="center"/>
          </w:tcPr>
          <w:p w14:paraId="2404572C">
            <w:pPr>
              <w:spacing w:line="500" w:lineRule="exact"/>
              <w:jc w:val="center"/>
              <w:rPr>
                <w:rFonts w:ascii="宋体" w:hAnsi="宋体"/>
                <w:color w:val="000000" w:themeColor="text1"/>
                <w:szCs w:val="21"/>
                <w:highlight w:val="none"/>
                <w14:textFill>
                  <w14:solidFill>
                    <w14:schemeClr w14:val="tx1"/>
                  </w14:solidFill>
                </w14:textFill>
              </w:rPr>
            </w:pPr>
          </w:p>
        </w:tc>
        <w:tc>
          <w:tcPr>
            <w:tcW w:w="960" w:type="dxa"/>
            <w:vMerge w:val="continue"/>
            <w:tcBorders>
              <w:left w:val="single" w:color="auto" w:sz="4" w:space="0"/>
              <w:bottom w:val="single" w:color="auto" w:sz="4" w:space="0"/>
              <w:right w:val="single" w:color="auto" w:sz="4" w:space="0"/>
            </w:tcBorders>
            <w:noWrap w:val="0"/>
            <w:vAlign w:val="center"/>
          </w:tcPr>
          <w:p w14:paraId="3D6AE6F3">
            <w:pPr>
              <w:spacing w:line="500" w:lineRule="exact"/>
              <w:jc w:val="center"/>
              <w:rPr>
                <w:rFonts w:ascii="宋体" w:hAnsi="宋体"/>
                <w:color w:val="000000" w:themeColor="text1"/>
                <w:szCs w:val="21"/>
                <w:highlight w:val="none"/>
                <w14:textFill>
                  <w14:solidFill>
                    <w14:schemeClr w14:val="tx1"/>
                  </w14:solidFill>
                </w14:textFill>
              </w:rPr>
            </w:pPr>
          </w:p>
        </w:tc>
        <w:tc>
          <w:tcPr>
            <w:tcW w:w="633" w:type="dxa"/>
            <w:gridSpan w:val="2"/>
            <w:vMerge w:val="continue"/>
            <w:tcBorders>
              <w:left w:val="single" w:color="auto" w:sz="4" w:space="0"/>
              <w:bottom w:val="single" w:color="auto" w:sz="4" w:space="0"/>
              <w:right w:val="single" w:color="auto" w:sz="4" w:space="0"/>
            </w:tcBorders>
            <w:noWrap w:val="0"/>
            <w:vAlign w:val="center"/>
          </w:tcPr>
          <w:p w14:paraId="0BE2F34D">
            <w:pPr>
              <w:spacing w:line="500" w:lineRule="exact"/>
              <w:jc w:val="center"/>
              <w:rPr>
                <w:rFonts w:ascii="宋体" w:hAnsi="宋体"/>
                <w:color w:val="000000" w:themeColor="text1"/>
                <w:szCs w:val="21"/>
                <w:highlight w:val="none"/>
                <w14:textFill>
                  <w14:solidFill>
                    <w14:schemeClr w14:val="tx1"/>
                  </w14:solidFill>
                </w14:textFill>
              </w:rPr>
            </w:pPr>
          </w:p>
        </w:tc>
        <w:tc>
          <w:tcPr>
            <w:tcW w:w="698" w:type="dxa"/>
            <w:vMerge w:val="continue"/>
            <w:tcBorders>
              <w:left w:val="single" w:color="auto" w:sz="4" w:space="0"/>
              <w:bottom w:val="single" w:color="auto" w:sz="4" w:space="0"/>
              <w:right w:val="single" w:color="auto" w:sz="4" w:space="0"/>
            </w:tcBorders>
            <w:noWrap w:val="0"/>
            <w:vAlign w:val="center"/>
          </w:tcPr>
          <w:p w14:paraId="02528791">
            <w:pPr>
              <w:spacing w:line="500" w:lineRule="exact"/>
              <w:jc w:val="center"/>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center"/>
          </w:tcPr>
          <w:p w14:paraId="2D6DAFA9">
            <w:pPr>
              <w:spacing w:line="5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登记时</w:t>
            </w:r>
          </w:p>
        </w:tc>
        <w:tc>
          <w:tcPr>
            <w:tcW w:w="452" w:type="dxa"/>
            <w:tcBorders>
              <w:top w:val="single" w:color="auto" w:sz="4" w:space="0"/>
              <w:left w:val="single" w:color="auto" w:sz="4" w:space="0"/>
              <w:bottom w:val="single" w:color="auto" w:sz="4" w:space="0"/>
              <w:right w:val="single" w:color="auto" w:sz="4" w:space="0"/>
            </w:tcBorders>
            <w:noWrap w:val="0"/>
            <w:vAlign w:val="center"/>
          </w:tcPr>
          <w:p w14:paraId="5C9E911D">
            <w:pPr>
              <w:spacing w:line="5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投标时</w:t>
            </w:r>
          </w:p>
        </w:tc>
        <w:tc>
          <w:tcPr>
            <w:tcW w:w="450" w:type="dxa"/>
            <w:tcBorders>
              <w:top w:val="single" w:color="auto" w:sz="4" w:space="0"/>
              <w:left w:val="single" w:color="auto" w:sz="4" w:space="0"/>
              <w:bottom w:val="single" w:color="auto" w:sz="4" w:space="0"/>
              <w:right w:val="single" w:color="auto" w:sz="4" w:space="0"/>
            </w:tcBorders>
            <w:noWrap w:val="0"/>
            <w:vAlign w:val="center"/>
          </w:tcPr>
          <w:p w14:paraId="341F4FBC">
            <w:pPr>
              <w:spacing w:line="5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登记时</w:t>
            </w:r>
          </w:p>
        </w:tc>
        <w:tc>
          <w:tcPr>
            <w:tcW w:w="450" w:type="dxa"/>
            <w:tcBorders>
              <w:top w:val="single" w:color="auto" w:sz="4" w:space="0"/>
              <w:left w:val="single" w:color="auto" w:sz="4" w:space="0"/>
              <w:bottom w:val="single" w:color="auto" w:sz="4" w:space="0"/>
              <w:right w:val="single" w:color="auto" w:sz="4" w:space="0"/>
            </w:tcBorders>
            <w:noWrap w:val="0"/>
            <w:vAlign w:val="center"/>
          </w:tcPr>
          <w:p w14:paraId="426BB9AB">
            <w:pPr>
              <w:spacing w:line="5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投标时</w:t>
            </w:r>
          </w:p>
        </w:tc>
        <w:tc>
          <w:tcPr>
            <w:tcW w:w="896" w:type="dxa"/>
            <w:vMerge w:val="continue"/>
            <w:tcBorders>
              <w:left w:val="single" w:color="auto" w:sz="4" w:space="0"/>
              <w:bottom w:val="single" w:color="auto" w:sz="4" w:space="0"/>
              <w:right w:val="single" w:color="auto" w:sz="4" w:space="0"/>
            </w:tcBorders>
            <w:noWrap w:val="0"/>
            <w:vAlign w:val="center"/>
          </w:tcPr>
          <w:p w14:paraId="2B8921D9">
            <w:pPr>
              <w:spacing w:line="500" w:lineRule="exact"/>
              <w:jc w:val="center"/>
              <w:rPr>
                <w:rFonts w:ascii="宋体" w:hAnsi="宋体"/>
                <w:color w:val="000000" w:themeColor="text1"/>
                <w:szCs w:val="21"/>
                <w:highlight w:val="none"/>
                <w14:textFill>
                  <w14:solidFill>
                    <w14:schemeClr w14:val="tx1"/>
                  </w14:solidFill>
                </w14:textFill>
              </w:rPr>
            </w:pPr>
          </w:p>
        </w:tc>
        <w:tc>
          <w:tcPr>
            <w:tcW w:w="959" w:type="dxa"/>
            <w:vMerge w:val="continue"/>
            <w:tcBorders>
              <w:left w:val="single" w:color="auto" w:sz="4" w:space="0"/>
              <w:bottom w:val="single" w:color="auto" w:sz="4" w:space="0"/>
              <w:right w:val="single" w:color="auto" w:sz="4" w:space="0"/>
            </w:tcBorders>
            <w:noWrap w:val="0"/>
            <w:vAlign w:val="center"/>
          </w:tcPr>
          <w:p w14:paraId="59B557C5">
            <w:pPr>
              <w:spacing w:line="500" w:lineRule="exact"/>
              <w:jc w:val="center"/>
              <w:rPr>
                <w:rFonts w:hint="eastAsia" w:ascii="宋体" w:hAnsi="宋体"/>
                <w:color w:val="000000" w:themeColor="text1"/>
                <w:szCs w:val="21"/>
                <w:highlight w:val="none"/>
                <w14:textFill>
                  <w14:solidFill>
                    <w14:schemeClr w14:val="tx1"/>
                  </w14:solidFill>
                </w14:textFill>
              </w:rPr>
            </w:pPr>
          </w:p>
        </w:tc>
      </w:tr>
      <w:tr w14:paraId="0E318215">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3E40B3B1">
            <w:pPr>
              <w:spacing w:line="500" w:lineRule="exact"/>
              <w:jc w:val="left"/>
              <w:rPr>
                <w:rFonts w:ascii="宋体" w:hAnsi="宋体"/>
                <w:color w:val="000000" w:themeColor="text1"/>
                <w:szCs w:val="21"/>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74198E7A">
            <w:pPr>
              <w:spacing w:line="500" w:lineRule="exact"/>
              <w:jc w:val="left"/>
              <w:rPr>
                <w:rFonts w:ascii="宋体" w:hAnsi="宋体"/>
                <w:color w:val="000000" w:themeColor="text1"/>
                <w:szCs w:val="21"/>
                <w:highlight w:val="none"/>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43649D8D">
            <w:pPr>
              <w:spacing w:line="500" w:lineRule="exact"/>
              <w:jc w:val="left"/>
              <w:rPr>
                <w:rFonts w:ascii="宋体" w:hAnsi="宋体"/>
                <w:color w:val="000000" w:themeColor="text1"/>
                <w:szCs w:val="21"/>
                <w:highlight w:val="none"/>
                <w14:textFill>
                  <w14:solidFill>
                    <w14:schemeClr w14:val="tx1"/>
                  </w14:solidFill>
                </w14:textFill>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7D04E22E">
            <w:pPr>
              <w:spacing w:line="500" w:lineRule="exact"/>
              <w:jc w:val="left"/>
              <w:rPr>
                <w:rFonts w:ascii="宋体" w:hAnsi="宋体"/>
                <w:color w:val="000000" w:themeColor="text1"/>
                <w:szCs w:val="21"/>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19630FC5">
            <w:pPr>
              <w:spacing w:line="500" w:lineRule="exact"/>
              <w:jc w:val="left"/>
              <w:rPr>
                <w:rFonts w:ascii="宋体" w:hAnsi="宋体"/>
                <w:color w:val="000000" w:themeColor="text1"/>
                <w:szCs w:val="21"/>
                <w:highlight w:val="none"/>
                <w14:textFill>
                  <w14:solidFill>
                    <w14:schemeClr w14:val="tx1"/>
                  </w14:solidFill>
                </w14:textFill>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7C6E8545">
            <w:pPr>
              <w:spacing w:line="500" w:lineRule="exact"/>
              <w:jc w:val="left"/>
              <w:rPr>
                <w:rFonts w:ascii="宋体" w:hAnsi="宋体"/>
                <w:color w:val="000000" w:themeColor="text1"/>
                <w:szCs w:val="21"/>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5F128433">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62874459">
            <w:pPr>
              <w:spacing w:line="500" w:lineRule="exact"/>
              <w:jc w:val="left"/>
              <w:rPr>
                <w:rFonts w:ascii="宋体" w:hAnsi="宋体"/>
                <w:color w:val="000000" w:themeColor="text1"/>
                <w:szCs w:val="21"/>
                <w:highlight w:val="none"/>
                <w14:textFill>
                  <w14:solidFill>
                    <w14:schemeClr w14:val="tx1"/>
                  </w14:solidFill>
                </w14:textFill>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18A14D28">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5B223542">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6CE734A4">
            <w:pPr>
              <w:spacing w:line="500" w:lineRule="exact"/>
              <w:jc w:val="left"/>
              <w:rPr>
                <w:rFonts w:ascii="宋体" w:hAnsi="宋体"/>
                <w:color w:val="000000" w:themeColor="text1"/>
                <w:szCs w:val="21"/>
                <w:highlight w:val="none"/>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4DF7E1FE">
            <w:pPr>
              <w:spacing w:line="500" w:lineRule="exact"/>
              <w:jc w:val="left"/>
              <w:rPr>
                <w:rFonts w:ascii="宋体" w:hAnsi="宋体"/>
                <w:color w:val="000000" w:themeColor="text1"/>
                <w:szCs w:val="21"/>
                <w:highlight w:val="none"/>
                <w14:textFill>
                  <w14:solidFill>
                    <w14:schemeClr w14:val="tx1"/>
                  </w14:solidFill>
                </w14:textFill>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09051BED">
            <w:pPr>
              <w:spacing w:line="500" w:lineRule="exact"/>
              <w:jc w:val="left"/>
              <w:rPr>
                <w:rFonts w:ascii="宋体" w:hAnsi="宋体"/>
                <w:color w:val="000000" w:themeColor="text1"/>
                <w:szCs w:val="21"/>
                <w:highlight w:val="none"/>
                <w14:textFill>
                  <w14:solidFill>
                    <w14:schemeClr w14:val="tx1"/>
                  </w14:solidFill>
                </w14:textFill>
              </w:rPr>
            </w:pPr>
          </w:p>
        </w:tc>
      </w:tr>
      <w:tr w14:paraId="2EBBC450">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7FF2638C">
            <w:pPr>
              <w:spacing w:line="500" w:lineRule="exact"/>
              <w:jc w:val="left"/>
              <w:rPr>
                <w:rFonts w:ascii="宋体" w:hAnsi="宋体"/>
                <w:color w:val="000000" w:themeColor="text1"/>
                <w:szCs w:val="21"/>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02EB920C">
            <w:pPr>
              <w:spacing w:line="500" w:lineRule="exact"/>
              <w:jc w:val="left"/>
              <w:rPr>
                <w:rFonts w:ascii="宋体" w:hAnsi="宋体"/>
                <w:color w:val="000000" w:themeColor="text1"/>
                <w:szCs w:val="21"/>
                <w:highlight w:val="none"/>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2131D21A">
            <w:pPr>
              <w:spacing w:line="500" w:lineRule="exact"/>
              <w:jc w:val="left"/>
              <w:rPr>
                <w:rFonts w:ascii="宋体" w:hAnsi="宋体"/>
                <w:color w:val="000000" w:themeColor="text1"/>
                <w:szCs w:val="21"/>
                <w:highlight w:val="none"/>
                <w14:textFill>
                  <w14:solidFill>
                    <w14:schemeClr w14:val="tx1"/>
                  </w14:solidFill>
                </w14:textFill>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7C6F8588">
            <w:pPr>
              <w:spacing w:line="500" w:lineRule="exact"/>
              <w:jc w:val="left"/>
              <w:rPr>
                <w:rFonts w:ascii="宋体" w:hAnsi="宋体"/>
                <w:color w:val="000000" w:themeColor="text1"/>
                <w:szCs w:val="21"/>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78829A4C">
            <w:pPr>
              <w:spacing w:line="500" w:lineRule="exact"/>
              <w:jc w:val="left"/>
              <w:rPr>
                <w:rFonts w:ascii="宋体" w:hAnsi="宋体"/>
                <w:color w:val="000000" w:themeColor="text1"/>
                <w:szCs w:val="21"/>
                <w:highlight w:val="none"/>
                <w14:textFill>
                  <w14:solidFill>
                    <w14:schemeClr w14:val="tx1"/>
                  </w14:solidFill>
                </w14:textFill>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77FFFD6B">
            <w:pPr>
              <w:spacing w:line="500" w:lineRule="exact"/>
              <w:jc w:val="left"/>
              <w:rPr>
                <w:rFonts w:ascii="宋体" w:hAnsi="宋体"/>
                <w:color w:val="000000" w:themeColor="text1"/>
                <w:szCs w:val="21"/>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4DE5535C">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196027E7">
            <w:pPr>
              <w:spacing w:line="500" w:lineRule="exact"/>
              <w:jc w:val="left"/>
              <w:rPr>
                <w:rFonts w:ascii="宋体" w:hAnsi="宋体"/>
                <w:color w:val="000000" w:themeColor="text1"/>
                <w:szCs w:val="21"/>
                <w:highlight w:val="none"/>
                <w14:textFill>
                  <w14:solidFill>
                    <w14:schemeClr w14:val="tx1"/>
                  </w14:solidFill>
                </w14:textFill>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3066F597">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72F2C68B">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7B8B6513">
            <w:pPr>
              <w:spacing w:line="500" w:lineRule="exact"/>
              <w:jc w:val="left"/>
              <w:rPr>
                <w:rFonts w:ascii="宋体" w:hAnsi="宋体"/>
                <w:color w:val="000000" w:themeColor="text1"/>
                <w:szCs w:val="21"/>
                <w:highlight w:val="none"/>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63DC0300">
            <w:pPr>
              <w:spacing w:line="500" w:lineRule="exact"/>
              <w:jc w:val="left"/>
              <w:rPr>
                <w:rFonts w:ascii="宋体" w:hAnsi="宋体"/>
                <w:color w:val="000000" w:themeColor="text1"/>
                <w:szCs w:val="21"/>
                <w:highlight w:val="none"/>
                <w14:textFill>
                  <w14:solidFill>
                    <w14:schemeClr w14:val="tx1"/>
                  </w14:solidFill>
                </w14:textFill>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36BCAB3D">
            <w:pPr>
              <w:spacing w:line="500" w:lineRule="exact"/>
              <w:jc w:val="left"/>
              <w:rPr>
                <w:rFonts w:ascii="宋体" w:hAnsi="宋体"/>
                <w:color w:val="000000" w:themeColor="text1"/>
                <w:szCs w:val="21"/>
                <w:highlight w:val="none"/>
                <w14:textFill>
                  <w14:solidFill>
                    <w14:schemeClr w14:val="tx1"/>
                  </w14:solidFill>
                </w14:textFill>
              </w:rPr>
            </w:pPr>
          </w:p>
        </w:tc>
      </w:tr>
      <w:tr w14:paraId="429416A1">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5649FD6F">
            <w:pPr>
              <w:spacing w:line="500" w:lineRule="exact"/>
              <w:jc w:val="left"/>
              <w:rPr>
                <w:rFonts w:ascii="宋体" w:hAnsi="宋体"/>
                <w:color w:val="000000" w:themeColor="text1"/>
                <w:szCs w:val="21"/>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25B0BF10">
            <w:pPr>
              <w:spacing w:line="500" w:lineRule="exact"/>
              <w:jc w:val="left"/>
              <w:rPr>
                <w:rFonts w:ascii="宋体" w:hAnsi="宋体"/>
                <w:color w:val="000000" w:themeColor="text1"/>
                <w:szCs w:val="21"/>
                <w:highlight w:val="none"/>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5561F542">
            <w:pPr>
              <w:spacing w:line="500" w:lineRule="exact"/>
              <w:jc w:val="left"/>
              <w:rPr>
                <w:rFonts w:ascii="宋体" w:hAnsi="宋体"/>
                <w:color w:val="000000" w:themeColor="text1"/>
                <w:szCs w:val="21"/>
                <w:highlight w:val="none"/>
                <w14:textFill>
                  <w14:solidFill>
                    <w14:schemeClr w14:val="tx1"/>
                  </w14:solidFill>
                </w14:textFill>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604CC46D">
            <w:pPr>
              <w:spacing w:line="500" w:lineRule="exact"/>
              <w:jc w:val="left"/>
              <w:rPr>
                <w:rFonts w:ascii="宋体" w:hAnsi="宋体"/>
                <w:color w:val="000000" w:themeColor="text1"/>
                <w:szCs w:val="21"/>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7DB61704">
            <w:pPr>
              <w:spacing w:line="500" w:lineRule="exact"/>
              <w:jc w:val="left"/>
              <w:rPr>
                <w:rFonts w:ascii="宋体" w:hAnsi="宋体"/>
                <w:color w:val="000000" w:themeColor="text1"/>
                <w:szCs w:val="21"/>
                <w:highlight w:val="none"/>
                <w14:textFill>
                  <w14:solidFill>
                    <w14:schemeClr w14:val="tx1"/>
                  </w14:solidFill>
                </w14:textFill>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3D0764AD">
            <w:pPr>
              <w:spacing w:line="500" w:lineRule="exact"/>
              <w:jc w:val="left"/>
              <w:rPr>
                <w:rFonts w:ascii="宋体" w:hAnsi="宋体"/>
                <w:color w:val="000000" w:themeColor="text1"/>
                <w:szCs w:val="21"/>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07609259">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33710B8A">
            <w:pPr>
              <w:spacing w:line="500" w:lineRule="exact"/>
              <w:jc w:val="left"/>
              <w:rPr>
                <w:rFonts w:ascii="宋体" w:hAnsi="宋体"/>
                <w:color w:val="000000" w:themeColor="text1"/>
                <w:szCs w:val="21"/>
                <w:highlight w:val="none"/>
                <w14:textFill>
                  <w14:solidFill>
                    <w14:schemeClr w14:val="tx1"/>
                  </w14:solidFill>
                </w14:textFill>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63F09D3C">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12E4FE62">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4AABE600">
            <w:pPr>
              <w:spacing w:line="500" w:lineRule="exact"/>
              <w:jc w:val="left"/>
              <w:rPr>
                <w:rFonts w:ascii="宋体" w:hAnsi="宋体"/>
                <w:color w:val="000000" w:themeColor="text1"/>
                <w:szCs w:val="21"/>
                <w:highlight w:val="none"/>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62724D54">
            <w:pPr>
              <w:spacing w:line="500" w:lineRule="exact"/>
              <w:jc w:val="left"/>
              <w:rPr>
                <w:rFonts w:ascii="宋体" w:hAnsi="宋体"/>
                <w:color w:val="000000" w:themeColor="text1"/>
                <w:szCs w:val="21"/>
                <w:highlight w:val="none"/>
                <w14:textFill>
                  <w14:solidFill>
                    <w14:schemeClr w14:val="tx1"/>
                  </w14:solidFill>
                </w14:textFill>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46DEB5F3">
            <w:pPr>
              <w:spacing w:line="500" w:lineRule="exact"/>
              <w:jc w:val="left"/>
              <w:rPr>
                <w:rFonts w:ascii="宋体" w:hAnsi="宋体"/>
                <w:color w:val="000000" w:themeColor="text1"/>
                <w:szCs w:val="21"/>
                <w:highlight w:val="none"/>
                <w14:textFill>
                  <w14:solidFill>
                    <w14:schemeClr w14:val="tx1"/>
                  </w14:solidFill>
                </w14:textFill>
              </w:rPr>
            </w:pPr>
          </w:p>
        </w:tc>
      </w:tr>
      <w:tr w14:paraId="4A9B2F89">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42F33C53">
            <w:pPr>
              <w:spacing w:line="500" w:lineRule="exact"/>
              <w:jc w:val="left"/>
              <w:rPr>
                <w:rFonts w:ascii="宋体" w:hAnsi="宋体"/>
                <w:color w:val="000000" w:themeColor="text1"/>
                <w:szCs w:val="21"/>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3F9C679D">
            <w:pPr>
              <w:spacing w:line="500" w:lineRule="exact"/>
              <w:jc w:val="left"/>
              <w:rPr>
                <w:rFonts w:ascii="宋体" w:hAnsi="宋体"/>
                <w:color w:val="000000" w:themeColor="text1"/>
                <w:szCs w:val="21"/>
                <w:highlight w:val="none"/>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2F9079D1">
            <w:pPr>
              <w:spacing w:line="500" w:lineRule="exact"/>
              <w:jc w:val="left"/>
              <w:rPr>
                <w:rFonts w:ascii="宋体" w:hAnsi="宋体"/>
                <w:color w:val="000000" w:themeColor="text1"/>
                <w:szCs w:val="21"/>
                <w:highlight w:val="none"/>
                <w14:textFill>
                  <w14:solidFill>
                    <w14:schemeClr w14:val="tx1"/>
                  </w14:solidFill>
                </w14:textFill>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7469EAB5">
            <w:pPr>
              <w:spacing w:line="500" w:lineRule="exact"/>
              <w:jc w:val="left"/>
              <w:rPr>
                <w:rFonts w:ascii="宋体" w:hAnsi="宋体"/>
                <w:color w:val="000000" w:themeColor="text1"/>
                <w:szCs w:val="21"/>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54D4466C">
            <w:pPr>
              <w:spacing w:line="500" w:lineRule="exact"/>
              <w:jc w:val="left"/>
              <w:rPr>
                <w:rFonts w:ascii="宋体" w:hAnsi="宋体"/>
                <w:color w:val="000000" w:themeColor="text1"/>
                <w:szCs w:val="21"/>
                <w:highlight w:val="none"/>
                <w14:textFill>
                  <w14:solidFill>
                    <w14:schemeClr w14:val="tx1"/>
                  </w14:solidFill>
                </w14:textFill>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775E7ED4">
            <w:pPr>
              <w:spacing w:line="500" w:lineRule="exact"/>
              <w:jc w:val="left"/>
              <w:rPr>
                <w:rFonts w:ascii="宋体" w:hAnsi="宋体"/>
                <w:color w:val="000000" w:themeColor="text1"/>
                <w:szCs w:val="21"/>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7A5E6922">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677A3863">
            <w:pPr>
              <w:spacing w:line="500" w:lineRule="exact"/>
              <w:jc w:val="left"/>
              <w:rPr>
                <w:rFonts w:ascii="宋体" w:hAnsi="宋体"/>
                <w:color w:val="000000" w:themeColor="text1"/>
                <w:szCs w:val="21"/>
                <w:highlight w:val="none"/>
                <w14:textFill>
                  <w14:solidFill>
                    <w14:schemeClr w14:val="tx1"/>
                  </w14:solidFill>
                </w14:textFill>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5651D658">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75C22236">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743A2B75">
            <w:pPr>
              <w:spacing w:line="500" w:lineRule="exact"/>
              <w:jc w:val="left"/>
              <w:rPr>
                <w:rFonts w:ascii="宋体" w:hAnsi="宋体"/>
                <w:color w:val="000000" w:themeColor="text1"/>
                <w:szCs w:val="21"/>
                <w:highlight w:val="none"/>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76A166D4">
            <w:pPr>
              <w:spacing w:line="500" w:lineRule="exact"/>
              <w:jc w:val="left"/>
              <w:rPr>
                <w:rFonts w:ascii="宋体" w:hAnsi="宋体"/>
                <w:color w:val="000000" w:themeColor="text1"/>
                <w:szCs w:val="21"/>
                <w:highlight w:val="none"/>
                <w14:textFill>
                  <w14:solidFill>
                    <w14:schemeClr w14:val="tx1"/>
                  </w14:solidFill>
                </w14:textFill>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318DD43A">
            <w:pPr>
              <w:spacing w:line="500" w:lineRule="exact"/>
              <w:jc w:val="left"/>
              <w:rPr>
                <w:rFonts w:ascii="宋体" w:hAnsi="宋体"/>
                <w:color w:val="000000" w:themeColor="text1"/>
                <w:szCs w:val="21"/>
                <w:highlight w:val="none"/>
                <w14:textFill>
                  <w14:solidFill>
                    <w14:schemeClr w14:val="tx1"/>
                  </w14:solidFill>
                </w14:textFill>
              </w:rPr>
            </w:pPr>
          </w:p>
        </w:tc>
      </w:tr>
      <w:tr w14:paraId="4F8B3428">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75E93428">
            <w:pPr>
              <w:spacing w:line="500" w:lineRule="exact"/>
              <w:jc w:val="left"/>
              <w:rPr>
                <w:rFonts w:ascii="宋体" w:hAnsi="宋体"/>
                <w:color w:val="000000" w:themeColor="text1"/>
                <w:szCs w:val="21"/>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31EB6340">
            <w:pPr>
              <w:spacing w:line="500" w:lineRule="exact"/>
              <w:jc w:val="left"/>
              <w:rPr>
                <w:rFonts w:ascii="宋体" w:hAnsi="宋体"/>
                <w:color w:val="000000" w:themeColor="text1"/>
                <w:szCs w:val="21"/>
                <w:highlight w:val="none"/>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0AFFCEF2">
            <w:pPr>
              <w:spacing w:line="500" w:lineRule="exact"/>
              <w:jc w:val="left"/>
              <w:rPr>
                <w:rFonts w:ascii="宋体" w:hAnsi="宋体"/>
                <w:color w:val="000000" w:themeColor="text1"/>
                <w:szCs w:val="21"/>
                <w:highlight w:val="none"/>
                <w14:textFill>
                  <w14:solidFill>
                    <w14:schemeClr w14:val="tx1"/>
                  </w14:solidFill>
                </w14:textFill>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3F248944">
            <w:pPr>
              <w:spacing w:line="500" w:lineRule="exact"/>
              <w:jc w:val="left"/>
              <w:rPr>
                <w:rFonts w:ascii="宋体" w:hAnsi="宋体"/>
                <w:color w:val="000000" w:themeColor="text1"/>
                <w:szCs w:val="21"/>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4D6BAE26">
            <w:pPr>
              <w:spacing w:line="500" w:lineRule="exact"/>
              <w:jc w:val="left"/>
              <w:rPr>
                <w:rFonts w:ascii="宋体" w:hAnsi="宋体"/>
                <w:color w:val="000000" w:themeColor="text1"/>
                <w:szCs w:val="21"/>
                <w:highlight w:val="none"/>
                <w14:textFill>
                  <w14:solidFill>
                    <w14:schemeClr w14:val="tx1"/>
                  </w14:solidFill>
                </w14:textFill>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4E295EED">
            <w:pPr>
              <w:spacing w:line="500" w:lineRule="exact"/>
              <w:jc w:val="left"/>
              <w:rPr>
                <w:rFonts w:ascii="宋体" w:hAnsi="宋体"/>
                <w:color w:val="000000" w:themeColor="text1"/>
                <w:szCs w:val="21"/>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2F2E2D9C">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2C735297">
            <w:pPr>
              <w:spacing w:line="500" w:lineRule="exact"/>
              <w:jc w:val="left"/>
              <w:rPr>
                <w:rFonts w:ascii="宋体" w:hAnsi="宋体"/>
                <w:color w:val="000000" w:themeColor="text1"/>
                <w:szCs w:val="21"/>
                <w:highlight w:val="none"/>
                <w14:textFill>
                  <w14:solidFill>
                    <w14:schemeClr w14:val="tx1"/>
                  </w14:solidFill>
                </w14:textFill>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6DC6BD58">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218BFCA1">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105270F7">
            <w:pPr>
              <w:spacing w:line="500" w:lineRule="exact"/>
              <w:jc w:val="left"/>
              <w:rPr>
                <w:rFonts w:ascii="宋体" w:hAnsi="宋体"/>
                <w:color w:val="000000" w:themeColor="text1"/>
                <w:szCs w:val="21"/>
                <w:highlight w:val="none"/>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04CB2C52">
            <w:pPr>
              <w:spacing w:line="500" w:lineRule="exact"/>
              <w:jc w:val="left"/>
              <w:rPr>
                <w:rFonts w:ascii="宋体" w:hAnsi="宋体"/>
                <w:color w:val="000000" w:themeColor="text1"/>
                <w:szCs w:val="21"/>
                <w:highlight w:val="none"/>
                <w14:textFill>
                  <w14:solidFill>
                    <w14:schemeClr w14:val="tx1"/>
                  </w14:solidFill>
                </w14:textFill>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77FDD68A">
            <w:pPr>
              <w:spacing w:line="500" w:lineRule="exact"/>
              <w:jc w:val="left"/>
              <w:rPr>
                <w:rFonts w:ascii="宋体" w:hAnsi="宋体"/>
                <w:color w:val="000000" w:themeColor="text1"/>
                <w:szCs w:val="21"/>
                <w:highlight w:val="none"/>
                <w14:textFill>
                  <w14:solidFill>
                    <w14:schemeClr w14:val="tx1"/>
                  </w14:solidFill>
                </w14:textFill>
              </w:rPr>
            </w:pPr>
          </w:p>
        </w:tc>
      </w:tr>
      <w:tr w14:paraId="5B25F5ED">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4F234647">
            <w:pPr>
              <w:spacing w:line="500" w:lineRule="exact"/>
              <w:jc w:val="left"/>
              <w:rPr>
                <w:rFonts w:ascii="宋体" w:hAnsi="宋体"/>
                <w:color w:val="000000" w:themeColor="text1"/>
                <w:szCs w:val="21"/>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7C93B57A">
            <w:pPr>
              <w:spacing w:line="500" w:lineRule="exact"/>
              <w:jc w:val="left"/>
              <w:rPr>
                <w:rFonts w:ascii="宋体" w:hAnsi="宋体"/>
                <w:color w:val="000000" w:themeColor="text1"/>
                <w:szCs w:val="21"/>
                <w:highlight w:val="none"/>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35626DA6">
            <w:pPr>
              <w:spacing w:line="500" w:lineRule="exact"/>
              <w:jc w:val="left"/>
              <w:rPr>
                <w:rFonts w:ascii="宋体" w:hAnsi="宋体"/>
                <w:color w:val="000000" w:themeColor="text1"/>
                <w:szCs w:val="21"/>
                <w:highlight w:val="none"/>
                <w14:textFill>
                  <w14:solidFill>
                    <w14:schemeClr w14:val="tx1"/>
                  </w14:solidFill>
                </w14:textFill>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211E7488">
            <w:pPr>
              <w:spacing w:line="500" w:lineRule="exact"/>
              <w:jc w:val="left"/>
              <w:rPr>
                <w:rFonts w:ascii="宋体" w:hAnsi="宋体"/>
                <w:color w:val="000000" w:themeColor="text1"/>
                <w:szCs w:val="21"/>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38ABE218">
            <w:pPr>
              <w:spacing w:line="500" w:lineRule="exact"/>
              <w:jc w:val="left"/>
              <w:rPr>
                <w:rFonts w:ascii="宋体" w:hAnsi="宋体"/>
                <w:color w:val="000000" w:themeColor="text1"/>
                <w:szCs w:val="21"/>
                <w:highlight w:val="none"/>
                <w14:textFill>
                  <w14:solidFill>
                    <w14:schemeClr w14:val="tx1"/>
                  </w14:solidFill>
                </w14:textFill>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6B2DFA2E">
            <w:pPr>
              <w:spacing w:line="500" w:lineRule="exact"/>
              <w:jc w:val="left"/>
              <w:rPr>
                <w:rFonts w:ascii="宋体" w:hAnsi="宋体"/>
                <w:color w:val="000000" w:themeColor="text1"/>
                <w:szCs w:val="21"/>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3004AD5D">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2E0510E6">
            <w:pPr>
              <w:spacing w:line="500" w:lineRule="exact"/>
              <w:jc w:val="left"/>
              <w:rPr>
                <w:rFonts w:ascii="宋体" w:hAnsi="宋体"/>
                <w:color w:val="000000" w:themeColor="text1"/>
                <w:szCs w:val="21"/>
                <w:highlight w:val="none"/>
                <w14:textFill>
                  <w14:solidFill>
                    <w14:schemeClr w14:val="tx1"/>
                  </w14:solidFill>
                </w14:textFill>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66717683">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66FBE2DD">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2091DD46">
            <w:pPr>
              <w:spacing w:line="500" w:lineRule="exact"/>
              <w:jc w:val="left"/>
              <w:rPr>
                <w:rFonts w:ascii="宋体" w:hAnsi="宋体"/>
                <w:color w:val="000000" w:themeColor="text1"/>
                <w:szCs w:val="21"/>
                <w:highlight w:val="none"/>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1A041790">
            <w:pPr>
              <w:spacing w:line="500" w:lineRule="exact"/>
              <w:jc w:val="left"/>
              <w:rPr>
                <w:rFonts w:ascii="宋体" w:hAnsi="宋体"/>
                <w:color w:val="000000" w:themeColor="text1"/>
                <w:szCs w:val="21"/>
                <w:highlight w:val="none"/>
                <w14:textFill>
                  <w14:solidFill>
                    <w14:schemeClr w14:val="tx1"/>
                  </w14:solidFill>
                </w14:textFill>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3A6DF6D2">
            <w:pPr>
              <w:spacing w:line="500" w:lineRule="exact"/>
              <w:jc w:val="left"/>
              <w:rPr>
                <w:rFonts w:ascii="宋体" w:hAnsi="宋体"/>
                <w:color w:val="000000" w:themeColor="text1"/>
                <w:szCs w:val="21"/>
                <w:highlight w:val="none"/>
                <w14:textFill>
                  <w14:solidFill>
                    <w14:schemeClr w14:val="tx1"/>
                  </w14:solidFill>
                </w14:textFill>
              </w:rPr>
            </w:pPr>
          </w:p>
        </w:tc>
      </w:tr>
      <w:tr w14:paraId="1668F9A8">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6E31E166">
            <w:pPr>
              <w:spacing w:line="500" w:lineRule="exact"/>
              <w:jc w:val="left"/>
              <w:rPr>
                <w:rFonts w:ascii="宋体" w:hAnsi="宋体"/>
                <w:color w:val="000000" w:themeColor="text1"/>
                <w:szCs w:val="21"/>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1EA7BDD8">
            <w:pPr>
              <w:spacing w:line="500" w:lineRule="exact"/>
              <w:jc w:val="left"/>
              <w:rPr>
                <w:rFonts w:ascii="宋体" w:hAnsi="宋体"/>
                <w:color w:val="000000" w:themeColor="text1"/>
                <w:szCs w:val="21"/>
                <w:highlight w:val="none"/>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53B73C7F">
            <w:pPr>
              <w:spacing w:line="500" w:lineRule="exact"/>
              <w:jc w:val="left"/>
              <w:rPr>
                <w:rFonts w:ascii="宋体" w:hAnsi="宋体"/>
                <w:color w:val="000000" w:themeColor="text1"/>
                <w:szCs w:val="21"/>
                <w:highlight w:val="none"/>
                <w14:textFill>
                  <w14:solidFill>
                    <w14:schemeClr w14:val="tx1"/>
                  </w14:solidFill>
                </w14:textFill>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39E0FF75">
            <w:pPr>
              <w:spacing w:line="500" w:lineRule="exact"/>
              <w:jc w:val="left"/>
              <w:rPr>
                <w:rFonts w:ascii="宋体" w:hAnsi="宋体"/>
                <w:color w:val="000000" w:themeColor="text1"/>
                <w:szCs w:val="21"/>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7DCB7040">
            <w:pPr>
              <w:spacing w:line="500" w:lineRule="exact"/>
              <w:jc w:val="left"/>
              <w:rPr>
                <w:rFonts w:ascii="宋体" w:hAnsi="宋体"/>
                <w:color w:val="000000" w:themeColor="text1"/>
                <w:szCs w:val="21"/>
                <w:highlight w:val="none"/>
                <w14:textFill>
                  <w14:solidFill>
                    <w14:schemeClr w14:val="tx1"/>
                  </w14:solidFill>
                </w14:textFill>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269C312E">
            <w:pPr>
              <w:spacing w:line="500" w:lineRule="exact"/>
              <w:jc w:val="left"/>
              <w:rPr>
                <w:rFonts w:ascii="宋体" w:hAnsi="宋体"/>
                <w:color w:val="000000" w:themeColor="text1"/>
                <w:szCs w:val="21"/>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721436C9">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68BCE6C4">
            <w:pPr>
              <w:spacing w:line="500" w:lineRule="exact"/>
              <w:jc w:val="left"/>
              <w:rPr>
                <w:rFonts w:ascii="宋体" w:hAnsi="宋体"/>
                <w:color w:val="000000" w:themeColor="text1"/>
                <w:szCs w:val="21"/>
                <w:highlight w:val="none"/>
                <w14:textFill>
                  <w14:solidFill>
                    <w14:schemeClr w14:val="tx1"/>
                  </w14:solidFill>
                </w14:textFill>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4A79A7DC">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1D13DF6F">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38B08438">
            <w:pPr>
              <w:spacing w:line="500" w:lineRule="exact"/>
              <w:jc w:val="left"/>
              <w:rPr>
                <w:rFonts w:ascii="宋体" w:hAnsi="宋体"/>
                <w:color w:val="000000" w:themeColor="text1"/>
                <w:szCs w:val="21"/>
                <w:highlight w:val="none"/>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297EE4C0">
            <w:pPr>
              <w:spacing w:line="500" w:lineRule="exact"/>
              <w:jc w:val="left"/>
              <w:rPr>
                <w:rFonts w:ascii="宋体" w:hAnsi="宋体"/>
                <w:color w:val="000000" w:themeColor="text1"/>
                <w:szCs w:val="21"/>
                <w:highlight w:val="none"/>
                <w14:textFill>
                  <w14:solidFill>
                    <w14:schemeClr w14:val="tx1"/>
                  </w14:solidFill>
                </w14:textFill>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7A5F113F">
            <w:pPr>
              <w:spacing w:line="500" w:lineRule="exact"/>
              <w:jc w:val="left"/>
              <w:rPr>
                <w:rFonts w:ascii="宋体" w:hAnsi="宋体"/>
                <w:color w:val="000000" w:themeColor="text1"/>
                <w:szCs w:val="21"/>
                <w:highlight w:val="none"/>
                <w14:textFill>
                  <w14:solidFill>
                    <w14:schemeClr w14:val="tx1"/>
                  </w14:solidFill>
                </w14:textFill>
              </w:rPr>
            </w:pPr>
          </w:p>
        </w:tc>
      </w:tr>
      <w:tr w14:paraId="29606897">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549FA8A8">
            <w:pPr>
              <w:spacing w:line="500" w:lineRule="exact"/>
              <w:jc w:val="left"/>
              <w:rPr>
                <w:rFonts w:ascii="宋体" w:hAnsi="宋体"/>
                <w:color w:val="000000" w:themeColor="text1"/>
                <w:szCs w:val="21"/>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1297B950">
            <w:pPr>
              <w:spacing w:line="500" w:lineRule="exact"/>
              <w:jc w:val="left"/>
              <w:rPr>
                <w:rFonts w:ascii="宋体" w:hAnsi="宋体"/>
                <w:color w:val="000000" w:themeColor="text1"/>
                <w:szCs w:val="21"/>
                <w:highlight w:val="none"/>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79DC16D4">
            <w:pPr>
              <w:spacing w:line="500" w:lineRule="exact"/>
              <w:jc w:val="left"/>
              <w:rPr>
                <w:rFonts w:ascii="宋体" w:hAnsi="宋体"/>
                <w:color w:val="000000" w:themeColor="text1"/>
                <w:szCs w:val="21"/>
                <w:highlight w:val="none"/>
                <w14:textFill>
                  <w14:solidFill>
                    <w14:schemeClr w14:val="tx1"/>
                  </w14:solidFill>
                </w14:textFill>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6318A9B2">
            <w:pPr>
              <w:spacing w:line="500" w:lineRule="exact"/>
              <w:jc w:val="left"/>
              <w:rPr>
                <w:rFonts w:ascii="宋体" w:hAnsi="宋体"/>
                <w:color w:val="000000" w:themeColor="text1"/>
                <w:szCs w:val="21"/>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130CF0A7">
            <w:pPr>
              <w:spacing w:line="500" w:lineRule="exact"/>
              <w:jc w:val="left"/>
              <w:rPr>
                <w:rFonts w:ascii="宋体" w:hAnsi="宋体"/>
                <w:color w:val="000000" w:themeColor="text1"/>
                <w:szCs w:val="21"/>
                <w:highlight w:val="none"/>
                <w14:textFill>
                  <w14:solidFill>
                    <w14:schemeClr w14:val="tx1"/>
                  </w14:solidFill>
                </w14:textFill>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1AD5D9ED">
            <w:pPr>
              <w:spacing w:line="500" w:lineRule="exact"/>
              <w:jc w:val="left"/>
              <w:rPr>
                <w:rFonts w:ascii="宋体" w:hAnsi="宋体"/>
                <w:color w:val="000000" w:themeColor="text1"/>
                <w:szCs w:val="21"/>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5A804535">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32F6657B">
            <w:pPr>
              <w:spacing w:line="500" w:lineRule="exact"/>
              <w:jc w:val="left"/>
              <w:rPr>
                <w:rFonts w:ascii="宋体" w:hAnsi="宋体"/>
                <w:color w:val="000000" w:themeColor="text1"/>
                <w:szCs w:val="21"/>
                <w:highlight w:val="none"/>
                <w14:textFill>
                  <w14:solidFill>
                    <w14:schemeClr w14:val="tx1"/>
                  </w14:solidFill>
                </w14:textFill>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7227D64F">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2954AD20">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0E1CD201">
            <w:pPr>
              <w:spacing w:line="500" w:lineRule="exact"/>
              <w:jc w:val="left"/>
              <w:rPr>
                <w:rFonts w:ascii="宋体" w:hAnsi="宋体"/>
                <w:color w:val="000000" w:themeColor="text1"/>
                <w:szCs w:val="21"/>
                <w:highlight w:val="none"/>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1C3ABECF">
            <w:pPr>
              <w:spacing w:line="500" w:lineRule="exact"/>
              <w:jc w:val="left"/>
              <w:rPr>
                <w:rFonts w:ascii="宋体" w:hAnsi="宋体"/>
                <w:color w:val="000000" w:themeColor="text1"/>
                <w:szCs w:val="21"/>
                <w:highlight w:val="none"/>
                <w14:textFill>
                  <w14:solidFill>
                    <w14:schemeClr w14:val="tx1"/>
                  </w14:solidFill>
                </w14:textFill>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4CA9FBA1">
            <w:pPr>
              <w:spacing w:line="500" w:lineRule="exact"/>
              <w:jc w:val="left"/>
              <w:rPr>
                <w:rFonts w:ascii="宋体" w:hAnsi="宋体"/>
                <w:color w:val="000000" w:themeColor="text1"/>
                <w:szCs w:val="21"/>
                <w:highlight w:val="none"/>
                <w14:textFill>
                  <w14:solidFill>
                    <w14:schemeClr w14:val="tx1"/>
                  </w14:solidFill>
                </w14:textFill>
              </w:rPr>
            </w:pPr>
          </w:p>
        </w:tc>
      </w:tr>
      <w:tr w14:paraId="4A2791C8">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155C697F">
            <w:pPr>
              <w:spacing w:line="500" w:lineRule="exact"/>
              <w:jc w:val="left"/>
              <w:rPr>
                <w:rFonts w:ascii="宋体" w:hAnsi="宋体"/>
                <w:color w:val="000000" w:themeColor="text1"/>
                <w:szCs w:val="21"/>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2D29B77F">
            <w:pPr>
              <w:spacing w:line="500" w:lineRule="exact"/>
              <w:jc w:val="left"/>
              <w:rPr>
                <w:rFonts w:ascii="宋体" w:hAnsi="宋体"/>
                <w:color w:val="000000" w:themeColor="text1"/>
                <w:szCs w:val="21"/>
                <w:highlight w:val="none"/>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5C4B8346">
            <w:pPr>
              <w:spacing w:line="500" w:lineRule="exact"/>
              <w:jc w:val="left"/>
              <w:rPr>
                <w:rFonts w:ascii="宋体" w:hAnsi="宋体"/>
                <w:color w:val="000000" w:themeColor="text1"/>
                <w:szCs w:val="21"/>
                <w:highlight w:val="none"/>
                <w14:textFill>
                  <w14:solidFill>
                    <w14:schemeClr w14:val="tx1"/>
                  </w14:solidFill>
                </w14:textFill>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78C1FE68">
            <w:pPr>
              <w:spacing w:line="500" w:lineRule="exact"/>
              <w:jc w:val="left"/>
              <w:rPr>
                <w:rFonts w:ascii="宋体" w:hAnsi="宋体"/>
                <w:color w:val="000000" w:themeColor="text1"/>
                <w:szCs w:val="21"/>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6327AAE2">
            <w:pPr>
              <w:spacing w:line="500" w:lineRule="exact"/>
              <w:jc w:val="left"/>
              <w:rPr>
                <w:rFonts w:ascii="宋体" w:hAnsi="宋体"/>
                <w:color w:val="000000" w:themeColor="text1"/>
                <w:szCs w:val="21"/>
                <w:highlight w:val="none"/>
                <w14:textFill>
                  <w14:solidFill>
                    <w14:schemeClr w14:val="tx1"/>
                  </w14:solidFill>
                </w14:textFill>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33DE0B93">
            <w:pPr>
              <w:spacing w:line="500" w:lineRule="exact"/>
              <w:jc w:val="left"/>
              <w:rPr>
                <w:rFonts w:ascii="宋体" w:hAnsi="宋体"/>
                <w:color w:val="000000" w:themeColor="text1"/>
                <w:szCs w:val="21"/>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6BB4049F">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7E94EA3E">
            <w:pPr>
              <w:spacing w:line="500" w:lineRule="exact"/>
              <w:jc w:val="left"/>
              <w:rPr>
                <w:rFonts w:ascii="宋体" w:hAnsi="宋体"/>
                <w:color w:val="000000" w:themeColor="text1"/>
                <w:szCs w:val="21"/>
                <w:highlight w:val="none"/>
                <w14:textFill>
                  <w14:solidFill>
                    <w14:schemeClr w14:val="tx1"/>
                  </w14:solidFill>
                </w14:textFill>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784AD194">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319BDFF0">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06633B7C">
            <w:pPr>
              <w:spacing w:line="500" w:lineRule="exact"/>
              <w:jc w:val="left"/>
              <w:rPr>
                <w:rFonts w:ascii="宋体" w:hAnsi="宋体"/>
                <w:color w:val="000000" w:themeColor="text1"/>
                <w:szCs w:val="21"/>
                <w:highlight w:val="none"/>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77BC0CA7">
            <w:pPr>
              <w:spacing w:line="500" w:lineRule="exact"/>
              <w:jc w:val="left"/>
              <w:rPr>
                <w:rFonts w:ascii="宋体" w:hAnsi="宋体"/>
                <w:color w:val="000000" w:themeColor="text1"/>
                <w:szCs w:val="21"/>
                <w:highlight w:val="none"/>
                <w14:textFill>
                  <w14:solidFill>
                    <w14:schemeClr w14:val="tx1"/>
                  </w14:solidFill>
                </w14:textFill>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16204FDA">
            <w:pPr>
              <w:spacing w:line="500" w:lineRule="exact"/>
              <w:jc w:val="left"/>
              <w:rPr>
                <w:rFonts w:ascii="宋体" w:hAnsi="宋体"/>
                <w:color w:val="000000" w:themeColor="text1"/>
                <w:szCs w:val="21"/>
                <w:highlight w:val="none"/>
                <w14:textFill>
                  <w14:solidFill>
                    <w14:schemeClr w14:val="tx1"/>
                  </w14:solidFill>
                </w14:textFill>
              </w:rPr>
            </w:pPr>
          </w:p>
        </w:tc>
      </w:tr>
      <w:tr w14:paraId="1AD86C1C">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555ADF79">
            <w:pPr>
              <w:spacing w:line="500" w:lineRule="exact"/>
              <w:jc w:val="left"/>
              <w:rPr>
                <w:rFonts w:ascii="宋体" w:hAnsi="宋体"/>
                <w:color w:val="000000" w:themeColor="text1"/>
                <w:szCs w:val="21"/>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2C3B07F0">
            <w:pPr>
              <w:spacing w:line="500" w:lineRule="exact"/>
              <w:jc w:val="left"/>
              <w:rPr>
                <w:rFonts w:ascii="宋体" w:hAnsi="宋体"/>
                <w:color w:val="000000" w:themeColor="text1"/>
                <w:szCs w:val="21"/>
                <w:highlight w:val="none"/>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2FC28815">
            <w:pPr>
              <w:spacing w:line="500" w:lineRule="exact"/>
              <w:jc w:val="left"/>
              <w:rPr>
                <w:rFonts w:ascii="宋体" w:hAnsi="宋体"/>
                <w:color w:val="000000" w:themeColor="text1"/>
                <w:szCs w:val="21"/>
                <w:highlight w:val="none"/>
                <w14:textFill>
                  <w14:solidFill>
                    <w14:schemeClr w14:val="tx1"/>
                  </w14:solidFill>
                </w14:textFill>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47E3C881">
            <w:pPr>
              <w:spacing w:line="500" w:lineRule="exact"/>
              <w:jc w:val="left"/>
              <w:rPr>
                <w:rFonts w:ascii="宋体" w:hAnsi="宋体"/>
                <w:color w:val="000000" w:themeColor="text1"/>
                <w:szCs w:val="21"/>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49BA4E8A">
            <w:pPr>
              <w:spacing w:line="500" w:lineRule="exact"/>
              <w:jc w:val="left"/>
              <w:rPr>
                <w:rFonts w:ascii="宋体" w:hAnsi="宋体"/>
                <w:color w:val="000000" w:themeColor="text1"/>
                <w:szCs w:val="21"/>
                <w:highlight w:val="none"/>
                <w14:textFill>
                  <w14:solidFill>
                    <w14:schemeClr w14:val="tx1"/>
                  </w14:solidFill>
                </w14:textFill>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073042F0">
            <w:pPr>
              <w:spacing w:line="500" w:lineRule="exact"/>
              <w:jc w:val="left"/>
              <w:rPr>
                <w:rFonts w:ascii="宋体" w:hAnsi="宋体"/>
                <w:color w:val="000000" w:themeColor="text1"/>
                <w:szCs w:val="21"/>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01256C70">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5C97CA96">
            <w:pPr>
              <w:spacing w:line="500" w:lineRule="exact"/>
              <w:jc w:val="left"/>
              <w:rPr>
                <w:rFonts w:ascii="宋体" w:hAnsi="宋体"/>
                <w:color w:val="000000" w:themeColor="text1"/>
                <w:szCs w:val="21"/>
                <w:highlight w:val="none"/>
                <w14:textFill>
                  <w14:solidFill>
                    <w14:schemeClr w14:val="tx1"/>
                  </w14:solidFill>
                </w14:textFill>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270D9973">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5D84D4FC">
            <w:pPr>
              <w:spacing w:line="500" w:lineRule="exact"/>
              <w:jc w:val="left"/>
              <w:rPr>
                <w:rFonts w:ascii="宋体" w:hAnsi="宋体"/>
                <w:color w:val="000000" w:themeColor="text1"/>
                <w:szCs w:val="21"/>
                <w:highlight w:val="none"/>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66312FC6">
            <w:pPr>
              <w:spacing w:line="500" w:lineRule="exact"/>
              <w:jc w:val="left"/>
              <w:rPr>
                <w:rFonts w:ascii="宋体" w:hAnsi="宋体"/>
                <w:color w:val="000000" w:themeColor="text1"/>
                <w:szCs w:val="21"/>
                <w:highlight w:val="none"/>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587CA2D3">
            <w:pPr>
              <w:spacing w:line="500" w:lineRule="exact"/>
              <w:jc w:val="left"/>
              <w:rPr>
                <w:rFonts w:ascii="宋体" w:hAnsi="宋体"/>
                <w:color w:val="000000" w:themeColor="text1"/>
                <w:szCs w:val="21"/>
                <w:highlight w:val="none"/>
                <w14:textFill>
                  <w14:solidFill>
                    <w14:schemeClr w14:val="tx1"/>
                  </w14:solidFill>
                </w14:textFill>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404C4A9F">
            <w:pPr>
              <w:spacing w:line="500" w:lineRule="exact"/>
              <w:jc w:val="left"/>
              <w:rPr>
                <w:rFonts w:ascii="宋体" w:hAnsi="宋体"/>
                <w:color w:val="000000" w:themeColor="text1"/>
                <w:szCs w:val="21"/>
                <w:highlight w:val="none"/>
                <w14:textFill>
                  <w14:solidFill>
                    <w14:schemeClr w14:val="tx1"/>
                  </w14:solidFill>
                </w14:textFill>
              </w:rPr>
            </w:pPr>
          </w:p>
        </w:tc>
      </w:tr>
      <w:tr w14:paraId="4F41ACC6">
        <w:tblPrEx>
          <w:tblCellMar>
            <w:top w:w="0" w:type="dxa"/>
            <w:left w:w="108" w:type="dxa"/>
            <w:bottom w:w="0" w:type="dxa"/>
            <w:right w:w="108" w:type="dxa"/>
          </w:tblCellMar>
        </w:tblPrEx>
        <w:tc>
          <w:tcPr>
            <w:tcW w:w="4339" w:type="dxa"/>
            <w:gridSpan w:val="6"/>
            <w:tcBorders>
              <w:top w:val="single" w:color="auto" w:sz="4" w:space="0"/>
              <w:left w:val="single" w:color="auto" w:sz="4" w:space="0"/>
              <w:bottom w:val="single" w:color="auto" w:sz="4" w:space="0"/>
              <w:right w:val="single" w:color="auto" w:sz="4" w:space="0"/>
            </w:tcBorders>
            <w:noWrap w:val="0"/>
            <w:vAlign w:val="center"/>
          </w:tcPr>
          <w:p w14:paraId="70639DEE">
            <w:pPr>
              <w:spacing w:line="500" w:lineRule="exac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招标人编制</w:t>
            </w:r>
            <w:r>
              <w:rPr>
                <w:rFonts w:hint="eastAsia" w:ascii="宋体" w:hAnsi="宋体"/>
                <w:color w:val="000000" w:themeColor="text1"/>
                <w:szCs w:val="21"/>
                <w:highlight w:val="none"/>
                <w14:textFill>
                  <w14:solidFill>
                    <w14:schemeClr w14:val="tx1"/>
                  </w14:solidFill>
                </w14:textFill>
              </w:rPr>
              <w:t>最高投标限价（单位：元）</w:t>
            </w:r>
          </w:p>
        </w:tc>
        <w:tc>
          <w:tcPr>
            <w:tcW w:w="4496" w:type="dxa"/>
            <w:gridSpan w:val="8"/>
            <w:tcBorders>
              <w:top w:val="single" w:color="auto" w:sz="4" w:space="0"/>
              <w:left w:val="single" w:color="auto" w:sz="4" w:space="0"/>
              <w:bottom w:val="single" w:color="auto" w:sz="4" w:space="0"/>
              <w:right w:val="single" w:color="auto" w:sz="4" w:space="0"/>
            </w:tcBorders>
            <w:noWrap w:val="0"/>
            <w:vAlign w:val="top"/>
          </w:tcPr>
          <w:p w14:paraId="12B228F8">
            <w:pPr>
              <w:spacing w:line="500" w:lineRule="exact"/>
              <w:jc w:val="left"/>
              <w:rPr>
                <w:rFonts w:ascii="宋体" w:hAnsi="宋体"/>
                <w:color w:val="000000" w:themeColor="text1"/>
                <w:szCs w:val="21"/>
                <w:highlight w:val="none"/>
                <w14:textFill>
                  <w14:solidFill>
                    <w14:schemeClr w14:val="tx1"/>
                  </w14:solidFill>
                </w14:textFill>
              </w:rPr>
            </w:pPr>
          </w:p>
        </w:tc>
      </w:tr>
    </w:tbl>
    <w:p w14:paraId="7E3002A5">
      <w:pPr>
        <w:spacing w:line="440" w:lineRule="exact"/>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招标人代表：</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记录人：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监标人：</w:t>
      </w:r>
      <w:r>
        <w:rPr>
          <w:rFonts w:hint="eastAsia"/>
          <w:color w:val="000000" w:themeColor="text1"/>
          <w:highlight w:val="none"/>
          <w:u w:val="single"/>
          <w14:textFill>
            <w14:solidFill>
              <w14:schemeClr w14:val="tx1"/>
            </w14:solidFill>
          </w14:textFill>
        </w:rPr>
        <w:t xml:space="preserve">            </w:t>
      </w:r>
      <w:r>
        <w:rPr>
          <w:color w:val="000000" w:themeColor="text1"/>
          <w:highlight w:val="none"/>
          <w:u w:val="single"/>
          <w14:textFill>
            <w14:solidFill>
              <w14:schemeClr w14:val="tx1"/>
            </w14:solidFill>
          </w14:textFill>
        </w:rPr>
        <w:t xml:space="preserve">     </w:t>
      </w:r>
    </w:p>
    <w:p w14:paraId="55DD5BB1">
      <w:pPr>
        <w:spacing w:line="440" w:lineRule="exact"/>
        <w:jc w:val="righ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月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441B55A4">
      <w:pPr>
        <w:spacing w:line="440" w:lineRule="exact"/>
        <w:jc w:val="left"/>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注：</w:t>
      </w:r>
      <w:r>
        <w:rPr>
          <w:rFonts w:hint="eastAsia" w:ascii="宋体" w:hAnsi="宋体" w:eastAsia="宋体" w:cs="宋体"/>
          <w:color w:val="000000" w:themeColor="text1"/>
          <w:highlight w:val="none"/>
          <w:u w:val="single"/>
          <w14:textFill>
            <w14:solidFill>
              <w14:schemeClr w14:val="tx1"/>
            </w14:solidFill>
          </w14:textFill>
        </w:rPr>
        <w:t>本表仅供参考，具体以</w:t>
      </w:r>
      <w:r>
        <w:rPr>
          <w:rFonts w:hint="eastAsia" w:ascii="宋体" w:hAnsi="宋体" w:eastAsia="宋体" w:cs="宋体"/>
          <w:color w:val="000000" w:themeColor="text1"/>
          <w:highlight w:val="none"/>
          <w:u w:val="single"/>
          <w:lang w:val="en-US" w:eastAsia="zh-CN"/>
          <w14:textFill>
            <w14:solidFill>
              <w14:schemeClr w14:val="tx1"/>
            </w14:solidFill>
          </w14:textFill>
        </w:rPr>
        <w:t>交易平台</w:t>
      </w:r>
      <w:r>
        <w:rPr>
          <w:rFonts w:hint="eastAsia" w:ascii="宋体" w:hAnsi="宋体" w:eastAsia="宋体" w:cs="宋体"/>
          <w:color w:val="000000" w:themeColor="text1"/>
          <w:highlight w:val="none"/>
          <w:u w:val="single"/>
          <w14:textFill>
            <w14:solidFill>
              <w14:schemeClr w14:val="tx1"/>
            </w14:solidFill>
          </w14:textFill>
        </w:rPr>
        <w:t>开标时的开标记录表为准。</w:t>
      </w:r>
    </w:p>
    <w:p w14:paraId="7D73A806">
      <w:pPr>
        <w:spacing w:line="360" w:lineRule="auto"/>
        <w:jc w:val="center"/>
        <w:rPr>
          <w:rFonts w:hint="eastAsia" w:ascii="宋体" w:hAnsi="宋体"/>
          <w:b/>
          <w:color w:val="000000" w:themeColor="text1"/>
          <w:sz w:val="32"/>
          <w:szCs w:val="32"/>
          <w:highlight w:val="none"/>
          <w14:textFill>
            <w14:solidFill>
              <w14:schemeClr w14:val="tx1"/>
            </w14:solidFill>
          </w14:textFill>
        </w:rPr>
      </w:pPr>
    </w:p>
    <w:p w14:paraId="49E46E86">
      <w:pPr>
        <w:pStyle w:val="90"/>
        <w:rPr>
          <w:rFonts w:hint="eastAsia" w:ascii="宋体" w:hAnsi="宋体"/>
          <w:b/>
          <w:color w:val="000000" w:themeColor="text1"/>
          <w:sz w:val="32"/>
          <w:szCs w:val="32"/>
          <w:highlight w:val="none"/>
          <w14:textFill>
            <w14:solidFill>
              <w14:schemeClr w14:val="tx1"/>
            </w14:solidFill>
          </w14:textFill>
        </w:rPr>
      </w:pPr>
    </w:p>
    <w:p w14:paraId="612C0A14">
      <w:pPr>
        <w:pStyle w:val="90"/>
        <w:rPr>
          <w:rFonts w:hint="eastAsia" w:ascii="宋体" w:hAnsi="宋体"/>
          <w:b/>
          <w:color w:val="000000" w:themeColor="text1"/>
          <w:sz w:val="32"/>
          <w:szCs w:val="32"/>
          <w:highlight w:val="none"/>
          <w14:textFill>
            <w14:solidFill>
              <w14:schemeClr w14:val="tx1"/>
            </w14:solidFill>
          </w14:textFill>
        </w:rPr>
      </w:pPr>
    </w:p>
    <w:p w14:paraId="74F11833">
      <w:pPr>
        <w:pStyle w:val="90"/>
        <w:rPr>
          <w:rFonts w:hint="eastAsia" w:ascii="宋体" w:hAnsi="宋体"/>
          <w:b/>
          <w:color w:val="000000" w:themeColor="text1"/>
          <w:sz w:val="32"/>
          <w:szCs w:val="32"/>
          <w:highlight w:val="none"/>
          <w14:textFill>
            <w14:solidFill>
              <w14:schemeClr w14:val="tx1"/>
            </w14:solidFill>
          </w14:textFill>
        </w:rPr>
      </w:pPr>
    </w:p>
    <w:p w14:paraId="5BD4B9F1">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抽取评标基准价的下浮率记录表</w:t>
      </w:r>
    </w:p>
    <w:p w14:paraId="66232D01">
      <w:pPr>
        <w:tabs>
          <w:tab w:val="left" w:pos="720"/>
        </w:tabs>
        <w:snapToGrid w:val="0"/>
        <w:spacing w:line="360" w:lineRule="auto"/>
        <w:jc w:val="center"/>
        <w:rPr>
          <w:rFonts w:ascii="宋体" w:hAnsi="宋体"/>
          <w:color w:val="000000" w:themeColor="text1"/>
          <w:sz w:val="24"/>
          <w:highlight w:val="none"/>
          <w14:textFill>
            <w14:solidFill>
              <w14:schemeClr w14:val="tx1"/>
            </w14:solidFill>
          </w14:textFill>
        </w:rPr>
      </w:pPr>
    </w:p>
    <w:p w14:paraId="3DF8207F">
      <w:pPr>
        <w:tabs>
          <w:tab w:val="left" w:pos="720"/>
        </w:tabs>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p w14:paraId="4CC26C47">
      <w:pPr>
        <w:tabs>
          <w:tab w:val="left" w:pos="720"/>
        </w:tabs>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开标地点：</w: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9"/>
        <w:gridCol w:w="1535"/>
        <w:gridCol w:w="1620"/>
        <w:gridCol w:w="4264"/>
      </w:tblGrid>
      <w:tr w14:paraId="53406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center"/>
          </w:tcPr>
          <w:p w14:paraId="7004A8F0">
            <w:pPr>
              <w:tabs>
                <w:tab w:val="left" w:pos="720"/>
              </w:tabs>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球号</w:t>
            </w:r>
          </w:p>
        </w:tc>
        <w:tc>
          <w:tcPr>
            <w:tcW w:w="1535" w:type="dxa"/>
            <w:noWrap w:val="0"/>
            <w:vAlign w:val="center"/>
          </w:tcPr>
          <w:p w14:paraId="733F16F8">
            <w:pPr>
              <w:tabs>
                <w:tab w:val="left" w:pos="720"/>
              </w:tabs>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代表下浮率（%）</w:t>
            </w:r>
          </w:p>
        </w:tc>
        <w:tc>
          <w:tcPr>
            <w:tcW w:w="1620" w:type="dxa"/>
            <w:noWrap w:val="0"/>
            <w:vAlign w:val="center"/>
          </w:tcPr>
          <w:p w14:paraId="3665DF69">
            <w:pPr>
              <w:tabs>
                <w:tab w:val="left" w:pos="720"/>
              </w:tabs>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摇出球号</w:t>
            </w:r>
          </w:p>
        </w:tc>
        <w:tc>
          <w:tcPr>
            <w:tcW w:w="4264" w:type="dxa"/>
            <w:noWrap w:val="0"/>
            <w:vAlign w:val="center"/>
          </w:tcPr>
          <w:p w14:paraId="358B7717">
            <w:pPr>
              <w:tabs>
                <w:tab w:val="left" w:pos="720"/>
              </w:tabs>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随机抽取的评标基准价的下浮率</w:t>
            </w:r>
          </w:p>
        </w:tc>
      </w:tr>
      <w:tr w14:paraId="6ADDD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14:paraId="0C10D67D">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1535" w:type="dxa"/>
            <w:noWrap w:val="0"/>
            <w:vAlign w:val="top"/>
          </w:tcPr>
          <w:p w14:paraId="5CB8A27F">
            <w:pPr>
              <w:tabs>
                <w:tab w:val="left" w:pos="720"/>
              </w:tabs>
              <w:snapToGrid w:val="0"/>
              <w:jc w:val="center"/>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w:t>
            </w:r>
          </w:p>
        </w:tc>
        <w:tc>
          <w:tcPr>
            <w:tcW w:w="1620" w:type="dxa"/>
            <w:vMerge w:val="restart"/>
            <w:noWrap w:val="0"/>
            <w:vAlign w:val="top"/>
          </w:tcPr>
          <w:p w14:paraId="5E6BAE95">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4264" w:type="dxa"/>
            <w:vMerge w:val="restart"/>
            <w:noWrap w:val="0"/>
            <w:vAlign w:val="top"/>
          </w:tcPr>
          <w:p w14:paraId="33DA7179">
            <w:pPr>
              <w:tabs>
                <w:tab w:val="left" w:pos="720"/>
              </w:tabs>
              <w:snapToGrid w:val="0"/>
              <w:jc w:val="center"/>
              <w:rPr>
                <w:rFonts w:ascii="宋体" w:hAnsi="宋体"/>
                <w:color w:val="000000" w:themeColor="text1"/>
                <w:sz w:val="24"/>
                <w:highlight w:val="none"/>
                <w14:textFill>
                  <w14:solidFill>
                    <w14:schemeClr w14:val="tx1"/>
                  </w14:solidFill>
                </w14:textFill>
              </w:rPr>
            </w:pPr>
          </w:p>
        </w:tc>
      </w:tr>
      <w:tr w14:paraId="698C1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14:paraId="54CBCFF1">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1535" w:type="dxa"/>
            <w:noWrap w:val="0"/>
            <w:vAlign w:val="top"/>
          </w:tcPr>
          <w:p w14:paraId="29F526CD">
            <w:pPr>
              <w:tabs>
                <w:tab w:val="left" w:pos="720"/>
              </w:tabs>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.5</w:t>
            </w:r>
          </w:p>
        </w:tc>
        <w:tc>
          <w:tcPr>
            <w:tcW w:w="1620" w:type="dxa"/>
            <w:vMerge w:val="continue"/>
            <w:noWrap w:val="0"/>
            <w:vAlign w:val="top"/>
          </w:tcPr>
          <w:p w14:paraId="09504FC3">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4264" w:type="dxa"/>
            <w:vMerge w:val="continue"/>
            <w:noWrap w:val="0"/>
            <w:vAlign w:val="top"/>
          </w:tcPr>
          <w:p w14:paraId="7AF63238">
            <w:pPr>
              <w:tabs>
                <w:tab w:val="left" w:pos="720"/>
              </w:tabs>
              <w:snapToGrid w:val="0"/>
              <w:jc w:val="center"/>
              <w:rPr>
                <w:rFonts w:ascii="宋体" w:hAnsi="宋体"/>
                <w:color w:val="000000" w:themeColor="text1"/>
                <w:sz w:val="24"/>
                <w:highlight w:val="none"/>
                <w14:textFill>
                  <w14:solidFill>
                    <w14:schemeClr w14:val="tx1"/>
                  </w14:solidFill>
                </w14:textFill>
              </w:rPr>
            </w:pPr>
          </w:p>
        </w:tc>
      </w:tr>
      <w:tr w14:paraId="577D9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14:paraId="75016852">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1535" w:type="dxa"/>
            <w:noWrap w:val="0"/>
            <w:vAlign w:val="top"/>
          </w:tcPr>
          <w:p w14:paraId="7225421A">
            <w:pPr>
              <w:tabs>
                <w:tab w:val="left" w:pos="720"/>
              </w:tabs>
              <w:snapToGrid w:val="0"/>
              <w:jc w:val="center"/>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3</w:t>
            </w:r>
          </w:p>
        </w:tc>
        <w:tc>
          <w:tcPr>
            <w:tcW w:w="1620" w:type="dxa"/>
            <w:vMerge w:val="continue"/>
            <w:noWrap w:val="0"/>
            <w:vAlign w:val="top"/>
          </w:tcPr>
          <w:p w14:paraId="3A53E85B">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4264" w:type="dxa"/>
            <w:vMerge w:val="continue"/>
            <w:noWrap w:val="0"/>
            <w:vAlign w:val="top"/>
          </w:tcPr>
          <w:p w14:paraId="27AB0C6D">
            <w:pPr>
              <w:tabs>
                <w:tab w:val="left" w:pos="720"/>
              </w:tabs>
              <w:snapToGrid w:val="0"/>
              <w:jc w:val="center"/>
              <w:rPr>
                <w:rFonts w:ascii="宋体" w:hAnsi="宋体"/>
                <w:color w:val="000000" w:themeColor="text1"/>
                <w:sz w:val="24"/>
                <w:highlight w:val="none"/>
                <w14:textFill>
                  <w14:solidFill>
                    <w14:schemeClr w14:val="tx1"/>
                  </w14:solidFill>
                </w14:textFill>
              </w:rPr>
            </w:pPr>
          </w:p>
        </w:tc>
      </w:tr>
      <w:tr w14:paraId="6D112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14:paraId="1015F6DB">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1535" w:type="dxa"/>
            <w:noWrap w:val="0"/>
            <w:vAlign w:val="top"/>
          </w:tcPr>
          <w:p w14:paraId="6B9E3C8C">
            <w:pPr>
              <w:tabs>
                <w:tab w:val="left" w:pos="720"/>
              </w:tabs>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.5</w:t>
            </w:r>
          </w:p>
        </w:tc>
        <w:tc>
          <w:tcPr>
            <w:tcW w:w="1620" w:type="dxa"/>
            <w:vMerge w:val="continue"/>
            <w:noWrap w:val="0"/>
            <w:vAlign w:val="top"/>
          </w:tcPr>
          <w:p w14:paraId="38FC9DCE">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4264" w:type="dxa"/>
            <w:vMerge w:val="continue"/>
            <w:noWrap w:val="0"/>
            <w:vAlign w:val="top"/>
          </w:tcPr>
          <w:p w14:paraId="456060E6">
            <w:pPr>
              <w:tabs>
                <w:tab w:val="left" w:pos="720"/>
              </w:tabs>
              <w:snapToGrid w:val="0"/>
              <w:jc w:val="center"/>
              <w:rPr>
                <w:rFonts w:ascii="宋体" w:hAnsi="宋体"/>
                <w:color w:val="000000" w:themeColor="text1"/>
                <w:sz w:val="24"/>
                <w:highlight w:val="none"/>
                <w14:textFill>
                  <w14:solidFill>
                    <w14:schemeClr w14:val="tx1"/>
                  </w14:solidFill>
                </w14:textFill>
              </w:rPr>
            </w:pPr>
          </w:p>
        </w:tc>
      </w:tr>
      <w:tr w14:paraId="24374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14:paraId="68BBAF09">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1535" w:type="dxa"/>
            <w:noWrap w:val="0"/>
            <w:vAlign w:val="top"/>
          </w:tcPr>
          <w:p w14:paraId="3BD50FBA">
            <w:pPr>
              <w:tabs>
                <w:tab w:val="left" w:pos="720"/>
              </w:tabs>
              <w:snapToGrid w:val="0"/>
              <w:jc w:val="center"/>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4</w:t>
            </w:r>
          </w:p>
        </w:tc>
        <w:tc>
          <w:tcPr>
            <w:tcW w:w="1620" w:type="dxa"/>
            <w:vMerge w:val="continue"/>
            <w:noWrap w:val="0"/>
            <w:vAlign w:val="top"/>
          </w:tcPr>
          <w:p w14:paraId="72C04E1E">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4264" w:type="dxa"/>
            <w:vMerge w:val="continue"/>
            <w:noWrap w:val="0"/>
            <w:vAlign w:val="top"/>
          </w:tcPr>
          <w:p w14:paraId="759663F7">
            <w:pPr>
              <w:tabs>
                <w:tab w:val="left" w:pos="720"/>
              </w:tabs>
              <w:snapToGrid w:val="0"/>
              <w:jc w:val="center"/>
              <w:rPr>
                <w:rFonts w:ascii="宋体" w:hAnsi="宋体"/>
                <w:color w:val="000000" w:themeColor="text1"/>
                <w:sz w:val="24"/>
                <w:highlight w:val="none"/>
                <w14:textFill>
                  <w14:solidFill>
                    <w14:schemeClr w14:val="tx1"/>
                  </w14:solidFill>
                </w14:textFill>
              </w:rPr>
            </w:pPr>
          </w:p>
        </w:tc>
      </w:tr>
      <w:tr w14:paraId="5FFA3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14:paraId="00A9EBDF">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1535" w:type="dxa"/>
            <w:noWrap w:val="0"/>
            <w:vAlign w:val="top"/>
          </w:tcPr>
          <w:p w14:paraId="62666E9F">
            <w:pPr>
              <w:tabs>
                <w:tab w:val="left" w:pos="720"/>
              </w:tabs>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.5</w:t>
            </w:r>
          </w:p>
        </w:tc>
        <w:tc>
          <w:tcPr>
            <w:tcW w:w="1620" w:type="dxa"/>
            <w:vMerge w:val="continue"/>
            <w:noWrap w:val="0"/>
            <w:vAlign w:val="top"/>
          </w:tcPr>
          <w:p w14:paraId="0A067C34">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4264" w:type="dxa"/>
            <w:vMerge w:val="continue"/>
            <w:noWrap w:val="0"/>
            <w:vAlign w:val="top"/>
          </w:tcPr>
          <w:p w14:paraId="22FCC1FA">
            <w:pPr>
              <w:tabs>
                <w:tab w:val="left" w:pos="720"/>
              </w:tabs>
              <w:snapToGrid w:val="0"/>
              <w:jc w:val="center"/>
              <w:rPr>
                <w:rFonts w:ascii="宋体" w:hAnsi="宋体"/>
                <w:color w:val="000000" w:themeColor="text1"/>
                <w:sz w:val="24"/>
                <w:highlight w:val="none"/>
                <w14:textFill>
                  <w14:solidFill>
                    <w14:schemeClr w14:val="tx1"/>
                  </w14:solidFill>
                </w14:textFill>
              </w:rPr>
            </w:pPr>
          </w:p>
        </w:tc>
      </w:tr>
      <w:tr w14:paraId="2A613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9" w:type="dxa"/>
            <w:noWrap w:val="0"/>
            <w:vAlign w:val="top"/>
          </w:tcPr>
          <w:p w14:paraId="34F21BD2">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1535" w:type="dxa"/>
            <w:noWrap w:val="0"/>
            <w:vAlign w:val="top"/>
          </w:tcPr>
          <w:p w14:paraId="03DAAF5E">
            <w:pPr>
              <w:tabs>
                <w:tab w:val="left" w:pos="720"/>
              </w:tabs>
              <w:snapToGrid w:val="0"/>
              <w:jc w:val="center"/>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5</w:t>
            </w:r>
          </w:p>
        </w:tc>
        <w:tc>
          <w:tcPr>
            <w:tcW w:w="1620" w:type="dxa"/>
            <w:vMerge w:val="continue"/>
            <w:noWrap w:val="0"/>
            <w:vAlign w:val="top"/>
          </w:tcPr>
          <w:p w14:paraId="479338BF">
            <w:pPr>
              <w:tabs>
                <w:tab w:val="left" w:pos="720"/>
              </w:tabs>
              <w:snapToGrid w:val="0"/>
              <w:jc w:val="center"/>
              <w:rPr>
                <w:rFonts w:ascii="宋体" w:hAnsi="宋体"/>
                <w:color w:val="000000" w:themeColor="text1"/>
                <w:sz w:val="24"/>
                <w:highlight w:val="none"/>
                <w14:textFill>
                  <w14:solidFill>
                    <w14:schemeClr w14:val="tx1"/>
                  </w14:solidFill>
                </w14:textFill>
              </w:rPr>
            </w:pPr>
          </w:p>
        </w:tc>
        <w:tc>
          <w:tcPr>
            <w:tcW w:w="4264" w:type="dxa"/>
            <w:vMerge w:val="continue"/>
            <w:noWrap w:val="0"/>
            <w:vAlign w:val="top"/>
          </w:tcPr>
          <w:p w14:paraId="663F12A1">
            <w:pPr>
              <w:tabs>
                <w:tab w:val="left" w:pos="720"/>
              </w:tabs>
              <w:snapToGrid w:val="0"/>
              <w:jc w:val="center"/>
              <w:rPr>
                <w:rFonts w:ascii="宋体" w:hAnsi="宋体"/>
                <w:color w:val="000000" w:themeColor="text1"/>
                <w:sz w:val="24"/>
                <w:highlight w:val="none"/>
                <w14:textFill>
                  <w14:solidFill>
                    <w14:schemeClr w14:val="tx1"/>
                  </w14:solidFill>
                </w14:textFill>
              </w:rPr>
            </w:pPr>
          </w:p>
        </w:tc>
      </w:tr>
    </w:tbl>
    <w:p w14:paraId="30BCC283">
      <w:pPr>
        <w:snapToGrid w:val="0"/>
        <w:spacing w:line="440" w:lineRule="exact"/>
        <w:ind w:firstLine="0" w:firstLineChars="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注：1、公开摇取评标基准价下浮率（下浮率取值范围在</w:t>
      </w:r>
      <w:r>
        <w:rPr>
          <w:rFonts w:hint="eastAsia" w:ascii="宋体" w:hAnsi="宋体"/>
          <w:b/>
          <w:color w:val="000000" w:themeColor="text1"/>
          <w:szCs w:val="21"/>
          <w:highlight w:val="none"/>
          <w:lang w:val="en-US" w:eastAsia="zh-CN"/>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lang w:val="en-US" w:eastAsia="zh-CN"/>
          <w14:textFill>
            <w14:solidFill>
              <w14:schemeClr w14:val="tx1"/>
            </w14:solidFill>
          </w14:textFill>
        </w:rPr>
        <w:t>5</w:t>
      </w:r>
      <w:r>
        <w:rPr>
          <w:rFonts w:hint="eastAsia" w:ascii="宋体" w:hAnsi="宋体"/>
          <w:b/>
          <w:color w:val="000000" w:themeColor="text1"/>
          <w:szCs w:val="21"/>
          <w:highlight w:val="none"/>
          <w14:textFill>
            <w14:solidFill>
              <w14:schemeClr w14:val="tx1"/>
            </w14:solidFill>
          </w14:textFill>
        </w:rPr>
        <w:t>%，按0.5%设定级差）。</w:t>
      </w:r>
    </w:p>
    <w:p w14:paraId="7298F5E0">
      <w:pPr>
        <w:snapToGrid w:val="0"/>
        <w:spacing w:line="44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2、采用线上抽取方式：在广州交易集团有限公司（广州公共资源交易中心）系统的号牌列表中(0.0</w:t>
      </w:r>
      <w:r>
        <w:rPr>
          <w:rFonts w:hint="eastAsia" w:ascii="宋体" w:hAnsi="宋体"/>
          <w:b/>
          <w:color w:val="000000" w:themeColor="text1"/>
          <w:szCs w:val="21"/>
          <w:highlight w:val="none"/>
          <w:lang w:val="en-US" w:eastAsia="zh-CN"/>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0、0.0</w:t>
      </w:r>
      <w:r>
        <w:rPr>
          <w:rFonts w:hint="eastAsia" w:ascii="宋体" w:hAnsi="宋体"/>
          <w:b/>
          <w:color w:val="000000" w:themeColor="text1"/>
          <w:szCs w:val="21"/>
          <w:highlight w:val="none"/>
          <w:lang w:val="en-US" w:eastAsia="zh-CN"/>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5、0.0</w:t>
      </w:r>
      <w:r>
        <w:rPr>
          <w:rFonts w:hint="eastAsia" w:ascii="宋体" w:hAnsi="宋体"/>
          <w:b/>
          <w:color w:val="000000" w:themeColor="text1"/>
          <w:szCs w:val="21"/>
          <w:highlight w:val="none"/>
          <w:lang w:val="en-US" w:eastAsia="zh-CN"/>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0、0.0</w:t>
      </w:r>
      <w:r>
        <w:rPr>
          <w:rFonts w:hint="eastAsia" w:ascii="宋体" w:hAnsi="宋体"/>
          <w:b/>
          <w:color w:val="000000" w:themeColor="text1"/>
          <w:szCs w:val="21"/>
          <w:highlight w:val="none"/>
          <w:lang w:val="en-US" w:eastAsia="zh-CN"/>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5、0.0</w:t>
      </w:r>
      <w:r>
        <w:rPr>
          <w:rFonts w:hint="eastAsia" w:ascii="宋体" w:hAnsi="宋体"/>
          <w:b/>
          <w:color w:val="000000" w:themeColor="text1"/>
          <w:szCs w:val="21"/>
          <w:highlight w:val="none"/>
          <w:lang w:val="en-US" w:eastAsia="zh-CN"/>
          <w14:textFill>
            <w14:solidFill>
              <w14:schemeClr w14:val="tx1"/>
            </w14:solidFill>
          </w14:textFill>
        </w:rPr>
        <w:t>4</w:t>
      </w:r>
      <w:r>
        <w:rPr>
          <w:rFonts w:hint="eastAsia" w:ascii="宋体" w:hAnsi="宋体"/>
          <w:b/>
          <w:color w:val="000000" w:themeColor="text1"/>
          <w:szCs w:val="21"/>
          <w:highlight w:val="none"/>
          <w14:textFill>
            <w14:solidFill>
              <w14:schemeClr w14:val="tx1"/>
            </w14:solidFill>
          </w14:textFill>
        </w:rPr>
        <w:t>0、0.0</w:t>
      </w:r>
      <w:r>
        <w:rPr>
          <w:rFonts w:hint="eastAsia" w:ascii="宋体" w:hAnsi="宋体"/>
          <w:b/>
          <w:color w:val="000000" w:themeColor="text1"/>
          <w:szCs w:val="21"/>
          <w:highlight w:val="none"/>
          <w:lang w:val="en-US" w:eastAsia="zh-CN"/>
          <w14:textFill>
            <w14:solidFill>
              <w14:schemeClr w14:val="tx1"/>
            </w14:solidFill>
          </w14:textFill>
        </w:rPr>
        <w:t>4</w:t>
      </w:r>
      <w:r>
        <w:rPr>
          <w:rFonts w:hint="eastAsia" w:ascii="宋体" w:hAnsi="宋体"/>
          <w:b/>
          <w:color w:val="000000" w:themeColor="text1"/>
          <w:szCs w:val="21"/>
          <w:highlight w:val="none"/>
          <w14:textFill>
            <w14:solidFill>
              <w14:schemeClr w14:val="tx1"/>
            </w14:solidFill>
          </w14:textFill>
        </w:rPr>
        <w:t>5、0.0</w:t>
      </w:r>
      <w:r>
        <w:rPr>
          <w:rFonts w:hint="eastAsia" w:ascii="宋体" w:hAnsi="宋体"/>
          <w:b/>
          <w:color w:val="000000" w:themeColor="text1"/>
          <w:szCs w:val="21"/>
          <w:highlight w:val="none"/>
          <w:lang w:val="en-US" w:eastAsia="zh-CN"/>
          <w14:textFill>
            <w14:solidFill>
              <w14:schemeClr w14:val="tx1"/>
            </w14:solidFill>
          </w14:textFill>
        </w:rPr>
        <w:t>5</w:t>
      </w:r>
      <w:r>
        <w:rPr>
          <w:rFonts w:hint="eastAsia" w:ascii="宋体" w:hAnsi="宋体"/>
          <w:b/>
          <w:color w:val="000000" w:themeColor="text1"/>
          <w:szCs w:val="21"/>
          <w:highlight w:val="none"/>
          <w14:textFill>
            <w14:solidFill>
              <w14:schemeClr w14:val="tx1"/>
            </w14:solidFill>
          </w14:textFill>
        </w:rPr>
        <w:t>0)，通过随机抽取方式确定下浮率。</w:t>
      </w:r>
    </w:p>
    <w:p w14:paraId="56C0ED93">
      <w:pPr>
        <w:snapToGrid w:val="0"/>
        <w:spacing w:line="44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采用线下抽取评标基准价下浮率的，球号根据广州交易集团有限公司（广州公共资源交易中心）提供号球填写，如提供的球为1、2、3、4、5、6、7，则球号列按从小到大的顺序对应填写1、2、3、4、5、6、7；如提供的球号</w:t>
      </w:r>
      <w:r>
        <w:rPr>
          <w:rFonts w:hint="eastAsia" w:ascii="宋体" w:hAnsi="宋体"/>
          <w:b/>
          <w:color w:val="000000" w:themeColor="text1"/>
          <w:szCs w:val="21"/>
          <w:highlight w:val="none"/>
          <w:lang w:val="en-US" w:eastAsia="zh-CN"/>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lang w:val="en-US" w:eastAsia="zh-CN"/>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.5、</w:t>
      </w:r>
      <w:r>
        <w:rPr>
          <w:rFonts w:hint="eastAsia" w:ascii="宋体" w:hAnsi="宋体"/>
          <w:b/>
          <w:color w:val="000000" w:themeColor="text1"/>
          <w:szCs w:val="21"/>
          <w:highlight w:val="none"/>
          <w:lang w:val="en-US" w:eastAsia="zh-CN"/>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lang w:val="en-US" w:eastAsia="zh-CN"/>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.5、</w:t>
      </w:r>
      <w:r>
        <w:rPr>
          <w:rFonts w:hint="eastAsia" w:ascii="宋体" w:hAnsi="宋体"/>
          <w:b/>
          <w:color w:val="000000" w:themeColor="text1"/>
          <w:szCs w:val="21"/>
          <w:highlight w:val="none"/>
          <w:lang w:val="en-US" w:eastAsia="zh-CN"/>
          <w14:textFill>
            <w14:solidFill>
              <w14:schemeClr w14:val="tx1"/>
            </w14:solidFill>
          </w14:textFill>
        </w:rPr>
        <w:t>4</w:t>
      </w:r>
      <w:r>
        <w:rPr>
          <w:rFonts w:hint="eastAsia"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lang w:val="en-US" w:eastAsia="zh-CN"/>
          <w14:textFill>
            <w14:solidFill>
              <w14:schemeClr w14:val="tx1"/>
            </w14:solidFill>
          </w14:textFill>
        </w:rPr>
        <w:t>4</w:t>
      </w:r>
      <w:r>
        <w:rPr>
          <w:rFonts w:hint="eastAsia" w:ascii="宋体" w:hAnsi="宋体"/>
          <w:b/>
          <w:color w:val="000000" w:themeColor="text1"/>
          <w:szCs w:val="21"/>
          <w:highlight w:val="none"/>
          <w14:textFill>
            <w14:solidFill>
              <w14:schemeClr w14:val="tx1"/>
            </w14:solidFill>
          </w14:textFill>
        </w:rPr>
        <w:t>.5、</w:t>
      </w:r>
      <w:r>
        <w:rPr>
          <w:rFonts w:hint="eastAsia" w:ascii="宋体" w:hAnsi="宋体"/>
          <w:b/>
          <w:color w:val="000000" w:themeColor="text1"/>
          <w:szCs w:val="21"/>
          <w:highlight w:val="none"/>
          <w:lang w:val="en-US" w:eastAsia="zh-CN"/>
          <w14:textFill>
            <w14:solidFill>
              <w14:schemeClr w14:val="tx1"/>
            </w14:solidFill>
          </w14:textFill>
        </w:rPr>
        <w:t>5</w:t>
      </w:r>
      <w:r>
        <w:rPr>
          <w:rFonts w:hint="eastAsia" w:ascii="宋体" w:hAnsi="宋体"/>
          <w:b/>
          <w:color w:val="000000" w:themeColor="text1"/>
          <w:szCs w:val="21"/>
          <w:highlight w:val="none"/>
          <w14:textFill>
            <w14:solidFill>
              <w14:schemeClr w14:val="tx1"/>
            </w14:solidFill>
          </w14:textFill>
        </w:rPr>
        <w:t>，则球号列对应填写</w:t>
      </w:r>
      <w:r>
        <w:rPr>
          <w:rFonts w:hint="eastAsia" w:ascii="宋体" w:hAnsi="宋体"/>
          <w:b/>
          <w:color w:val="000000" w:themeColor="text1"/>
          <w:szCs w:val="21"/>
          <w:highlight w:val="none"/>
          <w:lang w:val="en-US" w:eastAsia="zh-CN"/>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lang w:val="en-US" w:eastAsia="zh-CN"/>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.5、</w:t>
      </w:r>
      <w:r>
        <w:rPr>
          <w:rFonts w:hint="eastAsia" w:ascii="宋体" w:hAnsi="宋体"/>
          <w:b/>
          <w:color w:val="000000" w:themeColor="text1"/>
          <w:szCs w:val="21"/>
          <w:highlight w:val="none"/>
          <w:lang w:val="en-US" w:eastAsia="zh-CN"/>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lang w:val="en-US" w:eastAsia="zh-CN"/>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.5、</w:t>
      </w:r>
      <w:r>
        <w:rPr>
          <w:rFonts w:hint="eastAsia" w:ascii="宋体" w:hAnsi="宋体"/>
          <w:b/>
          <w:color w:val="000000" w:themeColor="text1"/>
          <w:szCs w:val="21"/>
          <w:highlight w:val="none"/>
          <w:lang w:val="en-US" w:eastAsia="zh-CN"/>
          <w14:textFill>
            <w14:solidFill>
              <w14:schemeClr w14:val="tx1"/>
            </w14:solidFill>
          </w14:textFill>
        </w:rPr>
        <w:t>4</w:t>
      </w:r>
      <w:r>
        <w:rPr>
          <w:rFonts w:hint="eastAsia"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lang w:val="en-US" w:eastAsia="zh-CN"/>
          <w14:textFill>
            <w14:solidFill>
              <w14:schemeClr w14:val="tx1"/>
            </w14:solidFill>
          </w14:textFill>
        </w:rPr>
        <w:t>4</w:t>
      </w:r>
      <w:r>
        <w:rPr>
          <w:rFonts w:hint="eastAsia" w:ascii="宋体" w:hAnsi="宋体"/>
          <w:b/>
          <w:color w:val="000000" w:themeColor="text1"/>
          <w:szCs w:val="21"/>
          <w:highlight w:val="none"/>
          <w14:textFill>
            <w14:solidFill>
              <w14:schemeClr w14:val="tx1"/>
            </w14:solidFill>
          </w14:textFill>
        </w:rPr>
        <w:t>.5、</w:t>
      </w:r>
      <w:r>
        <w:rPr>
          <w:rFonts w:hint="eastAsia" w:ascii="宋体" w:hAnsi="宋体"/>
          <w:b/>
          <w:color w:val="000000" w:themeColor="text1"/>
          <w:szCs w:val="21"/>
          <w:highlight w:val="none"/>
          <w:lang w:val="en-US" w:eastAsia="zh-CN"/>
          <w14:textFill>
            <w14:solidFill>
              <w14:schemeClr w14:val="tx1"/>
            </w14:solidFill>
          </w14:textFill>
        </w:rPr>
        <w:t>5</w:t>
      </w:r>
      <w:r>
        <w:rPr>
          <w:rFonts w:hint="eastAsia" w:ascii="宋体" w:hAnsi="宋体"/>
          <w:b/>
          <w:color w:val="000000" w:themeColor="text1"/>
          <w:szCs w:val="21"/>
          <w:highlight w:val="none"/>
          <w14:textFill>
            <w14:solidFill>
              <w14:schemeClr w14:val="tx1"/>
            </w14:solidFill>
          </w14:textFill>
        </w:rPr>
        <w:t>。</w:t>
      </w:r>
    </w:p>
    <w:p w14:paraId="5B99642B">
      <w:pPr>
        <w:spacing w:line="440" w:lineRule="exact"/>
        <w:rPr>
          <w:rFonts w:ascii="宋体" w:hAnsi="宋体"/>
          <w:color w:val="000000" w:themeColor="text1"/>
          <w:szCs w:val="21"/>
          <w:highlight w:val="none"/>
          <w14:textFill>
            <w14:solidFill>
              <w14:schemeClr w14:val="tx1"/>
            </w14:solidFill>
          </w14:textFill>
        </w:rPr>
      </w:pPr>
    </w:p>
    <w:p w14:paraId="36D47111">
      <w:pPr>
        <w:pStyle w:val="15"/>
        <w:rPr>
          <w:rFonts w:hint="default" w:eastAsia="宋体"/>
          <w:color w:val="000000" w:themeColor="text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招标人：</w:t>
      </w:r>
    </w:p>
    <w:p w14:paraId="0E1F16F6">
      <w:pPr>
        <w:spacing w:line="440" w:lineRule="exact"/>
        <w:rPr>
          <w:rFonts w:hint="eastAsia" w:ascii="宋体" w:hAnsi="宋体"/>
          <w:color w:val="000000" w:themeColor="text1"/>
          <w:szCs w:val="21"/>
          <w:highlight w:val="none"/>
          <w14:textFill>
            <w14:solidFill>
              <w14:schemeClr w14:val="tx1"/>
            </w14:solidFill>
          </w14:textFill>
        </w:rPr>
      </w:pPr>
    </w:p>
    <w:p w14:paraId="772F975A">
      <w:pPr>
        <w:spacing w:line="4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监标人：             </w:t>
      </w:r>
    </w:p>
    <w:p w14:paraId="4274DB71">
      <w:pPr>
        <w:spacing w:line="440" w:lineRule="exact"/>
        <w:rPr>
          <w:rFonts w:ascii="宋体" w:hAnsi="宋体"/>
          <w:color w:val="000000" w:themeColor="text1"/>
          <w:szCs w:val="21"/>
          <w:highlight w:val="none"/>
          <w14:textFill>
            <w14:solidFill>
              <w14:schemeClr w14:val="tx1"/>
            </w14:solidFill>
          </w14:textFill>
        </w:rPr>
      </w:pPr>
    </w:p>
    <w:p w14:paraId="10B584A4">
      <w:pPr>
        <w:spacing w:line="4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招标代理记录人：              </w:t>
      </w:r>
    </w:p>
    <w:p w14:paraId="358D699E">
      <w:pPr>
        <w:spacing w:line="440" w:lineRule="exact"/>
        <w:rPr>
          <w:rFonts w:ascii="宋体" w:hAnsi="宋体"/>
          <w:color w:val="000000" w:themeColor="text1"/>
          <w:szCs w:val="21"/>
          <w:highlight w:val="none"/>
          <w14:textFill>
            <w14:solidFill>
              <w14:schemeClr w14:val="tx1"/>
            </w14:solidFill>
          </w14:textFill>
        </w:rPr>
      </w:pPr>
    </w:p>
    <w:p w14:paraId="53F017A6">
      <w:pPr>
        <w:spacing w:line="4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招标代理唱标人:               </w:t>
      </w:r>
    </w:p>
    <w:p w14:paraId="3BD9516F">
      <w:pPr>
        <w:spacing w:line="440" w:lineRule="exact"/>
        <w:rPr>
          <w:rFonts w:ascii="宋体" w:hAnsi="宋体"/>
          <w:color w:val="000000" w:themeColor="text1"/>
          <w:szCs w:val="21"/>
          <w:highlight w:val="none"/>
          <w14:textFill>
            <w14:solidFill>
              <w14:schemeClr w14:val="tx1"/>
            </w14:solidFill>
          </w14:textFill>
        </w:rPr>
      </w:pPr>
    </w:p>
    <w:p w14:paraId="750BB137">
      <w:pPr>
        <w:spacing w:line="4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见证人:              </w:t>
      </w:r>
    </w:p>
    <w:p w14:paraId="70C06DBD">
      <w:pPr>
        <w:spacing w:line="440" w:lineRule="exact"/>
        <w:rPr>
          <w:rFonts w:ascii="宋体" w:hAnsi="宋体"/>
          <w:color w:val="000000" w:themeColor="text1"/>
          <w:szCs w:val="21"/>
          <w:highlight w:val="none"/>
          <w14:textFill>
            <w14:solidFill>
              <w14:schemeClr w14:val="tx1"/>
            </w14:solidFill>
          </w14:textFill>
        </w:rPr>
      </w:pPr>
    </w:p>
    <w:p w14:paraId="785624E8">
      <w:pPr>
        <w:spacing w:line="440" w:lineRule="exact"/>
        <w:rPr>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日期:     年  月  日</w:t>
      </w:r>
      <w:r>
        <w:rPr>
          <w:color w:val="000000" w:themeColor="text1"/>
          <w:highlight w:val="none"/>
          <w14:textFill>
            <w14:solidFill>
              <w14:schemeClr w14:val="tx1"/>
            </w14:solidFill>
          </w14:textFill>
        </w:rPr>
        <w:br w:type="page"/>
      </w:r>
    </w:p>
    <w:p w14:paraId="2EE97D8E">
      <w:pPr>
        <w:spacing w:line="360" w:lineRule="auto"/>
        <w:jc w:val="left"/>
        <w:outlineLvl w:val="2"/>
        <w:rPr>
          <w:rFonts w:ascii="黑体" w:hAnsi="黑体" w:eastAsia="黑体"/>
          <w:color w:val="000000" w:themeColor="text1"/>
          <w:sz w:val="28"/>
          <w:szCs w:val="27"/>
          <w:highlight w:val="none"/>
          <w14:textFill>
            <w14:solidFill>
              <w14:schemeClr w14:val="tx1"/>
            </w14:solidFill>
          </w14:textFill>
        </w:rPr>
      </w:pPr>
      <w:bookmarkStart w:id="285" w:name="_Toc24111"/>
      <w:bookmarkStart w:id="286" w:name="_Toc17556879"/>
      <w:bookmarkStart w:id="287" w:name="_Toc17454925"/>
      <w:bookmarkStart w:id="288" w:name="_Toc30308"/>
      <w:bookmarkStart w:id="289" w:name="_Toc246996968"/>
      <w:bookmarkStart w:id="290" w:name="_Toc17451104"/>
      <w:bookmarkStart w:id="291" w:name="_Toc152045582"/>
      <w:bookmarkStart w:id="292" w:name="_Toc152042359"/>
      <w:bookmarkStart w:id="293" w:name="_Toc247085740"/>
      <w:bookmarkStart w:id="294" w:name="_Toc17454874"/>
      <w:bookmarkStart w:id="295" w:name="_Toc17451581"/>
      <w:bookmarkStart w:id="296" w:name="_Toc17452667"/>
      <w:bookmarkStart w:id="297" w:name="_Toc30990"/>
      <w:bookmarkStart w:id="298" w:name="_Toc14111"/>
      <w:bookmarkStart w:id="299" w:name="_Toc246996225"/>
      <w:bookmarkStart w:id="300" w:name="_Toc144974549"/>
      <w:bookmarkStart w:id="301" w:name="_Toc17451626"/>
      <w:bookmarkStart w:id="302" w:name="_Toc332641307"/>
      <w:bookmarkStart w:id="303" w:name="_Toc179632600"/>
      <w:r>
        <w:rPr>
          <w:rFonts w:ascii="黑体" w:hAnsi="黑体" w:eastAsia="黑体"/>
          <w:color w:val="000000" w:themeColor="text1"/>
          <w:sz w:val="28"/>
          <w:szCs w:val="27"/>
          <w:highlight w:val="none"/>
          <w14:textFill>
            <w14:solidFill>
              <w14:schemeClr w14:val="tx1"/>
            </w14:solidFill>
          </w14:textFill>
        </w:rPr>
        <w:t>附</w:t>
      </w:r>
      <w:r>
        <w:rPr>
          <w:rFonts w:hint="eastAsia" w:ascii="黑体" w:hAnsi="黑体" w:eastAsia="黑体"/>
          <w:color w:val="000000" w:themeColor="text1"/>
          <w:sz w:val="28"/>
          <w:szCs w:val="27"/>
          <w:highlight w:val="none"/>
          <w14:textFill>
            <w14:solidFill>
              <w14:schemeClr w14:val="tx1"/>
            </w14:solidFill>
          </w14:textFill>
        </w:rPr>
        <w:t>件</w:t>
      </w:r>
      <w:r>
        <w:rPr>
          <w:rFonts w:ascii="黑体" w:hAnsi="黑体" w:eastAsia="黑体"/>
          <w:color w:val="000000" w:themeColor="text1"/>
          <w:sz w:val="28"/>
          <w:szCs w:val="27"/>
          <w:highlight w:val="none"/>
          <w14:textFill>
            <w14:solidFill>
              <w14:schemeClr w14:val="tx1"/>
            </w14:solidFill>
          </w14:textFill>
        </w:rPr>
        <w:t>二：问题澄清通知</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5CDC4C42">
      <w:pPr>
        <w:pStyle w:val="15"/>
        <w:rPr>
          <w:rFonts w:ascii="黑体" w:hAnsi="黑体" w:eastAsia="黑体"/>
          <w:color w:val="000000" w:themeColor="text1"/>
          <w:sz w:val="28"/>
          <w:szCs w:val="27"/>
          <w:highlight w:val="none"/>
          <w14:textFill>
            <w14:solidFill>
              <w14:schemeClr w14:val="tx1"/>
            </w14:solidFill>
          </w14:textFill>
        </w:rPr>
      </w:pPr>
    </w:p>
    <w:p w14:paraId="16C10D5B">
      <w:pPr>
        <w:spacing w:line="360" w:lineRule="auto"/>
        <w:ind w:firstLine="0" w:firstLineChars="0"/>
        <w:jc w:val="left"/>
        <w:outlineLvl w:val="2"/>
        <w:rPr>
          <w:rFonts w:ascii="宋体" w:hAnsi="宋体"/>
          <w:color w:val="000000" w:themeColor="text1"/>
          <w:sz w:val="24"/>
          <w:szCs w:val="24"/>
          <w:highlight w:val="none"/>
          <w14:textFill>
            <w14:solidFill>
              <w14:schemeClr w14:val="tx1"/>
            </w14:solidFill>
          </w14:textFill>
        </w:rPr>
      </w:pPr>
      <w:r>
        <w:rPr>
          <w:rFonts w:hint="eastAsia"/>
          <w:color w:val="000000" w:themeColor="text1"/>
          <w:sz w:val="24"/>
          <w:szCs w:val="21"/>
          <w:highlight w:val="none"/>
          <w:u w:val="single"/>
          <w14:textFill>
            <w14:solidFill>
              <w14:schemeClr w14:val="tx1"/>
            </w14:solidFill>
          </w14:textFill>
        </w:rPr>
        <w:t>（说明：</w:t>
      </w:r>
      <w:r>
        <w:rPr>
          <w:rFonts w:hint="eastAsia"/>
          <w:color w:val="000000" w:themeColor="text1"/>
          <w:sz w:val="24"/>
          <w:szCs w:val="21"/>
          <w:highlight w:val="none"/>
          <w:u w:val="single"/>
          <w:lang w:val="en-US" w:eastAsia="zh-CN"/>
          <w14:textFill>
            <w14:solidFill>
              <w14:schemeClr w14:val="tx1"/>
            </w14:solidFill>
          </w14:textFill>
        </w:rPr>
        <w:t>问题澄清通知</w:t>
      </w:r>
      <w:r>
        <w:rPr>
          <w:rFonts w:hint="eastAsia"/>
          <w:color w:val="000000" w:themeColor="text1"/>
          <w:sz w:val="24"/>
          <w:szCs w:val="21"/>
          <w:highlight w:val="none"/>
          <w:u w:val="single"/>
          <w14:textFill>
            <w14:solidFill>
              <w14:schemeClr w14:val="tx1"/>
            </w14:solidFill>
          </w14:textFill>
        </w:rPr>
        <w:t>采用</w:t>
      </w:r>
      <w:r>
        <w:rPr>
          <w:rFonts w:hint="eastAsia"/>
          <w:color w:val="000000" w:themeColor="text1"/>
          <w:sz w:val="24"/>
          <w:szCs w:val="21"/>
          <w:highlight w:val="none"/>
          <w:u w:val="single"/>
          <w:lang w:eastAsia="zh-CN"/>
          <w14:textFill>
            <w14:solidFill>
              <w14:schemeClr w14:val="tx1"/>
            </w14:solidFill>
          </w14:textFill>
        </w:rPr>
        <w:t>广州交易集团有限公司（广州公共资源交易中心）</w:t>
      </w:r>
      <w:r>
        <w:rPr>
          <w:rFonts w:hint="eastAsia"/>
          <w:color w:val="000000" w:themeColor="text1"/>
          <w:sz w:val="24"/>
          <w:szCs w:val="21"/>
          <w:highlight w:val="none"/>
          <w:u w:val="single"/>
          <w14:textFill>
            <w14:solidFill>
              <w14:schemeClr w14:val="tx1"/>
            </w14:solidFill>
          </w14:textFill>
        </w:rPr>
        <w:t>规定的格式）</w:t>
      </w:r>
    </w:p>
    <w:p w14:paraId="33251581">
      <w:pPr>
        <w:spacing w:line="40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531DE55C">
      <w:pPr>
        <w:spacing w:line="360" w:lineRule="auto"/>
        <w:jc w:val="left"/>
        <w:outlineLvl w:val="2"/>
        <w:rPr>
          <w:rFonts w:ascii="黑体" w:hAnsi="黑体" w:eastAsia="黑体"/>
          <w:color w:val="000000" w:themeColor="text1"/>
          <w:sz w:val="28"/>
          <w:szCs w:val="27"/>
          <w:highlight w:val="none"/>
          <w14:textFill>
            <w14:solidFill>
              <w14:schemeClr w14:val="tx1"/>
            </w14:solidFill>
          </w14:textFill>
        </w:rPr>
      </w:pPr>
      <w:bookmarkStart w:id="304" w:name="_Toc17451582"/>
      <w:bookmarkStart w:id="305" w:name="_Toc17556880"/>
      <w:bookmarkStart w:id="306" w:name="_Toc152042360"/>
      <w:bookmarkStart w:id="307" w:name="_Toc152045583"/>
      <w:bookmarkStart w:id="308" w:name="_Toc144974550"/>
      <w:bookmarkStart w:id="309" w:name="_Toc17451627"/>
      <w:bookmarkStart w:id="310" w:name="_Toc17454875"/>
      <w:bookmarkStart w:id="311" w:name="_Toc6427"/>
      <w:bookmarkStart w:id="312" w:name="_Toc247085741"/>
      <w:bookmarkStart w:id="313" w:name="_Toc332641308"/>
      <w:bookmarkStart w:id="314" w:name="_Toc179632601"/>
      <w:bookmarkStart w:id="315" w:name="_Toc4919"/>
      <w:bookmarkStart w:id="316" w:name="_Toc21477"/>
      <w:bookmarkStart w:id="317" w:name="_Toc246996226"/>
      <w:bookmarkStart w:id="318" w:name="_Toc17451105"/>
      <w:bookmarkStart w:id="319" w:name="_Toc246996969"/>
      <w:bookmarkStart w:id="320" w:name="_Toc17452668"/>
      <w:bookmarkStart w:id="321" w:name="_Toc17454926"/>
      <w:bookmarkStart w:id="322" w:name="_Toc15699"/>
      <w:r>
        <w:rPr>
          <w:rFonts w:hint="eastAsia" w:ascii="黑体" w:hAnsi="黑体" w:eastAsia="黑体"/>
          <w:color w:val="000000" w:themeColor="text1"/>
          <w:sz w:val="28"/>
          <w:szCs w:val="27"/>
          <w:highlight w:val="none"/>
          <w14:textFill>
            <w14:solidFill>
              <w14:schemeClr w14:val="tx1"/>
            </w14:solidFill>
          </w14:textFill>
        </w:rPr>
        <w:t>附件三：问题的澄清</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0F1FECBE">
      <w:pPr>
        <w:spacing w:line="360" w:lineRule="auto"/>
        <w:rPr>
          <w:rFonts w:ascii="宋体" w:hAnsi="宋体"/>
          <w:color w:val="000000" w:themeColor="text1"/>
          <w:sz w:val="24"/>
          <w:szCs w:val="24"/>
          <w:highlight w:val="none"/>
          <w14:textFill>
            <w14:solidFill>
              <w14:schemeClr w14:val="tx1"/>
            </w14:solidFill>
          </w14:textFill>
        </w:rPr>
      </w:pPr>
    </w:p>
    <w:p w14:paraId="1E6912E6">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color w:val="000000" w:themeColor="text1"/>
          <w:sz w:val="24"/>
          <w:szCs w:val="21"/>
          <w:highlight w:val="none"/>
          <w:u w:val="single"/>
          <w14:textFill>
            <w14:solidFill>
              <w14:schemeClr w14:val="tx1"/>
            </w14:solidFill>
          </w14:textFill>
        </w:rPr>
        <w:t>（说明：</w:t>
      </w:r>
      <w:r>
        <w:rPr>
          <w:rFonts w:hint="eastAsia"/>
          <w:color w:val="000000" w:themeColor="text1"/>
          <w:sz w:val="24"/>
          <w:szCs w:val="21"/>
          <w:highlight w:val="none"/>
          <w:u w:val="single"/>
          <w:lang w:val="en-US" w:eastAsia="zh-CN"/>
          <w14:textFill>
            <w14:solidFill>
              <w14:schemeClr w14:val="tx1"/>
            </w14:solidFill>
          </w14:textFill>
        </w:rPr>
        <w:t>问题的澄清</w:t>
      </w:r>
      <w:r>
        <w:rPr>
          <w:rFonts w:hint="eastAsia"/>
          <w:color w:val="000000" w:themeColor="text1"/>
          <w:sz w:val="24"/>
          <w:szCs w:val="21"/>
          <w:highlight w:val="none"/>
          <w:u w:val="single"/>
          <w14:textFill>
            <w14:solidFill>
              <w14:schemeClr w14:val="tx1"/>
            </w14:solidFill>
          </w14:textFill>
        </w:rPr>
        <w:t>采用</w:t>
      </w:r>
      <w:r>
        <w:rPr>
          <w:rFonts w:hint="eastAsia"/>
          <w:color w:val="000000" w:themeColor="text1"/>
          <w:sz w:val="24"/>
          <w:szCs w:val="21"/>
          <w:highlight w:val="none"/>
          <w:u w:val="single"/>
          <w:lang w:eastAsia="zh-CN"/>
          <w14:textFill>
            <w14:solidFill>
              <w14:schemeClr w14:val="tx1"/>
            </w14:solidFill>
          </w14:textFill>
        </w:rPr>
        <w:t>广州交易集团有限公司（广州公共资源交易中心）</w:t>
      </w:r>
      <w:r>
        <w:rPr>
          <w:rFonts w:hint="eastAsia"/>
          <w:color w:val="000000" w:themeColor="text1"/>
          <w:sz w:val="24"/>
          <w:szCs w:val="21"/>
          <w:highlight w:val="none"/>
          <w:u w:val="single"/>
          <w14:textFill>
            <w14:solidFill>
              <w14:schemeClr w14:val="tx1"/>
            </w14:solidFill>
          </w14:textFill>
        </w:rPr>
        <w:t>规定的格式）</w:t>
      </w:r>
    </w:p>
    <w:p w14:paraId="5AE3FA05">
      <w:pPr>
        <w:snapToGrid w:val="0"/>
        <w:spacing w:line="360" w:lineRule="auto"/>
        <w:ind w:firstLine="480" w:firstLineChars="200"/>
        <w:rPr>
          <w:rFonts w:ascii="宋体" w:hAnsi="宋体"/>
          <w:color w:val="000000" w:themeColor="text1"/>
          <w:sz w:val="24"/>
          <w:highlight w:val="none"/>
          <w14:textFill>
            <w14:solidFill>
              <w14:schemeClr w14:val="tx1"/>
            </w14:solidFill>
          </w14:textFill>
        </w:rPr>
      </w:pPr>
    </w:p>
    <w:p w14:paraId="2A746D00">
      <w:pPr>
        <w:spacing w:line="440" w:lineRule="exact"/>
        <w:rPr>
          <w:rFonts w:ascii="宋体" w:hAnsi="宋体"/>
          <w:color w:val="000000" w:themeColor="text1"/>
          <w:sz w:val="24"/>
          <w:szCs w:val="24"/>
          <w:highlight w:val="none"/>
          <w14:textFill>
            <w14:solidFill>
              <w14:schemeClr w14:val="tx1"/>
            </w14:solidFill>
          </w14:textFill>
        </w:rPr>
      </w:pPr>
    </w:p>
    <w:p w14:paraId="12A0674B">
      <w:pPr>
        <w:spacing w:line="440" w:lineRule="exact"/>
        <w:rPr>
          <w:rFonts w:ascii="宋体" w:hAnsi="宋体"/>
          <w:color w:val="000000" w:themeColor="text1"/>
          <w:sz w:val="24"/>
          <w:szCs w:val="24"/>
          <w:highlight w:val="none"/>
          <w14:textFill>
            <w14:solidFill>
              <w14:schemeClr w14:val="tx1"/>
            </w14:solidFill>
          </w14:textFill>
        </w:rPr>
      </w:pPr>
    </w:p>
    <w:p w14:paraId="2B232EB4">
      <w:pPr>
        <w:spacing w:line="400" w:lineRule="exact"/>
        <w:rPr>
          <w:rFonts w:ascii="宋体" w:hAnsi="宋体"/>
          <w:color w:val="000000" w:themeColor="text1"/>
          <w:sz w:val="24"/>
          <w:szCs w:val="24"/>
          <w:highlight w:val="none"/>
          <w14:textFill>
            <w14:solidFill>
              <w14:schemeClr w14:val="tx1"/>
            </w14:solidFill>
          </w14:textFill>
        </w:rPr>
      </w:pPr>
    </w:p>
    <w:p w14:paraId="24881C75">
      <w:pPr>
        <w:spacing w:line="400" w:lineRule="exact"/>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br w:type="page"/>
      </w:r>
    </w:p>
    <w:p w14:paraId="3E801F79">
      <w:pPr>
        <w:spacing w:line="360" w:lineRule="auto"/>
        <w:jc w:val="left"/>
        <w:outlineLvl w:val="2"/>
        <w:rPr>
          <w:rFonts w:ascii="黑体" w:hAnsi="黑体" w:eastAsia="黑体"/>
          <w:color w:val="000000" w:themeColor="text1"/>
          <w:sz w:val="28"/>
          <w:szCs w:val="27"/>
          <w:highlight w:val="none"/>
          <w14:textFill>
            <w14:solidFill>
              <w14:schemeClr w14:val="tx1"/>
            </w14:solidFill>
          </w14:textFill>
        </w:rPr>
      </w:pPr>
      <w:bookmarkStart w:id="323" w:name="_Toc17451583"/>
      <w:bookmarkStart w:id="324" w:name="_Toc23790"/>
      <w:bookmarkStart w:id="325" w:name="_Toc17452669"/>
      <w:bookmarkStart w:id="326" w:name="_Toc17556881"/>
      <w:bookmarkStart w:id="327" w:name="_Toc144974551"/>
      <w:bookmarkStart w:id="328" w:name="_Toc179632602"/>
      <w:bookmarkStart w:id="329" w:name="_Toc17451628"/>
      <w:bookmarkStart w:id="330" w:name="_Toc246996227"/>
      <w:bookmarkStart w:id="331" w:name="_Toc247085742"/>
      <w:bookmarkStart w:id="332" w:name="_Toc32688"/>
      <w:bookmarkStart w:id="333" w:name="_Toc332641309"/>
      <w:bookmarkStart w:id="334" w:name="_Toc17451106"/>
      <w:bookmarkStart w:id="335" w:name="_Toc152045584"/>
      <w:bookmarkStart w:id="336" w:name="_Toc8125"/>
      <w:bookmarkStart w:id="337" w:name="_Toc152042361"/>
      <w:bookmarkStart w:id="338" w:name="_Toc20690"/>
      <w:bookmarkStart w:id="339" w:name="_Toc246996970"/>
      <w:bookmarkStart w:id="340" w:name="_Toc17454876"/>
      <w:bookmarkStart w:id="341" w:name="_Toc17454927"/>
      <w:r>
        <w:rPr>
          <w:rFonts w:hint="eastAsia" w:ascii="黑体" w:hAnsi="黑体" w:eastAsia="黑体"/>
          <w:color w:val="000000" w:themeColor="text1"/>
          <w:sz w:val="28"/>
          <w:szCs w:val="27"/>
          <w:highlight w:val="none"/>
          <w14:textFill>
            <w14:solidFill>
              <w14:schemeClr w14:val="tx1"/>
            </w14:solidFill>
          </w14:textFill>
        </w:rPr>
        <w:t>附件四：中标通知书</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33D58FF4">
      <w:pPr>
        <w:spacing w:line="360" w:lineRule="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w:t>
      </w:r>
    </w:p>
    <w:p w14:paraId="1D009637">
      <w:pPr>
        <w:spacing w:line="360" w:lineRule="auto"/>
        <w:ind w:firstLine="480" w:firstLineChars="200"/>
        <w:jc w:val="left"/>
        <w:rPr>
          <w:rFonts w:hint="eastAsia"/>
          <w:color w:val="000000" w:themeColor="text1"/>
          <w:sz w:val="24"/>
          <w:szCs w:val="21"/>
          <w:highlight w:val="none"/>
          <w:u w:val="single"/>
          <w14:textFill>
            <w14:solidFill>
              <w14:schemeClr w14:val="tx1"/>
            </w14:solidFill>
          </w14:textFill>
        </w:rPr>
        <w:sectPr>
          <w:headerReference r:id="rId5" w:type="first"/>
          <w:footerReference r:id="rId7" w:type="first"/>
          <w:footerReference r:id="rId6" w:type="default"/>
          <w:endnotePr>
            <w:numFmt w:val="decimal"/>
          </w:endnotePr>
          <w:type w:val="continuous"/>
          <w:pgSz w:w="11905" w:h="16838"/>
          <w:pgMar w:top="1440" w:right="1800" w:bottom="1440" w:left="1800" w:header="0" w:footer="567" w:gutter="0"/>
          <w:pgNumType w:fmt="decimal"/>
          <w:cols w:space="720" w:num="1"/>
          <w:rtlGutter w:val="0"/>
          <w:docGrid w:linePitch="1" w:charSpace="0"/>
        </w:sectPr>
      </w:pPr>
      <w:r>
        <w:rPr>
          <w:rFonts w:hint="eastAsia"/>
          <w:color w:val="000000" w:themeColor="text1"/>
          <w:sz w:val="24"/>
          <w:szCs w:val="21"/>
          <w:highlight w:val="none"/>
          <w:u w:val="single"/>
          <w14:textFill>
            <w14:solidFill>
              <w14:schemeClr w14:val="tx1"/>
            </w14:solidFill>
          </w14:textFill>
        </w:rPr>
        <w:t>（说明：中标通知书采用</w:t>
      </w:r>
      <w:r>
        <w:rPr>
          <w:rFonts w:hint="eastAsia"/>
          <w:color w:val="000000" w:themeColor="text1"/>
          <w:sz w:val="24"/>
          <w:szCs w:val="21"/>
          <w:highlight w:val="none"/>
          <w:u w:val="single"/>
          <w:lang w:eastAsia="zh-CN"/>
          <w14:textFill>
            <w14:solidFill>
              <w14:schemeClr w14:val="tx1"/>
            </w14:solidFill>
          </w14:textFill>
        </w:rPr>
        <w:t>广州交易集团有限公司（广州公共资源交易中心）</w:t>
      </w:r>
      <w:r>
        <w:rPr>
          <w:rFonts w:hint="eastAsia"/>
          <w:color w:val="000000" w:themeColor="text1"/>
          <w:sz w:val="24"/>
          <w:szCs w:val="21"/>
          <w:highlight w:val="none"/>
          <w:u w:val="single"/>
          <w14:textFill>
            <w14:solidFill>
              <w14:schemeClr w14:val="tx1"/>
            </w14:solidFill>
          </w14:textFill>
        </w:rPr>
        <w:t>规定的格式）</w:t>
      </w:r>
    </w:p>
    <w:p w14:paraId="3A426769">
      <w:pPr>
        <w:bidi w:val="0"/>
        <w:snapToGrid w:val="0"/>
        <w:rPr>
          <w:rFonts w:hint="eastAsia" w:ascii="宋体" w:hAnsi="宋体" w:eastAsia="宋体" w:cs="宋体"/>
          <w:color w:val="000000" w:themeColor="text1"/>
          <w:sz w:val="32"/>
          <w:szCs w:val="20"/>
          <w:highlight w:val="none"/>
          <w:lang w:eastAsia="zh-CN"/>
          <w14:textFill>
            <w14:solidFill>
              <w14:schemeClr w14:val="tx1"/>
            </w14:solidFill>
          </w14:textFill>
        </w:rPr>
      </w:pPr>
      <w:r>
        <w:rPr>
          <w:rFonts w:hint="eastAsia" w:ascii="宋体" w:hAnsi="宋体" w:eastAsia="宋体" w:cs="宋体"/>
          <w:color w:val="000000" w:themeColor="text1"/>
          <w:sz w:val="32"/>
          <w:szCs w:val="20"/>
          <w:highlight w:val="none"/>
          <w:lang w:eastAsia="zh-CN"/>
          <w14:textFill>
            <w14:solidFill>
              <w14:schemeClr w14:val="tx1"/>
            </w14:solidFill>
          </w14:textFill>
        </w:rPr>
        <w:t>附件</w:t>
      </w:r>
      <w:r>
        <w:rPr>
          <w:rFonts w:hint="eastAsia" w:ascii="宋体" w:hAnsi="宋体" w:eastAsia="宋体" w:cs="宋体"/>
          <w:color w:val="000000" w:themeColor="text1"/>
          <w:sz w:val="32"/>
          <w:szCs w:val="20"/>
          <w:highlight w:val="none"/>
          <w:lang w:val="en-US" w:eastAsia="zh-CN"/>
          <w14:textFill>
            <w14:solidFill>
              <w14:schemeClr w14:val="tx1"/>
            </w14:solidFill>
          </w14:textFill>
        </w:rPr>
        <w:t>五</w:t>
      </w:r>
    </w:p>
    <w:p w14:paraId="3AF12F00">
      <w:pPr>
        <w:keepNext w:val="0"/>
        <w:keepLines w:val="0"/>
        <w:pageBreakBefore w:val="0"/>
        <w:widowControl w:val="0"/>
        <w:kinsoku/>
        <w:wordWrap/>
        <w:overflowPunct/>
        <w:topLinePunct w:val="0"/>
        <w:autoSpaceDE/>
        <w:autoSpaceDN/>
        <w:bidi w:val="0"/>
        <w:adjustRightInd w:val="0"/>
        <w:snapToGrid w:val="0"/>
        <w:spacing w:before="321" w:beforeLines="50" w:beforeAutospacing="0" w:after="321" w:afterLines="50" w:afterAutospacing="0" w:line="572" w:lineRule="exact"/>
        <w:jc w:val="center"/>
        <w:textAlignment w:val="auto"/>
        <w:rPr>
          <w:rFonts w:hint="eastAsia" w:ascii="宋体" w:hAnsi="宋体" w:eastAsia="宋体" w:cs="宋体"/>
          <w:b w:val="0"/>
          <w:bCs w:val="0"/>
          <w:color w:val="000000" w:themeColor="text1"/>
          <w:sz w:val="44"/>
          <w:szCs w:val="56"/>
          <w:highlight w:val="none"/>
          <w:lang w:eastAsia="zh-CN"/>
          <w14:textFill>
            <w14:solidFill>
              <w14:schemeClr w14:val="tx1"/>
            </w14:solidFill>
          </w14:textFill>
        </w:rPr>
      </w:pPr>
      <w:r>
        <w:rPr>
          <w:rFonts w:hint="eastAsia" w:ascii="宋体" w:hAnsi="宋体" w:eastAsia="宋体" w:cs="宋体"/>
          <w:b w:val="0"/>
          <w:bCs w:val="0"/>
          <w:color w:val="000000" w:themeColor="text1"/>
          <w:sz w:val="44"/>
          <w:szCs w:val="56"/>
          <w:highlight w:val="none"/>
          <w14:textFill>
            <w14:solidFill>
              <w14:schemeClr w14:val="tx1"/>
            </w14:solidFill>
          </w14:textFill>
        </w:rPr>
        <w:t>评标委员会成员回避</w:t>
      </w:r>
      <w:r>
        <w:rPr>
          <w:rFonts w:hint="eastAsia" w:ascii="宋体" w:hAnsi="宋体" w:eastAsia="宋体" w:cs="宋体"/>
          <w:b w:val="0"/>
          <w:bCs w:val="0"/>
          <w:color w:val="000000" w:themeColor="text1"/>
          <w:sz w:val="44"/>
          <w:szCs w:val="56"/>
          <w:highlight w:val="none"/>
          <w:lang w:eastAsia="zh-CN"/>
          <w14:textFill>
            <w14:solidFill>
              <w14:schemeClr w14:val="tx1"/>
            </w14:solidFill>
          </w14:textFill>
        </w:rPr>
        <w:t>义务及法律责任</w:t>
      </w:r>
    </w:p>
    <w:p w14:paraId="6C30A2AF">
      <w:pPr>
        <w:keepNext w:val="0"/>
        <w:keepLines w:val="0"/>
        <w:pageBreakBefore w:val="0"/>
        <w:kinsoku/>
        <w:wordWrap/>
        <w:overflowPunct/>
        <w:topLinePunct w:val="0"/>
        <w:autoSpaceDE/>
        <w:autoSpaceDN/>
        <w:bidi w:val="0"/>
        <w:adjustRightInd w:val="0"/>
        <w:snapToGrid w:val="0"/>
        <w:spacing w:beforeAutospacing="0" w:afterAutospacing="0" w:line="572" w:lineRule="exact"/>
        <w:jc w:val="center"/>
        <w:textAlignment w:val="auto"/>
        <w:rPr>
          <w:rFonts w:hint="eastAsia" w:ascii="宋体" w:hAnsi="宋体" w:eastAsia="宋体" w:cs="宋体"/>
          <w:color w:val="000000" w:themeColor="text1"/>
          <w:sz w:val="24"/>
          <w:szCs w:val="16"/>
          <w:highlight w:val="none"/>
          <w:lang w:eastAsia="zh-CN"/>
          <w14:textFill>
            <w14:solidFill>
              <w14:schemeClr w14:val="tx1"/>
            </w14:solidFill>
          </w14:textFill>
        </w:rPr>
      </w:pPr>
      <w:r>
        <w:rPr>
          <w:rFonts w:hint="eastAsia" w:ascii="宋体" w:hAnsi="宋体" w:eastAsia="宋体" w:cs="宋体"/>
          <w:color w:val="000000" w:themeColor="text1"/>
          <w:sz w:val="24"/>
          <w:szCs w:val="16"/>
          <w:highlight w:val="none"/>
          <w:lang w:eastAsia="zh-CN"/>
          <w14:textFill>
            <w14:solidFill>
              <w14:schemeClr w14:val="tx1"/>
            </w14:solidFill>
          </w14:textFill>
        </w:rPr>
        <w:t>（</w:t>
      </w:r>
      <w:r>
        <w:rPr>
          <w:rFonts w:hint="eastAsia" w:ascii="宋体" w:hAnsi="宋体" w:eastAsia="宋体" w:cs="宋体"/>
          <w:color w:val="000000" w:themeColor="text1"/>
          <w:sz w:val="24"/>
          <w:szCs w:val="16"/>
          <w:highlight w:val="none"/>
          <w:lang w:val="en-US" w:eastAsia="zh-CN"/>
          <w14:textFill>
            <w14:solidFill>
              <w14:schemeClr w14:val="tx1"/>
            </w14:solidFill>
          </w14:textFill>
        </w:rPr>
        <w:t>供评标前向评标委员会宣读</w:t>
      </w:r>
      <w:r>
        <w:rPr>
          <w:rFonts w:hint="eastAsia" w:ascii="宋体" w:hAnsi="宋体" w:eastAsia="宋体" w:cs="宋体"/>
          <w:color w:val="000000" w:themeColor="text1"/>
          <w:sz w:val="24"/>
          <w:szCs w:val="16"/>
          <w:highlight w:val="none"/>
          <w:lang w:eastAsia="zh-CN"/>
          <w14:textFill>
            <w14:solidFill>
              <w14:schemeClr w14:val="tx1"/>
            </w14:solidFill>
          </w14:textFill>
        </w:rPr>
        <w:t>）</w:t>
      </w:r>
    </w:p>
    <w:p w14:paraId="72EBC3E9">
      <w:pPr>
        <w:keepNext w:val="0"/>
        <w:keepLines w:val="0"/>
        <w:pageBreakBefore w:val="0"/>
        <w:widowControl w:val="0"/>
        <w:kinsoku/>
        <w:wordWrap/>
        <w:overflowPunct/>
        <w:topLinePunct w:val="0"/>
        <w:autoSpaceDE/>
        <w:autoSpaceDN/>
        <w:bidi w:val="0"/>
        <w:adjustRightInd w:val="0"/>
        <w:snapToGrid w:val="0"/>
        <w:spacing w:beforeAutospacing="0" w:afterAutospacing="0" w:line="572" w:lineRule="exact"/>
        <w:jc w:val="both"/>
        <w:textAlignment w:val="auto"/>
        <w:rPr>
          <w:rFonts w:hint="eastAsia" w:ascii="宋体" w:hAnsi="宋体" w:eastAsia="宋体" w:cs="宋体"/>
          <w:color w:val="000000" w:themeColor="text1"/>
          <w:kern w:val="0"/>
          <w:sz w:val="24"/>
          <w:szCs w:val="18"/>
          <w:highlight w:val="none"/>
          <w:lang w:val="en-US" w:eastAsia="zh-CN" w:bidi="ar-SA"/>
          <w14:textFill>
            <w14:solidFill>
              <w14:schemeClr w14:val="tx1"/>
            </w14:solidFill>
          </w14:textFill>
        </w:rPr>
      </w:pPr>
    </w:p>
    <w:p w14:paraId="7F236157">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lang w:eastAsia="zh-CN"/>
          <w14:textFill>
            <w14:solidFill>
              <w14:schemeClr w14:val="tx1"/>
            </w14:solidFill>
          </w14:textFill>
        </w:rPr>
      </w:pPr>
      <w:r>
        <w:rPr>
          <w:rFonts w:hint="eastAsia" w:ascii="宋体" w:hAnsi="宋体" w:eastAsia="宋体" w:cs="宋体"/>
          <w:color w:val="000000" w:themeColor="text1"/>
          <w:sz w:val="24"/>
          <w:szCs w:val="16"/>
          <w:highlight w:val="none"/>
          <w14:textFill>
            <w14:solidFill>
              <w14:schemeClr w14:val="tx1"/>
            </w14:solidFill>
          </w14:textFill>
        </w:rPr>
        <w:t>一、</w:t>
      </w:r>
      <w:r>
        <w:rPr>
          <w:rFonts w:hint="eastAsia" w:ascii="宋体" w:hAnsi="宋体" w:eastAsia="宋体" w:cs="宋体"/>
          <w:color w:val="000000" w:themeColor="text1"/>
          <w:sz w:val="24"/>
          <w:szCs w:val="16"/>
          <w:highlight w:val="none"/>
          <w:lang w:eastAsia="zh-CN"/>
          <w14:textFill>
            <w14:solidFill>
              <w14:schemeClr w14:val="tx1"/>
            </w14:solidFill>
          </w14:textFill>
        </w:rPr>
        <w:t>评标委员会成员回避义务</w:t>
      </w:r>
    </w:p>
    <w:p w14:paraId="25A4A017">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16"/>
          <w:highlight w:val="none"/>
          <w:lang w:eastAsia="zh-CN"/>
          <w14:textFill>
            <w14:solidFill>
              <w14:schemeClr w14:val="tx1"/>
            </w14:solidFill>
          </w14:textFill>
        </w:rPr>
        <w:t>依据</w:t>
      </w:r>
      <w:r>
        <w:rPr>
          <w:rFonts w:hint="eastAsia" w:ascii="宋体" w:hAnsi="宋体" w:eastAsia="宋体" w:cs="宋体"/>
          <w:color w:val="000000" w:themeColor="text1"/>
          <w:sz w:val="24"/>
          <w:szCs w:val="16"/>
          <w:highlight w:val="none"/>
          <w14:textFill>
            <w14:solidFill>
              <w14:schemeClr w14:val="tx1"/>
            </w14:solidFill>
          </w14:textFill>
        </w:rPr>
        <w:t>《中华人民共和国招标投标法》</w:t>
      </w:r>
      <w:r>
        <w:rPr>
          <w:rFonts w:hint="eastAsia" w:ascii="宋体" w:hAnsi="宋体" w:eastAsia="宋体" w:cs="宋体"/>
          <w:color w:val="000000" w:themeColor="text1"/>
          <w:sz w:val="24"/>
          <w:szCs w:val="16"/>
          <w:highlight w:val="none"/>
          <w:lang w:eastAsia="zh-CN"/>
          <w14:textFill>
            <w14:solidFill>
              <w14:schemeClr w14:val="tx1"/>
            </w14:solidFill>
          </w14:textFill>
        </w:rPr>
        <w:t>三十七条、</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《中华人民共和国招标投标法实施条例》第四十六条、《</w:t>
      </w:r>
      <w:r>
        <w:rPr>
          <w:rFonts w:hint="eastAsia" w:ascii="宋体" w:hAnsi="宋体" w:eastAsia="宋体" w:cs="宋体"/>
          <w:i w:val="0"/>
          <w:iCs w:val="0"/>
          <w:color w:val="000000" w:themeColor="text1"/>
          <w:sz w:val="24"/>
          <w:szCs w:val="24"/>
          <w:highlight w:val="none"/>
          <w:u w:val="none"/>
          <w14:textFill>
            <w14:solidFill>
              <w14:schemeClr w14:val="tx1"/>
            </w14:solidFill>
          </w14:textFill>
        </w:rPr>
        <w:t>评标专家和评标专家库管理办法</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（国家发展和改革委员会令第26号）</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第九条、《广东省人民政府办公厅关于印发广东省综合评标评审专家和评标评审专家库管理办法的通知》（粤府办〔2020〕1号）第二十条规定，</w:t>
      </w:r>
      <w:r>
        <w:rPr>
          <w:rFonts w:hint="eastAsia" w:ascii="宋体" w:hAnsi="宋体" w:eastAsia="宋体" w:cs="宋体"/>
          <w:b/>
          <w:bCs/>
          <w:color w:val="000000" w:themeColor="text1"/>
          <w:kern w:val="2"/>
          <w:sz w:val="24"/>
          <w:szCs w:val="16"/>
          <w:highlight w:val="none"/>
          <w:lang w:val="en-US" w:eastAsia="zh-CN" w:bidi="ar-SA"/>
          <w14:textFill>
            <w14:solidFill>
              <w14:schemeClr w14:val="tx1"/>
            </w14:solidFill>
          </w14:textFill>
        </w:rPr>
        <w:t>与投标人有利害关系的人不得进入相关项目的评标委员会，已经进入的应当更换；评标委员会成员与投标人有利害关系的，应当主动回避</w:t>
      </w:r>
      <w:r>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t>。“利害关系”通常是指：</w:t>
      </w:r>
    </w:p>
    <w:p w14:paraId="3DE3E848">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t>1.在3年内曾在参加该招标项目的投标单位中任职（包括一般职务）或担任顾问，配偶或直系亲属在参加该招标项目的投标人中任职或担任顾问，与参加该招标项目的投标人发生过法律纠纷，以及其他可能影响公正评标的情况。其他可能影响公正评标的情形主要有:投标人的上级主管、控股或被控股单位的工作人员；评标委员会成员任职单位与投标人单位为同一法定代表人；评标委员会成员持有某投标单位股份（如：</w:t>
      </w:r>
      <w:r>
        <w:rPr>
          <w:rFonts w:hint="eastAsia" w:ascii="宋体" w:hAnsi="宋体" w:eastAsia="宋体" w:cs="宋体"/>
          <w:i w:val="0"/>
          <w:iCs w:val="0"/>
          <w:caps w:val="0"/>
          <w:color w:val="000000" w:themeColor="text1"/>
          <w:spacing w:val="0"/>
          <w:sz w:val="24"/>
          <w:szCs w:val="24"/>
          <w:highlight w:val="none"/>
          <w:shd w:val="clear" w:color="auto" w:fill="auto"/>
          <w:lang w:val="en-US" w:eastAsia="zh-CN"/>
          <w14:textFill>
            <w14:solidFill>
              <w14:schemeClr w14:val="tx1"/>
            </w14:solidFill>
          </w14:textFill>
        </w:rPr>
        <w:t>评标专家3年内工作单位与项目业主、代建单位、代理机构、项目前期工作单位、投标人的单位相同</w:t>
      </w:r>
      <w:r>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t>）。</w:t>
      </w:r>
    </w:p>
    <w:p w14:paraId="23A54F27">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72" w:lineRule="exact"/>
        <w:ind w:firstLine="464" w:firstLineChars="200"/>
        <w:jc w:val="both"/>
        <w:textAlignment w:val="auto"/>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t>2.招标项目的招标人或从招标代理机构、投标人单位、</w:t>
      </w:r>
      <w:r>
        <w:rPr>
          <w:rFonts w:hint="eastAsia" w:ascii="宋体" w:hAnsi="宋体" w:eastAsia="宋体" w:cs="宋体"/>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项目前期工作单位等</w:t>
      </w:r>
      <w:r>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t>退休或离职未满3年的人员。</w:t>
      </w:r>
    </w:p>
    <w:p w14:paraId="0A927284">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72" w:lineRule="exact"/>
        <w:ind w:firstLine="464" w:firstLineChars="200"/>
        <w:jc w:val="both"/>
        <w:textAlignment w:val="auto"/>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t>3.投标人或投标人主要负责人的近亲属。</w:t>
      </w:r>
    </w:p>
    <w:p w14:paraId="12BEC036">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72" w:lineRule="exact"/>
        <w:ind w:firstLine="464" w:firstLineChars="200"/>
        <w:jc w:val="both"/>
        <w:textAlignment w:val="auto"/>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t>4.项目主管部门或者行政监督部门的人员。</w:t>
      </w:r>
    </w:p>
    <w:p w14:paraId="293D8261">
      <w:pPr>
        <w:keepNext w:val="0"/>
        <w:keepLines w:val="0"/>
        <w:pageBreakBefore w:val="0"/>
        <w:widowControl w:val="0"/>
        <w:kinsoku/>
        <w:wordWrap/>
        <w:overflowPunct/>
        <w:topLinePunct w:val="0"/>
        <w:autoSpaceDE/>
        <w:autoSpaceDN/>
        <w:bidi w:val="0"/>
        <w:adjustRightInd w:val="0"/>
        <w:snapToGrid w:val="0"/>
        <w:spacing w:beforeAutospacing="0" w:afterAutospacing="0" w:line="572" w:lineRule="exact"/>
        <w:ind w:firstLine="464" w:firstLineChars="200"/>
        <w:jc w:val="both"/>
        <w:textAlignment w:val="auto"/>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t>5.与本评标委员会其他成员有亲属关系。</w:t>
      </w:r>
    </w:p>
    <w:p w14:paraId="7325D9EB">
      <w:pPr>
        <w:keepNext w:val="0"/>
        <w:keepLines w:val="0"/>
        <w:pageBreakBefore w:val="0"/>
        <w:widowControl w:val="0"/>
        <w:kinsoku/>
        <w:wordWrap/>
        <w:overflowPunct/>
        <w:topLinePunct w:val="0"/>
        <w:autoSpaceDE/>
        <w:autoSpaceDN/>
        <w:bidi w:val="0"/>
        <w:adjustRightInd w:val="0"/>
        <w:snapToGrid w:val="0"/>
        <w:spacing w:beforeAutospacing="0" w:afterAutospacing="0" w:line="572" w:lineRule="exact"/>
        <w:ind w:firstLine="464" w:firstLineChars="200"/>
        <w:jc w:val="both"/>
        <w:textAlignment w:val="auto"/>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t>6.担任现职国家公务员。</w:t>
      </w:r>
    </w:p>
    <w:p w14:paraId="321998C8">
      <w:pPr>
        <w:keepNext w:val="0"/>
        <w:keepLines w:val="0"/>
        <w:pageBreakBefore w:val="0"/>
        <w:widowControl w:val="0"/>
        <w:kinsoku/>
        <w:wordWrap/>
        <w:overflowPunct/>
        <w:topLinePunct w:val="0"/>
        <w:autoSpaceDE/>
        <w:autoSpaceDN/>
        <w:bidi w:val="0"/>
        <w:adjustRightInd w:val="0"/>
        <w:snapToGrid w:val="0"/>
        <w:spacing w:beforeAutospacing="0" w:afterAutospacing="0" w:line="572" w:lineRule="exact"/>
        <w:ind w:firstLine="464" w:firstLineChars="200"/>
        <w:jc w:val="both"/>
        <w:textAlignment w:val="auto"/>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t>7.曾因在招标、评标以及其他与招标投标有关活动中从事违法行为而受过行政处罚或刑事处罚的。</w:t>
      </w:r>
    </w:p>
    <w:p w14:paraId="69587F15">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lang w:eastAsia="zh-CN"/>
          <w14:textFill>
            <w14:solidFill>
              <w14:schemeClr w14:val="tx1"/>
            </w14:solidFill>
          </w14:textFill>
        </w:rPr>
      </w:pPr>
      <w:r>
        <w:rPr>
          <w:rFonts w:hint="eastAsia" w:ascii="宋体" w:hAnsi="宋体" w:eastAsia="宋体" w:cs="宋体"/>
          <w:color w:val="000000" w:themeColor="text1"/>
          <w:sz w:val="24"/>
          <w:szCs w:val="16"/>
          <w:highlight w:val="none"/>
          <w:lang w:val="en-US" w:eastAsia="zh-CN"/>
          <w14:textFill>
            <w14:solidFill>
              <w14:schemeClr w14:val="tx1"/>
            </w14:solidFill>
          </w14:textFill>
        </w:rPr>
        <w:t>8.</w:t>
      </w:r>
      <w:r>
        <w:rPr>
          <w:rFonts w:hint="eastAsia" w:ascii="宋体" w:hAnsi="宋体" w:eastAsia="宋体" w:cs="宋体"/>
          <w:color w:val="000000" w:themeColor="text1"/>
          <w:sz w:val="24"/>
          <w:szCs w:val="16"/>
          <w:highlight w:val="none"/>
          <w14:textFill>
            <w14:solidFill>
              <w14:schemeClr w14:val="tx1"/>
            </w14:solidFill>
          </w14:textFill>
        </w:rPr>
        <w:t>接收</w:t>
      </w:r>
      <w:r>
        <w:rPr>
          <w:rFonts w:hint="eastAsia" w:ascii="宋体" w:hAnsi="宋体" w:eastAsia="宋体" w:cs="宋体"/>
          <w:color w:val="000000" w:themeColor="text1"/>
          <w:sz w:val="24"/>
          <w:szCs w:val="16"/>
          <w:highlight w:val="none"/>
          <w:lang w:val="en-US" w:eastAsia="zh-CN"/>
          <w14:textFill>
            <w14:solidFill>
              <w14:schemeClr w14:val="tx1"/>
            </w14:solidFill>
          </w14:textFill>
        </w:rPr>
        <w:t>过</w:t>
      </w:r>
      <w:r>
        <w:rPr>
          <w:rFonts w:hint="eastAsia" w:ascii="宋体" w:hAnsi="宋体" w:eastAsia="宋体" w:cs="宋体"/>
          <w:color w:val="000000" w:themeColor="text1"/>
          <w:sz w:val="24"/>
          <w:szCs w:val="16"/>
          <w:highlight w:val="none"/>
          <w14:textFill>
            <w14:solidFill>
              <w14:schemeClr w14:val="tx1"/>
            </w14:solidFill>
          </w14:textFill>
        </w:rPr>
        <w:t>任何单位或者个人授意本人倾向或者排斥本项目特定投标人的电话、短信、</w:t>
      </w:r>
      <w:r>
        <w:rPr>
          <w:rFonts w:hint="eastAsia" w:ascii="宋体" w:hAnsi="宋体" w:eastAsia="宋体" w:cs="宋体"/>
          <w:color w:val="000000" w:themeColor="text1"/>
          <w:sz w:val="24"/>
          <w:szCs w:val="16"/>
          <w:highlight w:val="none"/>
          <w:lang w:val="en-US" w:eastAsia="zh-CN"/>
          <w14:textFill>
            <w14:solidFill>
              <w14:schemeClr w14:val="tx1"/>
            </w14:solidFill>
          </w14:textFill>
        </w:rPr>
        <w:t>QQ、</w:t>
      </w:r>
      <w:r>
        <w:rPr>
          <w:rFonts w:hint="eastAsia" w:ascii="宋体" w:hAnsi="宋体" w:eastAsia="宋体" w:cs="宋体"/>
          <w:color w:val="000000" w:themeColor="text1"/>
          <w:sz w:val="24"/>
          <w:szCs w:val="16"/>
          <w:highlight w:val="none"/>
          <w14:textFill>
            <w14:solidFill>
              <w14:schemeClr w14:val="tx1"/>
            </w14:solidFill>
          </w14:textFill>
        </w:rPr>
        <w:t>微信等</w:t>
      </w:r>
      <w:r>
        <w:rPr>
          <w:rFonts w:hint="eastAsia" w:ascii="宋体" w:hAnsi="宋体" w:eastAsia="宋体" w:cs="宋体"/>
          <w:color w:val="000000" w:themeColor="text1"/>
          <w:sz w:val="24"/>
          <w:szCs w:val="16"/>
          <w:highlight w:val="none"/>
          <w:lang w:eastAsia="zh-CN"/>
          <w14:textFill>
            <w14:solidFill>
              <w14:schemeClr w14:val="tx1"/>
            </w14:solidFill>
          </w14:textFill>
        </w:rPr>
        <w:t>。</w:t>
      </w:r>
    </w:p>
    <w:p w14:paraId="1FC8A264">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lang w:eastAsia="zh-CN"/>
          <w14:textFill>
            <w14:solidFill>
              <w14:schemeClr w14:val="tx1"/>
            </w14:solidFill>
          </w14:textFill>
        </w:rPr>
      </w:pPr>
      <w:r>
        <w:rPr>
          <w:rFonts w:hint="eastAsia" w:ascii="宋体" w:hAnsi="宋体" w:eastAsia="宋体" w:cs="宋体"/>
          <w:color w:val="000000" w:themeColor="text1"/>
          <w:sz w:val="24"/>
          <w:szCs w:val="16"/>
          <w:highlight w:val="none"/>
          <w:lang w:val="en-US" w:eastAsia="zh-CN"/>
          <w14:textFill>
            <w14:solidFill>
              <w14:schemeClr w14:val="tx1"/>
            </w14:solidFill>
          </w14:textFill>
        </w:rPr>
        <w:t>9.</w:t>
      </w:r>
      <w:r>
        <w:rPr>
          <w:rFonts w:hint="eastAsia" w:ascii="宋体" w:hAnsi="宋体" w:eastAsia="宋体" w:cs="宋体"/>
          <w:color w:val="000000" w:themeColor="text1"/>
          <w:sz w:val="24"/>
          <w:szCs w:val="16"/>
          <w:highlight w:val="none"/>
          <w14:textFill>
            <w14:solidFill>
              <w14:schemeClr w14:val="tx1"/>
            </w14:solidFill>
          </w14:textFill>
        </w:rPr>
        <w:t>私下接触本项目投标人</w:t>
      </w:r>
      <w:r>
        <w:rPr>
          <w:rFonts w:hint="eastAsia" w:ascii="宋体" w:hAnsi="宋体" w:eastAsia="宋体" w:cs="宋体"/>
          <w:color w:val="000000" w:themeColor="text1"/>
          <w:sz w:val="24"/>
          <w:szCs w:val="16"/>
          <w:highlight w:val="none"/>
          <w:lang w:eastAsia="zh-CN"/>
          <w14:textFill>
            <w14:solidFill>
              <w14:schemeClr w14:val="tx1"/>
            </w14:solidFill>
          </w14:textFill>
        </w:rPr>
        <w:t>。</w:t>
      </w:r>
    </w:p>
    <w:p w14:paraId="3769A6F4">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lang w:eastAsia="zh-CN"/>
          <w14:textFill>
            <w14:solidFill>
              <w14:schemeClr w14:val="tx1"/>
            </w14:solidFill>
          </w14:textFill>
        </w:rPr>
      </w:pPr>
      <w:r>
        <w:rPr>
          <w:rFonts w:hint="eastAsia" w:ascii="宋体" w:hAnsi="宋体" w:eastAsia="宋体" w:cs="宋体"/>
          <w:color w:val="000000" w:themeColor="text1"/>
          <w:sz w:val="24"/>
          <w:szCs w:val="16"/>
          <w:highlight w:val="none"/>
          <w:lang w:val="en-US" w:eastAsia="zh-CN"/>
          <w14:textFill>
            <w14:solidFill>
              <w14:schemeClr w14:val="tx1"/>
            </w14:solidFill>
          </w14:textFill>
        </w:rPr>
        <w:t>10.</w:t>
      </w:r>
      <w:r>
        <w:rPr>
          <w:rFonts w:hint="eastAsia" w:ascii="宋体" w:hAnsi="宋体" w:eastAsia="宋体" w:cs="宋体"/>
          <w:color w:val="000000" w:themeColor="text1"/>
          <w:sz w:val="24"/>
          <w:szCs w:val="16"/>
          <w:highlight w:val="none"/>
          <w14:textFill>
            <w14:solidFill>
              <w14:schemeClr w14:val="tx1"/>
            </w14:solidFill>
          </w14:textFill>
        </w:rPr>
        <w:t>收受本项目投标人、中介人、其他利害关系人的财物或者其他好处</w:t>
      </w:r>
      <w:r>
        <w:rPr>
          <w:rFonts w:hint="eastAsia" w:ascii="宋体" w:hAnsi="宋体" w:eastAsia="宋体" w:cs="宋体"/>
          <w:color w:val="000000" w:themeColor="text1"/>
          <w:sz w:val="24"/>
          <w:szCs w:val="16"/>
          <w:highlight w:val="none"/>
          <w:lang w:eastAsia="zh-CN"/>
          <w14:textFill>
            <w14:solidFill>
              <w14:schemeClr w14:val="tx1"/>
            </w14:solidFill>
          </w14:textFill>
        </w:rPr>
        <w:t>。</w:t>
      </w:r>
    </w:p>
    <w:p w14:paraId="3561A579">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14:textFill>
            <w14:solidFill>
              <w14:schemeClr w14:val="tx1"/>
            </w14:solidFill>
          </w14:textFill>
        </w:rPr>
      </w:pPr>
      <w:r>
        <w:rPr>
          <w:rFonts w:hint="eastAsia" w:ascii="宋体" w:hAnsi="宋体" w:eastAsia="宋体" w:cs="宋体"/>
          <w:color w:val="000000" w:themeColor="text1"/>
          <w:sz w:val="24"/>
          <w:szCs w:val="16"/>
          <w:highlight w:val="none"/>
          <w:lang w:val="en-US" w:eastAsia="zh-CN"/>
          <w14:textFill>
            <w14:solidFill>
              <w14:schemeClr w14:val="tx1"/>
            </w14:solidFill>
          </w14:textFill>
        </w:rPr>
        <w:t>11.</w:t>
      </w:r>
      <w:r>
        <w:rPr>
          <w:rFonts w:hint="eastAsia" w:ascii="宋体" w:hAnsi="宋体" w:eastAsia="宋体" w:cs="宋体"/>
          <w:color w:val="000000" w:themeColor="text1"/>
          <w:sz w:val="24"/>
          <w:szCs w:val="16"/>
          <w:highlight w:val="none"/>
          <w14:textFill>
            <w14:solidFill>
              <w14:schemeClr w14:val="tx1"/>
            </w14:solidFill>
          </w14:textFill>
        </w:rPr>
        <w:t>法律法规规定的</w:t>
      </w:r>
      <w:r>
        <w:rPr>
          <w:rFonts w:hint="eastAsia" w:ascii="宋体" w:hAnsi="宋体" w:eastAsia="宋体" w:cs="宋体"/>
          <w:color w:val="000000" w:themeColor="text1"/>
          <w:sz w:val="24"/>
          <w:szCs w:val="16"/>
          <w:highlight w:val="none"/>
          <w:lang w:eastAsia="zh-CN"/>
          <w14:textFill>
            <w14:solidFill>
              <w14:schemeClr w14:val="tx1"/>
            </w14:solidFill>
          </w14:textFill>
        </w:rPr>
        <w:t>其他</w:t>
      </w:r>
      <w:r>
        <w:rPr>
          <w:rFonts w:hint="eastAsia" w:ascii="宋体" w:hAnsi="宋体" w:eastAsia="宋体" w:cs="宋体"/>
          <w:color w:val="000000" w:themeColor="text1"/>
          <w:sz w:val="24"/>
          <w:szCs w:val="16"/>
          <w:highlight w:val="none"/>
          <w14:textFill>
            <w14:solidFill>
              <w14:schemeClr w14:val="tx1"/>
            </w14:solidFill>
          </w14:textFill>
        </w:rPr>
        <w:t>回避</w:t>
      </w:r>
      <w:r>
        <w:rPr>
          <w:rFonts w:hint="eastAsia" w:ascii="宋体" w:hAnsi="宋体" w:eastAsia="宋体" w:cs="宋体"/>
          <w:color w:val="000000" w:themeColor="text1"/>
          <w:sz w:val="24"/>
          <w:szCs w:val="16"/>
          <w:highlight w:val="none"/>
          <w:lang w:eastAsia="zh-CN"/>
          <w14:textFill>
            <w14:solidFill>
              <w14:schemeClr w14:val="tx1"/>
            </w14:solidFill>
          </w14:textFill>
        </w:rPr>
        <w:t>的</w:t>
      </w:r>
      <w:r>
        <w:rPr>
          <w:rFonts w:hint="eastAsia" w:ascii="宋体" w:hAnsi="宋体" w:eastAsia="宋体" w:cs="宋体"/>
          <w:color w:val="000000" w:themeColor="text1"/>
          <w:sz w:val="24"/>
          <w:szCs w:val="16"/>
          <w:highlight w:val="none"/>
          <w14:textFill>
            <w14:solidFill>
              <w14:schemeClr w14:val="tx1"/>
            </w14:solidFill>
          </w14:textFill>
        </w:rPr>
        <w:t>情形。</w:t>
      </w:r>
    </w:p>
    <w:p w14:paraId="793CC37D">
      <w:pPr>
        <w:keepNext w:val="0"/>
        <w:keepLines w:val="0"/>
        <w:pageBreakBefore w:val="0"/>
        <w:widowControl w:val="0"/>
        <w:kinsoku/>
        <w:wordWrap/>
        <w:overflowPunct/>
        <w:topLinePunct w:val="0"/>
        <w:autoSpaceDE/>
        <w:autoSpaceDN/>
        <w:bidi w:val="0"/>
        <w:adjustRightInd w:val="0"/>
        <w:snapToGrid w:val="0"/>
        <w:spacing w:beforeAutospacing="0" w:afterAutospacing="0" w:line="572" w:lineRule="exact"/>
        <w:ind w:firstLine="623"/>
        <w:jc w:val="both"/>
        <w:textAlignment w:val="auto"/>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t>二、配合招标人核实评标专家回避工作</w:t>
      </w:r>
    </w:p>
    <w:p w14:paraId="598C7D81">
      <w:pPr>
        <w:keepNext w:val="0"/>
        <w:keepLines w:val="0"/>
        <w:pageBreakBefore w:val="0"/>
        <w:widowControl w:val="0"/>
        <w:kinsoku/>
        <w:wordWrap/>
        <w:overflowPunct/>
        <w:topLinePunct w:val="0"/>
        <w:autoSpaceDE/>
        <w:autoSpaceDN/>
        <w:bidi w:val="0"/>
        <w:adjustRightInd w:val="0"/>
        <w:snapToGrid w:val="0"/>
        <w:spacing w:beforeAutospacing="0" w:afterAutospacing="0" w:line="572" w:lineRule="exact"/>
        <w:ind w:firstLine="623"/>
        <w:jc w:val="both"/>
        <w:textAlignment w:val="auto"/>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t>如招标人认为须核实评标专家应回避未回避工作，评标专家应配合向招标人提供包含本人姓名及社保缴纳单位的近三年社保信息。</w:t>
      </w:r>
    </w:p>
    <w:p w14:paraId="03110D22">
      <w:pPr>
        <w:keepNext w:val="0"/>
        <w:keepLines w:val="0"/>
        <w:pageBreakBefore w:val="0"/>
        <w:widowControl w:val="0"/>
        <w:kinsoku/>
        <w:wordWrap/>
        <w:overflowPunct/>
        <w:topLinePunct w:val="0"/>
        <w:autoSpaceDE/>
        <w:autoSpaceDN/>
        <w:bidi w:val="0"/>
        <w:adjustRightInd w:val="0"/>
        <w:snapToGrid w:val="0"/>
        <w:spacing w:beforeAutospacing="0" w:afterAutospacing="0" w:line="572" w:lineRule="exact"/>
        <w:ind w:firstLine="623"/>
        <w:jc w:val="both"/>
        <w:textAlignment w:val="auto"/>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16"/>
          <w:highlight w:val="none"/>
          <w:lang w:val="en-US" w:eastAsia="zh-CN" w:bidi="ar-SA"/>
          <w14:textFill>
            <w14:solidFill>
              <w14:schemeClr w14:val="tx1"/>
            </w14:solidFill>
          </w14:textFill>
        </w:rPr>
        <w:t>三、法律责任</w:t>
      </w:r>
    </w:p>
    <w:p w14:paraId="1B3E5832">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sectPr>
          <w:footerReference r:id="rId8" w:type="default"/>
          <w:pgSz w:w="11906" w:h="16838"/>
          <w:pgMar w:top="1440" w:right="1800" w:bottom="1440" w:left="1800" w:header="851" w:footer="1021" w:gutter="0"/>
          <w:pgNumType w:fmt="decimal"/>
          <w:cols w:space="720" w:num="1"/>
          <w:docGrid w:type="linesAndChars" w:linePitch="636" w:charSpace="-1683"/>
        </w:sectPr>
      </w:pPr>
      <w:r>
        <w:rPr>
          <w:rFonts w:hint="eastAsia" w:ascii="宋体" w:hAnsi="宋体" w:eastAsia="宋体" w:cs="宋体"/>
          <w:i w:val="0"/>
          <w:iCs w:val="0"/>
          <w:color w:val="000000" w:themeColor="text1"/>
          <w:kern w:val="0"/>
          <w:sz w:val="24"/>
          <w:szCs w:val="24"/>
          <w:highlight w:val="none"/>
          <w:u w:val="none"/>
          <w:lang w:val="en-US" w:eastAsia="zh-CN" w:bidi="ar-SA"/>
          <w14:textFill>
            <w14:solidFill>
              <w14:schemeClr w14:val="tx1"/>
            </w14:solidFill>
          </w14:textFill>
        </w:rPr>
        <w:t>依据《中华人民共和国招标投标法实施条例》第七十一条、《评标专家和评标专家库管理办法》（国家发展和改革委员会令第26号）第二十九条、《广东省人民政府办公厅关于印发广东省综合评标评审专家和评标评审专家库管理办法的通知》（粤府办〔2020〕1号）第三十三条、《广东省政务服务和数据管理局关于印发广东省综合评标评审专家库专家履职考核管理办法的通知》（粤政数〔2025〕13号）第十条</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等条款规定，对存在应回避未回避行为的评标专家根据该行为造成的后果进行日常考核扣分、责令改正、禁止其在一定期限内参加依法必须进行招标的项目评标、取消评标委员会成员的资格、没收收受的财物，罚款、涉嫌违纪违法犯罪的，及时移送纪检监察及司法机关处理等。</w:t>
      </w:r>
    </w:p>
    <w:p w14:paraId="103A5258">
      <w:pPr>
        <w:bidi w:val="0"/>
        <w:snapToGrid w:val="0"/>
        <w:rPr>
          <w:rFonts w:hint="eastAsia" w:ascii="宋体" w:hAnsi="宋体" w:eastAsia="宋体" w:cs="宋体"/>
          <w:color w:val="000000" w:themeColor="text1"/>
          <w:sz w:val="32"/>
          <w:szCs w:val="20"/>
          <w:highlight w:val="none"/>
          <w:lang w:eastAsia="zh-CN"/>
          <w14:textFill>
            <w14:solidFill>
              <w14:schemeClr w14:val="tx1"/>
            </w14:solidFill>
          </w14:textFill>
        </w:rPr>
      </w:pPr>
      <w:r>
        <w:rPr>
          <w:rFonts w:hint="eastAsia" w:ascii="宋体" w:hAnsi="宋体" w:eastAsia="宋体" w:cs="宋体"/>
          <w:color w:val="000000" w:themeColor="text1"/>
          <w:sz w:val="32"/>
          <w:szCs w:val="20"/>
          <w:highlight w:val="none"/>
          <w:lang w:eastAsia="zh-CN"/>
          <w14:textFill>
            <w14:solidFill>
              <w14:schemeClr w14:val="tx1"/>
            </w14:solidFill>
          </w14:textFill>
        </w:rPr>
        <w:t>附件</w:t>
      </w:r>
      <w:r>
        <w:rPr>
          <w:rFonts w:hint="eastAsia" w:ascii="宋体" w:hAnsi="宋体" w:eastAsia="宋体" w:cs="宋体"/>
          <w:color w:val="000000" w:themeColor="text1"/>
          <w:sz w:val="32"/>
          <w:szCs w:val="20"/>
          <w:highlight w:val="none"/>
          <w:lang w:val="en-US" w:eastAsia="zh-CN"/>
          <w14:textFill>
            <w14:solidFill>
              <w14:schemeClr w14:val="tx1"/>
            </w14:solidFill>
          </w14:textFill>
        </w:rPr>
        <w:t>六</w:t>
      </w:r>
    </w:p>
    <w:p w14:paraId="00C1BCA7">
      <w:pPr>
        <w:keepNext w:val="0"/>
        <w:keepLines w:val="0"/>
        <w:pageBreakBefore w:val="0"/>
        <w:widowControl w:val="0"/>
        <w:kinsoku/>
        <w:wordWrap/>
        <w:overflowPunct/>
        <w:topLinePunct w:val="0"/>
        <w:autoSpaceDE/>
        <w:autoSpaceDN/>
        <w:bidi w:val="0"/>
        <w:adjustRightInd w:val="0"/>
        <w:snapToGrid w:val="0"/>
        <w:spacing w:before="321" w:beforeLines="50" w:beforeAutospacing="0" w:after="321" w:afterLines="50" w:afterAutospacing="0" w:line="572" w:lineRule="exact"/>
        <w:jc w:val="center"/>
        <w:textAlignment w:val="auto"/>
        <w:rPr>
          <w:rFonts w:hint="eastAsia" w:ascii="宋体" w:hAnsi="宋体" w:eastAsia="宋体" w:cs="宋体"/>
          <w:b w:val="0"/>
          <w:bCs w:val="0"/>
          <w:color w:val="000000" w:themeColor="text1"/>
          <w:sz w:val="44"/>
          <w:szCs w:val="56"/>
          <w:highlight w:val="none"/>
          <w:lang w:eastAsia="zh-CN"/>
          <w14:textFill>
            <w14:solidFill>
              <w14:schemeClr w14:val="tx1"/>
            </w14:solidFill>
          </w14:textFill>
        </w:rPr>
      </w:pPr>
      <w:r>
        <w:rPr>
          <w:rFonts w:hint="eastAsia" w:ascii="宋体" w:hAnsi="宋体" w:eastAsia="宋体" w:cs="宋体"/>
          <w:b w:val="0"/>
          <w:bCs w:val="0"/>
          <w:color w:val="000000" w:themeColor="text1"/>
          <w:sz w:val="44"/>
          <w:szCs w:val="56"/>
          <w:highlight w:val="none"/>
          <w14:textFill>
            <w14:solidFill>
              <w14:schemeClr w14:val="tx1"/>
            </w14:solidFill>
          </w14:textFill>
        </w:rPr>
        <w:t>评标委员会成员</w:t>
      </w:r>
      <w:r>
        <w:rPr>
          <w:rFonts w:hint="eastAsia" w:ascii="宋体" w:hAnsi="宋体" w:eastAsia="宋体" w:cs="宋体"/>
          <w:b w:val="0"/>
          <w:bCs w:val="0"/>
          <w:color w:val="000000" w:themeColor="text1"/>
          <w:sz w:val="44"/>
          <w:szCs w:val="56"/>
          <w:highlight w:val="none"/>
          <w:lang w:eastAsia="zh-CN"/>
          <w14:textFill>
            <w14:solidFill>
              <w14:schemeClr w14:val="tx1"/>
            </w14:solidFill>
          </w14:textFill>
        </w:rPr>
        <w:t>声明</w:t>
      </w:r>
    </w:p>
    <w:p w14:paraId="0BC6BB68">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single"/>
          <w:lang w:eastAsia="zh-CN"/>
          <w14:textFill>
            <w14:solidFill>
              <w14:schemeClr w14:val="tx1"/>
            </w14:solidFill>
          </w14:textFill>
        </w:rPr>
        <w:t xml:space="preserve">   （本项目招标人名称）        ：</w:t>
      </w:r>
    </w:p>
    <w:p w14:paraId="2B88E45C">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本人就参与</w:t>
      </w:r>
      <w:r>
        <w:rPr>
          <w:rFonts w:hint="eastAsia" w:ascii="宋体" w:hAnsi="宋体" w:eastAsia="宋体" w:cs="宋体"/>
          <w:color w:val="000000" w:themeColor="text1"/>
          <w:sz w:val="24"/>
          <w:szCs w:val="16"/>
          <w:highlight w:val="none"/>
          <w:u w:val="single"/>
          <w:lang w:eastAsia="zh-CN"/>
          <w14:textFill>
            <w14:solidFill>
              <w14:schemeClr w14:val="tx1"/>
            </w14:solidFill>
          </w14:textFill>
        </w:rPr>
        <w:t xml:space="preserve">                                    </w:t>
      </w:r>
      <w:r>
        <w:rPr>
          <w:rFonts w:hint="eastAsia" w:ascii="宋体" w:hAnsi="宋体" w:eastAsia="宋体" w:cs="宋体"/>
          <w:color w:val="000000" w:themeColor="text1"/>
          <w:sz w:val="24"/>
          <w:szCs w:val="16"/>
          <w:highlight w:val="none"/>
          <w:u w:val="none"/>
          <w:lang w:eastAsia="zh-CN"/>
          <w14:textFill>
            <w14:solidFill>
              <w14:schemeClr w14:val="tx1"/>
            </w14:solidFill>
          </w14:textFill>
        </w:rPr>
        <w:t>项目的评标工作，作出郑重声明：</w:t>
      </w:r>
    </w:p>
    <w:p w14:paraId="42BF97AE">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一、本人严格遵守评标场所管理规定，服从评标场所现场管理。本人完全知悉并自愿在评审过程中通过电子手写签名板产生电子形式的签名，并认同由此方式产生的签名与本人手写、电子签名具有同等效力；本人使用该签名所签署的评标（审）材料及内容均为本人充分理解并符合本人真实意思表示。</w:t>
      </w:r>
    </w:p>
    <w:p w14:paraId="7D87DDA0">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二、本人承诺不存在以下关于评标专家的应回避情形：</w:t>
      </w:r>
    </w:p>
    <w:p w14:paraId="735361A7">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1.3年内曾在参加该招标项目的投标单位中任职（包括一般职务）或担任顾问，配偶或直系亲属在参加该招标项目的投标人中任职或担任顾问，与参加该招标项目的投标人发生过法律纠纷，以及其他可能影响公正评标的情况。其他可能影响公正评标的情形主要有:投标人的上级主管、控股或被控股单位的工作人员;评标委员会成员任职单位与投标人单位为同一法定代表人;评标委员会成员持有某投标单位股份（如：评标专家3年内工作单位与项目业主、代建单位、代理机构、项目前期工作单位、投标人的单位相同）；</w:t>
      </w:r>
    </w:p>
    <w:p w14:paraId="0FCAE7B3">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2.招标项目的招标人或者招标代理机构、投标人单位、项目前期工作单位等退休或离职未满3年的人员；</w:t>
      </w:r>
    </w:p>
    <w:p w14:paraId="6F0F864B">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3.投标人或者投标人主要负责人的近亲属；</w:t>
      </w:r>
    </w:p>
    <w:p w14:paraId="7EC19CF2">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4.项目主管部门或者行政监督部门的人员；</w:t>
      </w:r>
    </w:p>
    <w:p w14:paraId="2F5A8CF4">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5.与本组评标委员会其他成员有亲属关系;</w:t>
      </w:r>
    </w:p>
    <w:p w14:paraId="0FA20422">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6.担任现职国家公务员;</w:t>
      </w:r>
    </w:p>
    <w:p w14:paraId="7E4CBF77">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7.曾因在招标、评标以及其他与招标投标有关活动中从事违法行为而受过行政处罚或刑事处罚的;</w:t>
      </w:r>
    </w:p>
    <w:p w14:paraId="086195BF">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8.接收到任何单位或者个人授意本人倾向或者排斥本项目特定投标人的电话、短信、QQ、微信等；</w:t>
      </w:r>
    </w:p>
    <w:p w14:paraId="6EA934BF">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9.与招标人、招标代理机构、投标人或者其他利害关系人私下接触或者相互串通的；</w:t>
      </w:r>
    </w:p>
    <w:p w14:paraId="1084B5D4">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10.收受本项目投标人、中介人、其他利害关系人的财物或者其他好处；</w:t>
      </w:r>
    </w:p>
    <w:p w14:paraId="3F8F3A26">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11.法律法规规定的其他回避的情形。</w:t>
      </w:r>
    </w:p>
    <w:p w14:paraId="2027D49E">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本人知晓并理解《中华人民共和国招标投标法实施条例》等国家及广东省对发现评标专家涉嫌上述违规的处罚，包括但不限于：日常考核扣分、责令改正、禁止其在一定期限内参加依法必须进行招标的项目评标、取消评标委员会成员的资格、没收收受的财物，罚款、涉嫌违纪违法犯罪的，及时移送纪检监察及司法机关处理等。</w:t>
      </w:r>
    </w:p>
    <w:p w14:paraId="19AE6182">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三、本人将按照本项目招标文件规定的评标标准和方法，客观、公正地对投标文件提出评审意见，不故意拖延评标时间，或者敷衍塞责随意评标，不透露本项目评标委员会成员身份，不透露对本项目投标文件的评审和比较、中标候选人的推荐情况、在评标过程中知悉的国家秘密和商业秘密以及与评标有关的其他情况。在本项目评标过程中，本人不对评标委员会其他成员的独立评审施加不当影响；不接受任何单位或者个人明示或者暗示提出的倾向或者排斥本项目特定投标人的要求；不对评标委员会其他成员或者其他人员发表带有倾向性、误导性的言论或者暗示性的意见建议。</w:t>
      </w:r>
    </w:p>
    <w:p w14:paraId="6260ECF2">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四、评标结束后，如果本项目需要复核或者存在异议的，本人理解招标人将暂缓支付评审酬劳。本人保证在招标人要求的时间内配合招标人进行复核或者异议处理工作，也保证在规定时间内配合招标监督机构依法对本项目评审情况进行的调查。如果本人存在评审错误的，本人将主动改正错误，配合招标人挽回损失。</w:t>
      </w:r>
    </w:p>
    <w:p w14:paraId="4312F3D3">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五、如招标人认为须核实评标专家应回避未回避工作，评标专家应配合向招标人提供包含本人姓名及社保缴纳单位的三年内社保信息。</w:t>
      </w:r>
    </w:p>
    <w:p w14:paraId="1B3E8803">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六、招标监督机构依法处理本项目投诉、信访或者举报时，经调查后确认本人存在评审错误的，本人接受招标人不支付本项目评审酬劳、将本人列入招标人评标专家回避名单等相关处理措施，本人也接受本项目招标监督机构依法对本人进行的处理。</w:t>
      </w:r>
    </w:p>
    <w:p w14:paraId="00642764">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如果本人违反上述声明内容，造成的后果由本人自行承担。</w:t>
      </w:r>
    </w:p>
    <w:p w14:paraId="7160EDFE">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16"/>
          <w:highlight w:val="none"/>
          <w:u w:val="none"/>
          <w:lang w:eastAsia="zh-CN"/>
          <w14:textFill>
            <w14:solidFill>
              <w14:schemeClr w14:val="tx1"/>
            </w14:solidFill>
          </w14:textFill>
        </w:r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 xml:space="preserve"> </w:t>
      </w:r>
    </w:p>
    <w:p w14:paraId="3F291C0B">
      <w:pPr>
        <w:keepNext w:val="0"/>
        <w:keepLines w:val="0"/>
        <w:pageBreakBefore w:val="0"/>
        <w:kinsoku/>
        <w:wordWrap/>
        <w:overflowPunct/>
        <w:topLinePunct w:val="0"/>
        <w:autoSpaceDE/>
        <w:autoSpaceDN/>
        <w:bidi w:val="0"/>
        <w:adjustRightInd w:val="0"/>
        <w:snapToGrid w:val="0"/>
        <w:spacing w:beforeAutospacing="0" w:afterAutospacing="0" w:line="572" w:lineRule="exact"/>
        <w:ind w:firstLine="464" w:firstLineChars="200"/>
        <w:textAlignment w:val="auto"/>
        <w:rPr>
          <w:rFonts w:hint="eastAsia" w:ascii="宋体" w:hAnsi="宋体" w:eastAsia="宋体" w:cs="宋体"/>
          <w:color w:val="000000" w:themeColor="text1"/>
          <w:sz w:val="24"/>
          <w:szCs w:val="20"/>
          <w:highlight w:val="none"/>
          <w:u w:val="none"/>
          <w14:textFill>
            <w14:solidFill>
              <w14:schemeClr w14:val="tx1"/>
            </w14:solidFill>
          </w14:textFill>
        </w:rPr>
        <w:sectPr>
          <w:pgSz w:w="11906" w:h="16838"/>
          <w:pgMar w:top="1587" w:right="1587" w:bottom="1417" w:left="1587" w:header="851" w:footer="1021" w:gutter="0"/>
          <w:pgNumType w:fmt="decimal"/>
          <w:cols w:space="720" w:num="1"/>
          <w:docGrid w:type="linesAndChars" w:linePitch="636" w:charSpace="-1683"/>
        </w:sectPr>
      </w:pPr>
      <w:r>
        <w:rPr>
          <w:rFonts w:hint="eastAsia" w:ascii="宋体" w:hAnsi="宋体" w:eastAsia="宋体" w:cs="宋体"/>
          <w:color w:val="000000" w:themeColor="text1"/>
          <w:sz w:val="24"/>
          <w:szCs w:val="16"/>
          <w:highlight w:val="none"/>
          <w:u w:val="none"/>
          <w:lang w:eastAsia="zh-CN"/>
          <w14:textFill>
            <w14:solidFill>
              <w14:schemeClr w14:val="tx1"/>
            </w14:solidFill>
          </w14:textFill>
        </w:rPr>
        <w:t xml:space="preserve">                             承诺人：（签名）</w:t>
      </w:r>
    </w:p>
    <w:p w14:paraId="3F035E17">
      <w:pPr>
        <w:bidi w:val="0"/>
        <w:snapToGrid w:val="0"/>
        <w:rPr>
          <w:rFonts w:hint="eastAsia" w:ascii="宋体" w:hAnsi="宋体" w:eastAsia="宋体" w:cs="宋体"/>
          <w:color w:val="000000" w:themeColor="text1"/>
          <w:sz w:val="32"/>
          <w:szCs w:val="20"/>
          <w:highlight w:val="none"/>
          <w:lang w:eastAsia="zh-CN"/>
          <w14:textFill>
            <w14:solidFill>
              <w14:schemeClr w14:val="tx1"/>
            </w14:solidFill>
          </w14:textFill>
        </w:rPr>
      </w:pPr>
      <w:r>
        <w:rPr>
          <w:rFonts w:hint="eastAsia" w:ascii="宋体" w:hAnsi="宋体" w:eastAsia="宋体" w:cs="宋体"/>
          <w:color w:val="000000" w:themeColor="text1"/>
          <w:sz w:val="32"/>
          <w:szCs w:val="20"/>
          <w:highlight w:val="none"/>
          <w:lang w:eastAsia="zh-CN"/>
          <w14:textFill>
            <w14:solidFill>
              <w14:schemeClr w14:val="tx1"/>
            </w14:solidFill>
          </w14:textFill>
        </w:rPr>
        <w:t>附件</w:t>
      </w:r>
      <w:r>
        <w:rPr>
          <w:rFonts w:hint="eastAsia" w:ascii="宋体" w:hAnsi="宋体" w:eastAsia="宋体" w:cs="宋体"/>
          <w:color w:val="000000" w:themeColor="text1"/>
          <w:sz w:val="32"/>
          <w:szCs w:val="20"/>
          <w:highlight w:val="none"/>
          <w:lang w:val="en-US" w:eastAsia="zh-CN"/>
          <w14:textFill>
            <w14:solidFill>
              <w14:schemeClr w14:val="tx1"/>
            </w14:solidFill>
          </w14:textFill>
        </w:rPr>
        <w:t>七</w:t>
      </w:r>
    </w:p>
    <w:p w14:paraId="0DFD55B4">
      <w:pPr>
        <w:keepNext w:val="0"/>
        <w:keepLines w:val="0"/>
        <w:pageBreakBefore w:val="0"/>
        <w:widowControl w:val="0"/>
        <w:kinsoku/>
        <w:wordWrap/>
        <w:overflowPunct/>
        <w:topLinePunct w:val="0"/>
        <w:autoSpaceDE/>
        <w:autoSpaceDN/>
        <w:bidi w:val="0"/>
        <w:adjustRightInd w:val="0"/>
        <w:snapToGrid w:val="0"/>
        <w:spacing w:before="321" w:beforeLines="50" w:beforeAutospacing="0" w:after="321" w:afterLines="50" w:afterAutospacing="0" w:line="572" w:lineRule="exact"/>
        <w:jc w:val="center"/>
        <w:textAlignment w:val="auto"/>
        <w:rPr>
          <w:rFonts w:hint="eastAsia" w:ascii="宋体" w:hAnsi="宋体" w:eastAsia="宋体" w:cs="宋体"/>
          <w:b w:val="0"/>
          <w:bCs w:val="0"/>
          <w:color w:val="000000" w:themeColor="text1"/>
          <w:sz w:val="44"/>
          <w:szCs w:val="56"/>
          <w:highlight w:val="none"/>
          <w:lang w:eastAsia="zh-CN"/>
          <w14:textFill>
            <w14:solidFill>
              <w14:schemeClr w14:val="tx1"/>
            </w14:solidFill>
          </w14:textFill>
        </w:rPr>
      </w:pPr>
      <w:r>
        <w:rPr>
          <w:rFonts w:hint="eastAsia" w:ascii="宋体" w:hAnsi="宋体" w:eastAsia="宋体" w:cs="宋体"/>
          <w:b w:val="0"/>
          <w:bCs w:val="0"/>
          <w:color w:val="000000" w:themeColor="text1"/>
          <w:sz w:val="44"/>
          <w:szCs w:val="56"/>
          <w:highlight w:val="none"/>
          <w14:textFill>
            <w14:solidFill>
              <w14:schemeClr w14:val="tx1"/>
            </w14:solidFill>
          </w14:textFill>
        </w:rPr>
        <w:t>评标</w:t>
      </w:r>
      <w:r>
        <w:rPr>
          <w:rFonts w:hint="eastAsia" w:ascii="宋体" w:hAnsi="宋体" w:eastAsia="宋体" w:cs="宋体"/>
          <w:b w:val="0"/>
          <w:bCs w:val="0"/>
          <w:color w:val="000000" w:themeColor="text1"/>
          <w:sz w:val="44"/>
          <w:szCs w:val="56"/>
          <w:highlight w:val="none"/>
          <w:lang w:eastAsia="zh-CN"/>
          <w14:textFill>
            <w14:solidFill>
              <w14:schemeClr w14:val="tx1"/>
            </w14:solidFill>
          </w14:textFill>
        </w:rPr>
        <w:t>记录表</w:t>
      </w:r>
    </w:p>
    <w:p w14:paraId="32A16626">
      <w:pPr>
        <w:widowControl w:val="0"/>
        <w:snapToGrid w:val="0"/>
        <w:spacing w:line="240" w:lineRule="auto"/>
        <w:jc w:val="both"/>
        <w:rPr>
          <w:rFonts w:hint="eastAsia" w:ascii="宋体" w:hAnsi="宋体" w:eastAsia="宋体" w:cs="宋体"/>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8"/>
          <w:szCs w:val="28"/>
          <w:highlight w:val="none"/>
          <w:lang w:val="en-US" w:eastAsia="zh-CN" w:bidi="ar-SA"/>
          <w14:textFill>
            <w14:solidFill>
              <w14:schemeClr w14:val="tx1"/>
            </w14:solidFill>
          </w14:textFill>
        </w:rPr>
        <w:t>记录时间：                                     记录人：</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6"/>
        <w:gridCol w:w="2646"/>
        <w:gridCol w:w="2577"/>
        <w:gridCol w:w="2319"/>
        <w:gridCol w:w="2152"/>
      </w:tblGrid>
      <w:tr w14:paraId="5AF7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noWrap w:val="0"/>
            <w:vAlign w:val="top"/>
          </w:tcPr>
          <w:p w14:paraId="08384245">
            <w:pPr>
              <w:widowControl w:val="0"/>
              <w:snapToGrid w:val="0"/>
              <w:spacing w:line="240" w:lineRule="auto"/>
              <w:jc w:val="center"/>
              <w:rPr>
                <w:rFonts w:hint="eastAsia" w:ascii="宋体" w:hAnsi="宋体" w:eastAsia="宋体" w:cs="宋体"/>
                <w:b/>
                <w:bCs/>
                <w:color w:val="000000" w:themeColor="text1"/>
                <w:kern w:val="0"/>
                <w:sz w:val="28"/>
                <w:szCs w:val="28"/>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0"/>
                <w:sz w:val="28"/>
                <w:szCs w:val="28"/>
                <w:highlight w:val="none"/>
                <w:vertAlign w:val="baseline"/>
                <w:lang w:val="en-US" w:eastAsia="zh-CN" w:bidi="ar-SA"/>
                <w14:textFill>
                  <w14:solidFill>
                    <w14:schemeClr w14:val="tx1"/>
                  </w14:solidFill>
                </w14:textFill>
              </w:rPr>
              <w:t>记录事项</w:t>
            </w:r>
          </w:p>
        </w:tc>
        <w:tc>
          <w:tcPr>
            <w:tcW w:w="2646" w:type="dxa"/>
            <w:noWrap w:val="0"/>
            <w:vAlign w:val="top"/>
          </w:tcPr>
          <w:p w14:paraId="5640BE4C">
            <w:pPr>
              <w:widowControl w:val="0"/>
              <w:snapToGrid w:val="0"/>
              <w:spacing w:line="240" w:lineRule="auto"/>
              <w:jc w:val="center"/>
              <w:rPr>
                <w:rFonts w:hint="eastAsia" w:ascii="宋体" w:hAnsi="宋体" w:eastAsia="宋体" w:cs="宋体"/>
                <w:b/>
                <w:bCs/>
                <w:color w:val="000000" w:themeColor="text1"/>
                <w:kern w:val="0"/>
                <w:sz w:val="28"/>
                <w:szCs w:val="28"/>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0"/>
                <w:sz w:val="28"/>
                <w:szCs w:val="28"/>
                <w:highlight w:val="none"/>
                <w:vertAlign w:val="baseline"/>
                <w:lang w:val="en-US" w:eastAsia="zh-CN" w:bidi="ar-SA"/>
                <w14:textFill>
                  <w14:solidFill>
                    <w14:schemeClr w14:val="tx1"/>
                  </w14:solidFill>
                </w14:textFill>
              </w:rPr>
              <w:t>第一中标候选人</w:t>
            </w:r>
          </w:p>
        </w:tc>
        <w:tc>
          <w:tcPr>
            <w:tcW w:w="2577" w:type="dxa"/>
            <w:noWrap w:val="0"/>
            <w:vAlign w:val="top"/>
          </w:tcPr>
          <w:p w14:paraId="54397934">
            <w:pPr>
              <w:widowControl w:val="0"/>
              <w:snapToGrid w:val="0"/>
              <w:spacing w:line="240" w:lineRule="auto"/>
              <w:jc w:val="center"/>
              <w:rPr>
                <w:rFonts w:hint="eastAsia" w:ascii="宋体" w:hAnsi="宋体" w:eastAsia="宋体" w:cs="宋体"/>
                <w:b/>
                <w:bCs/>
                <w:color w:val="000000" w:themeColor="text1"/>
                <w:kern w:val="0"/>
                <w:sz w:val="28"/>
                <w:szCs w:val="28"/>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0"/>
                <w:sz w:val="28"/>
                <w:szCs w:val="28"/>
                <w:highlight w:val="none"/>
                <w:vertAlign w:val="baseline"/>
                <w:lang w:val="en-US" w:eastAsia="zh-CN" w:bidi="ar-SA"/>
                <w14:textFill>
                  <w14:solidFill>
                    <w14:schemeClr w14:val="tx1"/>
                  </w14:solidFill>
                </w14:textFill>
              </w:rPr>
              <w:t>第二中标候选人</w:t>
            </w:r>
          </w:p>
        </w:tc>
        <w:tc>
          <w:tcPr>
            <w:tcW w:w="2319" w:type="dxa"/>
            <w:noWrap w:val="0"/>
            <w:vAlign w:val="top"/>
          </w:tcPr>
          <w:p w14:paraId="30316783">
            <w:pPr>
              <w:widowControl w:val="0"/>
              <w:snapToGrid w:val="0"/>
              <w:spacing w:line="240" w:lineRule="auto"/>
              <w:jc w:val="center"/>
              <w:rPr>
                <w:rFonts w:hint="eastAsia" w:ascii="宋体" w:hAnsi="宋体" w:eastAsia="宋体" w:cs="宋体"/>
                <w:b/>
                <w:bCs/>
                <w:color w:val="000000" w:themeColor="text1"/>
                <w:kern w:val="0"/>
                <w:sz w:val="28"/>
                <w:szCs w:val="28"/>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0"/>
                <w:sz w:val="28"/>
                <w:szCs w:val="28"/>
                <w:highlight w:val="none"/>
                <w:vertAlign w:val="baseline"/>
                <w:lang w:val="en-US" w:eastAsia="zh-CN" w:bidi="ar-SA"/>
                <w14:textFill>
                  <w14:solidFill>
                    <w14:schemeClr w14:val="tx1"/>
                  </w14:solidFill>
                </w14:textFill>
              </w:rPr>
              <w:t>第三中标候选人</w:t>
            </w:r>
          </w:p>
        </w:tc>
        <w:tc>
          <w:tcPr>
            <w:tcW w:w="2152" w:type="dxa"/>
            <w:noWrap w:val="0"/>
            <w:vAlign w:val="top"/>
          </w:tcPr>
          <w:p w14:paraId="62093102">
            <w:pPr>
              <w:widowControl w:val="0"/>
              <w:snapToGrid w:val="0"/>
              <w:spacing w:line="240" w:lineRule="auto"/>
              <w:jc w:val="center"/>
              <w:rPr>
                <w:rFonts w:hint="eastAsia" w:ascii="宋体" w:hAnsi="宋体" w:eastAsia="宋体" w:cs="宋体"/>
                <w:b/>
                <w:bCs/>
                <w:color w:val="000000" w:themeColor="text1"/>
                <w:kern w:val="0"/>
                <w:sz w:val="28"/>
                <w:szCs w:val="28"/>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0"/>
                <w:sz w:val="28"/>
                <w:szCs w:val="28"/>
                <w:highlight w:val="none"/>
                <w:vertAlign w:val="baseline"/>
                <w:lang w:val="en-US" w:eastAsia="zh-CN" w:bidi="ar-SA"/>
                <w14:textFill>
                  <w14:solidFill>
                    <w14:schemeClr w14:val="tx1"/>
                  </w14:solidFill>
                </w14:textFill>
              </w:rPr>
              <w:t>备注</w:t>
            </w:r>
          </w:p>
        </w:tc>
      </w:tr>
      <w:tr w14:paraId="3533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noWrap w:val="0"/>
            <w:vAlign w:val="top"/>
          </w:tcPr>
          <w:p w14:paraId="1C91D147">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t>投标文件优点</w:t>
            </w:r>
          </w:p>
        </w:tc>
        <w:tc>
          <w:tcPr>
            <w:tcW w:w="2646" w:type="dxa"/>
            <w:noWrap w:val="0"/>
            <w:vAlign w:val="top"/>
          </w:tcPr>
          <w:p w14:paraId="4ED27EF0">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577" w:type="dxa"/>
            <w:noWrap w:val="0"/>
            <w:vAlign w:val="top"/>
          </w:tcPr>
          <w:p w14:paraId="2AE954B4">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319" w:type="dxa"/>
            <w:noWrap w:val="0"/>
            <w:vAlign w:val="top"/>
          </w:tcPr>
          <w:p w14:paraId="610F738F">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152" w:type="dxa"/>
            <w:noWrap w:val="0"/>
            <w:vAlign w:val="top"/>
          </w:tcPr>
          <w:p w14:paraId="7F7CC307">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r>
      <w:tr w14:paraId="6E25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noWrap w:val="0"/>
            <w:vAlign w:val="top"/>
          </w:tcPr>
          <w:p w14:paraId="2803039D">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t>投标文件存在的缺陷</w:t>
            </w:r>
          </w:p>
        </w:tc>
        <w:tc>
          <w:tcPr>
            <w:tcW w:w="2646" w:type="dxa"/>
            <w:noWrap w:val="0"/>
            <w:vAlign w:val="top"/>
          </w:tcPr>
          <w:p w14:paraId="4CC9E89E">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577" w:type="dxa"/>
            <w:noWrap w:val="0"/>
            <w:vAlign w:val="top"/>
          </w:tcPr>
          <w:p w14:paraId="2ACD0B95">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319" w:type="dxa"/>
            <w:noWrap w:val="0"/>
            <w:vAlign w:val="top"/>
          </w:tcPr>
          <w:p w14:paraId="6032B983">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152" w:type="dxa"/>
            <w:noWrap w:val="0"/>
            <w:vAlign w:val="top"/>
          </w:tcPr>
          <w:p w14:paraId="6E3DF3F0">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r>
      <w:tr w14:paraId="61AC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noWrap w:val="0"/>
            <w:vAlign w:val="top"/>
          </w:tcPr>
          <w:p w14:paraId="3356F0D9">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t>签订合同前需注意的事项</w:t>
            </w:r>
          </w:p>
        </w:tc>
        <w:tc>
          <w:tcPr>
            <w:tcW w:w="2646" w:type="dxa"/>
            <w:noWrap w:val="0"/>
            <w:vAlign w:val="top"/>
          </w:tcPr>
          <w:p w14:paraId="661ADA62">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577" w:type="dxa"/>
            <w:noWrap w:val="0"/>
            <w:vAlign w:val="top"/>
          </w:tcPr>
          <w:p w14:paraId="028C5F23">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319" w:type="dxa"/>
            <w:noWrap w:val="0"/>
            <w:vAlign w:val="top"/>
          </w:tcPr>
          <w:p w14:paraId="25D77CB6">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152" w:type="dxa"/>
            <w:noWrap w:val="0"/>
            <w:vAlign w:val="top"/>
          </w:tcPr>
          <w:p w14:paraId="14192361">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r>
      <w:tr w14:paraId="635B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476" w:type="dxa"/>
            <w:noWrap w:val="0"/>
            <w:vAlign w:val="top"/>
          </w:tcPr>
          <w:p w14:paraId="1F7B1A0D">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t>签订合同前需澄清的事项</w:t>
            </w:r>
          </w:p>
        </w:tc>
        <w:tc>
          <w:tcPr>
            <w:tcW w:w="2646" w:type="dxa"/>
            <w:noWrap w:val="0"/>
            <w:vAlign w:val="top"/>
          </w:tcPr>
          <w:p w14:paraId="426E80C0">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577" w:type="dxa"/>
            <w:noWrap w:val="0"/>
            <w:vAlign w:val="top"/>
          </w:tcPr>
          <w:p w14:paraId="6A8D18A7">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319" w:type="dxa"/>
            <w:noWrap w:val="0"/>
            <w:vAlign w:val="top"/>
          </w:tcPr>
          <w:p w14:paraId="1EFBD3C9">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152" w:type="dxa"/>
            <w:noWrap w:val="0"/>
            <w:vAlign w:val="top"/>
          </w:tcPr>
          <w:p w14:paraId="4AA6FFEF">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r>
      <w:tr w14:paraId="78F0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noWrap w:val="0"/>
            <w:vAlign w:val="top"/>
          </w:tcPr>
          <w:p w14:paraId="1A459438">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宋体" w:hAnsi="宋体" w:eastAsia="宋体" w:cs="宋体"/>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8"/>
                <w:szCs w:val="28"/>
                <w:highlight w:val="none"/>
                <w:lang w:val="en-US" w:eastAsia="zh-CN" w:bidi="ar-SA"/>
                <w14:textFill>
                  <w14:solidFill>
                    <w14:schemeClr w14:val="tx1"/>
                  </w14:solidFill>
                </w14:textFill>
              </w:rPr>
              <w:t>评标委员会成员对评审意见或中标候选人名单存在不同意见及理由</w:t>
            </w:r>
          </w:p>
        </w:tc>
        <w:tc>
          <w:tcPr>
            <w:tcW w:w="2646" w:type="dxa"/>
            <w:noWrap w:val="0"/>
            <w:vAlign w:val="top"/>
          </w:tcPr>
          <w:p w14:paraId="31601EA4">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577" w:type="dxa"/>
            <w:noWrap w:val="0"/>
            <w:vAlign w:val="top"/>
          </w:tcPr>
          <w:p w14:paraId="0E26ECD5">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319" w:type="dxa"/>
            <w:noWrap w:val="0"/>
            <w:vAlign w:val="top"/>
          </w:tcPr>
          <w:p w14:paraId="591DEB86">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152" w:type="dxa"/>
            <w:noWrap w:val="0"/>
            <w:vAlign w:val="top"/>
          </w:tcPr>
          <w:p w14:paraId="63136582">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r>
      <w:tr w14:paraId="3633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noWrap w:val="0"/>
            <w:vAlign w:val="top"/>
          </w:tcPr>
          <w:p w14:paraId="67905450">
            <w:pPr>
              <w:widowControl w:val="0"/>
              <w:snapToGrid w:val="0"/>
              <w:spacing w:line="240" w:lineRule="auto"/>
              <w:jc w:val="both"/>
              <w:rPr>
                <w:rFonts w:hint="eastAsia" w:ascii="宋体" w:hAnsi="宋体" w:eastAsia="宋体" w:cs="宋体"/>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8"/>
                <w:szCs w:val="28"/>
                <w:highlight w:val="none"/>
                <w:lang w:val="en-US" w:eastAsia="zh-CN" w:bidi="ar-SA"/>
                <w14:textFill>
                  <w14:solidFill>
                    <w14:schemeClr w14:val="tx1"/>
                  </w14:solidFill>
                </w14:textFill>
              </w:rPr>
              <w:t>其他</w:t>
            </w:r>
          </w:p>
        </w:tc>
        <w:tc>
          <w:tcPr>
            <w:tcW w:w="2646" w:type="dxa"/>
            <w:noWrap w:val="0"/>
            <w:vAlign w:val="top"/>
          </w:tcPr>
          <w:p w14:paraId="5268A57E">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577" w:type="dxa"/>
            <w:noWrap w:val="0"/>
            <w:vAlign w:val="top"/>
          </w:tcPr>
          <w:p w14:paraId="6800CF03">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319" w:type="dxa"/>
            <w:noWrap w:val="0"/>
            <w:vAlign w:val="top"/>
          </w:tcPr>
          <w:p w14:paraId="355162E5">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c>
          <w:tcPr>
            <w:tcW w:w="2152" w:type="dxa"/>
            <w:noWrap w:val="0"/>
            <w:vAlign w:val="top"/>
          </w:tcPr>
          <w:p w14:paraId="554F5072">
            <w:pPr>
              <w:widowControl w:val="0"/>
              <w:snapToGrid w:val="0"/>
              <w:spacing w:line="240" w:lineRule="auto"/>
              <w:jc w:val="both"/>
              <w:rPr>
                <w:rFonts w:hint="eastAsia" w:ascii="宋体" w:hAnsi="宋体" w:eastAsia="宋体" w:cs="宋体"/>
                <w:color w:val="000000" w:themeColor="text1"/>
                <w:kern w:val="0"/>
                <w:sz w:val="28"/>
                <w:szCs w:val="28"/>
                <w:highlight w:val="none"/>
                <w:vertAlign w:val="baseline"/>
                <w:lang w:val="en-US" w:eastAsia="zh-CN" w:bidi="ar-SA"/>
                <w14:textFill>
                  <w14:solidFill>
                    <w14:schemeClr w14:val="tx1"/>
                  </w14:solidFill>
                </w14:textFill>
              </w:rPr>
            </w:pPr>
          </w:p>
        </w:tc>
      </w:tr>
    </w:tbl>
    <w:p w14:paraId="449DD50F">
      <w:pPr>
        <w:snapToGrid w:val="0"/>
        <w:rPr>
          <w:rFonts w:hint="eastAsia" w:ascii="宋体" w:hAnsi="宋体" w:eastAsia="宋体" w:cs="宋体"/>
          <w:color w:val="000000" w:themeColor="text1"/>
          <w:highlight w:val="none"/>
          <w14:textFill>
            <w14:solidFill>
              <w14:schemeClr w14:val="tx1"/>
            </w14:solidFill>
          </w14:textFill>
        </w:rPr>
        <w:sectPr>
          <w:pgSz w:w="16838" w:h="11906" w:orient="landscape"/>
          <w:pgMar w:top="1800" w:right="1440" w:bottom="1800" w:left="1440" w:header="851" w:footer="1021" w:gutter="0"/>
          <w:pgNumType w:fmt="decimal"/>
          <w:cols w:space="720" w:num="1"/>
          <w:docGrid w:type="linesAndChars" w:linePitch="636" w:charSpace="-1683"/>
        </w:sectPr>
      </w:pPr>
    </w:p>
    <w:p w14:paraId="3897D9B2">
      <w:pPr>
        <w:bidi w:val="0"/>
        <w:snapToGrid w:val="0"/>
        <w:rPr>
          <w:rFonts w:hint="eastAsia" w:ascii="宋体" w:hAnsi="宋体" w:eastAsia="宋体" w:cs="宋体"/>
          <w:color w:val="000000" w:themeColor="text1"/>
          <w:sz w:val="32"/>
          <w:szCs w:val="20"/>
          <w:highlight w:val="none"/>
          <w:lang w:eastAsia="zh-CN"/>
          <w14:textFill>
            <w14:solidFill>
              <w14:schemeClr w14:val="tx1"/>
            </w14:solidFill>
          </w14:textFill>
        </w:rPr>
      </w:pPr>
      <w:r>
        <w:rPr>
          <w:rFonts w:hint="eastAsia" w:ascii="宋体" w:hAnsi="宋体" w:eastAsia="宋体" w:cs="宋体"/>
          <w:color w:val="000000" w:themeColor="text1"/>
          <w:sz w:val="32"/>
          <w:szCs w:val="20"/>
          <w:highlight w:val="none"/>
          <w:lang w:eastAsia="zh-CN"/>
          <w14:textFill>
            <w14:solidFill>
              <w14:schemeClr w14:val="tx1"/>
            </w14:solidFill>
          </w14:textFill>
        </w:rPr>
        <w:t>附件</w:t>
      </w:r>
      <w:r>
        <w:rPr>
          <w:rFonts w:hint="eastAsia" w:ascii="宋体" w:hAnsi="宋体" w:eastAsia="宋体" w:cs="宋体"/>
          <w:color w:val="000000" w:themeColor="text1"/>
          <w:sz w:val="32"/>
          <w:szCs w:val="20"/>
          <w:highlight w:val="none"/>
          <w:lang w:val="en-US" w:eastAsia="zh-CN"/>
          <w14:textFill>
            <w14:solidFill>
              <w14:schemeClr w14:val="tx1"/>
            </w14:solidFill>
          </w14:textFill>
        </w:rPr>
        <w:t>八</w:t>
      </w:r>
    </w:p>
    <w:p w14:paraId="2107E7BF">
      <w:pPr>
        <w:keepNext w:val="0"/>
        <w:keepLines w:val="0"/>
        <w:pageBreakBefore w:val="0"/>
        <w:widowControl w:val="0"/>
        <w:kinsoku/>
        <w:wordWrap/>
        <w:overflowPunct/>
        <w:topLinePunct w:val="0"/>
        <w:autoSpaceDE/>
        <w:autoSpaceDN/>
        <w:bidi w:val="0"/>
        <w:adjustRightInd w:val="0"/>
        <w:snapToGrid w:val="0"/>
        <w:spacing w:before="321" w:beforeLines="50" w:beforeAutospacing="0" w:after="321" w:afterLines="50" w:afterAutospacing="0" w:line="572" w:lineRule="exact"/>
        <w:jc w:val="center"/>
        <w:textAlignment w:val="auto"/>
        <w:rPr>
          <w:rFonts w:hint="eastAsia" w:ascii="宋体" w:hAnsi="宋体" w:eastAsia="宋体" w:cs="宋体"/>
          <w:b w:val="0"/>
          <w:bCs w:val="0"/>
          <w:color w:val="000000" w:themeColor="text1"/>
          <w:sz w:val="44"/>
          <w:szCs w:val="56"/>
          <w:highlight w:val="none"/>
          <w14:textFill>
            <w14:solidFill>
              <w14:schemeClr w14:val="tx1"/>
            </w14:solidFill>
          </w14:textFill>
        </w:rPr>
      </w:pPr>
      <w:r>
        <w:rPr>
          <w:rFonts w:hint="eastAsia" w:ascii="宋体" w:hAnsi="宋体" w:eastAsia="宋体" w:cs="宋体"/>
          <w:b w:val="0"/>
          <w:bCs w:val="0"/>
          <w:color w:val="000000" w:themeColor="text1"/>
          <w:sz w:val="44"/>
          <w:szCs w:val="56"/>
          <w:highlight w:val="none"/>
          <w:lang w:val="en-US" w:eastAsia="zh-CN"/>
          <w14:textFill>
            <w14:solidFill>
              <w14:schemeClr w14:val="tx1"/>
            </w14:solidFill>
          </w14:textFill>
        </w:rPr>
        <w:t>评标</w:t>
      </w:r>
      <w:r>
        <w:rPr>
          <w:rFonts w:hint="eastAsia" w:ascii="宋体" w:hAnsi="宋体" w:eastAsia="宋体" w:cs="宋体"/>
          <w:b w:val="0"/>
          <w:bCs w:val="0"/>
          <w:color w:val="000000" w:themeColor="text1"/>
          <w:sz w:val="44"/>
          <w:szCs w:val="56"/>
          <w:highlight w:val="none"/>
          <w14:textFill>
            <w14:solidFill>
              <w14:schemeClr w14:val="tx1"/>
            </w14:solidFill>
          </w14:textFill>
        </w:rPr>
        <w:t>专家履职负面行为信息记录表</w:t>
      </w:r>
    </w:p>
    <w:tbl>
      <w:tblPr>
        <w:tblStyle w:val="39"/>
        <w:tblW w:w="8938"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364"/>
        <w:gridCol w:w="1553"/>
        <w:gridCol w:w="1178"/>
        <w:gridCol w:w="1427"/>
        <w:gridCol w:w="2252"/>
      </w:tblGrid>
      <w:tr w14:paraId="49FD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164" w:type="dxa"/>
            <w:noWrap w:val="0"/>
            <w:vAlign w:val="center"/>
          </w:tcPr>
          <w:p w14:paraId="7059B564">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项目名称</w:t>
            </w:r>
          </w:p>
        </w:tc>
        <w:tc>
          <w:tcPr>
            <w:tcW w:w="4095" w:type="dxa"/>
            <w:gridSpan w:val="3"/>
            <w:noWrap w:val="0"/>
            <w:vAlign w:val="center"/>
          </w:tcPr>
          <w:p w14:paraId="1D1CD52E">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c>
          <w:tcPr>
            <w:tcW w:w="1427" w:type="dxa"/>
            <w:noWrap w:val="0"/>
            <w:vAlign w:val="center"/>
          </w:tcPr>
          <w:p w14:paraId="3EFD435C">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项目编号</w:t>
            </w:r>
          </w:p>
        </w:tc>
        <w:tc>
          <w:tcPr>
            <w:tcW w:w="2252" w:type="dxa"/>
            <w:noWrap w:val="0"/>
            <w:vAlign w:val="center"/>
          </w:tcPr>
          <w:p w14:paraId="33AE99DA">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0520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164" w:type="dxa"/>
            <w:noWrap w:val="0"/>
            <w:vAlign w:val="center"/>
          </w:tcPr>
          <w:p w14:paraId="1E6A80F1">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专家姓名</w:t>
            </w:r>
          </w:p>
        </w:tc>
        <w:tc>
          <w:tcPr>
            <w:tcW w:w="1364" w:type="dxa"/>
            <w:noWrap w:val="0"/>
            <w:vAlign w:val="center"/>
          </w:tcPr>
          <w:p w14:paraId="3C1995F5">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c>
          <w:tcPr>
            <w:tcW w:w="1553" w:type="dxa"/>
            <w:noWrap w:val="0"/>
            <w:vAlign w:val="center"/>
          </w:tcPr>
          <w:p w14:paraId="309F3670">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b w:val="0"/>
                <w:bCs/>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t>是否专家</w:t>
            </w:r>
          </w:p>
          <w:p w14:paraId="4139B578">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b w:val="0"/>
                <w:bCs/>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t>组长</w:t>
            </w:r>
          </w:p>
        </w:tc>
        <w:tc>
          <w:tcPr>
            <w:tcW w:w="1178" w:type="dxa"/>
            <w:noWrap w:val="0"/>
            <w:vAlign w:val="center"/>
          </w:tcPr>
          <w:p w14:paraId="696D2867">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c>
          <w:tcPr>
            <w:tcW w:w="1427" w:type="dxa"/>
            <w:noWrap w:val="0"/>
            <w:vAlign w:val="center"/>
          </w:tcPr>
          <w:p w14:paraId="4F432C26">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身份证号码</w:t>
            </w:r>
          </w:p>
        </w:tc>
        <w:tc>
          <w:tcPr>
            <w:tcW w:w="2252" w:type="dxa"/>
            <w:noWrap w:val="0"/>
            <w:vAlign w:val="center"/>
          </w:tcPr>
          <w:p w14:paraId="4BE6D5C3">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3799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164" w:type="dxa"/>
            <w:noWrap w:val="0"/>
            <w:vAlign w:val="center"/>
          </w:tcPr>
          <w:p w14:paraId="6ADFFFD6">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填表单位</w:t>
            </w:r>
          </w:p>
        </w:tc>
        <w:tc>
          <w:tcPr>
            <w:tcW w:w="4095" w:type="dxa"/>
            <w:gridSpan w:val="3"/>
            <w:noWrap w:val="0"/>
            <w:vAlign w:val="center"/>
          </w:tcPr>
          <w:p w14:paraId="5671CE8A">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c>
          <w:tcPr>
            <w:tcW w:w="1427" w:type="dxa"/>
            <w:noWrap w:val="0"/>
            <w:vAlign w:val="center"/>
          </w:tcPr>
          <w:p w14:paraId="0A7ED6B4">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填表日期</w:t>
            </w:r>
          </w:p>
        </w:tc>
        <w:tc>
          <w:tcPr>
            <w:tcW w:w="2252" w:type="dxa"/>
            <w:noWrap w:val="0"/>
            <w:vAlign w:val="center"/>
          </w:tcPr>
          <w:p w14:paraId="2810D69E">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0AD2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164" w:type="dxa"/>
            <w:noWrap w:val="0"/>
            <w:vAlign w:val="center"/>
          </w:tcPr>
          <w:p w14:paraId="258BFAAA">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序号</w:t>
            </w:r>
          </w:p>
        </w:tc>
        <w:tc>
          <w:tcPr>
            <w:tcW w:w="4095" w:type="dxa"/>
            <w:gridSpan w:val="3"/>
            <w:noWrap w:val="0"/>
            <w:vAlign w:val="center"/>
          </w:tcPr>
          <w:p w14:paraId="30390951">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负面行为情形</w:t>
            </w:r>
          </w:p>
        </w:tc>
        <w:tc>
          <w:tcPr>
            <w:tcW w:w="1427" w:type="dxa"/>
            <w:noWrap w:val="0"/>
            <w:vAlign w:val="center"/>
          </w:tcPr>
          <w:p w14:paraId="36275016">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是否存在负面行为</w:t>
            </w:r>
          </w:p>
        </w:tc>
        <w:tc>
          <w:tcPr>
            <w:tcW w:w="2252" w:type="dxa"/>
            <w:noWrap w:val="0"/>
            <w:vAlign w:val="center"/>
          </w:tcPr>
          <w:p w14:paraId="4B73F81E">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详细情况描述</w:t>
            </w:r>
          </w:p>
          <w:p w14:paraId="0875A86B">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（如有）</w:t>
            </w:r>
          </w:p>
        </w:tc>
      </w:tr>
      <w:tr w14:paraId="72C5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1164" w:type="dxa"/>
            <w:noWrap w:val="0"/>
            <w:vAlign w:val="center"/>
          </w:tcPr>
          <w:p w14:paraId="15BBE884">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1</w:t>
            </w:r>
          </w:p>
        </w:tc>
        <w:tc>
          <w:tcPr>
            <w:tcW w:w="4095" w:type="dxa"/>
            <w:gridSpan w:val="3"/>
            <w:noWrap w:val="0"/>
            <w:vAlign w:val="center"/>
          </w:tcPr>
          <w:p w14:paraId="282885B6">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t>个人信息变更后10个工作日内未在省专家库专家桌面系统予以变更完善，被核查发现，影响评标工作的。</w:t>
            </w:r>
          </w:p>
        </w:tc>
        <w:tc>
          <w:tcPr>
            <w:tcW w:w="1427" w:type="dxa"/>
            <w:noWrap w:val="0"/>
            <w:vAlign w:val="center"/>
          </w:tcPr>
          <w:p w14:paraId="19C851CC">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615D793B">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5A6D30C4">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77C4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64" w:type="dxa"/>
            <w:noWrap w:val="0"/>
            <w:vAlign w:val="center"/>
          </w:tcPr>
          <w:p w14:paraId="174F85A2">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2</w:t>
            </w:r>
          </w:p>
        </w:tc>
        <w:tc>
          <w:tcPr>
            <w:tcW w:w="4095" w:type="dxa"/>
            <w:gridSpan w:val="3"/>
            <w:noWrap w:val="0"/>
            <w:vAlign w:val="center"/>
          </w:tcPr>
          <w:p w14:paraId="6BD35FFE">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不配合入场身份核验录检的。</w:t>
            </w:r>
          </w:p>
        </w:tc>
        <w:tc>
          <w:tcPr>
            <w:tcW w:w="1427" w:type="dxa"/>
            <w:noWrap w:val="0"/>
            <w:vAlign w:val="center"/>
          </w:tcPr>
          <w:p w14:paraId="58483DC5">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7F17F6B9">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40082F70">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1F00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64" w:type="dxa"/>
            <w:noWrap w:val="0"/>
            <w:vAlign w:val="center"/>
          </w:tcPr>
          <w:p w14:paraId="3ABE5516">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3</w:t>
            </w:r>
          </w:p>
        </w:tc>
        <w:tc>
          <w:tcPr>
            <w:tcW w:w="4095" w:type="dxa"/>
            <w:gridSpan w:val="3"/>
            <w:noWrap w:val="0"/>
            <w:vAlign w:val="center"/>
          </w:tcPr>
          <w:p w14:paraId="1B3FE14C">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不按要求存放或违规使用通讯工具的。</w:t>
            </w:r>
          </w:p>
        </w:tc>
        <w:tc>
          <w:tcPr>
            <w:tcW w:w="1427" w:type="dxa"/>
            <w:noWrap w:val="0"/>
            <w:vAlign w:val="center"/>
          </w:tcPr>
          <w:p w14:paraId="2C258298">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38D5798C">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43F64C0D">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10E8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164" w:type="dxa"/>
            <w:noWrap w:val="0"/>
            <w:vAlign w:val="center"/>
          </w:tcPr>
          <w:p w14:paraId="0ECE40EE">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4</w:t>
            </w:r>
          </w:p>
        </w:tc>
        <w:tc>
          <w:tcPr>
            <w:tcW w:w="4095" w:type="dxa"/>
            <w:gridSpan w:val="3"/>
            <w:noWrap w:val="0"/>
            <w:vAlign w:val="center"/>
          </w:tcPr>
          <w:p w14:paraId="6486403E">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无正当理由不参加评标评审活动且未按要求办理请假手续的。</w:t>
            </w:r>
          </w:p>
        </w:tc>
        <w:tc>
          <w:tcPr>
            <w:tcW w:w="1427" w:type="dxa"/>
            <w:noWrap w:val="0"/>
            <w:vAlign w:val="center"/>
          </w:tcPr>
          <w:p w14:paraId="62A286D5">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2986B9C5">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6AFB63B2">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2010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164" w:type="dxa"/>
            <w:noWrap w:val="0"/>
            <w:vAlign w:val="center"/>
          </w:tcPr>
          <w:p w14:paraId="5F535311">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5</w:t>
            </w:r>
          </w:p>
        </w:tc>
        <w:tc>
          <w:tcPr>
            <w:tcW w:w="4095" w:type="dxa"/>
            <w:gridSpan w:val="3"/>
            <w:noWrap w:val="0"/>
            <w:vAlign w:val="center"/>
          </w:tcPr>
          <w:p w14:paraId="05B54CA5">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不按时参加评标评审，超过集合时间15分钟以上到达评标区的。</w:t>
            </w:r>
          </w:p>
        </w:tc>
        <w:tc>
          <w:tcPr>
            <w:tcW w:w="1427" w:type="dxa"/>
            <w:noWrap w:val="0"/>
            <w:vAlign w:val="center"/>
          </w:tcPr>
          <w:p w14:paraId="648B0106">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170748BA">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3EFC06CF">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3034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164" w:type="dxa"/>
            <w:noWrap w:val="0"/>
            <w:vAlign w:val="center"/>
          </w:tcPr>
          <w:p w14:paraId="7B6DA1B3">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6</w:t>
            </w:r>
          </w:p>
        </w:tc>
        <w:tc>
          <w:tcPr>
            <w:tcW w:w="4095" w:type="dxa"/>
            <w:gridSpan w:val="3"/>
            <w:noWrap w:val="0"/>
            <w:vAlign w:val="center"/>
          </w:tcPr>
          <w:p w14:paraId="37DF2E66">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不熟悉电子化评标操作严重影响评标的。</w:t>
            </w:r>
          </w:p>
        </w:tc>
        <w:tc>
          <w:tcPr>
            <w:tcW w:w="1427" w:type="dxa"/>
            <w:noWrap w:val="0"/>
            <w:vAlign w:val="center"/>
          </w:tcPr>
          <w:p w14:paraId="1BE12CB3">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2DDA11A8">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5415BE34">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6E5B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164" w:type="dxa"/>
            <w:noWrap w:val="0"/>
            <w:vAlign w:val="center"/>
          </w:tcPr>
          <w:p w14:paraId="72F3139A">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7</w:t>
            </w:r>
          </w:p>
        </w:tc>
        <w:tc>
          <w:tcPr>
            <w:tcW w:w="4095" w:type="dxa"/>
            <w:gridSpan w:val="3"/>
            <w:noWrap w:val="0"/>
            <w:vAlign w:val="center"/>
          </w:tcPr>
          <w:p w14:paraId="762C9940">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其他不遵守评标评审现场管理规定的情形。</w:t>
            </w:r>
          </w:p>
        </w:tc>
        <w:tc>
          <w:tcPr>
            <w:tcW w:w="1427" w:type="dxa"/>
            <w:noWrap w:val="0"/>
            <w:vAlign w:val="center"/>
          </w:tcPr>
          <w:p w14:paraId="79F04124">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13912A01">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1785E331">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5F67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1164" w:type="dxa"/>
            <w:noWrap w:val="0"/>
            <w:vAlign w:val="center"/>
          </w:tcPr>
          <w:p w14:paraId="40D8E037">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8</w:t>
            </w:r>
          </w:p>
        </w:tc>
        <w:tc>
          <w:tcPr>
            <w:tcW w:w="4095" w:type="dxa"/>
            <w:gridSpan w:val="3"/>
            <w:noWrap w:val="0"/>
            <w:vAlign w:val="center"/>
          </w:tcPr>
          <w:p w14:paraId="6B47A680">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在评标评审过程中无故要求离场或私自离岗，影响评标评审工作整体进展的。</w:t>
            </w:r>
          </w:p>
        </w:tc>
        <w:tc>
          <w:tcPr>
            <w:tcW w:w="1427" w:type="dxa"/>
            <w:noWrap w:val="0"/>
            <w:vAlign w:val="center"/>
          </w:tcPr>
          <w:p w14:paraId="47EE6F0A">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20C19E2B">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595AAD90">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4031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1164" w:type="dxa"/>
            <w:noWrap w:val="0"/>
            <w:vAlign w:val="center"/>
          </w:tcPr>
          <w:p w14:paraId="452C8C1C">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9</w:t>
            </w:r>
          </w:p>
        </w:tc>
        <w:tc>
          <w:tcPr>
            <w:tcW w:w="4095" w:type="dxa"/>
            <w:gridSpan w:val="3"/>
            <w:noWrap w:val="0"/>
            <w:vAlign w:val="center"/>
          </w:tcPr>
          <w:p w14:paraId="2F2FC37A">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对按规定发放的评标评审酬劳不满，拖延评标评审时间或采取其他方式消极履职，影响评标评审工作整体进展的。</w:t>
            </w:r>
          </w:p>
        </w:tc>
        <w:tc>
          <w:tcPr>
            <w:tcW w:w="1427" w:type="dxa"/>
            <w:noWrap w:val="0"/>
            <w:vAlign w:val="center"/>
          </w:tcPr>
          <w:p w14:paraId="65B01C06">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68FFE04C">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46979516">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684E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164" w:type="dxa"/>
            <w:noWrap w:val="0"/>
            <w:vAlign w:val="center"/>
          </w:tcPr>
          <w:p w14:paraId="39996683">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10</w:t>
            </w:r>
          </w:p>
        </w:tc>
        <w:tc>
          <w:tcPr>
            <w:tcW w:w="4095" w:type="dxa"/>
            <w:gridSpan w:val="3"/>
            <w:noWrap w:val="0"/>
            <w:vAlign w:val="center"/>
          </w:tcPr>
          <w:p w14:paraId="6F3C12FE">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在明知个人身体不适不宜担任评标评审专家的情况下，仍接受邀请参加评标评审活动，影响评标评审工作整体进展的。</w:t>
            </w:r>
          </w:p>
        </w:tc>
        <w:tc>
          <w:tcPr>
            <w:tcW w:w="1427" w:type="dxa"/>
            <w:noWrap w:val="0"/>
            <w:vAlign w:val="center"/>
          </w:tcPr>
          <w:p w14:paraId="0A4DAE98">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4F140D05">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6C8601DD">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6A1F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164" w:type="dxa"/>
            <w:noWrap w:val="0"/>
            <w:vAlign w:val="center"/>
          </w:tcPr>
          <w:p w14:paraId="7B15E663">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11</w:t>
            </w:r>
          </w:p>
        </w:tc>
        <w:tc>
          <w:tcPr>
            <w:tcW w:w="4095" w:type="dxa"/>
            <w:gridSpan w:val="3"/>
            <w:noWrap w:val="0"/>
            <w:vAlign w:val="center"/>
          </w:tcPr>
          <w:p w14:paraId="77119BE6">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对有关行政监督部门的调查取证工作不予协助配合的。</w:t>
            </w:r>
          </w:p>
        </w:tc>
        <w:tc>
          <w:tcPr>
            <w:tcW w:w="1427" w:type="dxa"/>
            <w:noWrap w:val="0"/>
            <w:vAlign w:val="center"/>
          </w:tcPr>
          <w:p w14:paraId="16C076FF">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4AC89A20">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6CA65347">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1D38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164" w:type="dxa"/>
            <w:noWrap w:val="0"/>
            <w:vAlign w:val="center"/>
          </w:tcPr>
          <w:p w14:paraId="4A0CFFF7">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12</w:t>
            </w:r>
          </w:p>
        </w:tc>
        <w:tc>
          <w:tcPr>
            <w:tcW w:w="4095" w:type="dxa"/>
            <w:gridSpan w:val="3"/>
            <w:noWrap w:val="0"/>
            <w:vAlign w:val="center"/>
          </w:tcPr>
          <w:p w14:paraId="3CE1CC4C">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拒不执行有关行政监督部门对招标投标活动投诉处理决定的。</w:t>
            </w:r>
          </w:p>
        </w:tc>
        <w:tc>
          <w:tcPr>
            <w:tcW w:w="1427" w:type="dxa"/>
            <w:noWrap w:val="0"/>
            <w:vAlign w:val="center"/>
          </w:tcPr>
          <w:p w14:paraId="3502B8C3">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763E5F56">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2C4875DA">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6181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164" w:type="dxa"/>
            <w:noWrap w:val="0"/>
            <w:vAlign w:val="center"/>
          </w:tcPr>
          <w:p w14:paraId="5BD46D21">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color w:val="000000" w:themeColor="text1"/>
                <w:kern w:val="2"/>
                <w:sz w:val="32"/>
                <w:highlight w:val="none"/>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13</w:t>
            </w:r>
          </w:p>
        </w:tc>
        <w:tc>
          <w:tcPr>
            <w:tcW w:w="4095" w:type="dxa"/>
            <w:gridSpan w:val="3"/>
            <w:noWrap w:val="0"/>
            <w:vAlign w:val="center"/>
          </w:tcPr>
          <w:p w14:paraId="4C4D7551">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有其他拒不服从有关行政监督部门监管行为的。</w:t>
            </w:r>
          </w:p>
        </w:tc>
        <w:tc>
          <w:tcPr>
            <w:tcW w:w="1427" w:type="dxa"/>
            <w:noWrap w:val="0"/>
            <w:vAlign w:val="center"/>
          </w:tcPr>
          <w:p w14:paraId="1813C7C5">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792E3200">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377968C1">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75F4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164" w:type="dxa"/>
            <w:noWrap w:val="0"/>
            <w:vAlign w:val="center"/>
          </w:tcPr>
          <w:p w14:paraId="330913BF">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14</w:t>
            </w:r>
          </w:p>
        </w:tc>
        <w:tc>
          <w:tcPr>
            <w:tcW w:w="4095" w:type="dxa"/>
            <w:gridSpan w:val="3"/>
            <w:noWrap w:val="0"/>
            <w:vAlign w:val="center"/>
          </w:tcPr>
          <w:p w14:paraId="658040B8">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故意隐瞒个人情况，违反应回避义务，导致评标无效的。</w:t>
            </w:r>
          </w:p>
        </w:tc>
        <w:tc>
          <w:tcPr>
            <w:tcW w:w="1427" w:type="dxa"/>
            <w:noWrap w:val="0"/>
            <w:vAlign w:val="center"/>
          </w:tcPr>
          <w:p w14:paraId="4B78A305">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1CAD5A56">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2D2BCFCF">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5BEA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164" w:type="dxa"/>
            <w:noWrap w:val="0"/>
            <w:vAlign w:val="center"/>
          </w:tcPr>
          <w:p w14:paraId="2F553C1D">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15</w:t>
            </w:r>
          </w:p>
        </w:tc>
        <w:tc>
          <w:tcPr>
            <w:tcW w:w="4095" w:type="dxa"/>
            <w:gridSpan w:val="3"/>
            <w:noWrap w:val="0"/>
            <w:vAlign w:val="center"/>
          </w:tcPr>
          <w:p w14:paraId="4855A8AB">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不按照招标文件明确的评标标准和方法评标的。</w:t>
            </w:r>
          </w:p>
        </w:tc>
        <w:tc>
          <w:tcPr>
            <w:tcW w:w="1427" w:type="dxa"/>
            <w:noWrap w:val="0"/>
            <w:vAlign w:val="center"/>
          </w:tcPr>
          <w:p w14:paraId="40028EDE">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4EE0DF79">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068417B1">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4E5D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64" w:type="dxa"/>
            <w:noWrap w:val="0"/>
            <w:vAlign w:val="center"/>
          </w:tcPr>
          <w:p w14:paraId="0B91E88E">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16</w:t>
            </w:r>
          </w:p>
        </w:tc>
        <w:tc>
          <w:tcPr>
            <w:tcW w:w="4095" w:type="dxa"/>
            <w:gridSpan w:val="3"/>
            <w:noWrap w:val="0"/>
            <w:vAlign w:val="center"/>
          </w:tcPr>
          <w:p w14:paraId="4DF883BF">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被发现评标过程中私下接触投标人。</w:t>
            </w:r>
          </w:p>
        </w:tc>
        <w:tc>
          <w:tcPr>
            <w:tcW w:w="1427" w:type="dxa"/>
            <w:noWrap w:val="0"/>
            <w:vAlign w:val="center"/>
          </w:tcPr>
          <w:p w14:paraId="78EC6FBF">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14CCE4FB">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5C9D55E3">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1F1B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1164" w:type="dxa"/>
            <w:noWrap w:val="0"/>
            <w:vAlign w:val="center"/>
          </w:tcPr>
          <w:p w14:paraId="24ED9E50">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17</w:t>
            </w:r>
          </w:p>
        </w:tc>
        <w:tc>
          <w:tcPr>
            <w:tcW w:w="4095" w:type="dxa"/>
            <w:gridSpan w:val="3"/>
            <w:noWrap w:val="0"/>
            <w:vAlign w:val="center"/>
          </w:tcPr>
          <w:p w14:paraId="60083626">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被发现向招标人征询确定中标人的意向或者接受任何单位或者个人明示或者暗示提出的倾向或者排斥特定投标人的要求的。</w:t>
            </w:r>
          </w:p>
        </w:tc>
        <w:tc>
          <w:tcPr>
            <w:tcW w:w="1427" w:type="dxa"/>
            <w:noWrap w:val="0"/>
            <w:vAlign w:val="center"/>
          </w:tcPr>
          <w:p w14:paraId="153243A0">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7CFD4522">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577701FC">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4779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164" w:type="dxa"/>
            <w:noWrap w:val="0"/>
            <w:vAlign w:val="center"/>
          </w:tcPr>
          <w:p w14:paraId="5FFFB270">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18</w:t>
            </w:r>
          </w:p>
        </w:tc>
        <w:tc>
          <w:tcPr>
            <w:tcW w:w="4095" w:type="dxa"/>
            <w:gridSpan w:val="3"/>
            <w:noWrap w:val="0"/>
            <w:vAlign w:val="center"/>
          </w:tcPr>
          <w:p w14:paraId="289DB6E2">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对依法应当否决的投标不提出否决意见的；</w:t>
            </w:r>
          </w:p>
        </w:tc>
        <w:tc>
          <w:tcPr>
            <w:tcW w:w="1427" w:type="dxa"/>
            <w:noWrap w:val="0"/>
            <w:vAlign w:val="center"/>
          </w:tcPr>
          <w:p w14:paraId="6118BDB1">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62BC04A0">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3731E0B3">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76CF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1164" w:type="dxa"/>
            <w:noWrap w:val="0"/>
            <w:vAlign w:val="center"/>
          </w:tcPr>
          <w:p w14:paraId="26E3ADA1">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19</w:t>
            </w:r>
          </w:p>
        </w:tc>
        <w:tc>
          <w:tcPr>
            <w:tcW w:w="4095" w:type="dxa"/>
            <w:gridSpan w:val="3"/>
            <w:noWrap w:val="0"/>
            <w:vAlign w:val="center"/>
          </w:tcPr>
          <w:p w14:paraId="424E1B70">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暗示或者诱导投标人作出澄清、说明或者接受投标人主动提出的澄清、说明的。</w:t>
            </w:r>
          </w:p>
        </w:tc>
        <w:tc>
          <w:tcPr>
            <w:tcW w:w="1427" w:type="dxa"/>
            <w:noWrap w:val="0"/>
            <w:vAlign w:val="center"/>
          </w:tcPr>
          <w:p w14:paraId="34BFA9A0">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494977B2">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4B556718">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218C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64" w:type="dxa"/>
            <w:noWrap w:val="0"/>
            <w:vAlign w:val="center"/>
          </w:tcPr>
          <w:p w14:paraId="7F4CD391">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20</w:t>
            </w:r>
          </w:p>
        </w:tc>
        <w:tc>
          <w:tcPr>
            <w:tcW w:w="4095" w:type="dxa"/>
            <w:gridSpan w:val="3"/>
            <w:noWrap w:val="0"/>
            <w:vAlign w:val="center"/>
          </w:tcPr>
          <w:p w14:paraId="34543F8E">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不配合招标人处理投诉及异议的。</w:t>
            </w:r>
          </w:p>
        </w:tc>
        <w:tc>
          <w:tcPr>
            <w:tcW w:w="1427" w:type="dxa"/>
            <w:noWrap w:val="0"/>
            <w:vAlign w:val="center"/>
          </w:tcPr>
          <w:p w14:paraId="278E5E40">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0EC2139D">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184A802D">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3514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164" w:type="dxa"/>
            <w:noWrap w:val="0"/>
            <w:vAlign w:val="center"/>
          </w:tcPr>
          <w:p w14:paraId="45E0BA02">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21</w:t>
            </w:r>
          </w:p>
        </w:tc>
        <w:tc>
          <w:tcPr>
            <w:tcW w:w="4095" w:type="dxa"/>
            <w:gridSpan w:val="3"/>
            <w:noWrap w:val="0"/>
            <w:vAlign w:val="center"/>
          </w:tcPr>
          <w:p w14:paraId="6E1B347A">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其他不客观、不公正履行职务的行为，导致评标评审结果不合理的。</w:t>
            </w:r>
          </w:p>
        </w:tc>
        <w:tc>
          <w:tcPr>
            <w:tcW w:w="1427" w:type="dxa"/>
            <w:noWrap w:val="0"/>
            <w:vAlign w:val="center"/>
          </w:tcPr>
          <w:p w14:paraId="424F98AE">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4C6FA926">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1772E8D6">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r w14:paraId="23CA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64" w:type="dxa"/>
            <w:noWrap w:val="0"/>
            <w:vAlign w:val="center"/>
          </w:tcPr>
          <w:p w14:paraId="088EC61D">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22</w:t>
            </w:r>
          </w:p>
        </w:tc>
        <w:tc>
          <w:tcPr>
            <w:tcW w:w="4095" w:type="dxa"/>
            <w:gridSpan w:val="3"/>
            <w:noWrap w:val="0"/>
            <w:vAlign w:val="center"/>
          </w:tcPr>
          <w:p w14:paraId="1D86E941">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16"/>
                <w:highlight w:val="none"/>
                <w:lang w:val="en-US" w:eastAsia="zh-CN" w:bidi="ar-SA"/>
                <w14:textFill>
                  <w14:solidFill>
                    <w14:schemeClr w14:val="tx1"/>
                  </w14:solidFill>
                </w14:textFill>
              </w:rPr>
              <w:t>法律法规规定的其他负面行为。</w:t>
            </w:r>
          </w:p>
        </w:tc>
        <w:tc>
          <w:tcPr>
            <w:tcW w:w="1427" w:type="dxa"/>
            <w:noWrap w:val="0"/>
            <w:vAlign w:val="center"/>
          </w:tcPr>
          <w:p w14:paraId="62C7AFA1">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是</w:t>
            </w:r>
          </w:p>
          <w:p w14:paraId="627BBCDB">
            <w:pPr>
              <w:keepNext w:val="0"/>
              <w:keepLines w:val="0"/>
              <w:pageBreakBefore w:val="0"/>
              <w:widowControl w:val="0"/>
              <w:kinsoku/>
              <w:wordWrap/>
              <w:overflowPunct/>
              <w:topLinePunct w:val="0"/>
              <w:autoSpaceDE/>
              <w:autoSpaceDN/>
              <w:bidi w:val="0"/>
              <w:adjustRightInd w:val="0"/>
              <w:snapToGrid w:val="0"/>
              <w:spacing w:after="0" w:afterLines="0" w:afterAutospacing="0"/>
              <w:jc w:val="center"/>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sym w:font="Wingdings 2" w:char="00A3"/>
            </w:r>
            <w:r>
              <w:rPr>
                <w:rFonts w:hint="eastAsia" w:ascii="宋体" w:hAnsi="宋体" w:eastAsia="宋体" w:cs="宋体"/>
                <w:b w:val="0"/>
                <w:bCs w:val="0"/>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否</w:t>
            </w:r>
          </w:p>
        </w:tc>
        <w:tc>
          <w:tcPr>
            <w:tcW w:w="2252" w:type="dxa"/>
            <w:noWrap w:val="0"/>
            <w:vAlign w:val="center"/>
          </w:tcPr>
          <w:p w14:paraId="1FB8CE16">
            <w:pPr>
              <w:keepNext w:val="0"/>
              <w:keepLines w:val="0"/>
              <w:pageBreakBefore w:val="0"/>
              <w:widowControl w:val="0"/>
              <w:kinsoku/>
              <w:wordWrap/>
              <w:overflowPunct/>
              <w:topLinePunct w:val="0"/>
              <w:autoSpaceDE/>
              <w:autoSpaceDN/>
              <w:bidi w:val="0"/>
              <w:adjustRightInd w:val="0"/>
              <w:snapToGrid w:val="0"/>
              <w:spacing w:after="0" w:afterLines="0" w:afterAutospacing="0"/>
              <w:jc w:val="both"/>
              <w:textAlignment w:val="auto"/>
              <w:rPr>
                <w:rFonts w:hint="eastAsia" w:ascii="宋体" w:hAnsi="宋体" w:eastAsia="宋体" w:cs="宋体"/>
                <w:b w:val="0"/>
                <w:bCs w:val="0"/>
                <w:i w:val="0"/>
                <w:iCs w:val="0"/>
                <w:caps w:val="0"/>
                <w:color w:val="000000" w:themeColor="text1"/>
                <w:spacing w:val="0"/>
                <w:kern w:val="2"/>
                <w:sz w:val="24"/>
                <w:szCs w:val="24"/>
                <w:highlight w:val="none"/>
                <w:shd w:val="clear" w:color="auto" w:fill="FFFFFF"/>
                <w:vertAlign w:val="baseline"/>
                <w:lang w:val="en-US" w:eastAsia="zh-CN" w:bidi="ar-SA"/>
                <w14:textFill>
                  <w14:solidFill>
                    <w14:schemeClr w14:val="tx1"/>
                  </w14:solidFill>
                </w14:textFill>
              </w:rPr>
            </w:pPr>
          </w:p>
        </w:tc>
      </w:tr>
    </w:tbl>
    <w:p w14:paraId="253FFC70">
      <w:pPr>
        <w:snapToGrid w:val="0"/>
        <w:spacing w:line="360" w:lineRule="auto"/>
        <w:ind w:firstLine="0" w:firstLineChars="0"/>
        <w:jc w:val="left"/>
        <w:rPr>
          <w:rFonts w:hint="eastAsia"/>
          <w:color w:val="000000" w:themeColor="text1"/>
          <w:sz w:val="24"/>
          <w:szCs w:val="21"/>
          <w:highlight w:val="none"/>
          <w:u w:val="singl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注：填报“详细情况描述”栏中情况时可附相关证明材料。</w:t>
      </w:r>
    </w:p>
    <w:p w14:paraId="1538378E">
      <w:pPr>
        <w:spacing w:line="360" w:lineRule="auto"/>
        <w:ind w:firstLine="480" w:firstLineChars="200"/>
        <w:jc w:val="left"/>
        <w:rPr>
          <w:rFonts w:hint="eastAsia"/>
          <w:color w:val="000000" w:themeColor="text1"/>
          <w:sz w:val="24"/>
          <w:szCs w:val="21"/>
          <w:highlight w:val="none"/>
          <w:u w:val="single"/>
          <w14:textFill>
            <w14:solidFill>
              <w14:schemeClr w14:val="tx1"/>
            </w14:solidFill>
          </w14:textFill>
        </w:rPr>
      </w:pPr>
    </w:p>
    <w:p w14:paraId="378C9840">
      <w:pPr>
        <w:pStyle w:val="2"/>
        <w:rPr>
          <w:rFonts w:hint="eastAsia" w:ascii="黑体" w:hAnsi="黑体" w:eastAsia="黑体"/>
          <w:color w:val="000000" w:themeColor="text1"/>
          <w:szCs w:val="27"/>
          <w:highlight w:val="none"/>
          <w14:textFill>
            <w14:solidFill>
              <w14:schemeClr w14:val="tx1"/>
            </w14:solidFill>
          </w14:textFill>
        </w:rPr>
      </w:pPr>
      <w:bookmarkStart w:id="342" w:name="_Toc262229168"/>
      <w:bookmarkStart w:id="343" w:name="_Toc155150492"/>
      <w:r>
        <w:rPr>
          <w:rFonts w:ascii="黑体" w:hAnsi="黑体" w:eastAsia="黑体"/>
          <w:color w:val="000000" w:themeColor="text1"/>
          <w:szCs w:val="27"/>
          <w:highlight w:val="none"/>
          <w14:textFill>
            <w14:solidFill>
              <w14:schemeClr w14:val="tx1"/>
            </w14:solidFill>
          </w14:textFill>
        </w:rPr>
        <w:br w:type="page"/>
      </w:r>
      <w:bookmarkStart w:id="344" w:name="_Toc29440"/>
      <w:bookmarkStart w:id="345" w:name="_Toc17452670"/>
      <w:bookmarkStart w:id="346" w:name="_Toc17451629"/>
      <w:bookmarkStart w:id="347" w:name="_Toc7008"/>
      <w:bookmarkStart w:id="348" w:name="_Toc5798"/>
      <w:bookmarkStart w:id="349" w:name="_Toc6814"/>
      <w:bookmarkStart w:id="350" w:name="_Toc17451584"/>
      <w:bookmarkStart w:id="351" w:name="_Toc17454928"/>
      <w:bookmarkStart w:id="352" w:name="_Toc17556882"/>
      <w:bookmarkStart w:id="353" w:name="_Toc124"/>
      <w:bookmarkStart w:id="354" w:name="_Toc17451107"/>
      <w:bookmarkStart w:id="355" w:name="_Toc2708"/>
      <w:bookmarkStart w:id="356" w:name="_Toc17454877"/>
      <w:bookmarkStart w:id="357" w:name="_Toc27"/>
      <w:r>
        <w:rPr>
          <w:rFonts w:hint="eastAsia"/>
          <w:color w:val="000000" w:themeColor="text1"/>
          <w:highlight w:val="none"/>
          <w14:textFill>
            <w14:solidFill>
              <w14:schemeClr w14:val="tx1"/>
            </w14:solidFill>
          </w14:textFill>
        </w:rPr>
        <w:t>第三章 评标及定标办法</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78E159CB">
      <w:pPr>
        <w:pStyle w:val="15"/>
        <w:rPr>
          <w:rFonts w:hint="eastAsia" w:ascii="黑体" w:hAnsi="黑体" w:eastAsia="黑体"/>
          <w:color w:val="000000" w:themeColor="text1"/>
          <w:sz w:val="32"/>
          <w:szCs w:val="27"/>
          <w:highlight w:val="none"/>
          <w14:textFill>
            <w14:solidFill>
              <w14:schemeClr w14:val="tx1"/>
            </w14:solidFill>
          </w14:textFill>
        </w:rPr>
      </w:pPr>
    </w:p>
    <w:p w14:paraId="409DA277">
      <w:pPr>
        <w:spacing w:line="360" w:lineRule="auto"/>
        <w:jc w:val="center"/>
        <w:outlineLvl w:val="2"/>
        <w:rPr>
          <w:rFonts w:ascii="黑体" w:hAnsi="黑体" w:eastAsia="黑体" w:cs="Times New Roman"/>
          <w:color w:val="000000" w:themeColor="text1"/>
          <w:sz w:val="28"/>
          <w:szCs w:val="27"/>
          <w:highlight w:val="none"/>
          <w14:textFill>
            <w14:solidFill>
              <w14:schemeClr w14:val="tx1"/>
            </w14:solidFill>
          </w14:textFill>
        </w:rPr>
      </w:pPr>
      <w:bookmarkStart w:id="358" w:name="_Toc17556883"/>
      <w:bookmarkStart w:id="359" w:name="_Toc17452671"/>
      <w:bookmarkStart w:id="360" w:name="_Toc17451108"/>
      <w:bookmarkStart w:id="361" w:name="_Toc32215"/>
      <w:bookmarkStart w:id="362" w:name="_Toc262229169"/>
      <w:bookmarkStart w:id="363" w:name="_Toc155150493"/>
      <w:bookmarkStart w:id="364" w:name="_Toc17454878"/>
      <w:bookmarkStart w:id="365" w:name="_Toc17454929"/>
      <w:bookmarkStart w:id="366" w:name="_Toc17451585"/>
      <w:bookmarkStart w:id="367" w:name="_Toc18071"/>
      <w:bookmarkStart w:id="368" w:name="_Toc17451630"/>
      <w:bookmarkStart w:id="369" w:name="_Toc28639"/>
      <w:bookmarkStart w:id="370" w:name="_Toc14547"/>
      <w:r>
        <w:rPr>
          <w:rFonts w:hint="eastAsia" w:ascii="黑体" w:hAnsi="黑体" w:eastAsia="黑体" w:cs="Times New Roman"/>
          <w:color w:val="000000" w:themeColor="text1"/>
          <w:sz w:val="28"/>
          <w:szCs w:val="27"/>
          <w:highlight w:val="none"/>
          <w14:textFill>
            <w14:solidFill>
              <w14:schemeClr w14:val="tx1"/>
            </w14:solidFill>
          </w14:textFill>
        </w:rPr>
        <w:t>一、评标及定标办法修改表</w:t>
      </w:r>
      <w:bookmarkEnd w:id="358"/>
      <w:bookmarkEnd w:id="359"/>
      <w:bookmarkEnd w:id="360"/>
      <w:bookmarkEnd w:id="361"/>
      <w:bookmarkEnd w:id="362"/>
      <w:bookmarkEnd w:id="363"/>
      <w:bookmarkEnd w:id="364"/>
      <w:bookmarkEnd w:id="365"/>
      <w:bookmarkEnd w:id="366"/>
      <w:bookmarkEnd w:id="367"/>
      <w:bookmarkEnd w:id="368"/>
      <w:bookmarkEnd w:id="369"/>
      <w:bookmarkEnd w:id="370"/>
    </w:p>
    <w:p w14:paraId="2427D419">
      <w:pPr>
        <w:pStyle w:val="36"/>
        <w:spacing w:after="0" w:line="360" w:lineRule="auto"/>
        <w:rPr>
          <w:rFonts w:ascii="宋体" w:hAnsi="宋体" w:eastAsia="宋体" w:cs="Times New Roman"/>
          <w:b/>
          <w:color w:val="000000" w:themeColor="text1"/>
          <w:sz w:val="24"/>
          <w:szCs w:val="21"/>
          <w:highlight w:val="none"/>
          <w14:textFill>
            <w14:solidFill>
              <w14:schemeClr w14:val="tx1"/>
            </w14:solidFill>
          </w14:textFill>
        </w:rPr>
      </w:pPr>
      <w:r>
        <w:rPr>
          <w:rFonts w:hint="eastAsia" w:ascii="宋体" w:hAnsi="宋体" w:eastAsia="宋体" w:cs="Times New Roman"/>
          <w:b/>
          <w:color w:val="000000" w:themeColor="text1"/>
          <w:sz w:val="24"/>
          <w:highlight w:val="none"/>
          <w14:textFill>
            <w14:solidFill>
              <w14:schemeClr w14:val="tx1"/>
            </w14:solidFill>
          </w14:textFill>
        </w:rPr>
        <w:t>本修改表是对评标及定标办法</w:t>
      </w:r>
      <w:r>
        <w:rPr>
          <w:rFonts w:hint="eastAsia" w:ascii="宋体" w:hAnsi="宋体" w:eastAsia="宋体" w:cs="Times New Roman"/>
          <w:b/>
          <w:color w:val="000000" w:themeColor="text1"/>
          <w:sz w:val="24"/>
          <w:szCs w:val="21"/>
          <w:highlight w:val="none"/>
          <w14:textFill>
            <w14:solidFill>
              <w14:schemeClr w14:val="tx1"/>
            </w14:solidFill>
          </w14:textFill>
        </w:rPr>
        <w:t>通用条款的修改，与该通用条款不同之处，均在本表中列明，并以现文为准，原文不再有效。</w:t>
      </w:r>
    </w:p>
    <w:p w14:paraId="2A2394D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条款号：方法二：方法三：方法四：方法五：方法六：    修改类型：删除</w:t>
      </w:r>
    </w:p>
    <w:p w14:paraId="031EFFD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原文：方法二：综合评估法二（需要编制技术文件）</w:t>
      </w:r>
    </w:p>
    <w:p w14:paraId="1C4F6BA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方法三：综合评估法三（不需要编制技术文件）</w:t>
      </w:r>
    </w:p>
    <w:p w14:paraId="77BE47C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方法四：经评审的最低投标价法</w:t>
      </w:r>
    </w:p>
    <w:p w14:paraId="1775C78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方法五：经评审的最低投标价法（二）</w:t>
      </w:r>
    </w:p>
    <w:p w14:paraId="5935945D">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方法六：两阶段评标法</w:t>
      </w:r>
    </w:p>
    <w:p w14:paraId="2178D2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条款号：</w:t>
      </w:r>
      <w:r>
        <w:rPr>
          <w:rFonts w:hint="eastAsia" w:ascii="宋体" w:hAnsi="宋体" w:eastAsia="宋体" w:cs="Times New Roman"/>
          <w:color w:val="000000" w:themeColor="text1"/>
          <w:sz w:val="24"/>
          <w:szCs w:val="24"/>
          <w:highlight w:val="none"/>
          <w14:textFill>
            <w14:solidFill>
              <w14:schemeClr w14:val="tx1"/>
            </w14:solidFill>
          </w14:textFill>
        </w:rPr>
        <w:t>1. 评标方法</w:t>
      </w:r>
      <w:r>
        <w:rPr>
          <w:rFonts w:hint="eastAsia" w:ascii="宋体" w:hAnsi="宋体" w:eastAsia="宋体" w:cs="Times New Roman"/>
          <w:color w:val="000000" w:themeColor="text1"/>
          <w:sz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1"/>
          <w:highlight w:val="none"/>
          <w14:textFill>
            <w14:solidFill>
              <w14:schemeClr w14:val="tx1"/>
            </w14:solidFill>
          </w14:textFill>
        </w:rPr>
        <w:t>修改类型：</w:t>
      </w:r>
      <w:r>
        <w:rPr>
          <w:rFonts w:hint="eastAsia" w:ascii="宋体" w:hAnsi="宋体" w:eastAsia="宋体" w:cs="Times New Roman"/>
          <w:color w:val="000000" w:themeColor="text1"/>
          <w:sz w:val="24"/>
          <w:szCs w:val="21"/>
          <w:highlight w:val="none"/>
          <w:lang w:val="en-US" w:eastAsia="zh-CN"/>
          <w14:textFill>
            <w14:solidFill>
              <w14:schemeClr w14:val="tx1"/>
            </w14:solidFill>
          </w14:textFill>
        </w:rPr>
        <w:t>修改</w:t>
      </w:r>
    </w:p>
    <w:p w14:paraId="5EAEE5A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原文：</w:t>
      </w:r>
      <w:r>
        <w:rPr>
          <w:rFonts w:hint="eastAsia" w:ascii="宋体" w:hAnsi="宋体" w:eastAsia="宋体" w:cs="Times New Roman"/>
          <w:color w:val="000000" w:themeColor="text1"/>
          <w:sz w:val="24"/>
          <w:szCs w:val="24"/>
          <w:highlight w:val="none"/>
          <w14:textFill>
            <w14:solidFill>
              <w14:schemeClr w14:val="tx1"/>
            </w14:solidFill>
          </w14:textFill>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总得分相同的投标文件，以报价较低的排前；总得分与报价均相同的投标文件，以技术评审得分较高的排前；如仍存在相同情况，则对具有相同情况的投标人，由评委通过记名投标表决（不得弃权），以“少数服从多数”的原则确定排序。（注：具体由招标人自行确定）</w:t>
      </w:r>
    </w:p>
    <w:p w14:paraId="019A0125">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b/>
          <w:color w:val="000000" w:themeColor="text1"/>
          <w:sz w:val="24"/>
          <w:szCs w:val="24"/>
          <w:highlight w:val="none"/>
          <w:lang w:val="en-US" w:eastAsia="zh-CN"/>
          <w14:textFill>
            <w14:solidFill>
              <w14:schemeClr w14:val="tx1"/>
            </w14:solidFill>
          </w14:textFill>
        </w:rPr>
        <w:t>现</w:t>
      </w:r>
      <w:r>
        <w:rPr>
          <w:rFonts w:hint="eastAsia" w:ascii="宋体" w:hAnsi="宋体" w:eastAsia="宋体" w:cs="Times New Roman"/>
          <w:b/>
          <w:color w:val="000000" w:themeColor="text1"/>
          <w:sz w:val="24"/>
          <w:szCs w:val="24"/>
          <w:highlight w:val="none"/>
          <w14:textFill>
            <w14:solidFill>
              <w14:schemeClr w14:val="tx1"/>
            </w14:solidFill>
          </w14:textFill>
        </w:rPr>
        <w:t>文：</w:t>
      </w:r>
      <w:r>
        <w:rPr>
          <w:rFonts w:hint="eastAsia" w:ascii="宋体" w:hAnsi="宋体" w:eastAsia="宋体" w:cs="Times New Roman"/>
          <w:color w:val="000000" w:themeColor="text1"/>
          <w:sz w:val="24"/>
          <w:szCs w:val="24"/>
          <w:highlight w:val="none"/>
          <w14:textFill>
            <w14:solidFill>
              <w14:schemeClr w14:val="tx1"/>
            </w14:solidFill>
          </w14:textFill>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总得分相同的投标文件，以报价较低的排前；总得分与报价均相同的投标文件，以技术评审得分较高的排前；如仍存在相同情况，则对具有相同情况的投标人，由评委通过记名投标表决（不得弃权），以“少数服从多数”的原则确定排序。</w:t>
      </w:r>
    </w:p>
    <w:p w14:paraId="01BCC993">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条款号：2.2.1                         修改类型：修改</w:t>
      </w:r>
    </w:p>
    <w:p w14:paraId="4988E93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原文：2.2.1 分值构成</w:t>
      </w:r>
    </w:p>
    <w:p w14:paraId="2F2D524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（1）技术部分：见评标办法前附表；技术标合格分值（含本数）为          （合格分数线可在[60－75]分选择，将每位评委打分转换成等级（合格、不合格），超过半数以上专家判定不合格的即为不合格，不再进行后续评审。评标委员会认定技术不合格的，均应书面详述理由。</w:t>
      </w:r>
    </w:p>
    <w:p w14:paraId="3598ADE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如通过初步审查的投标人为3家时，不做技术合格的判断，3家投标人均进入后续评审。</w:t>
      </w:r>
    </w:p>
    <w:p w14:paraId="18D65B5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注：①招标人可根据项目的实际情况要求投标人提供《项目管理机构组成表》或《项目管理架构人员最低配置承诺书》；</w:t>
      </w:r>
    </w:p>
    <w:p w14:paraId="13BDC44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②要求投标人提交《项目管理架构人员最低配置承诺书》的，不应要求投标人提供项目负责人、技术负责人和专职安全员以外人员资料，技术评审中关于人员的评分细则应做相应调整；</w:t>
      </w:r>
    </w:p>
    <w:p w14:paraId="44FA160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③通过初步审查的投标人为3家时，不划分技术标合格分数线。</w:t>
      </w:r>
    </w:p>
    <w:p w14:paraId="46BFBFC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（2）诚信部分：见评标办法前附表；</w:t>
      </w:r>
    </w:p>
    <w:p w14:paraId="743B8A7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（3）投标报价：见评标办法前附表；</w:t>
      </w:r>
    </w:p>
    <w:p w14:paraId="77951D8D">
      <w:pPr>
        <w:keepNext w:val="0"/>
        <w:keepLines w:val="0"/>
        <w:pageBreakBefore w:val="0"/>
        <w:widowControl w:val="0"/>
        <w:pBdr>
          <w:bottom w:val="single" w:color="auto" w:sz="4" w:space="0"/>
        </w:pBd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现文：2.2.1 分值构成</w:t>
      </w:r>
    </w:p>
    <w:p w14:paraId="74DBA790">
      <w:pPr>
        <w:keepNext w:val="0"/>
        <w:keepLines w:val="0"/>
        <w:pageBreakBefore w:val="0"/>
        <w:widowControl w:val="0"/>
        <w:pBdr>
          <w:bottom w:val="single" w:color="auto" w:sz="4" w:space="0"/>
        </w:pBd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（1）技术部分：见评标办法前附表；</w:t>
      </w:r>
    </w:p>
    <w:p w14:paraId="30099812">
      <w:pPr>
        <w:keepNext w:val="0"/>
        <w:keepLines w:val="0"/>
        <w:pageBreakBefore w:val="0"/>
        <w:widowControl w:val="0"/>
        <w:pBdr>
          <w:bottom w:val="single" w:color="auto" w:sz="4" w:space="0"/>
        </w:pBd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（2）诚信部分：见评标办法前附表；</w:t>
      </w:r>
    </w:p>
    <w:p w14:paraId="59158115">
      <w:pPr>
        <w:keepNext w:val="0"/>
        <w:keepLines w:val="0"/>
        <w:pageBreakBefore w:val="0"/>
        <w:widowControl w:val="0"/>
        <w:pBdr>
          <w:bottom w:val="single" w:color="auto" w:sz="4" w:space="0"/>
        </w:pBdr>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（3）投标报价：见评标办法前附表；</w:t>
      </w:r>
    </w:p>
    <w:p w14:paraId="5D759F1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条款号：</w:t>
      </w:r>
      <w:r>
        <w:rPr>
          <w:rFonts w:hint="eastAsia" w:ascii="宋体" w:hAnsi="宋体" w:eastAsia="宋体" w:cs="Times New Roman"/>
          <w:color w:val="000000" w:themeColor="text1"/>
          <w:sz w:val="24"/>
          <w:highlight w:val="none"/>
          <w14:textFill>
            <w14:solidFill>
              <w14:schemeClr w14:val="tx1"/>
            </w14:solidFill>
          </w14:textFill>
        </w:rPr>
        <w:t>2.2.</w:t>
      </w:r>
      <w:r>
        <w:rPr>
          <w:rFonts w:ascii="宋体" w:hAnsi="宋体" w:eastAsia="宋体" w:cs="Times New Roman"/>
          <w:color w:val="000000" w:themeColor="text1"/>
          <w:sz w:val="24"/>
          <w:highlight w:val="none"/>
          <w14:textFill>
            <w14:solidFill>
              <w14:schemeClr w14:val="tx1"/>
            </w14:solidFill>
          </w14:textFill>
        </w:rPr>
        <w:t>3</w:t>
      </w:r>
      <w:r>
        <w:rPr>
          <w:rFonts w:hint="eastAsia" w:ascii="宋体" w:hAnsi="宋体" w:eastAsia="宋体" w:cs="Times New Roman"/>
          <w:color w:val="000000" w:themeColor="text1"/>
          <w:sz w:val="24"/>
          <w:highlight w:val="none"/>
          <w14:textFill>
            <w14:solidFill>
              <w14:schemeClr w14:val="tx1"/>
            </w14:solidFill>
          </w14:textFill>
        </w:rPr>
        <w:t xml:space="preserve"> 评标基准价计算                 </w:t>
      </w:r>
      <w:r>
        <w:rPr>
          <w:rFonts w:hint="eastAsia" w:ascii="宋体" w:hAnsi="宋体" w:eastAsia="宋体" w:cs="Times New Roman"/>
          <w:color w:val="000000" w:themeColor="text1"/>
          <w:sz w:val="24"/>
          <w:szCs w:val="21"/>
          <w:highlight w:val="none"/>
          <w14:textFill>
            <w14:solidFill>
              <w14:schemeClr w14:val="tx1"/>
            </w14:solidFill>
          </w14:textFill>
        </w:rPr>
        <w:t>修改类型：</w:t>
      </w:r>
      <w:r>
        <w:rPr>
          <w:rFonts w:hint="eastAsia" w:ascii="宋体" w:hAnsi="宋体" w:eastAsia="宋体" w:cs="Times New Roman"/>
          <w:color w:val="000000" w:themeColor="text1"/>
          <w:sz w:val="24"/>
          <w:szCs w:val="21"/>
          <w:highlight w:val="none"/>
          <w:lang w:val="en-US" w:eastAsia="zh-CN"/>
          <w14:textFill>
            <w14:solidFill>
              <w14:schemeClr w14:val="tx1"/>
            </w14:solidFill>
          </w14:textFill>
        </w:rPr>
        <w:t>修改</w:t>
      </w:r>
    </w:p>
    <w:p w14:paraId="3DA509BF">
      <w:pPr>
        <w:spacing w:line="360" w:lineRule="auto"/>
        <w:ind w:firstLine="482"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lang w:val="en-US" w:eastAsia="zh-CN"/>
          <w14:textFill>
            <w14:solidFill>
              <w14:schemeClr w14:val="tx1"/>
            </w14:solidFill>
          </w14:textFill>
        </w:rPr>
        <w:t>原文：</w:t>
      </w:r>
      <w:r>
        <w:rPr>
          <w:rFonts w:hint="eastAsia" w:ascii="宋体" w:hAnsi="宋体" w:eastAsia="宋体" w:cs="Times New Roman"/>
          <w:color w:val="000000" w:themeColor="text1"/>
          <w:sz w:val="24"/>
          <w:highlight w:val="none"/>
          <w14:textFill>
            <w14:solidFill>
              <w14:schemeClr w14:val="tx1"/>
            </w14:solidFill>
          </w14:textFill>
        </w:rPr>
        <w:t>评标基准价计算</w:t>
      </w:r>
    </w:p>
    <w:p w14:paraId="62558D55">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评标基准价可按以下方式确定：</w:t>
      </w:r>
      <w:r>
        <w:rPr>
          <w:rFonts w:hint="eastAsia" w:ascii="宋体" w:hAnsi="宋体" w:eastAsia="宋体" w:cs="Times New Roman"/>
          <w:b/>
          <w:color w:val="000000" w:themeColor="text1"/>
          <w:sz w:val="24"/>
          <w:szCs w:val="24"/>
          <w:highlight w:val="none"/>
          <w14:textFill>
            <w14:solidFill>
              <w14:schemeClr w14:val="tx1"/>
            </w14:solidFill>
          </w14:textFill>
        </w:rPr>
        <w:t>（</w:t>
      </w:r>
      <w:r>
        <w:rPr>
          <w:rFonts w:hint="eastAsia" w:ascii="宋体" w:hAnsi="宋体" w:eastAsia="宋体" w:cs="Times New Roman"/>
          <w:b/>
          <w:i/>
          <w:iCs/>
          <w:color w:val="000000" w:themeColor="text1"/>
          <w:sz w:val="24"/>
          <w:szCs w:val="24"/>
          <w:highlight w:val="none"/>
          <w14:textFill>
            <w14:solidFill>
              <w14:schemeClr w14:val="tx1"/>
            </w14:solidFill>
          </w14:textFill>
        </w:rPr>
        <w:t>注：招标人自行选择，</w:t>
      </w:r>
      <w:r>
        <w:rPr>
          <w:rFonts w:hint="eastAsia" w:ascii="宋体" w:hAnsi="宋体" w:eastAsia="宋体" w:cs="Times New Roman"/>
          <w:b/>
          <w:i/>
          <w:iCs/>
          <w:color w:val="000000" w:themeColor="text1"/>
          <w:sz w:val="24"/>
          <w:szCs w:val="24"/>
          <w:highlight w:val="none"/>
          <w:lang w:eastAsia="zh-CN"/>
          <w14:textFill>
            <w14:solidFill>
              <w14:schemeClr w14:val="tx1"/>
            </w14:solidFill>
          </w14:textFill>
        </w:rPr>
        <w:t>五</w:t>
      </w:r>
      <w:r>
        <w:rPr>
          <w:rFonts w:hint="eastAsia" w:ascii="宋体" w:hAnsi="宋体" w:eastAsia="宋体" w:cs="Times New Roman"/>
          <w:b/>
          <w:i/>
          <w:iCs/>
          <w:color w:val="000000" w:themeColor="text1"/>
          <w:sz w:val="24"/>
          <w:szCs w:val="24"/>
          <w:highlight w:val="none"/>
          <w14:textFill>
            <w14:solidFill>
              <w14:schemeClr w14:val="tx1"/>
            </w14:solidFill>
          </w14:textFill>
        </w:rPr>
        <w:t>选一</w:t>
      </w:r>
      <w:r>
        <w:rPr>
          <w:rFonts w:hint="eastAsia" w:ascii="宋体" w:hAnsi="宋体" w:eastAsia="宋体" w:cs="Times New Roman"/>
          <w:b/>
          <w:color w:val="000000" w:themeColor="text1"/>
          <w:sz w:val="24"/>
          <w:szCs w:val="24"/>
          <w:highlight w:val="none"/>
          <w14:textFill>
            <w14:solidFill>
              <w14:schemeClr w14:val="tx1"/>
            </w14:solidFill>
          </w14:textFill>
        </w:rPr>
        <w:t>）</w:t>
      </w:r>
    </w:p>
    <w:p w14:paraId="5CD351B8">
      <w:pPr>
        <w:spacing w:line="360" w:lineRule="auto"/>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可选方式一</w:t>
      </w:r>
      <w:r>
        <w:rPr>
          <w:rFonts w:hint="eastAsia" w:ascii="宋体" w:hAnsi="宋体" w:eastAsia="宋体" w:cs="Times New Roman"/>
          <w:color w:val="000000" w:themeColor="text1"/>
          <w:sz w:val="24"/>
          <w:szCs w:val="24"/>
          <w:highlight w:val="none"/>
          <w14:textFill>
            <w14:solidFill>
              <w14:schemeClr w14:val="tx1"/>
            </w14:solidFill>
          </w14:textFill>
        </w:rPr>
        <w:t>：以全部或随机抽取的有效投标报价的算术平均值</w:t>
      </w:r>
      <w:r>
        <w:rPr>
          <w:rFonts w:hint="eastAsia" w:ascii="Times New Roman" w:hAnsi="Times New Roman" w:eastAsia="宋体" w:cs="Times New Roman"/>
          <w:color w:val="000000" w:themeColor="text1"/>
          <w:sz w:val="24"/>
          <w:szCs w:val="24"/>
          <w:highlight w:val="none"/>
          <w14:textFill>
            <w14:solidFill>
              <w14:schemeClr w14:val="tx1"/>
            </w14:solidFill>
          </w14:textFill>
        </w:rPr>
        <w:t>按</w:t>
      </w:r>
      <w:r>
        <w:rPr>
          <w:rFonts w:hint="eastAsia" w:ascii="宋体" w:hAnsi="宋体" w:eastAsia="宋体" w:cs="Times New Roman"/>
          <w:color w:val="000000" w:themeColor="text1"/>
          <w:sz w:val="24"/>
          <w:szCs w:val="24"/>
          <w:highlight w:val="none"/>
          <w14:textFill>
            <w14:solidFill>
              <w14:schemeClr w14:val="tx1"/>
            </w14:solidFill>
          </w14:textFill>
        </w:rPr>
        <w:t>随机抽取的评标基准价下浮率（2～5%，0.5一个级别）下浮作为评标基准价。具体确定方法如下：</w:t>
      </w:r>
    </w:p>
    <w:p w14:paraId="70FFAC3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a</w:t>
      </w:r>
      <w:r>
        <w:rPr>
          <w:rFonts w:hint="eastAsia" w:ascii="宋体" w:hAnsi="宋体" w:eastAsia="宋体" w:cs="Times New Roman"/>
          <w:color w:val="000000" w:themeColor="text1"/>
          <w:sz w:val="24"/>
          <w:szCs w:val="24"/>
          <w:highlight w:val="none"/>
          <w14:textFill>
            <w14:solidFill>
              <w14:schemeClr w14:val="tx1"/>
            </w14:solidFill>
          </w14:textFill>
        </w:rPr>
        <w:t>、当有效投标报价的投标人少于或等于5个时，取全部有效投标报价的算术平均</w:t>
      </w:r>
      <w:r>
        <w:rPr>
          <w:rFonts w:hint="eastAsia" w:ascii="Times New Roman" w:hAnsi="Times New Roman" w:eastAsia="宋体" w:cs="Times New Roman"/>
          <w:color w:val="000000" w:themeColor="text1"/>
          <w:sz w:val="24"/>
          <w:szCs w:val="24"/>
          <w:highlight w:val="none"/>
          <w14:textFill>
            <w14:solidFill>
              <w14:schemeClr w14:val="tx1"/>
            </w14:solidFill>
          </w14:textFill>
        </w:rPr>
        <w:t>按</w:t>
      </w:r>
      <w:r>
        <w:rPr>
          <w:rFonts w:hint="eastAsia" w:ascii="宋体" w:hAnsi="宋体" w:eastAsia="宋体" w:cs="Times New Roman"/>
          <w:color w:val="000000" w:themeColor="text1"/>
          <w:sz w:val="24"/>
          <w:szCs w:val="24"/>
          <w:highlight w:val="none"/>
          <w14:textFill>
            <w14:solidFill>
              <w14:schemeClr w14:val="tx1"/>
            </w14:solidFill>
          </w14:textFill>
        </w:rPr>
        <w:t>随机抽取的评标基准价下浮率（2～5%，0.5一个级别）下浮作为评标基准价。</w:t>
      </w:r>
    </w:p>
    <w:p w14:paraId="55DD515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b</w:t>
      </w:r>
      <w:r>
        <w:rPr>
          <w:rFonts w:hint="eastAsia" w:ascii="宋体" w:hAnsi="宋体" w:eastAsia="宋体" w:cs="Times New Roman"/>
          <w:color w:val="000000" w:themeColor="text1"/>
          <w:sz w:val="24"/>
          <w:szCs w:val="24"/>
          <w:highlight w:val="none"/>
          <w14:textFill>
            <w14:solidFill>
              <w14:schemeClr w14:val="tx1"/>
            </w14:solidFill>
          </w14:textFill>
        </w:rPr>
        <w:t>、当有效投标报价的投标人为6至10个时，从全部有效投标报价中去掉一个最大值和最小值，其他有效投标报价的算术平均值</w:t>
      </w:r>
      <w:r>
        <w:rPr>
          <w:rFonts w:hint="eastAsia" w:ascii="Times New Roman" w:hAnsi="Times New Roman" w:eastAsia="宋体" w:cs="Times New Roman"/>
          <w:color w:val="000000" w:themeColor="text1"/>
          <w:sz w:val="24"/>
          <w:szCs w:val="24"/>
          <w:highlight w:val="none"/>
          <w14:textFill>
            <w14:solidFill>
              <w14:schemeClr w14:val="tx1"/>
            </w14:solidFill>
          </w14:textFill>
        </w:rPr>
        <w:t>按</w:t>
      </w:r>
      <w:r>
        <w:rPr>
          <w:rFonts w:hint="eastAsia" w:ascii="宋体" w:hAnsi="宋体" w:eastAsia="宋体" w:cs="Times New Roman"/>
          <w:color w:val="000000" w:themeColor="text1"/>
          <w:sz w:val="24"/>
          <w:szCs w:val="24"/>
          <w:highlight w:val="none"/>
          <w14:textFill>
            <w14:solidFill>
              <w14:schemeClr w14:val="tx1"/>
            </w14:solidFill>
          </w14:textFill>
        </w:rPr>
        <w:t>随机抽取的评标基准价下浮率（2～5%，0.5一个级别）下浮作为评标基准价。</w:t>
      </w:r>
    </w:p>
    <w:p w14:paraId="6E875085">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c</w:t>
      </w:r>
      <w:r>
        <w:rPr>
          <w:rFonts w:hint="eastAsia" w:ascii="宋体" w:hAnsi="宋体" w:eastAsia="宋体" w:cs="Times New Roman"/>
          <w:color w:val="000000" w:themeColor="text1"/>
          <w:sz w:val="24"/>
          <w:szCs w:val="24"/>
          <w:highlight w:val="none"/>
          <w14:textFill>
            <w14:solidFill>
              <w14:schemeClr w14:val="tx1"/>
            </w14:solidFill>
          </w14:textFill>
        </w:rPr>
        <w:t>、当有效投标报价的投标人大于10个时，随机抽取10个有效投标报价并从中去掉一个最大值和最小值后计算算术平均值，该平均值</w:t>
      </w:r>
      <w:r>
        <w:rPr>
          <w:rFonts w:hint="eastAsia" w:ascii="Times New Roman" w:hAnsi="Times New Roman" w:eastAsia="宋体" w:cs="Times New Roman"/>
          <w:color w:val="000000" w:themeColor="text1"/>
          <w:sz w:val="24"/>
          <w:szCs w:val="24"/>
          <w:highlight w:val="none"/>
          <w14:textFill>
            <w14:solidFill>
              <w14:schemeClr w14:val="tx1"/>
            </w14:solidFill>
          </w14:textFill>
        </w:rPr>
        <w:t>按</w:t>
      </w:r>
      <w:r>
        <w:rPr>
          <w:rFonts w:hint="eastAsia" w:ascii="宋体" w:hAnsi="宋体" w:eastAsia="宋体" w:cs="Times New Roman"/>
          <w:color w:val="000000" w:themeColor="text1"/>
          <w:sz w:val="24"/>
          <w:szCs w:val="24"/>
          <w:highlight w:val="none"/>
          <w14:textFill>
            <w14:solidFill>
              <w14:schemeClr w14:val="tx1"/>
            </w14:solidFill>
          </w14:textFill>
        </w:rPr>
        <w:t>随机抽取的评标基准价下浮率（2～5%，0.5一个级别）下浮作为评标基准价。</w:t>
      </w:r>
    </w:p>
    <w:p w14:paraId="17BE1DC8">
      <w:pPr>
        <w:spacing w:line="360" w:lineRule="auto"/>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可选方式二：</w:t>
      </w:r>
      <w:r>
        <w:rPr>
          <w:rFonts w:hint="eastAsia" w:ascii="宋体" w:hAnsi="宋体" w:eastAsia="宋体" w:cs="宋体"/>
          <w:color w:val="000000" w:themeColor="text1"/>
          <w:sz w:val="24"/>
          <w:szCs w:val="24"/>
          <w:highlight w:val="none"/>
          <w14:textFill>
            <w14:solidFill>
              <w14:schemeClr w14:val="tx1"/>
            </w14:solidFill>
          </w14:textFill>
        </w:rPr>
        <w:t>以有效投标报价的算术平均值按随机抽取的评标基准价下浮率（2～5%，0.5一个级别）下浮作为评标基准价。</w:t>
      </w:r>
    </w:p>
    <w:p w14:paraId="31D4D185">
      <w:pPr>
        <w:spacing w:line="360" w:lineRule="auto"/>
        <w:ind w:firstLine="482"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可选方式</w:t>
      </w:r>
      <w:r>
        <w:rPr>
          <w:rFonts w:hint="eastAsia" w:ascii="宋体" w:hAnsi="宋体" w:eastAsia="宋体" w:cs="Times New Roman"/>
          <w:b/>
          <w:color w:val="000000" w:themeColor="text1"/>
          <w:sz w:val="24"/>
          <w:szCs w:val="24"/>
          <w:highlight w:val="none"/>
          <w:lang w:eastAsia="zh-CN"/>
          <w14:textFill>
            <w14:solidFill>
              <w14:schemeClr w14:val="tx1"/>
            </w14:solidFill>
          </w14:textFill>
        </w:rPr>
        <w:t>三</w:t>
      </w:r>
      <w:r>
        <w:rPr>
          <w:rFonts w:hint="eastAsia" w:ascii="宋体" w:hAnsi="宋体" w:eastAsia="宋体" w:cs="Times New Roman"/>
          <w:color w:val="000000" w:themeColor="text1"/>
          <w:sz w:val="24"/>
          <w:szCs w:val="24"/>
          <w:highlight w:val="none"/>
          <w14:textFill>
            <w14:solidFill>
              <w14:schemeClr w14:val="tx1"/>
            </w14:solidFill>
          </w14:textFill>
        </w:rPr>
        <w:t>：以有效投标报价</w:t>
      </w:r>
      <w:r>
        <w:rPr>
          <w:rFonts w:hint="eastAsia" w:ascii="宋体" w:hAnsi="宋体" w:eastAsia="宋体" w:cs="Times New Roman"/>
          <w:color w:val="000000" w:themeColor="text1"/>
          <w:sz w:val="24"/>
          <w:szCs w:val="24"/>
          <w:highlight w:val="none"/>
          <w:lang w:eastAsia="zh-CN"/>
          <w14:textFill>
            <w14:solidFill>
              <w14:schemeClr w14:val="tx1"/>
            </w14:solidFill>
          </w14:textFill>
        </w:rPr>
        <w:t>其中的最低投标报价作为评标基准价。</w:t>
      </w:r>
    </w:p>
    <w:p w14:paraId="08B8DD70">
      <w:pPr>
        <w:spacing w:line="360" w:lineRule="auto"/>
        <w:ind w:firstLine="482"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可选方式</w:t>
      </w:r>
      <w:r>
        <w:rPr>
          <w:rFonts w:hint="eastAsia" w:ascii="宋体" w:hAnsi="宋体" w:eastAsia="宋体" w:cs="Times New Roman"/>
          <w:b/>
          <w:color w:val="000000" w:themeColor="text1"/>
          <w:sz w:val="24"/>
          <w:szCs w:val="24"/>
          <w:highlight w:val="none"/>
          <w:lang w:eastAsia="zh-CN"/>
          <w14:textFill>
            <w14:solidFill>
              <w14:schemeClr w14:val="tx1"/>
            </w14:solidFill>
          </w14:textFill>
        </w:rPr>
        <w:t>四</w:t>
      </w:r>
      <w:r>
        <w:rPr>
          <w:rFonts w:hint="eastAsia"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eastAsia="zh-CN"/>
          <w14:textFill>
            <w14:solidFill>
              <w14:schemeClr w14:val="tx1"/>
            </w14:solidFill>
          </w14:textFill>
        </w:rPr>
        <w:t>将技术评审或技术评审加诚信得分（具体由招标人自定）排序。</w:t>
      </w:r>
    </w:p>
    <w:p w14:paraId="36693502">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lang w:eastAsia="zh-CN"/>
          <w14:textFill>
            <w14:solidFill>
              <w14:schemeClr w14:val="tx1"/>
            </w14:solidFill>
          </w14:textFill>
        </w:rPr>
        <w:t>a、当有效投标报价的投标人少于或等于7个时，取全部有效投标报价的算术平均按随机抽取的评标基准价下浮率（2～5%，0.5一个级别）下浮作为评标基准价。</w:t>
      </w:r>
    </w:p>
    <w:p w14:paraId="39D9B1DD">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lang w:eastAsia="zh-CN"/>
          <w14:textFill>
            <w14:solidFill>
              <w14:schemeClr w14:val="tx1"/>
            </w14:solidFill>
          </w14:textFill>
        </w:rPr>
        <w:t>b、当有效投标报价的投标人大于7个小于10个时，从全部有效投标报价中去掉一个最大值和最小值，其他有效投标报价的算术平均值按随机抽取的评标基准价下浮率（2～5%，0.5一个级别）下浮作为评标基准价。</w:t>
      </w:r>
    </w:p>
    <w:p w14:paraId="3B8652B8">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lang w:eastAsia="zh-CN"/>
          <w14:textFill>
            <w14:solidFill>
              <w14:schemeClr w14:val="tx1"/>
            </w14:solidFill>
          </w14:textFill>
        </w:rPr>
        <w:t>c、当有效投标报价的投标人数量大于或等于10时，随机从前  名（前10-20名，具体由招标人自定）抽取  个（选7-10个，具体由招标人自定）有效投标报价并从中去掉一个最大值和最小值后计算算术平均值，该平均值按随机抽取的评标基准价下浮率（2～5%，0.5一个级别）下浮作为评标基准价。</w:t>
      </w:r>
    </w:p>
    <w:p w14:paraId="5FE1B0D4">
      <w:pPr>
        <w:widowControl w:val="0"/>
        <w:spacing w:beforeLines="0" w:afterLines="0" w:line="360" w:lineRule="auto"/>
        <w:ind w:firstLine="480" w:firstLineChars="200"/>
        <w:jc w:val="both"/>
        <w:textAlignment w:val="baseline"/>
        <w:rPr>
          <w:rFonts w:hint="eastAsia" w:ascii="Times New Roman" w:hAnsi="Times New Roman" w:eastAsia="Times New Roman" w:cs="Times New Roman"/>
          <w:color w:val="000000" w:themeColor="text1"/>
          <w:kern w:val="2"/>
          <w:sz w:val="24"/>
          <w:szCs w:val="22"/>
          <w:highlight w:val="none"/>
          <w:lang w:val="en-US" w:eastAsia="zh-CN" w:bidi="ar"/>
          <w14:textFill>
            <w14:solidFill>
              <w14:schemeClr w14:val="tx1"/>
            </w14:solidFill>
          </w14:textFill>
        </w:rPr>
      </w:pPr>
      <w:r>
        <w:rPr>
          <w:rFonts w:hint="eastAsia" w:ascii="宋体" w:hAnsi="宋体" w:eastAsia="宋体" w:cs="Times New Roman"/>
          <w:color w:val="000000" w:themeColor="text1"/>
          <w:kern w:val="2"/>
          <w:sz w:val="24"/>
          <w:szCs w:val="24"/>
          <w:highlight w:val="none"/>
          <w:lang w:val="en-US" w:eastAsia="zh-CN" w:bidi="ar"/>
          <w14:textFill>
            <w14:solidFill>
              <w14:schemeClr w14:val="tx1"/>
            </w14:solidFill>
          </w14:textFill>
        </w:rPr>
        <w:t>技术评审或技术评审加诚信得分相同的，以诚信得分靠前的排前；技术评审得分与诚信得分均相同的投标人，由评标委员会采用记名投票方式，确定投标人的排序（具体由招标人自定）。</w:t>
      </w:r>
    </w:p>
    <w:p w14:paraId="5D4FE485">
      <w:pPr>
        <w:spacing w:line="360" w:lineRule="auto"/>
        <w:ind w:firstLine="482" w:firstLineChars="200"/>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可选方式</w:t>
      </w:r>
      <w:r>
        <w:rPr>
          <w:rFonts w:hint="eastAsia" w:ascii="宋体" w:hAnsi="宋体" w:eastAsia="宋体" w:cs="Times New Roman"/>
          <w:b/>
          <w:color w:val="000000" w:themeColor="text1"/>
          <w:sz w:val="24"/>
          <w:szCs w:val="24"/>
          <w:highlight w:val="none"/>
          <w:lang w:eastAsia="zh-CN"/>
          <w14:textFill>
            <w14:solidFill>
              <w14:schemeClr w14:val="tx1"/>
            </w14:solidFill>
          </w14:textFill>
        </w:rPr>
        <w:t>五</w:t>
      </w:r>
      <w:r>
        <w:rPr>
          <w:rFonts w:hint="eastAsia"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eastAsia="zh-CN"/>
          <w14:textFill>
            <w14:solidFill>
              <w14:schemeClr w14:val="tx1"/>
            </w14:solidFill>
          </w14:textFill>
        </w:rPr>
        <w:t>（</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由招标人依据相关法律法规合理确定</w:t>
      </w:r>
      <w:r>
        <w:rPr>
          <w:rFonts w:hint="eastAsia" w:ascii="宋体" w:hAnsi="宋体" w:eastAsia="宋体" w:cs="Times New Roman"/>
          <w:color w:val="000000" w:themeColor="text1"/>
          <w:sz w:val="24"/>
          <w:szCs w:val="24"/>
          <w:highlight w:val="none"/>
          <w:lang w:eastAsia="zh-CN"/>
          <w14:textFill>
            <w14:solidFill>
              <w14:schemeClr w14:val="tx1"/>
            </w14:solidFill>
          </w14:textFill>
        </w:rPr>
        <w:t>）。</w:t>
      </w:r>
    </w:p>
    <w:p w14:paraId="435F2B7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在首次评标过程中，投标人未被发现存在串通投标、弄虚作假、行贿等情形的，无论是否重评，经确定的评标基准价不变。</w:t>
      </w:r>
    </w:p>
    <w:p w14:paraId="6A96A66D">
      <w:pPr>
        <w:pBdr>
          <w:top w:val="none" w:color="auto" w:sz="0" w:space="0"/>
          <w:left w:val="none" w:color="auto" w:sz="0" w:space="0"/>
          <w:bottom w:val="none" w:color="auto" w:sz="0" w:space="0"/>
          <w:right w:val="none" w:color="auto" w:sz="0" w:space="0"/>
          <w:between w:val="none" w:color="auto" w:sz="0" w:space="0"/>
        </w:pBdr>
        <w:spacing w:line="360" w:lineRule="auto"/>
        <w:ind w:firstLine="482"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lang w:val="en-US" w:eastAsia="zh-CN"/>
          <w14:textFill>
            <w14:solidFill>
              <w14:schemeClr w14:val="tx1"/>
            </w14:solidFill>
          </w14:textFill>
        </w:rPr>
        <w:t>现文：</w:t>
      </w:r>
      <w:r>
        <w:rPr>
          <w:rFonts w:hint="eastAsia" w:ascii="宋体" w:hAnsi="宋体" w:eastAsia="宋体" w:cs="Times New Roman"/>
          <w:color w:val="000000" w:themeColor="text1"/>
          <w:sz w:val="24"/>
          <w:highlight w:val="none"/>
          <w14:textFill>
            <w14:solidFill>
              <w14:schemeClr w14:val="tx1"/>
            </w14:solidFill>
          </w14:textFill>
        </w:rPr>
        <w:t>2.2.</w:t>
      </w:r>
      <w:r>
        <w:rPr>
          <w:rFonts w:ascii="宋体" w:hAnsi="宋体" w:eastAsia="宋体" w:cs="Times New Roman"/>
          <w:color w:val="000000" w:themeColor="text1"/>
          <w:sz w:val="24"/>
          <w:highlight w:val="none"/>
          <w14:textFill>
            <w14:solidFill>
              <w14:schemeClr w14:val="tx1"/>
            </w14:solidFill>
          </w14:textFill>
        </w:rPr>
        <w:t>3</w:t>
      </w:r>
      <w:r>
        <w:rPr>
          <w:rFonts w:hint="eastAsia" w:ascii="宋体" w:hAnsi="宋体" w:eastAsia="宋体" w:cs="Times New Roman"/>
          <w:color w:val="000000" w:themeColor="text1"/>
          <w:sz w:val="24"/>
          <w:highlight w:val="none"/>
          <w14:textFill>
            <w14:solidFill>
              <w14:schemeClr w14:val="tx1"/>
            </w14:solidFill>
          </w14:textFill>
        </w:rPr>
        <w:t xml:space="preserve"> 评标基准价计算</w:t>
      </w:r>
    </w:p>
    <w:p w14:paraId="2AD0A9EF">
      <w:pPr>
        <w:snapToGrid w:val="0"/>
        <w:spacing w:line="360" w:lineRule="auto"/>
        <w:ind w:firstLine="480" w:firstLineChars="200"/>
        <w:rPr>
          <w:rFonts w:hint="eastAsia" w:ascii="宋体" w:hAnsi="宋体" w:eastAsia="宋体" w:cs="Times New Roman"/>
          <w:b w:val="0"/>
          <w:bCs/>
          <w:color w:val="000000" w:themeColor="text1"/>
          <w:sz w:val="24"/>
          <w:szCs w:val="24"/>
          <w:highlight w:val="none"/>
          <w:u w:val="single"/>
          <w:lang w:val="zh-TW" w:eastAsia="zh-TW"/>
          <w14:textFill>
            <w14:solidFill>
              <w14:schemeClr w14:val="tx1"/>
            </w14:solidFill>
          </w14:textFill>
        </w:rPr>
      </w:pPr>
      <w:r>
        <w:rPr>
          <w:rFonts w:hint="eastAsia" w:ascii="宋体" w:hAnsi="宋体" w:eastAsia="宋体" w:cs="Times New Roman"/>
          <w:b w:val="0"/>
          <w:bCs/>
          <w:color w:val="000000" w:themeColor="text1"/>
          <w:sz w:val="24"/>
          <w:szCs w:val="24"/>
          <w:highlight w:val="none"/>
          <w:u w:val="single"/>
          <w:lang w:val="zh-TW" w:eastAsia="zh-TW"/>
          <w14:textFill>
            <w14:solidFill>
              <w14:schemeClr w14:val="tx1"/>
            </w14:solidFill>
          </w14:textFill>
        </w:rPr>
        <w:t>将技术评审得分排序。</w:t>
      </w:r>
    </w:p>
    <w:p w14:paraId="49B5E935">
      <w:pPr>
        <w:snapToGrid w:val="0"/>
        <w:spacing w:line="360" w:lineRule="auto"/>
        <w:ind w:firstLine="480" w:firstLineChars="200"/>
        <w:rPr>
          <w:rFonts w:hint="eastAsia" w:ascii="宋体" w:hAnsi="宋体" w:eastAsia="宋体" w:cs="Times New Roman"/>
          <w:b w:val="0"/>
          <w:bCs/>
          <w:color w:val="000000" w:themeColor="text1"/>
          <w:sz w:val="24"/>
          <w:szCs w:val="24"/>
          <w:highlight w:val="none"/>
          <w:u w:val="single"/>
          <w:lang w:val="zh-TW" w:eastAsia="zh-TW"/>
          <w14:textFill>
            <w14:solidFill>
              <w14:schemeClr w14:val="tx1"/>
            </w14:solidFill>
          </w14:textFill>
        </w:rPr>
      </w:pPr>
      <w:r>
        <w:rPr>
          <w:rFonts w:hint="eastAsia" w:ascii="宋体" w:hAnsi="宋体" w:eastAsia="宋体" w:cs="Times New Roman"/>
          <w:b w:val="0"/>
          <w:bCs/>
          <w:color w:val="000000" w:themeColor="text1"/>
          <w:sz w:val="24"/>
          <w:szCs w:val="24"/>
          <w:highlight w:val="none"/>
          <w:u w:val="single"/>
          <w:lang w:val="zh-TW" w:eastAsia="zh-TW"/>
          <w14:textFill>
            <w14:solidFill>
              <w14:schemeClr w14:val="tx1"/>
            </w14:solidFill>
          </w14:textFill>
        </w:rPr>
        <w:t>a、当有效投标报价的投标人少于或等于7个时，取全部有效投标报价的算术平均按随机抽取的评标基准价下浮率（2～5%，0.5一个级别）下浮作为评标基准价。</w:t>
      </w:r>
    </w:p>
    <w:p w14:paraId="63C4C9BF">
      <w:pPr>
        <w:snapToGrid w:val="0"/>
        <w:spacing w:line="360" w:lineRule="auto"/>
        <w:ind w:firstLine="480" w:firstLineChars="200"/>
        <w:rPr>
          <w:rFonts w:hint="eastAsia" w:ascii="宋体" w:hAnsi="宋体" w:eastAsia="宋体" w:cs="Times New Roman"/>
          <w:b w:val="0"/>
          <w:bCs/>
          <w:color w:val="000000" w:themeColor="text1"/>
          <w:sz w:val="24"/>
          <w:szCs w:val="24"/>
          <w:highlight w:val="none"/>
          <w:u w:val="single"/>
          <w:lang w:val="zh-TW" w:eastAsia="zh-TW"/>
          <w14:textFill>
            <w14:solidFill>
              <w14:schemeClr w14:val="tx1"/>
            </w14:solidFill>
          </w14:textFill>
        </w:rPr>
      </w:pPr>
      <w:r>
        <w:rPr>
          <w:rFonts w:hint="eastAsia" w:ascii="宋体" w:hAnsi="宋体" w:eastAsia="宋体" w:cs="Times New Roman"/>
          <w:b w:val="0"/>
          <w:bCs/>
          <w:color w:val="000000" w:themeColor="text1"/>
          <w:sz w:val="24"/>
          <w:szCs w:val="24"/>
          <w:highlight w:val="none"/>
          <w:u w:val="single"/>
          <w:lang w:val="zh-TW" w:eastAsia="zh-TW"/>
          <w14:textFill>
            <w14:solidFill>
              <w14:schemeClr w14:val="tx1"/>
            </w14:solidFill>
          </w14:textFill>
        </w:rPr>
        <w:t>b、当有效投标报价的投标人大于7个小于10个时，从全部有效投标报价中去掉一个最大值和最小值，其他有效投标报价的算术平均值按随机抽取的评标基准价下浮率（2～5%，0.5一个级别）下浮作为评标基准价。</w:t>
      </w:r>
    </w:p>
    <w:p w14:paraId="6086C092">
      <w:pPr>
        <w:snapToGrid w:val="0"/>
        <w:spacing w:line="360" w:lineRule="auto"/>
        <w:ind w:firstLine="480" w:firstLineChars="200"/>
        <w:rPr>
          <w:rFonts w:hint="eastAsia" w:ascii="宋体" w:hAnsi="宋体" w:eastAsia="宋体" w:cs="Times New Roman"/>
          <w:b w:val="0"/>
          <w:bCs/>
          <w:color w:val="000000" w:themeColor="text1"/>
          <w:sz w:val="24"/>
          <w:szCs w:val="24"/>
          <w:highlight w:val="none"/>
          <w:u w:val="single"/>
          <w:lang w:val="zh-TW" w:eastAsia="zh-TW"/>
          <w14:textFill>
            <w14:solidFill>
              <w14:schemeClr w14:val="tx1"/>
            </w14:solidFill>
          </w14:textFill>
        </w:rPr>
      </w:pPr>
      <w:r>
        <w:rPr>
          <w:rFonts w:hint="eastAsia" w:ascii="宋体" w:hAnsi="宋体" w:eastAsia="宋体" w:cs="Times New Roman"/>
          <w:b w:val="0"/>
          <w:bCs/>
          <w:color w:val="000000" w:themeColor="text1"/>
          <w:sz w:val="24"/>
          <w:szCs w:val="24"/>
          <w:highlight w:val="none"/>
          <w:u w:val="single"/>
          <w:lang w:val="zh-TW" w:eastAsia="zh-TW"/>
          <w14:textFill>
            <w14:solidFill>
              <w14:schemeClr w14:val="tx1"/>
            </w14:solidFill>
          </w14:textFill>
        </w:rPr>
        <w:t>c、当有效投标报价的投标人数量大于或等于10时，随机从前</w:t>
      </w:r>
      <w:r>
        <w:rPr>
          <w:rFonts w:hint="eastAsia" w:ascii="宋体" w:hAnsi="宋体" w:eastAsia="宋体" w:cs="Times New Roman"/>
          <w:b w:val="0"/>
          <w:bCs/>
          <w:color w:val="000000" w:themeColor="text1"/>
          <w:sz w:val="24"/>
          <w:szCs w:val="24"/>
          <w:highlight w:val="none"/>
          <w:u w:val="single"/>
          <w:lang w:val="en-US" w:eastAsia="zh-CN"/>
          <w14:textFill>
            <w14:solidFill>
              <w14:schemeClr w14:val="tx1"/>
            </w14:solidFill>
          </w14:textFill>
        </w:rPr>
        <w:t>10</w:t>
      </w:r>
      <w:r>
        <w:rPr>
          <w:rFonts w:hint="eastAsia" w:ascii="宋体" w:hAnsi="宋体" w:eastAsia="宋体" w:cs="Times New Roman"/>
          <w:b w:val="0"/>
          <w:bCs/>
          <w:color w:val="000000" w:themeColor="text1"/>
          <w:sz w:val="24"/>
          <w:szCs w:val="24"/>
          <w:highlight w:val="none"/>
          <w:u w:val="single"/>
          <w:lang w:val="zh-TW" w:eastAsia="zh-TW"/>
          <w14:textFill>
            <w14:solidFill>
              <w14:schemeClr w14:val="tx1"/>
            </w14:solidFill>
          </w14:textFill>
        </w:rPr>
        <w:t>名（前10-20名，具体由招标人自定）抽取</w:t>
      </w:r>
      <w:r>
        <w:rPr>
          <w:rFonts w:hint="eastAsia" w:ascii="宋体" w:hAnsi="宋体" w:eastAsia="宋体" w:cs="Times New Roman"/>
          <w:b w:val="0"/>
          <w:bCs/>
          <w:color w:val="000000" w:themeColor="text1"/>
          <w:sz w:val="24"/>
          <w:szCs w:val="24"/>
          <w:highlight w:val="none"/>
          <w:u w:val="single"/>
          <w:lang w:val="en-US" w:eastAsia="zh-CN"/>
          <w14:textFill>
            <w14:solidFill>
              <w14:schemeClr w14:val="tx1"/>
            </w14:solidFill>
          </w14:textFill>
        </w:rPr>
        <w:t>7</w:t>
      </w:r>
      <w:r>
        <w:rPr>
          <w:rFonts w:hint="eastAsia" w:ascii="宋体" w:hAnsi="宋体" w:eastAsia="宋体" w:cs="Times New Roman"/>
          <w:b w:val="0"/>
          <w:bCs/>
          <w:color w:val="000000" w:themeColor="text1"/>
          <w:sz w:val="24"/>
          <w:szCs w:val="24"/>
          <w:highlight w:val="none"/>
          <w:u w:val="single"/>
          <w:lang w:val="zh-TW" w:eastAsia="zh-TW"/>
          <w14:textFill>
            <w14:solidFill>
              <w14:schemeClr w14:val="tx1"/>
            </w14:solidFill>
          </w14:textFill>
        </w:rPr>
        <w:t>个（选7-10个，具体由招标人自定）有效投标报价并从中去掉一个最大值和最小值后计算算术平均值，该平均值按随机抽取的评标基准价下浮率（2～5%，0.5一个级别）下浮作为评标基准价。</w:t>
      </w:r>
    </w:p>
    <w:p w14:paraId="3CC14DB8">
      <w:pPr>
        <w:snapToGrid w:val="0"/>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b w:val="0"/>
          <w:bCs/>
          <w:color w:val="000000" w:themeColor="text1"/>
          <w:sz w:val="24"/>
          <w:szCs w:val="24"/>
          <w:highlight w:val="none"/>
          <w:u w:val="single"/>
          <w:lang w:val="zh-TW" w:eastAsia="zh-TW"/>
          <w14:textFill>
            <w14:solidFill>
              <w14:schemeClr w14:val="tx1"/>
            </w14:solidFill>
          </w14:textFill>
        </w:rPr>
        <w:t>技术评审得分相同的，由评标委员会采用记名投票方式，确定投标人的排序。</w:t>
      </w:r>
    </w:p>
    <w:p w14:paraId="3390A1CD">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在首次评标过程中，投标人未被发现存在串通投标、弄虚作假、行贿等情形的，无论是否重评，经确定的评标基准价不变。</w:t>
      </w:r>
    </w:p>
    <w:p w14:paraId="594B91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条款号：2.2.5                         修改类型：修改</w:t>
      </w:r>
    </w:p>
    <w:p w14:paraId="094FE0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原文：2.2.5 评分标准</w:t>
      </w:r>
    </w:p>
    <w:p w14:paraId="58BCF9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（1）技术部分评分标准：见评标办法前附表；</w:t>
      </w:r>
    </w:p>
    <w:p w14:paraId="369B1F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（2）诚信部分评标标准：见评标办法前附表</w:t>
      </w:r>
      <w:r>
        <w:rPr>
          <w:rFonts w:hint="eastAsia" w:ascii="宋体" w:hAnsi="宋体" w:cs="Times New Roman"/>
          <w:color w:val="000000" w:themeColor="text1"/>
          <w:sz w:val="24"/>
          <w:szCs w:val="21"/>
          <w:highlight w:val="none"/>
          <w:lang w:eastAsia="zh-CN"/>
          <w14:textFill>
            <w14:solidFill>
              <w14:schemeClr w14:val="tx1"/>
            </w14:solidFill>
          </w14:textFill>
        </w:rPr>
        <w:t>；</w:t>
      </w:r>
    </w:p>
    <w:p w14:paraId="4BA761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注：投标人的诚信评价总分取自本项目招标公告发布第1天所在季度的上一季度的诚信综合评价分。</w:t>
      </w:r>
    </w:p>
    <w:p w14:paraId="32FFB6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（3）投标报价评分标准：见评标办法前附表；</w:t>
      </w:r>
    </w:p>
    <w:p w14:paraId="2DC8E20D">
      <w:pPr>
        <w:keepNext w:val="0"/>
        <w:keepLines w:val="0"/>
        <w:pageBreakBefore w:val="0"/>
        <w:widowControl w:val="0"/>
        <w:pBdr>
          <w:bottom w:val="single" w:color="auto" w:sz="4" w:space="0"/>
        </w:pBd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现文：2.2.5 评分标准</w:t>
      </w:r>
    </w:p>
    <w:p w14:paraId="0EE54889">
      <w:pPr>
        <w:keepNext w:val="0"/>
        <w:keepLines w:val="0"/>
        <w:pageBreakBefore w:val="0"/>
        <w:widowControl w:val="0"/>
        <w:pBdr>
          <w:bottom w:val="single" w:color="auto" w:sz="4" w:space="0"/>
        </w:pBd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（1）技术部分评分标准：见评标办法前附表；</w:t>
      </w:r>
    </w:p>
    <w:p w14:paraId="31CE2873">
      <w:pPr>
        <w:keepNext w:val="0"/>
        <w:keepLines w:val="0"/>
        <w:pageBreakBefore w:val="0"/>
        <w:widowControl w:val="0"/>
        <w:pBdr>
          <w:bottom w:val="single" w:color="auto" w:sz="4" w:space="0"/>
        </w:pBd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（2）诚信部分评标标准：见评标办法前附表</w:t>
      </w:r>
      <w:r>
        <w:rPr>
          <w:rFonts w:hint="eastAsia" w:ascii="宋体" w:hAnsi="宋体" w:cs="Times New Roman"/>
          <w:color w:val="000000" w:themeColor="text1"/>
          <w:sz w:val="24"/>
          <w:szCs w:val="21"/>
          <w:highlight w:val="none"/>
          <w:lang w:eastAsia="zh-CN"/>
          <w14:textFill>
            <w14:solidFill>
              <w14:schemeClr w14:val="tx1"/>
            </w14:solidFill>
          </w14:textFill>
        </w:rPr>
        <w:t>；</w:t>
      </w:r>
    </w:p>
    <w:p w14:paraId="7A5812D4">
      <w:pPr>
        <w:keepNext w:val="0"/>
        <w:keepLines w:val="0"/>
        <w:pageBreakBefore w:val="0"/>
        <w:widowControl w:val="0"/>
        <w:pBdr>
          <w:bottom w:val="single" w:color="auto" w:sz="4" w:space="0"/>
        </w:pBd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（3）投标报价评分标准：见评标办法前附表。</w:t>
      </w:r>
    </w:p>
    <w:p w14:paraId="4B4EDC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条款号：</w:t>
      </w:r>
      <w:r>
        <w:rPr>
          <w:rFonts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2</w:t>
      </w:r>
      <w:r>
        <w:rPr>
          <w:rFonts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1（1）</w:t>
      </w:r>
      <w:r>
        <w:rPr>
          <w:rFonts w:ascii="宋体" w:hAnsi="宋体"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修改类型：修改</w:t>
      </w:r>
    </w:p>
    <w:p w14:paraId="3B1539B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4"/>
          <w:highlight w:val="none"/>
          <w:lang w:val="en-US" w:eastAsia="zh-CN"/>
          <w14:textFill>
            <w14:solidFill>
              <w14:schemeClr w14:val="tx1"/>
            </w14:solidFill>
          </w14:textFill>
        </w:rPr>
        <w:t>原文：</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按本章第2.2.5（1）目规定的评审因素和分值对技术部分计算出得分A；①技术部分评审得分A为从各评标专家打分中去掉一个最高分和去掉一个最低分后的剩余评标专家打分的算术平均值或②技术部分评审得分A为各评标专家打分的算术平均值（二选一，招标人自行选择）。</w:t>
      </w:r>
    </w:p>
    <w:p w14:paraId="22A829D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完成后将每位评委对每家投标人的技术打分转换成等级（合格、不合格），当超过半数的评委评为不合格的投标文件，不进入后续评审。</w:t>
      </w:r>
    </w:p>
    <w:p w14:paraId="1DE81B30">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4"/>
          <w:highlight w:val="none"/>
          <w:lang w:val="en-US" w:eastAsia="zh-CN"/>
          <w14:textFill>
            <w14:solidFill>
              <w14:schemeClr w14:val="tx1"/>
            </w14:solidFill>
          </w14:textFill>
        </w:rPr>
        <w:t>现文：</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按本章第2.2.5（1）目规定的评审因素和分值对技术部分计算出得分A；技术部分评审得分A为从各评标专家打分中去掉一个最高分和去掉一个最低分后的剩余评标专家打分的算术平均值。</w:t>
      </w:r>
    </w:p>
    <w:p w14:paraId="082FE29F">
      <w:pPr>
        <w:spacing w:line="360" w:lineRule="auto"/>
        <w:rPr>
          <w:rFonts w:ascii="宋体" w:hAnsi="宋体" w:eastAsia="宋体" w:cs="Times New Roman"/>
          <w:color w:val="000000" w:themeColor="text1"/>
          <w:sz w:val="24"/>
          <w:szCs w:val="21"/>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注：以上修改，仅限于本范本中有可供选择条款的情形。</w:t>
      </w:r>
    </w:p>
    <w:p w14:paraId="260C0756">
      <w:pPr>
        <w:spacing w:line="360" w:lineRule="auto"/>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szCs w:val="21"/>
          <w:highlight w:val="none"/>
          <w14:textFill>
            <w14:solidFill>
              <w14:schemeClr w14:val="tx1"/>
            </w14:solidFill>
          </w14:textFill>
        </w:rPr>
        <w:t>（以下无正文）</w:t>
      </w:r>
    </w:p>
    <w:p w14:paraId="1137D981">
      <w:pPr>
        <w:widowControl/>
        <w:jc w:val="left"/>
        <w:rPr>
          <w:rFonts w:ascii="宋体" w:hAnsi="宋体"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br w:type="page"/>
      </w:r>
    </w:p>
    <w:p w14:paraId="5F3C9B83">
      <w:pPr>
        <w:spacing w:line="360" w:lineRule="auto"/>
        <w:jc w:val="center"/>
        <w:outlineLvl w:val="2"/>
        <w:rPr>
          <w:rFonts w:ascii="黑体" w:hAnsi="黑体" w:eastAsia="黑体" w:cs="Times New Roman"/>
          <w:color w:val="000000" w:themeColor="text1"/>
          <w:sz w:val="28"/>
          <w:szCs w:val="27"/>
          <w:highlight w:val="none"/>
          <w14:textFill>
            <w14:solidFill>
              <w14:schemeClr w14:val="tx1"/>
            </w14:solidFill>
          </w14:textFill>
        </w:rPr>
      </w:pPr>
      <w:bookmarkStart w:id="371" w:name="_Toc17452672"/>
      <w:bookmarkStart w:id="372" w:name="_Toc17556884"/>
      <w:bookmarkStart w:id="373" w:name="_Toc17454930"/>
      <w:bookmarkStart w:id="374" w:name="_Toc17451631"/>
      <w:bookmarkStart w:id="375" w:name="_Toc17451586"/>
      <w:bookmarkStart w:id="376" w:name="_Toc17454879"/>
      <w:bookmarkStart w:id="377" w:name="_Toc24878"/>
      <w:bookmarkStart w:id="378" w:name="_Toc17451109"/>
      <w:bookmarkStart w:id="379" w:name="_Toc4480"/>
      <w:bookmarkStart w:id="380" w:name="_Toc31333"/>
      <w:bookmarkStart w:id="381" w:name="_Toc4631"/>
      <w:r>
        <w:rPr>
          <w:rFonts w:hint="eastAsia" w:ascii="黑体" w:hAnsi="黑体" w:eastAsia="黑体" w:cs="Times New Roman"/>
          <w:color w:val="000000" w:themeColor="text1"/>
          <w:sz w:val="28"/>
          <w:szCs w:val="27"/>
          <w:highlight w:val="none"/>
          <w14:textFill>
            <w14:solidFill>
              <w14:schemeClr w14:val="tx1"/>
            </w14:solidFill>
          </w14:textFill>
        </w:rPr>
        <w:t>二、评标及定标办法通用条款</w:t>
      </w:r>
      <w:bookmarkEnd w:id="371"/>
      <w:bookmarkEnd w:id="372"/>
      <w:bookmarkEnd w:id="373"/>
      <w:bookmarkEnd w:id="374"/>
      <w:bookmarkEnd w:id="375"/>
      <w:bookmarkEnd w:id="376"/>
      <w:bookmarkEnd w:id="377"/>
      <w:bookmarkEnd w:id="378"/>
      <w:bookmarkEnd w:id="379"/>
      <w:bookmarkEnd w:id="380"/>
      <w:bookmarkEnd w:id="381"/>
    </w:p>
    <w:p w14:paraId="41FF3D42">
      <w:pPr>
        <w:spacing w:line="360" w:lineRule="auto"/>
        <w:jc w:val="center"/>
        <w:outlineLvl w:val="2"/>
        <w:rPr>
          <w:rFonts w:ascii="黑体" w:hAnsi="黑体" w:eastAsia="黑体" w:cs="Times New Roman"/>
          <w:color w:val="000000" w:themeColor="text1"/>
          <w:sz w:val="28"/>
          <w:szCs w:val="27"/>
          <w:highlight w:val="none"/>
          <w14:textFill>
            <w14:solidFill>
              <w14:schemeClr w14:val="tx1"/>
            </w14:solidFill>
          </w14:textFill>
        </w:rPr>
      </w:pPr>
      <w:bookmarkStart w:id="382" w:name="_Toc17451632"/>
      <w:bookmarkStart w:id="383" w:name="_Toc17451587"/>
      <w:bookmarkStart w:id="384" w:name="_Toc17451110"/>
      <w:bookmarkStart w:id="385" w:name="_Toc17452673"/>
      <w:bookmarkStart w:id="386" w:name="_Toc17454880"/>
      <w:bookmarkStart w:id="387" w:name="_Toc12075"/>
      <w:bookmarkStart w:id="388" w:name="_Toc17454931"/>
      <w:bookmarkStart w:id="389" w:name="_Toc17556885"/>
      <w:r>
        <w:rPr>
          <w:rFonts w:hint="eastAsia" w:ascii="黑体" w:hAnsi="黑体" w:eastAsia="黑体" w:cs="Times New Roman"/>
          <w:color w:val="000000" w:themeColor="text1"/>
          <w:sz w:val="28"/>
          <w:szCs w:val="27"/>
          <w:highlight w:val="none"/>
          <w14:textFill>
            <w14:solidFill>
              <w14:schemeClr w14:val="tx1"/>
            </w14:solidFill>
          </w14:textFill>
        </w:rPr>
        <w:t>方法一：</w:t>
      </w:r>
      <w:bookmarkEnd w:id="382"/>
      <w:bookmarkEnd w:id="383"/>
      <w:bookmarkEnd w:id="384"/>
      <w:bookmarkEnd w:id="385"/>
      <w:r>
        <w:rPr>
          <w:rFonts w:hint="eastAsia" w:ascii="黑体" w:hAnsi="黑体" w:eastAsia="黑体" w:cs="Times New Roman"/>
          <w:color w:val="000000" w:themeColor="text1"/>
          <w:sz w:val="28"/>
          <w:szCs w:val="27"/>
          <w:highlight w:val="none"/>
          <w14:textFill>
            <w14:solidFill>
              <w14:schemeClr w14:val="tx1"/>
            </w14:solidFill>
          </w14:textFill>
        </w:rPr>
        <w:t>综合评估法</w:t>
      </w:r>
      <w:bookmarkEnd w:id="386"/>
      <w:r>
        <w:rPr>
          <w:rFonts w:hint="eastAsia" w:ascii="黑体" w:hAnsi="黑体" w:eastAsia="黑体" w:cs="Times New Roman"/>
          <w:color w:val="000000" w:themeColor="text1"/>
          <w:sz w:val="28"/>
          <w:szCs w:val="27"/>
          <w:highlight w:val="none"/>
          <w14:textFill>
            <w14:solidFill>
              <w14:schemeClr w14:val="tx1"/>
            </w14:solidFill>
          </w14:textFill>
        </w:rPr>
        <w:t>一</w:t>
      </w:r>
      <w:bookmarkEnd w:id="387"/>
      <w:bookmarkEnd w:id="388"/>
      <w:bookmarkEnd w:id="389"/>
    </w:p>
    <w:p w14:paraId="28997685">
      <w:pPr>
        <w:spacing w:line="360" w:lineRule="auto"/>
        <w:jc w:val="center"/>
        <w:rPr>
          <w:rFonts w:ascii="宋体" w:hAnsi="宋体" w:eastAsia="宋体" w:cs="Times New Roman"/>
          <w:b/>
          <w:color w:val="000000" w:themeColor="text1"/>
          <w:sz w:val="28"/>
          <w:highlight w:val="none"/>
          <w14:textFill>
            <w14:solidFill>
              <w14:schemeClr w14:val="tx1"/>
            </w14:solidFill>
          </w14:textFill>
        </w:rPr>
      </w:pPr>
      <w:bookmarkStart w:id="390" w:name="_Toc179632617"/>
      <w:bookmarkStart w:id="391" w:name="_Toc144974566"/>
      <w:bookmarkStart w:id="392" w:name="_Toc152045599"/>
      <w:bookmarkStart w:id="393" w:name="_Toc152042376"/>
      <w:r>
        <w:rPr>
          <w:rFonts w:hint="eastAsia" w:ascii="宋体" w:hAnsi="宋体" w:eastAsia="宋体" w:cs="Times New Roman"/>
          <w:b/>
          <w:color w:val="000000" w:themeColor="text1"/>
          <w:sz w:val="28"/>
          <w:highlight w:val="none"/>
          <w14:textFill>
            <w14:solidFill>
              <w14:schemeClr w14:val="tx1"/>
            </w14:solidFill>
          </w14:textFill>
        </w:rPr>
        <w:t>评标办法前附表</w:t>
      </w:r>
      <w:bookmarkEnd w:id="390"/>
      <w:bookmarkEnd w:id="391"/>
      <w:bookmarkEnd w:id="392"/>
      <w:bookmarkEnd w:id="393"/>
    </w:p>
    <w:tbl>
      <w:tblPr>
        <w:tblStyle w:val="38"/>
        <w:tblW w:w="85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951"/>
        <w:gridCol w:w="1827"/>
        <w:gridCol w:w="4930"/>
      </w:tblGrid>
      <w:tr w14:paraId="174285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1" w:type="dxa"/>
            <w:gridSpan w:val="2"/>
            <w:tcBorders>
              <w:top w:val="single" w:color="auto" w:sz="4" w:space="0"/>
              <w:bottom w:val="single" w:color="auto" w:sz="4" w:space="0"/>
              <w:right w:val="single" w:color="auto" w:sz="4" w:space="0"/>
            </w:tcBorders>
            <w:noWrap w:val="0"/>
            <w:vAlign w:val="center"/>
          </w:tcPr>
          <w:p w14:paraId="482583EA">
            <w:pPr>
              <w:spacing w:line="4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条款号</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1191EB50">
            <w:pPr>
              <w:spacing w:line="4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评审因素</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3DB4803A">
            <w:pPr>
              <w:spacing w:line="4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评审标准</w:t>
            </w:r>
          </w:p>
        </w:tc>
      </w:tr>
      <w:tr w14:paraId="050F82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restart"/>
            <w:tcBorders>
              <w:top w:val="single" w:color="auto" w:sz="4" w:space="0"/>
              <w:right w:val="single" w:color="auto" w:sz="4" w:space="0"/>
            </w:tcBorders>
            <w:noWrap w:val="0"/>
            <w:vAlign w:val="center"/>
          </w:tcPr>
          <w:p w14:paraId="6888751A">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2.1.1</w:t>
            </w:r>
          </w:p>
        </w:tc>
        <w:tc>
          <w:tcPr>
            <w:tcW w:w="951" w:type="dxa"/>
            <w:vMerge w:val="restart"/>
            <w:tcBorders>
              <w:top w:val="single" w:color="auto" w:sz="4" w:space="0"/>
              <w:right w:val="single" w:color="auto" w:sz="4" w:space="0"/>
            </w:tcBorders>
            <w:noWrap w:val="0"/>
            <w:vAlign w:val="center"/>
          </w:tcPr>
          <w:p w14:paraId="3BEDE2E9">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资格评审标准</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3C0E0EC0">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营业执照</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03FB9EE4">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具备有效的营业执照。</w:t>
            </w:r>
          </w:p>
        </w:tc>
      </w:tr>
      <w:tr w14:paraId="143F2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19B4EA62">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0BDE99AF">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30EFE147">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安全生产许可证</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0F6C603A">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具有有效的建设行政主管部门颁发的安全生产许可证</w:t>
            </w:r>
          </w:p>
        </w:tc>
      </w:tr>
      <w:tr w14:paraId="0A3E62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675D1D04">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6EFA180D">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2B958B61">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资质等级</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53523093">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符合第二章“投标人须知”第1.4.1项规定</w:t>
            </w:r>
          </w:p>
        </w:tc>
      </w:tr>
      <w:tr w14:paraId="5BA3F2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4317C0CE">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460B1905">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605F445F">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项目负责人资格</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713C1A88">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符合第二章“投标人须知”第1.4.1项规定</w:t>
            </w:r>
          </w:p>
        </w:tc>
      </w:tr>
      <w:tr w14:paraId="0CDBD3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57529972">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0CED72D3">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2B14EBF9">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项目负责人持有安全生产考核合格证</w:t>
            </w:r>
            <w:r>
              <w:rPr>
                <w:rFonts w:hint="eastAsia" w:ascii="宋体" w:hAnsi="宋体" w:eastAsia="宋体" w:cs="宋体"/>
                <w:color w:val="000000" w:themeColor="text1"/>
                <w:sz w:val="21"/>
                <w:szCs w:val="21"/>
                <w:highlight w:val="none"/>
                <w14:textFill>
                  <w14:solidFill>
                    <w14:schemeClr w14:val="tx1"/>
                  </w14:solidFill>
                </w14:textFill>
              </w:rPr>
              <w:t>（B类）或建筑施工企业项目负责人安全生产考核合格证书</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72F14E89">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符合第二章“投标人须知”第1.4.1项规定</w:t>
            </w:r>
          </w:p>
        </w:tc>
      </w:tr>
      <w:tr w14:paraId="1BB700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2652C3A3">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3C717E1A">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69D7AD71">
            <w:pPr>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专职安全员须具有安全生产考核合格证（C类）或建筑施工企业专职安全生产管理人员安全生产考核合格证书(C</w:t>
            </w:r>
            <w:r>
              <w:rPr>
                <w:rFonts w:hint="eastAsia" w:ascii="宋体" w:hAnsi="宋体" w:eastAsia="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类)</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18709657">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符合第二章“投标人须知”第1.4.1项规定</w:t>
            </w:r>
          </w:p>
        </w:tc>
      </w:tr>
      <w:tr w14:paraId="721F8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43516D03">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74A6CA2A">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0E8FB32D">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社保要求</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27B0C64A">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符合第二章“投标人须知”第1.4.1项规定</w:t>
            </w:r>
          </w:p>
        </w:tc>
      </w:tr>
      <w:tr w14:paraId="7234F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17C56EEC">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521AB037">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71127807">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类似项目业绩</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1D43A8C0">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符合第二章“投标人须知”第1.4.1项规定</w:t>
            </w:r>
          </w:p>
        </w:tc>
      </w:tr>
      <w:tr w14:paraId="5212D2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0EC9AF94">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187832FE">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65811E22">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联合体投标人</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4A90F551">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符合第二章“投标人须知”第1.4.2项规定</w:t>
            </w:r>
          </w:p>
        </w:tc>
      </w:tr>
      <w:tr w14:paraId="34DBF5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0A91CBD1">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14D909B1">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6C389BC9">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投标人声明签字盖章</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760A7BAD">
            <w:pPr>
              <w:spacing w:line="400" w:lineRule="exact"/>
              <w:rPr>
                <w:rFonts w:hint="eastAsia" w:ascii="宋体" w:hAnsi="宋体" w:eastAsia="宋体" w:cs="宋体"/>
                <w:color w:val="000000" w:themeColor="text1"/>
                <w:szCs w:val="21"/>
                <w:highlight w:val="none"/>
                <w:u w:val="none"/>
                <w14:textFill>
                  <w14:solidFill>
                    <w14:schemeClr w14:val="tx1"/>
                  </w14:solidFill>
                </w14:textFill>
              </w:rPr>
            </w:pPr>
            <w:r>
              <w:rPr>
                <w:rFonts w:hint="eastAsia" w:ascii="宋体" w:hAnsi="宋体" w:eastAsia="宋体" w:cs="宋体"/>
                <w:color w:val="000000" w:themeColor="text1"/>
                <w:szCs w:val="21"/>
                <w:highlight w:val="none"/>
                <w:u w:val="none"/>
                <w14:textFill>
                  <w14:solidFill>
                    <w14:schemeClr w14:val="tx1"/>
                  </w14:solidFill>
                </w14:textFill>
              </w:rPr>
              <w:t>投标人声明有法定代表人、项目负责人、技术负责人签字或签章及加盖单位公章（签字和盖章要求见《投标人须知前附表》第3.6.</w:t>
            </w:r>
            <w:r>
              <w:rPr>
                <w:rFonts w:hint="eastAsia" w:ascii="宋体" w:hAnsi="宋体" w:eastAsia="宋体" w:cs="宋体"/>
                <w:color w:val="000000" w:themeColor="text1"/>
                <w:szCs w:val="21"/>
                <w:highlight w:val="none"/>
                <w:u w:val="none"/>
                <w:lang w:val="en-US" w:eastAsia="zh-CN"/>
                <w14:textFill>
                  <w14:solidFill>
                    <w14:schemeClr w14:val="tx1"/>
                  </w14:solidFill>
                </w14:textFill>
              </w:rPr>
              <w:t>1</w:t>
            </w:r>
            <w:r>
              <w:rPr>
                <w:rFonts w:hint="eastAsia" w:ascii="宋体" w:hAnsi="宋体" w:eastAsia="宋体" w:cs="宋体"/>
                <w:color w:val="000000" w:themeColor="text1"/>
                <w:szCs w:val="21"/>
                <w:highlight w:val="none"/>
                <w:u w:val="none"/>
                <w14:textFill>
                  <w14:solidFill>
                    <w14:schemeClr w14:val="tx1"/>
                  </w14:solidFill>
                </w14:textFill>
              </w:rPr>
              <w:t>项）</w:t>
            </w:r>
          </w:p>
        </w:tc>
      </w:tr>
      <w:tr w14:paraId="3B21FD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2C500637">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129FF9FB">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6AE0FE4A">
            <w:pPr>
              <w:spacing w:line="400" w:lineRule="exac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未被纳入失信联合惩戒名单且被限制参与相关项目投标的</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43DA51F2">
            <w:pPr>
              <w:spacing w:line="400" w:lineRule="exact"/>
              <w:rPr>
                <w:rFonts w:hint="eastAsia" w:ascii="宋体" w:hAnsi="宋体" w:eastAsia="宋体" w:cs="宋体"/>
                <w:color w:val="000000" w:themeColor="text1"/>
                <w:szCs w:val="21"/>
                <w:highlight w:val="none"/>
                <w:u w:val="none"/>
                <w14:textFill>
                  <w14:solidFill>
                    <w14:schemeClr w14:val="tx1"/>
                  </w14:solidFill>
                </w14:textFill>
              </w:rPr>
            </w:pPr>
            <w:r>
              <w:rPr>
                <w:rFonts w:hint="eastAsia" w:ascii="宋体" w:hAnsi="宋体" w:eastAsia="宋体" w:cs="宋体"/>
                <w:color w:val="000000" w:themeColor="text1"/>
                <w:szCs w:val="21"/>
                <w:highlight w:val="none"/>
                <w:u w:val="none"/>
                <w14:textFill>
                  <w14:solidFill>
                    <w14:schemeClr w14:val="tx1"/>
                  </w14:solidFill>
                </w14:textFill>
              </w:rPr>
              <w:t>失信联合惩戒名单以“信用广州”网站公布的“黑名单”为准。</w:t>
            </w:r>
          </w:p>
        </w:tc>
      </w:tr>
      <w:tr w14:paraId="73A823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880" w:type="dxa"/>
            <w:vMerge w:val="restart"/>
            <w:tcBorders>
              <w:top w:val="single" w:color="auto" w:sz="4" w:space="0"/>
              <w:bottom w:val="single" w:color="auto" w:sz="4" w:space="0"/>
              <w:right w:val="single" w:color="auto" w:sz="4" w:space="0"/>
            </w:tcBorders>
            <w:noWrap w:val="0"/>
            <w:vAlign w:val="center"/>
          </w:tcPr>
          <w:p w14:paraId="4CA2E040">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2.1.2</w:t>
            </w:r>
          </w:p>
        </w:tc>
        <w:tc>
          <w:tcPr>
            <w:tcW w:w="951" w:type="dxa"/>
            <w:vMerge w:val="restart"/>
            <w:tcBorders>
              <w:top w:val="single" w:color="auto" w:sz="4" w:space="0"/>
              <w:bottom w:val="single" w:color="auto" w:sz="4" w:space="0"/>
              <w:right w:val="single" w:color="auto" w:sz="4" w:space="0"/>
            </w:tcBorders>
            <w:noWrap w:val="0"/>
            <w:vAlign w:val="center"/>
          </w:tcPr>
          <w:p w14:paraId="17795647">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形式评审标准</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06108C45">
            <w:pPr>
              <w:spacing w:line="400" w:lineRule="exact"/>
              <w:jc w:val="both"/>
              <w:rPr>
                <w:rFonts w:hint="eastAsia" w:ascii="宋体" w:hAnsi="宋体" w:eastAsia="宋体" w:cs="宋体"/>
                <w:strike/>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投标人参加投标的意思表达清楚，投标人代表被授权有效</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2C381471">
            <w:pPr>
              <w:spacing w:line="400" w:lineRule="exact"/>
              <w:rPr>
                <w:rFonts w:hint="eastAsia" w:ascii="宋体" w:hAnsi="宋体" w:eastAsia="宋体" w:cs="宋体"/>
                <w:strike/>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投标人声明、廉洁承诺书、法定代表人证明书；委托投标的还应提供法人授权委托证明书</w:t>
            </w:r>
          </w:p>
        </w:tc>
      </w:tr>
      <w:tr w14:paraId="406FE9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880" w:type="dxa"/>
            <w:vMerge w:val="continue"/>
            <w:tcBorders>
              <w:right w:val="single" w:color="auto" w:sz="4" w:space="0"/>
            </w:tcBorders>
            <w:noWrap w:val="0"/>
            <w:vAlign w:val="center"/>
          </w:tcPr>
          <w:p w14:paraId="1C8D2DFC">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2D71227A">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44A581DF">
            <w:pPr>
              <w:spacing w:line="400" w:lineRule="exact"/>
              <w:jc w:val="both"/>
              <w:rPr>
                <w:rFonts w:hint="eastAsia" w:ascii="宋体" w:hAnsi="宋体" w:eastAsia="宋体" w:cs="宋体"/>
                <w:strike/>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投标文件格式</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0B99AEE0">
            <w:pPr>
              <w:spacing w:line="400" w:lineRule="exact"/>
              <w:rPr>
                <w:rFonts w:hint="eastAsia" w:ascii="宋体" w:hAnsi="宋体" w:eastAsia="宋体" w:cs="宋体"/>
                <w:strike/>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符合第八章“投标文件格式”的要求。</w:t>
            </w:r>
          </w:p>
        </w:tc>
      </w:tr>
      <w:tr w14:paraId="6DF1D8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880" w:type="dxa"/>
            <w:vMerge w:val="continue"/>
            <w:tcBorders>
              <w:top w:val="single" w:color="auto" w:sz="4" w:space="0"/>
              <w:bottom w:val="single" w:color="auto" w:sz="4" w:space="0"/>
              <w:right w:val="single" w:color="auto" w:sz="4" w:space="0"/>
            </w:tcBorders>
            <w:noWrap w:val="0"/>
            <w:vAlign w:val="center"/>
          </w:tcPr>
          <w:p w14:paraId="47048F82">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top w:val="single" w:color="auto" w:sz="4" w:space="0"/>
              <w:bottom w:val="single" w:color="auto" w:sz="4" w:space="0"/>
              <w:right w:val="single" w:color="auto" w:sz="4" w:space="0"/>
            </w:tcBorders>
            <w:noWrap w:val="0"/>
            <w:vAlign w:val="center"/>
          </w:tcPr>
          <w:p w14:paraId="3B270B8F">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6DEEDEA1">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投标函盖章</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7CDD5A8F">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有加盖单位公章； </w:t>
            </w:r>
          </w:p>
        </w:tc>
      </w:tr>
      <w:tr w14:paraId="673411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top w:val="nil"/>
              <w:bottom w:val="single" w:color="auto" w:sz="4" w:space="0"/>
              <w:right w:val="single" w:color="auto" w:sz="4" w:space="0"/>
            </w:tcBorders>
            <w:noWrap w:val="0"/>
            <w:vAlign w:val="center"/>
          </w:tcPr>
          <w:p w14:paraId="5B7F659A">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top w:val="nil"/>
              <w:bottom w:val="single" w:color="auto" w:sz="4" w:space="0"/>
              <w:right w:val="single" w:color="auto" w:sz="4" w:space="0"/>
            </w:tcBorders>
            <w:noWrap w:val="0"/>
            <w:vAlign w:val="center"/>
          </w:tcPr>
          <w:p w14:paraId="6F950C7C">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1F3FCF9E">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联合体申请人</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46C69FB3">
            <w:pPr>
              <w:spacing w:line="400" w:lineRule="exac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本次招标不接受联合体投标。</w:t>
            </w:r>
          </w:p>
        </w:tc>
      </w:tr>
      <w:tr w14:paraId="7D3924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top w:val="nil"/>
              <w:bottom w:val="single" w:color="auto" w:sz="4" w:space="0"/>
              <w:right w:val="single" w:color="auto" w:sz="4" w:space="0"/>
            </w:tcBorders>
            <w:noWrap w:val="0"/>
            <w:vAlign w:val="center"/>
          </w:tcPr>
          <w:p w14:paraId="0098A432">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top w:val="nil"/>
              <w:bottom w:val="single" w:color="auto" w:sz="4" w:space="0"/>
              <w:right w:val="single" w:color="auto" w:sz="4" w:space="0"/>
            </w:tcBorders>
            <w:noWrap w:val="0"/>
            <w:vAlign w:val="center"/>
          </w:tcPr>
          <w:p w14:paraId="48230685">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21F4E922">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报价唯一</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4ED5B54F">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只能有一个有效报价（指符合第三章“评标办法”2.2.2规定的有效投标报价）</w:t>
            </w:r>
          </w:p>
        </w:tc>
      </w:tr>
      <w:tr w14:paraId="75477C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top w:val="nil"/>
              <w:bottom w:val="single" w:color="auto" w:sz="4" w:space="0"/>
              <w:right w:val="single" w:color="auto" w:sz="4" w:space="0"/>
            </w:tcBorders>
            <w:noWrap w:val="0"/>
            <w:vAlign w:val="center"/>
          </w:tcPr>
          <w:p w14:paraId="5DEE027A">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top w:val="nil"/>
              <w:bottom w:val="single" w:color="auto" w:sz="4" w:space="0"/>
              <w:right w:val="single" w:color="auto" w:sz="4" w:space="0"/>
            </w:tcBorders>
            <w:noWrap w:val="0"/>
            <w:vAlign w:val="center"/>
          </w:tcPr>
          <w:p w14:paraId="35AB0850">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47BCD935">
            <w:pPr>
              <w:spacing w:line="400" w:lineRule="exact"/>
              <w:jc w:val="both"/>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投标人与其他投标人加密打包投标文件电脑机器特征码</w:t>
            </w:r>
            <w:r>
              <w:rPr>
                <w:rFonts w:hint="eastAsia" w:ascii="宋体" w:hAnsi="宋体" w:eastAsia="宋体" w:cs="宋体"/>
                <w:color w:val="000000" w:themeColor="text1"/>
                <w:szCs w:val="21"/>
                <w:highlight w:val="none"/>
                <w:lang w:eastAsia="zh-CN"/>
                <w14:textFill>
                  <w14:solidFill>
                    <w14:schemeClr w14:val="tx1"/>
                  </w14:solidFill>
                </w14:textFill>
              </w:rPr>
              <w:t>不</w:t>
            </w:r>
            <w:r>
              <w:rPr>
                <w:rFonts w:hint="eastAsia" w:ascii="宋体" w:hAnsi="宋体" w:eastAsia="宋体" w:cs="宋体"/>
                <w:color w:val="000000" w:themeColor="text1"/>
                <w:szCs w:val="21"/>
                <w:highlight w:val="none"/>
                <w14:textFill>
                  <w14:solidFill>
                    <w14:schemeClr w14:val="tx1"/>
                  </w14:solidFill>
                </w14:textFill>
              </w:rPr>
              <w:t>一致的</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25BD6667">
            <w:pPr>
              <w:spacing w:line="400" w:lineRule="exact"/>
              <w:jc w:val="both"/>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投标人与</w:t>
            </w:r>
            <w:r>
              <w:rPr>
                <w:rFonts w:hint="eastAsia" w:ascii="宋体" w:hAnsi="宋体" w:eastAsia="宋体" w:cs="宋体"/>
                <w:color w:val="000000" w:themeColor="text1"/>
                <w:szCs w:val="21"/>
                <w:highlight w:val="none"/>
                <w:lang w:eastAsia="zh-CN"/>
                <w14:textFill>
                  <w14:solidFill>
                    <w14:schemeClr w14:val="tx1"/>
                  </w14:solidFill>
                </w14:textFill>
              </w:rPr>
              <w:t>本项目</w:t>
            </w:r>
            <w:r>
              <w:rPr>
                <w:rFonts w:hint="eastAsia" w:ascii="宋体" w:hAnsi="宋体" w:eastAsia="宋体" w:cs="宋体"/>
                <w:color w:val="000000" w:themeColor="text1"/>
                <w:szCs w:val="21"/>
                <w:highlight w:val="none"/>
                <w14:textFill>
                  <w14:solidFill>
                    <w14:schemeClr w14:val="tx1"/>
                  </w14:solidFill>
                </w14:textFill>
              </w:rPr>
              <w:t>其他投标人加密打包投标文件电脑机器特征码</w:t>
            </w:r>
            <w:r>
              <w:rPr>
                <w:rFonts w:hint="eastAsia" w:ascii="宋体" w:hAnsi="宋体" w:eastAsia="宋体" w:cs="宋体"/>
                <w:color w:val="000000" w:themeColor="text1"/>
                <w:szCs w:val="21"/>
                <w:highlight w:val="none"/>
                <w:lang w:eastAsia="zh-CN"/>
                <w14:textFill>
                  <w14:solidFill>
                    <w14:schemeClr w14:val="tx1"/>
                  </w14:solidFill>
                </w14:textFill>
              </w:rPr>
              <w:t>不</w:t>
            </w:r>
            <w:r>
              <w:rPr>
                <w:rFonts w:hint="eastAsia" w:ascii="宋体" w:hAnsi="宋体" w:eastAsia="宋体" w:cs="宋体"/>
                <w:color w:val="000000" w:themeColor="text1"/>
                <w:szCs w:val="21"/>
                <w:highlight w:val="none"/>
                <w14:textFill>
                  <w14:solidFill>
                    <w14:schemeClr w14:val="tx1"/>
                  </w14:solidFill>
                </w14:textFill>
              </w:rPr>
              <w:t>一致的（电脑机器特征码包含硬件特征码和投标文件编制软件安装码，其中硬件特征码包含MAC地址、硬盘序列号、CPU名称及主板）。(以</w:t>
            </w:r>
            <w:r>
              <w:rPr>
                <w:rFonts w:hint="eastAsia" w:ascii="宋体" w:hAnsi="宋体" w:eastAsia="宋体" w:cs="宋体"/>
                <w:color w:val="000000" w:themeColor="text1"/>
                <w:szCs w:val="21"/>
                <w:highlight w:val="none"/>
                <w:lang w:eastAsia="zh-CN"/>
                <w14:textFill>
                  <w14:solidFill>
                    <w14:schemeClr w14:val="tx1"/>
                  </w14:solidFill>
                </w14:textFill>
              </w:rPr>
              <w:t>广州交易集团有限公司（广州公共资源交易中心）交易</w:t>
            </w:r>
            <w:r>
              <w:rPr>
                <w:rFonts w:hint="eastAsia" w:ascii="宋体" w:hAnsi="宋体" w:eastAsia="宋体" w:cs="宋体"/>
                <w:color w:val="000000" w:themeColor="text1"/>
                <w:szCs w:val="21"/>
                <w:highlight w:val="none"/>
                <w14:textFill>
                  <w14:solidFill>
                    <w14:schemeClr w14:val="tx1"/>
                  </w14:solidFill>
                </w14:textFill>
              </w:rPr>
              <w:t>平台</w:t>
            </w:r>
            <w:r>
              <w:rPr>
                <w:rFonts w:hint="eastAsia" w:ascii="宋体" w:hAnsi="宋体" w:eastAsia="宋体" w:cs="宋体"/>
                <w:color w:val="000000" w:themeColor="text1"/>
                <w:szCs w:val="21"/>
                <w:highlight w:val="none"/>
                <w:lang w:eastAsia="zh-CN"/>
                <w14:textFill>
                  <w14:solidFill>
                    <w14:schemeClr w14:val="tx1"/>
                  </w14:solidFill>
                </w14:textFill>
              </w:rPr>
              <w:t>开标</w:t>
            </w:r>
            <w:r>
              <w:rPr>
                <w:rFonts w:hint="eastAsia" w:ascii="宋体" w:hAnsi="宋体" w:eastAsia="宋体" w:cs="宋体"/>
                <w:color w:val="000000" w:themeColor="text1"/>
                <w:szCs w:val="21"/>
                <w:highlight w:val="none"/>
                <w14:textFill>
                  <w14:solidFill>
                    <w14:schemeClr w14:val="tx1"/>
                  </w14:solidFill>
                </w14:textFill>
              </w:rPr>
              <w:t>系统的检索信息为准)</w:t>
            </w:r>
          </w:p>
        </w:tc>
      </w:tr>
      <w:tr w14:paraId="3292A3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top w:val="nil"/>
              <w:bottom w:val="single" w:color="auto" w:sz="4" w:space="0"/>
              <w:right w:val="single" w:color="auto" w:sz="4" w:space="0"/>
            </w:tcBorders>
            <w:noWrap w:val="0"/>
            <w:vAlign w:val="center"/>
          </w:tcPr>
          <w:p w14:paraId="28FACEF3">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top w:val="nil"/>
              <w:bottom w:val="single" w:color="auto" w:sz="4" w:space="0"/>
              <w:right w:val="single" w:color="auto" w:sz="4" w:space="0"/>
            </w:tcBorders>
            <w:noWrap w:val="0"/>
            <w:vAlign w:val="center"/>
          </w:tcPr>
          <w:p w14:paraId="58BBE519">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08DF8C18">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投标人与其他投标人</w:t>
            </w:r>
            <w:r>
              <w:rPr>
                <w:rFonts w:hint="eastAsia" w:ascii="宋体" w:hAnsi="宋体" w:eastAsia="宋体" w:cs="宋体"/>
                <w:color w:val="000000" w:themeColor="text1"/>
                <w:szCs w:val="21"/>
                <w:highlight w:val="none"/>
                <w:lang w:eastAsia="zh-CN"/>
                <w14:textFill>
                  <w14:solidFill>
                    <w14:schemeClr w14:val="tx1"/>
                  </w14:solidFill>
                </w14:textFill>
              </w:rPr>
              <w:t>的</w:t>
            </w:r>
            <w:r>
              <w:rPr>
                <w:rFonts w:hint="eastAsia" w:ascii="宋体" w:hAnsi="宋体" w:eastAsia="宋体" w:cs="宋体"/>
                <w:color w:val="000000" w:themeColor="text1"/>
                <w:szCs w:val="21"/>
                <w:highlight w:val="none"/>
                <w14:textFill>
                  <w14:solidFill>
                    <w14:schemeClr w14:val="tx1"/>
                  </w14:solidFill>
                </w14:textFill>
              </w:rPr>
              <w:t>投标文件</w:t>
            </w:r>
            <w:r>
              <w:rPr>
                <w:rFonts w:hint="eastAsia" w:ascii="宋体" w:hAnsi="宋体" w:eastAsia="宋体" w:cs="宋体"/>
                <w:color w:val="000000" w:themeColor="text1"/>
                <w:szCs w:val="21"/>
                <w:highlight w:val="none"/>
                <w:lang w:eastAsia="zh-CN"/>
                <w14:textFill>
                  <w14:solidFill>
                    <w14:schemeClr w14:val="tx1"/>
                  </w14:solidFill>
                </w14:textFill>
              </w:rPr>
              <w:t>工程量清单编制机器硬件信息不</w:t>
            </w:r>
            <w:r>
              <w:rPr>
                <w:rFonts w:hint="eastAsia" w:ascii="宋体" w:hAnsi="宋体" w:eastAsia="宋体" w:cs="宋体"/>
                <w:color w:val="000000" w:themeColor="text1"/>
                <w:szCs w:val="21"/>
                <w:highlight w:val="none"/>
                <w14:textFill>
                  <w14:solidFill>
                    <w14:schemeClr w14:val="tx1"/>
                  </w14:solidFill>
                </w14:textFill>
              </w:rPr>
              <w:t>一致的</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0C3C5C47">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投标人与</w:t>
            </w:r>
            <w:r>
              <w:rPr>
                <w:rFonts w:hint="eastAsia" w:ascii="宋体" w:hAnsi="宋体" w:eastAsia="宋体" w:cs="宋体"/>
                <w:color w:val="000000" w:themeColor="text1"/>
                <w:szCs w:val="21"/>
                <w:highlight w:val="none"/>
                <w:lang w:eastAsia="zh-CN"/>
                <w14:textFill>
                  <w14:solidFill>
                    <w14:schemeClr w14:val="tx1"/>
                  </w14:solidFill>
                </w14:textFill>
              </w:rPr>
              <w:t>本项目</w:t>
            </w:r>
            <w:r>
              <w:rPr>
                <w:rFonts w:hint="eastAsia" w:ascii="宋体" w:hAnsi="宋体" w:eastAsia="宋体" w:cs="宋体"/>
                <w:color w:val="000000" w:themeColor="text1"/>
                <w:szCs w:val="21"/>
                <w:highlight w:val="none"/>
                <w14:textFill>
                  <w14:solidFill>
                    <w14:schemeClr w14:val="tx1"/>
                  </w14:solidFill>
                </w14:textFill>
              </w:rPr>
              <w:t>其他投标人</w:t>
            </w:r>
            <w:r>
              <w:rPr>
                <w:rFonts w:hint="eastAsia" w:ascii="宋体" w:hAnsi="宋体" w:eastAsia="宋体" w:cs="宋体"/>
                <w:color w:val="000000" w:themeColor="text1"/>
                <w:szCs w:val="21"/>
                <w:highlight w:val="none"/>
                <w:lang w:eastAsia="zh-CN"/>
                <w14:textFill>
                  <w14:solidFill>
                    <w14:schemeClr w14:val="tx1"/>
                  </w14:solidFill>
                </w14:textFill>
              </w:rPr>
              <w:t>的</w:t>
            </w:r>
            <w:r>
              <w:rPr>
                <w:rFonts w:hint="eastAsia" w:ascii="宋体" w:hAnsi="宋体" w:eastAsia="宋体" w:cs="宋体"/>
                <w:color w:val="000000" w:themeColor="text1"/>
                <w:szCs w:val="21"/>
                <w:highlight w:val="none"/>
                <w14:textFill>
                  <w14:solidFill>
                    <w14:schemeClr w14:val="tx1"/>
                  </w14:solidFill>
                </w14:textFill>
              </w:rPr>
              <w:t>投标文件</w:t>
            </w:r>
            <w:r>
              <w:rPr>
                <w:rFonts w:hint="eastAsia" w:ascii="宋体" w:hAnsi="宋体" w:eastAsia="宋体" w:cs="宋体"/>
                <w:color w:val="000000" w:themeColor="text1"/>
                <w:szCs w:val="21"/>
                <w:highlight w:val="none"/>
                <w:lang w:eastAsia="zh-CN"/>
                <w14:textFill>
                  <w14:solidFill>
                    <w14:schemeClr w14:val="tx1"/>
                  </w14:solidFill>
                </w14:textFill>
              </w:rPr>
              <w:t>工程量清单编制机器硬件信息不</w:t>
            </w:r>
            <w:r>
              <w:rPr>
                <w:rFonts w:hint="eastAsia" w:ascii="宋体" w:hAnsi="宋体" w:eastAsia="宋体" w:cs="宋体"/>
                <w:color w:val="000000" w:themeColor="text1"/>
                <w:szCs w:val="21"/>
                <w:highlight w:val="none"/>
                <w14:textFill>
                  <w14:solidFill>
                    <w14:schemeClr w14:val="tx1"/>
                  </w14:solidFill>
                </w14:textFill>
              </w:rPr>
              <w:t>一致的(以</w:t>
            </w:r>
            <w:r>
              <w:rPr>
                <w:rFonts w:hint="eastAsia" w:ascii="宋体" w:hAnsi="宋体" w:eastAsia="宋体" w:cs="宋体"/>
                <w:color w:val="000000" w:themeColor="text1"/>
                <w:szCs w:val="21"/>
                <w:highlight w:val="none"/>
                <w:lang w:eastAsia="zh-CN"/>
                <w14:textFill>
                  <w14:solidFill>
                    <w14:schemeClr w14:val="tx1"/>
                  </w14:solidFill>
                </w14:textFill>
              </w:rPr>
              <w:t>广州交易集团有限公司（广州公共资源交易中心）</w:t>
            </w:r>
            <w:r>
              <w:rPr>
                <w:rFonts w:hint="eastAsia" w:ascii="宋体" w:hAnsi="宋体" w:eastAsia="宋体" w:cs="宋体"/>
                <w:color w:val="000000" w:themeColor="text1"/>
                <w:szCs w:val="21"/>
                <w:highlight w:val="none"/>
                <w14:textFill>
                  <w14:solidFill>
                    <w14:schemeClr w14:val="tx1"/>
                  </w14:solidFill>
                </w14:textFill>
              </w:rPr>
              <w:t>交易平台</w:t>
            </w:r>
            <w:r>
              <w:rPr>
                <w:rFonts w:hint="eastAsia" w:ascii="宋体" w:hAnsi="宋体" w:eastAsia="宋体" w:cs="宋体"/>
                <w:color w:val="000000" w:themeColor="text1"/>
                <w:szCs w:val="21"/>
                <w:highlight w:val="none"/>
                <w:lang w:val="en-US" w:eastAsia="zh-CN"/>
                <w14:textFill>
                  <w14:solidFill>
                    <w14:schemeClr w14:val="tx1"/>
                  </w14:solidFill>
                </w14:textFill>
              </w:rPr>
              <w:t>评标系统</w:t>
            </w:r>
            <w:r>
              <w:rPr>
                <w:rFonts w:hint="eastAsia" w:ascii="宋体" w:hAnsi="宋体" w:eastAsia="宋体" w:cs="宋体"/>
                <w:color w:val="000000" w:themeColor="text1"/>
                <w:szCs w:val="21"/>
                <w:highlight w:val="none"/>
                <w14:textFill>
                  <w14:solidFill>
                    <w14:schemeClr w14:val="tx1"/>
                  </w14:solidFill>
                </w14:textFill>
              </w:rPr>
              <w:t>的检索信息为准)</w:t>
            </w:r>
          </w:p>
        </w:tc>
      </w:tr>
      <w:tr w14:paraId="7A4B1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restart"/>
            <w:tcBorders>
              <w:top w:val="single" w:color="auto" w:sz="4" w:space="0"/>
              <w:right w:val="single" w:color="auto" w:sz="4" w:space="0"/>
            </w:tcBorders>
            <w:noWrap w:val="0"/>
            <w:vAlign w:val="center"/>
          </w:tcPr>
          <w:p w14:paraId="348E17A9">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2.1.3</w:t>
            </w:r>
          </w:p>
        </w:tc>
        <w:tc>
          <w:tcPr>
            <w:tcW w:w="951" w:type="dxa"/>
            <w:vMerge w:val="restart"/>
            <w:tcBorders>
              <w:top w:val="single" w:color="auto" w:sz="4" w:space="0"/>
              <w:right w:val="single" w:color="auto" w:sz="4" w:space="0"/>
            </w:tcBorders>
            <w:noWrap w:val="0"/>
            <w:vAlign w:val="center"/>
          </w:tcPr>
          <w:p w14:paraId="12B98715">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响应性评审标准</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10AF8CAA">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投标报价</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495A08CD">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符合第二章“投标人须知”第3.2.3项</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3.2.4项</w:t>
            </w:r>
            <w:r>
              <w:rPr>
                <w:rFonts w:hint="eastAsia" w:ascii="宋体" w:hAnsi="宋体" w:eastAsia="宋体" w:cs="宋体"/>
                <w:color w:val="000000" w:themeColor="text1"/>
                <w:szCs w:val="21"/>
                <w:highlight w:val="none"/>
                <w14:textFill>
                  <w14:solidFill>
                    <w14:schemeClr w14:val="tx1"/>
                  </w14:solidFill>
                </w14:textFill>
              </w:rPr>
              <w:t>规定</w:t>
            </w:r>
          </w:p>
        </w:tc>
      </w:tr>
      <w:tr w14:paraId="4CA02C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6ED2F148">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629811BF">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7236046C">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计划工期</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0A62A4C4">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符合第二章“投标人须知”第1.3.2项规定</w:t>
            </w:r>
          </w:p>
        </w:tc>
      </w:tr>
      <w:tr w14:paraId="5CA8C8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047B8A77">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75DB8005">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5EC8C20B">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工程质量</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69AD4287">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符合第二章“投标人须知”第1.3.3项规定</w:t>
            </w:r>
          </w:p>
        </w:tc>
      </w:tr>
      <w:tr w14:paraId="70B0BD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7DE332F9">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47DEF21C">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66FA62DB">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投标保证金</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60BE5C0F">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符合第二章“投标人须知”第3.4.1项规定</w:t>
            </w:r>
          </w:p>
        </w:tc>
      </w:tr>
      <w:tr w14:paraId="367E6A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26197370">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7DDB14FF">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0F86DB7E">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已标价工程量清单</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33542E00">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符合第五章“工程量清单”给出的范围及数量</w:t>
            </w:r>
          </w:p>
        </w:tc>
      </w:tr>
      <w:tr w14:paraId="4B43ED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center"/>
          </w:tcPr>
          <w:p w14:paraId="4EF0F67E">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center"/>
          </w:tcPr>
          <w:p w14:paraId="1AE888B1">
            <w:pPr>
              <w:spacing w:line="400" w:lineRule="exact"/>
              <w:jc w:val="both"/>
              <w:rPr>
                <w:rFonts w:hint="eastAsia" w:ascii="宋体" w:hAnsi="宋体" w:eastAsia="宋体" w:cs="宋体"/>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0309D06A">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技术标准和要求</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0E70F39A">
            <w:pPr>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符合第七章“技术标准和要求”规定</w:t>
            </w:r>
          </w:p>
        </w:tc>
      </w:tr>
      <w:tr w14:paraId="4559F3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1" w:type="dxa"/>
            <w:gridSpan w:val="2"/>
            <w:tcBorders>
              <w:top w:val="single" w:color="auto" w:sz="4" w:space="0"/>
              <w:bottom w:val="single" w:color="auto" w:sz="4" w:space="0"/>
              <w:right w:val="single" w:color="auto" w:sz="4" w:space="0"/>
            </w:tcBorders>
            <w:noWrap w:val="0"/>
            <w:vAlign w:val="center"/>
          </w:tcPr>
          <w:p w14:paraId="2B55EDA9">
            <w:pPr>
              <w:spacing w:line="4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条款号</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7C149966">
            <w:pPr>
              <w:spacing w:line="4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条款内容</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36254849">
            <w:pPr>
              <w:spacing w:line="400" w:lineRule="exact"/>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编列内容</w:t>
            </w:r>
          </w:p>
        </w:tc>
      </w:tr>
      <w:tr w14:paraId="30F0DC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1" w:type="dxa"/>
            <w:gridSpan w:val="2"/>
            <w:tcBorders>
              <w:bottom w:val="single" w:color="auto" w:sz="4" w:space="0"/>
              <w:right w:val="single" w:color="auto" w:sz="4" w:space="0"/>
            </w:tcBorders>
            <w:noWrap w:val="0"/>
            <w:vAlign w:val="center"/>
          </w:tcPr>
          <w:p w14:paraId="4BDFC90E">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2.2.1</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577636D8">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分值构成</w:t>
            </w:r>
          </w:p>
          <w:p w14:paraId="3695E7A6">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(总分100分)</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077FE03B">
            <w:pPr>
              <w:numPr>
                <w:ilvl w:val="0"/>
                <w:numId w:val="0"/>
              </w:numPr>
              <w:snapToGrid w:val="0"/>
              <w:spacing w:line="360" w:lineRule="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Cs w:val="21"/>
                <w:highlight w:val="none"/>
                <w14:textFill>
                  <w14:solidFill>
                    <w14:schemeClr w14:val="tx1"/>
                  </w14:solidFill>
                </w14:textFill>
              </w:rPr>
              <w:t>技术评审权重：</w:t>
            </w:r>
            <w:r>
              <w:rPr>
                <w:rFonts w:hint="eastAsia" w:cs="Times New Roman"/>
                <w:color w:val="000000" w:themeColor="text1"/>
                <w:szCs w:val="21"/>
                <w:highlight w:val="none"/>
                <w:u w:val="single"/>
                <w:lang w:val="en-US" w:eastAsia="zh-CN"/>
                <w14:textFill>
                  <w14:solidFill>
                    <w14:schemeClr w14:val="tx1"/>
                  </w14:solidFill>
                </w14:textFill>
              </w:rPr>
              <w:t>20</w:t>
            </w:r>
            <w:r>
              <w:rPr>
                <w:rFonts w:hint="eastAsia" w:ascii="Times New Roman" w:hAnsi="Times New Roman" w:eastAsia="宋体" w:cs="Times New Roman"/>
                <w:color w:val="000000" w:themeColor="text1"/>
                <w:szCs w:val="21"/>
                <w:highlight w:val="none"/>
                <w:u w:val="single"/>
                <w:lang w:val="en-US" w:eastAsia="zh-CN"/>
                <w14:textFill>
                  <w14:solidFill>
                    <w14:schemeClr w14:val="tx1"/>
                  </w14:solidFill>
                </w14:textFill>
              </w:rPr>
              <w:t>%</w:t>
            </w:r>
          </w:p>
          <w:p w14:paraId="2B03FADC">
            <w:pPr>
              <w:numPr>
                <w:ilvl w:val="0"/>
                <w:numId w:val="0"/>
              </w:numPr>
              <w:snapToGrid w:val="0"/>
              <w:spacing w:line="360" w:lineRule="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2.</w:t>
            </w:r>
            <w:r>
              <w:rPr>
                <w:rFonts w:hint="eastAsia" w:cs="Times New Roman"/>
                <w:color w:val="000000" w:themeColor="text1"/>
                <w:szCs w:val="21"/>
                <w:highlight w:val="none"/>
                <w:lang w:val="en-US" w:eastAsia="zh-CN"/>
                <w14:textFill>
                  <w14:solidFill>
                    <w14:schemeClr w14:val="tx1"/>
                  </w14:solidFill>
                </w14:textFill>
              </w:rPr>
              <w:t>诚信</w:t>
            </w:r>
            <w:r>
              <w:rPr>
                <w:rFonts w:hint="eastAsia" w:ascii="Times New Roman" w:hAnsi="Times New Roman" w:eastAsia="宋体" w:cs="Times New Roman"/>
                <w:color w:val="000000" w:themeColor="text1"/>
                <w:szCs w:val="21"/>
                <w:highlight w:val="none"/>
                <w14:textFill>
                  <w14:solidFill>
                    <w14:schemeClr w14:val="tx1"/>
                  </w14:solidFill>
                </w14:textFill>
              </w:rPr>
              <w:t>评审权重：</w:t>
            </w:r>
            <w:r>
              <w:rPr>
                <w:rFonts w:hint="eastAsia" w:cs="Times New Roman"/>
                <w:color w:val="000000" w:themeColor="text1"/>
                <w:szCs w:val="21"/>
                <w:highlight w:val="none"/>
                <w:u w:val="single"/>
                <w:lang w:val="en-US" w:eastAsia="zh-CN"/>
                <w14:textFill>
                  <w14:solidFill>
                    <w14:schemeClr w14:val="tx1"/>
                  </w14:solidFill>
                </w14:textFill>
              </w:rPr>
              <w:t>0</w:t>
            </w:r>
            <w:r>
              <w:rPr>
                <w:rFonts w:hint="eastAsia" w:ascii="Times New Roman" w:hAnsi="Times New Roman" w:eastAsia="宋体" w:cs="Times New Roman"/>
                <w:color w:val="000000" w:themeColor="text1"/>
                <w:szCs w:val="21"/>
                <w:highlight w:val="none"/>
                <w:u w:val="single"/>
                <w:lang w:val="en-US" w:eastAsia="zh-CN"/>
                <w14:textFill>
                  <w14:solidFill>
                    <w14:schemeClr w14:val="tx1"/>
                  </w14:solidFill>
                </w14:textFill>
              </w:rPr>
              <w:t>%</w:t>
            </w:r>
          </w:p>
          <w:p w14:paraId="2C16F02F">
            <w:pPr>
              <w:numPr>
                <w:ilvl w:val="0"/>
                <w:numId w:val="0"/>
              </w:numPr>
              <w:spacing w:line="360" w:lineRule="auto"/>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3.投标报价权重：</w:t>
            </w:r>
            <w:r>
              <w:rPr>
                <w:rFonts w:hint="eastAsia" w:ascii="Times New Roman" w:hAnsi="Times New Roman" w:eastAsia="宋体" w:cs="Times New Roman"/>
                <w:color w:val="000000" w:themeColor="text1"/>
                <w:szCs w:val="21"/>
                <w:highlight w:val="none"/>
                <w:u w:val="single"/>
                <w:lang w:val="en-US" w:eastAsia="zh-CN"/>
                <w14:textFill>
                  <w14:solidFill>
                    <w14:schemeClr w14:val="tx1"/>
                  </w14:solidFill>
                </w14:textFill>
              </w:rPr>
              <w:t>80%</w:t>
            </w:r>
          </w:p>
        </w:tc>
      </w:tr>
      <w:tr w14:paraId="44098C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1" w:type="dxa"/>
            <w:gridSpan w:val="2"/>
            <w:tcBorders>
              <w:bottom w:val="single" w:color="auto" w:sz="4" w:space="0"/>
              <w:right w:val="single" w:color="auto" w:sz="4" w:space="0"/>
            </w:tcBorders>
            <w:noWrap w:val="0"/>
            <w:vAlign w:val="center"/>
          </w:tcPr>
          <w:p w14:paraId="7059246C">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2.2.3</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13C537FF">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评标基准价计算方法</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1FE29141">
            <w:pPr>
              <w:snapToGrid w:val="0"/>
              <w:spacing w:line="360" w:lineRule="auto"/>
              <w:jc w:val="left"/>
              <w:rPr>
                <w:rFonts w:hint="eastAsia" w:ascii="仿宋_GB2312" w:hAnsi="仿宋_GB2312" w:eastAsia="仿宋_GB2312" w:cs="仿宋_GB2312"/>
                <w:color w:val="000000" w:themeColor="text1"/>
                <w:kern w:val="0"/>
                <w:szCs w:val="21"/>
                <w:highlight w:val="none"/>
                <w:lang w:val="zh-TW" w:eastAsia="zh-TW"/>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val="zh-TW" w:eastAsia="zh-TW"/>
                <w14:textFill>
                  <w14:solidFill>
                    <w14:schemeClr w14:val="tx1"/>
                  </w14:solidFill>
                </w14:textFill>
              </w:rPr>
              <w:t>将技术评审得分排序。</w:t>
            </w:r>
          </w:p>
          <w:p w14:paraId="128F37E9">
            <w:pPr>
              <w:snapToGrid w:val="0"/>
              <w:spacing w:line="360" w:lineRule="auto"/>
              <w:jc w:val="left"/>
              <w:rPr>
                <w:rFonts w:hint="eastAsia" w:ascii="仿宋_GB2312" w:hAnsi="仿宋_GB2312" w:eastAsia="仿宋_GB2312" w:cs="仿宋_GB2312"/>
                <w:color w:val="000000" w:themeColor="text1"/>
                <w:kern w:val="0"/>
                <w:szCs w:val="21"/>
                <w:highlight w:val="none"/>
                <w:lang w:val="zh-TW" w:eastAsia="zh-TW"/>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val="zh-TW" w:eastAsia="zh-TW"/>
                <w14:textFill>
                  <w14:solidFill>
                    <w14:schemeClr w14:val="tx1"/>
                  </w14:solidFill>
                </w14:textFill>
              </w:rPr>
              <w:t>a、当有效投标报价的投标人少于或等于7个时，取全部有效投标报价的算术平均按随机抽取的评标基准价下浮率（2～5%，0.5一个级别）下浮作为评标基准价。</w:t>
            </w:r>
          </w:p>
          <w:p w14:paraId="36BF89C6">
            <w:pPr>
              <w:snapToGrid w:val="0"/>
              <w:spacing w:line="360" w:lineRule="auto"/>
              <w:jc w:val="left"/>
              <w:rPr>
                <w:rFonts w:hint="eastAsia" w:ascii="仿宋_GB2312" w:hAnsi="仿宋_GB2312" w:eastAsia="仿宋_GB2312" w:cs="仿宋_GB2312"/>
                <w:color w:val="000000" w:themeColor="text1"/>
                <w:kern w:val="0"/>
                <w:szCs w:val="21"/>
                <w:highlight w:val="none"/>
                <w:lang w:val="zh-TW" w:eastAsia="zh-TW"/>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val="zh-TW" w:eastAsia="zh-TW"/>
                <w14:textFill>
                  <w14:solidFill>
                    <w14:schemeClr w14:val="tx1"/>
                  </w14:solidFill>
                </w14:textFill>
              </w:rPr>
              <w:t>b、当有效投标报价的投标人大于7个小于10个时，从全部有效投标报价中去掉一个最大值和最小值，其他有效投标报价的算术平均值按随机抽取的评标基准价下浮率（2～5%，0.5一个级别）下浮作为评标基准价。</w:t>
            </w:r>
          </w:p>
          <w:p w14:paraId="30FEF5FF">
            <w:pPr>
              <w:snapToGrid w:val="0"/>
              <w:spacing w:line="360" w:lineRule="auto"/>
              <w:jc w:val="left"/>
              <w:rPr>
                <w:rFonts w:hint="eastAsia" w:ascii="仿宋_GB2312" w:hAnsi="仿宋_GB2312" w:eastAsia="仿宋_GB2312" w:cs="仿宋_GB2312"/>
                <w:color w:val="000000" w:themeColor="text1"/>
                <w:kern w:val="0"/>
                <w:szCs w:val="21"/>
                <w:highlight w:val="none"/>
                <w:lang w:val="zh-TW" w:eastAsia="zh-TW"/>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val="zh-TW" w:eastAsia="zh-TW"/>
                <w14:textFill>
                  <w14:solidFill>
                    <w14:schemeClr w14:val="tx1"/>
                  </w14:solidFill>
                </w14:textFill>
              </w:rPr>
              <w:t>c、当有效投标报价的投标人数量大于或等于10时，随机从前</w:t>
            </w:r>
            <w:r>
              <w:rPr>
                <w:rFonts w:hint="eastAsia" w:ascii="仿宋_GB2312" w:hAnsi="仿宋_GB2312" w:eastAsia="仿宋_GB2312" w:cs="仿宋_GB2312"/>
                <w:color w:val="000000" w:themeColor="text1"/>
                <w:kern w:val="0"/>
                <w:szCs w:val="21"/>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kern w:val="0"/>
                <w:szCs w:val="21"/>
                <w:highlight w:val="none"/>
                <w:lang w:val="zh-TW" w:eastAsia="zh-TW"/>
                <w14:textFill>
                  <w14:solidFill>
                    <w14:schemeClr w14:val="tx1"/>
                  </w14:solidFill>
                </w14:textFill>
              </w:rPr>
              <w:t>名（前10-20名，具体由招标人自定）抽取</w:t>
            </w:r>
            <w:r>
              <w:rPr>
                <w:rFonts w:hint="eastAsia" w:ascii="仿宋_GB2312" w:hAnsi="仿宋_GB2312" w:eastAsia="仿宋_GB2312" w:cs="仿宋_GB2312"/>
                <w:color w:val="000000" w:themeColor="text1"/>
                <w:kern w:val="0"/>
                <w:szCs w:val="21"/>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kern w:val="0"/>
                <w:szCs w:val="21"/>
                <w:highlight w:val="none"/>
                <w:lang w:val="zh-TW" w:eastAsia="zh-TW"/>
                <w14:textFill>
                  <w14:solidFill>
                    <w14:schemeClr w14:val="tx1"/>
                  </w14:solidFill>
                </w14:textFill>
              </w:rPr>
              <w:t>个（选7-10个，具体由招标人自定）有效投标报价并从中去掉一个最大值和最小值后计算算术平均值，该平均值按随机抽取的评标基准价下浮率（2～5%，0.5一个级别）下浮作为评标基准价。</w:t>
            </w:r>
          </w:p>
          <w:p w14:paraId="0F9349B0">
            <w:pPr>
              <w:spacing w:line="360" w:lineRule="auto"/>
              <w:jc w:val="left"/>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val="zh-TW" w:eastAsia="zh-TW"/>
                <w14:textFill>
                  <w14:solidFill>
                    <w14:schemeClr w14:val="tx1"/>
                  </w14:solidFill>
                </w14:textFill>
              </w:rPr>
              <w:t>技术评审得分相同的，由评标委员会采用记名投票方式，确定投标人的排序。</w:t>
            </w:r>
          </w:p>
        </w:tc>
      </w:tr>
      <w:tr w14:paraId="2FACB4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1" w:type="dxa"/>
            <w:gridSpan w:val="2"/>
            <w:tcBorders>
              <w:bottom w:val="single" w:color="auto" w:sz="4" w:space="0"/>
              <w:right w:val="single" w:color="auto" w:sz="4" w:space="0"/>
            </w:tcBorders>
            <w:noWrap w:val="0"/>
            <w:vAlign w:val="center"/>
          </w:tcPr>
          <w:p w14:paraId="73671177">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2.2.4</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2CBB7D24">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投标报价偏差率计算公式</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4C6673E4">
            <w:pPr>
              <w:spacing w:line="360" w:lineRule="auto"/>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偏差率=（投标报价-评标基准价）/评标基准价</w:t>
            </w:r>
            <w:r>
              <w:rPr>
                <w:rFonts w:hint="eastAsia" w:ascii="宋体" w:hAnsi="宋体"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100%</w:t>
            </w:r>
          </w:p>
        </w:tc>
      </w:tr>
      <w:tr w14:paraId="0D6016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1" w:type="dxa"/>
            <w:gridSpan w:val="2"/>
            <w:tcBorders>
              <w:top w:val="nil"/>
              <w:bottom w:val="single" w:color="auto" w:sz="4" w:space="0"/>
              <w:right w:val="single" w:color="auto" w:sz="4" w:space="0"/>
            </w:tcBorders>
            <w:noWrap w:val="0"/>
            <w:vAlign w:val="center"/>
          </w:tcPr>
          <w:p w14:paraId="3B11B00E">
            <w:pPr>
              <w:spacing w:line="360" w:lineRule="auto"/>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条款号</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71C5E234">
            <w:pPr>
              <w:spacing w:line="360" w:lineRule="auto"/>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评分因素</w:t>
            </w:r>
          </w:p>
        </w:tc>
        <w:tc>
          <w:tcPr>
            <w:tcW w:w="4930" w:type="dxa"/>
            <w:tcBorders>
              <w:top w:val="single" w:color="auto" w:sz="4" w:space="0"/>
              <w:left w:val="single" w:color="auto" w:sz="4" w:space="0"/>
              <w:bottom w:val="single" w:color="auto" w:sz="4" w:space="0"/>
              <w:right w:val="single" w:color="auto" w:sz="4" w:space="0"/>
            </w:tcBorders>
            <w:noWrap w:val="0"/>
            <w:vAlign w:val="center"/>
          </w:tcPr>
          <w:p w14:paraId="4B2C6141">
            <w:pPr>
              <w:spacing w:line="360" w:lineRule="auto"/>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评分标准</w:t>
            </w:r>
          </w:p>
        </w:tc>
      </w:tr>
      <w:tr w14:paraId="5B4FD5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restart"/>
            <w:tcBorders>
              <w:top w:val="single" w:color="auto" w:sz="4" w:space="0"/>
              <w:right w:val="single" w:color="auto" w:sz="4" w:space="0"/>
            </w:tcBorders>
            <w:noWrap w:val="0"/>
            <w:vAlign w:val="center"/>
          </w:tcPr>
          <w:p w14:paraId="4D9E2B4D">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w:t>
            </w:r>
            <w:r>
              <w:rPr>
                <w:rFonts w:ascii="Times New Roman" w:hAnsi="Times New Roman" w:eastAsia="宋体" w:cs="Times New Roman"/>
                <w:color w:val="000000" w:themeColor="text1"/>
                <w:szCs w:val="21"/>
                <w:highlight w:val="none"/>
                <w14:textFill>
                  <w14:solidFill>
                    <w14:schemeClr w14:val="tx1"/>
                  </w14:solidFill>
                </w14:textFill>
              </w:rPr>
              <w:t>(1)</w:t>
            </w:r>
          </w:p>
        </w:tc>
        <w:tc>
          <w:tcPr>
            <w:tcW w:w="951" w:type="dxa"/>
            <w:vMerge w:val="restart"/>
            <w:tcBorders>
              <w:top w:val="single" w:color="auto" w:sz="4" w:space="0"/>
              <w:right w:val="single" w:color="auto" w:sz="4" w:space="0"/>
            </w:tcBorders>
            <w:noWrap w:val="0"/>
            <w:vAlign w:val="center"/>
          </w:tcPr>
          <w:p w14:paraId="355C4244">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技术部分</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评审</w:t>
            </w:r>
            <w:r>
              <w:rPr>
                <w:rFonts w:hint="eastAsia" w:ascii="Times New Roman" w:hAnsi="Times New Roman" w:eastAsia="宋体" w:cs="Times New Roman"/>
                <w:color w:val="000000" w:themeColor="text1"/>
                <w:szCs w:val="21"/>
                <w:highlight w:val="none"/>
                <w14:textFill>
                  <w14:solidFill>
                    <w14:schemeClr w14:val="tx1"/>
                  </w14:solidFill>
                </w14:textFill>
              </w:rPr>
              <w:t>（100分，权重</w:t>
            </w:r>
            <w:r>
              <w:rPr>
                <w:rFonts w:hint="eastAsia" w:cs="Times New Roman"/>
                <w:color w:val="000000" w:themeColor="text1"/>
                <w:szCs w:val="21"/>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Cs w:val="21"/>
                <w:highlight w:val="none"/>
                <w14:textFill>
                  <w14:solidFill>
                    <w14:schemeClr w14:val="tx1"/>
                  </w14:solidFill>
                </w14:textFill>
              </w:rPr>
              <w:t>%）</w:t>
            </w: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4C21CF">
            <w:pPr>
              <w:snapToGrid w:val="0"/>
              <w:spacing w:line="340" w:lineRule="exact"/>
              <w:rPr>
                <w:rFonts w:hint="eastAsia" w:ascii="仿宋_GB2312" w:hAnsi="Calibri" w:eastAsia="仿宋_GB2312" w:cs="Calibri"/>
                <w:color w:val="000000" w:themeColor="text1"/>
                <w:szCs w:val="21"/>
                <w:highlight w:val="none"/>
                <w:lang w:val="en-US" w:eastAsia="zh-CN"/>
                <w14:textFill>
                  <w14:solidFill>
                    <w14:schemeClr w14:val="tx1"/>
                  </w14:solidFill>
                </w14:textFill>
              </w:rPr>
            </w:pPr>
            <w:r>
              <w:rPr>
                <w:rFonts w:hint="eastAsia" w:ascii="仿宋_GB2312" w:hAnsi="Calibri" w:eastAsia="仿宋_GB2312" w:cs="Calibri"/>
                <w:color w:val="000000" w:themeColor="text1"/>
                <w:szCs w:val="21"/>
                <w:highlight w:val="none"/>
                <w:rtl w:val="0"/>
                <w:lang w:val="en-US" w:eastAsia="zh-CN"/>
                <w14:textFill>
                  <w14:solidFill>
                    <w14:schemeClr w14:val="tx1"/>
                  </w14:solidFill>
                </w14:textFill>
              </w:rPr>
              <w:t>施工组织设计内容完整性和编制</w:t>
            </w:r>
          </w:p>
          <w:p w14:paraId="24DBE3BE">
            <w:pPr>
              <w:rPr>
                <w:color w:val="000000" w:themeColor="text1"/>
                <w:highlight w:val="none"/>
                <w14:textFill>
                  <w14:solidFill>
                    <w14:schemeClr w14:val="tx1"/>
                  </w14:solidFill>
                </w14:textFill>
              </w:rPr>
            </w:pPr>
            <w:r>
              <w:rPr>
                <w:rFonts w:hint="eastAsia" w:ascii="仿宋_GB2312" w:hAnsi="Calibri" w:eastAsia="仿宋_GB2312" w:cs="Calibri"/>
                <w:color w:val="000000" w:themeColor="text1"/>
                <w:szCs w:val="21"/>
                <w:highlight w:val="none"/>
                <w:rtl w:val="0"/>
                <w:lang w:val="en-US" w:eastAsia="zh-CN"/>
                <w14:textFill>
                  <w14:solidFill>
                    <w14:schemeClr w14:val="tx1"/>
                  </w14:solidFill>
                </w14:textFill>
              </w:rPr>
              <w:t>（7分）</w:t>
            </w:r>
          </w:p>
          <w:p w14:paraId="2EFFF9C9">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C76AA3">
            <w:pPr>
              <w:snapToGrid w:val="0"/>
              <w:spacing w:line="34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施工组织设计结构完整、措施详细，内容严谨，能图文结合，有指导性、针对性、可操作性，符合规范，包括但不限于：工程概况、施工部署及总平面布置、施工技术方案、施工进度计划及工期保证措施、施工方案与技术措施、施工质量、安全、环境保护、文明施工管理及应急保障措施。施工部署及总平面布置应符合内街管网项目特点，针对其管道施工面狭窄、居民影响直接、地下管线布局复杂、交通疏解多变等客观现场情况，合理编制施工组织设计。</w:t>
            </w:r>
          </w:p>
          <w:p w14:paraId="29CB6731">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【优】：制定的方案详细，工作内容切实可行，逻辑严谨，得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7</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615B994B">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【良】：制定的方案较详细，工作内容基本可行，逻辑较严谨，得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4.5</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603E851C">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【一般】：制定的方案基本内容阐述缺项，逻辑混乱、不合理，可行性差，得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17F09F01">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【差】：未提供得0分。</w:t>
            </w:r>
          </w:p>
        </w:tc>
      </w:tr>
      <w:tr w14:paraId="2E7074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14:paraId="417F4308">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top"/>
          </w:tcPr>
          <w:p w14:paraId="2DEB96F1">
            <w:pPr>
              <w:spacing w:line="360" w:lineRule="auto"/>
              <w:jc w:val="left"/>
              <w:rPr>
                <w:rFonts w:ascii="Times New Roman" w:hAnsi="Times New Roman" w:eastAsia="宋体" w:cs="Times New Roman"/>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8059FC">
            <w:pPr>
              <w:snapToGrid w:val="0"/>
              <w:spacing w:line="340" w:lineRule="exact"/>
              <w:rPr>
                <w:rFonts w:hint="eastAsia" w:ascii="仿宋_GB2312" w:hAnsi="Calibri" w:eastAsia="仿宋_GB2312" w:cs="Calibri"/>
                <w:color w:val="000000" w:themeColor="text1"/>
                <w:szCs w:val="21"/>
                <w:highlight w:val="none"/>
                <w14:textFill>
                  <w14:solidFill>
                    <w14:schemeClr w14:val="tx1"/>
                  </w14:solidFill>
                </w14:textFill>
              </w:rPr>
            </w:pPr>
            <w:r>
              <w:rPr>
                <w:rFonts w:hint="eastAsia" w:ascii="仿宋_GB2312" w:hAnsi="Calibri" w:eastAsia="仿宋_GB2312" w:cs="Calibri"/>
                <w:color w:val="000000" w:themeColor="text1"/>
                <w:szCs w:val="21"/>
                <w:highlight w:val="none"/>
                <w:rtl w:val="0"/>
                <w:lang w:val="zh-TW" w:eastAsia="zh-TW"/>
                <w14:textFill>
                  <w14:solidFill>
                    <w14:schemeClr w14:val="tx1"/>
                  </w14:solidFill>
                </w14:textFill>
              </w:rPr>
              <w:t>施工方案与技术措施的合理性、科学性与可行性</w:t>
            </w:r>
          </w:p>
          <w:p w14:paraId="0B3C0599">
            <w:pPr>
              <w:rPr>
                <w:color w:val="000000" w:themeColor="text1"/>
                <w:highlight w:val="none"/>
                <w14:textFill>
                  <w14:solidFill>
                    <w14:schemeClr w14:val="tx1"/>
                  </w14:solidFill>
                </w14:textFill>
              </w:rPr>
            </w:pPr>
            <w:r>
              <w:rPr>
                <w:rFonts w:hint="eastAsia" w:ascii="仿宋_GB2312" w:hAnsi="Calibri" w:eastAsia="仿宋_GB2312" w:cs="Calibri"/>
                <w:color w:val="000000" w:themeColor="text1"/>
                <w:szCs w:val="21"/>
                <w:highlight w:val="none"/>
                <w:rtl w:val="0"/>
                <w:lang w:val="zh-TW" w:eastAsia="zh-TW"/>
                <w14:textFill>
                  <w14:solidFill>
                    <w14:schemeClr w14:val="tx1"/>
                  </w14:solidFill>
                </w14:textFill>
              </w:rPr>
              <w:t>（</w:t>
            </w:r>
            <w:r>
              <w:rPr>
                <w:rFonts w:hint="eastAsia" w:ascii="仿宋_GB2312" w:hAnsi="Calibri" w:eastAsia="仿宋_GB2312" w:cs="Calibri"/>
                <w:color w:val="000000" w:themeColor="text1"/>
                <w:szCs w:val="21"/>
                <w:highlight w:val="none"/>
                <w:rtl w:val="0"/>
                <w:lang w:val="en-US" w:eastAsia="zh-CN"/>
                <w14:textFill>
                  <w14:solidFill>
                    <w14:schemeClr w14:val="tx1"/>
                  </w14:solidFill>
                </w14:textFill>
              </w:rPr>
              <w:t>7</w:t>
            </w:r>
            <w:r>
              <w:rPr>
                <w:rFonts w:hint="eastAsia" w:ascii="仿宋_GB2312" w:hAnsi="Calibri" w:eastAsia="仿宋_GB2312" w:cs="Calibri"/>
                <w:color w:val="000000" w:themeColor="text1"/>
                <w:szCs w:val="21"/>
                <w:highlight w:val="none"/>
                <w:rtl w:val="0"/>
                <w:lang w:val="zh-TW" w:eastAsia="zh-TW"/>
                <w14:textFill>
                  <w14:solidFill>
                    <w14:schemeClr w14:val="tx1"/>
                  </w14:solidFill>
                </w14:textFill>
              </w:rPr>
              <w:t>分）</w:t>
            </w:r>
          </w:p>
          <w:p w14:paraId="1D3DEAAA">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B20455">
            <w:pPr>
              <w:snapToGrid w:val="0"/>
              <w:spacing w:line="34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针对性编制施工方案，施工方案与技术措施结构完整、措施详细，内容严谨，符合规范，包括但不限于：工程概况、施工安排、施工准备、施工方法及主要施工保障措施等内容。能结合现场实际情况，包括但不限于项目管理目标、分片施工及截塞安排、符合项目实施特点的专业人员配置、重点部位及特殊工艺施工技术、专业劳务队伍、完整项目宣传方案、路面修复方案等，并充分考虑施工中存在的风险因素，采取相应的保护措施及应急预案。</w:t>
            </w:r>
          </w:p>
          <w:p w14:paraId="7284BE91">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【优】：制定的方案详细，工作内容切实可行，逻辑严谨，得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7</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5C78974C">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【良】：制定的方案较详细，工作内容基本可行，逻辑较严谨，得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4.5</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12B2D4AF">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【一般】：制定的方案基本内容阐述缺项，逻辑混乱、不合理，可行性差，得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1ABD1E1C">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【差】：未提供得0分。</w:t>
            </w:r>
          </w:p>
        </w:tc>
      </w:tr>
      <w:tr w14:paraId="310222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14:paraId="1795D376">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top"/>
          </w:tcPr>
          <w:p w14:paraId="5DDC4EA8">
            <w:pPr>
              <w:spacing w:line="360" w:lineRule="auto"/>
              <w:jc w:val="left"/>
              <w:rPr>
                <w:rFonts w:ascii="Times New Roman" w:hAnsi="Times New Roman" w:eastAsia="宋体" w:cs="Times New Roman"/>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CB9550">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仿宋_GB2312" w:eastAsia="仿宋_GB2312"/>
                <w:color w:val="000000" w:themeColor="text1"/>
                <w:highlight w:val="none"/>
                <w:rtl w:val="0"/>
                <w:lang w:val="zh-TW" w:eastAsia="zh-TW"/>
                <w14:textFill>
                  <w14:solidFill>
                    <w14:schemeClr w14:val="tx1"/>
                  </w14:solidFill>
                </w14:textFill>
              </w:rPr>
              <w:t>质量管理体系与措施（</w:t>
            </w:r>
            <w:r>
              <w:rPr>
                <w:rFonts w:hint="eastAsia" w:ascii="仿宋_GB2312" w:eastAsia="仿宋_GB2312"/>
                <w:color w:val="000000" w:themeColor="text1"/>
                <w:highlight w:val="none"/>
                <w:rtl w:val="0"/>
                <w:lang w:val="en-US" w:eastAsia="zh-CN"/>
                <w14:textFill>
                  <w14:solidFill>
                    <w14:schemeClr w14:val="tx1"/>
                  </w14:solidFill>
                </w14:textFill>
              </w:rPr>
              <w:t>7</w:t>
            </w:r>
            <w:r>
              <w:rPr>
                <w:rFonts w:hint="eastAsia" w:ascii="仿宋_GB2312" w:eastAsia="仿宋_GB2312"/>
                <w:color w:val="000000" w:themeColor="text1"/>
                <w:highlight w:val="none"/>
                <w:rtl w:val="0"/>
                <w:lang w:val="zh-TW" w:eastAsia="zh-TW"/>
                <w14:textFill>
                  <w14:solidFill>
                    <w14:schemeClr w14:val="tx1"/>
                  </w14:solidFill>
                </w14:textFill>
              </w:rPr>
              <w:t>分）</w:t>
            </w:r>
          </w:p>
        </w:tc>
        <w:tc>
          <w:tcPr>
            <w:tcW w:w="4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140A4E">
            <w:pPr>
              <w:snapToGrid w:val="0"/>
              <w:spacing w:line="340" w:lineRule="exact"/>
              <w:rPr>
                <w:rFonts w:hint="eastAsia" w:ascii="Times New Roman" w:hAnsi="Times New Roman" w:eastAsia="宋体" w:cs="Times New Roman"/>
                <w:color w:val="000000" w:themeColor="text1"/>
                <w:szCs w:val="21"/>
                <w:highlight w:val="none"/>
                <w:rtl w:val="0"/>
                <w:lang w:val="zh-TW" w:eastAsia="zh-TW"/>
                <w14:textFill>
                  <w14:solidFill>
                    <w14:schemeClr w14:val="tx1"/>
                  </w14:solidFill>
                </w14:textFill>
              </w:rPr>
            </w:pPr>
            <w:r>
              <w:rPr>
                <w:rFonts w:hint="eastAsia" w:ascii="Times New Roman" w:hAnsi="Times New Roman" w:eastAsia="宋体" w:cs="Times New Roman"/>
                <w:color w:val="000000" w:themeColor="text1"/>
                <w:szCs w:val="21"/>
                <w:highlight w:val="none"/>
                <w:rtl w:val="0"/>
                <w:lang w:val="zh-TW" w:eastAsia="zh-TW"/>
                <w14:textFill>
                  <w14:solidFill>
                    <w14:schemeClr w14:val="tx1"/>
                  </w14:solidFill>
                </w14:textFill>
              </w:rPr>
              <w:t>根据本工程的质量目标，结合项目点多面广、以小口径管道为主的特点，有切实可行的管道安装质量控制措施、严格的乙供材料质量保障机制、项目投产后落实降低管网漏损的具体管控措施（包括管网试压、管道截塞等措施）。同时，从质量保证体系构建、质量管理机构设置、专业实施能力保障等维度制定了详尽的质量管控措施。整体方案确保质量管理体系完善健全，各项质量保证措施科学有效。</w:t>
            </w:r>
          </w:p>
          <w:p w14:paraId="4DE9B25B">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【优】：制定了健全的管理体系与措施，针对性强，对本项目质量管理目标分析透彻，质量保证措施切实可行，得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7</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584A9B82">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【良】：制定了管理体系与措施，针对性一般，对本项目质量管理目标分析较透彻，质量保证措施基本可行，得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4.5</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41212BB0">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【一般】：制定了管理体系与措施，缺乏针对性，对本项目质量管理目标分析缺项、不合理，质量保证措施可行性差，得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43D50EAE">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【差】：未提供得0分。</w:t>
            </w:r>
          </w:p>
        </w:tc>
      </w:tr>
      <w:tr w14:paraId="433ED8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14:paraId="414993D1">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top"/>
          </w:tcPr>
          <w:p w14:paraId="747A9001">
            <w:pPr>
              <w:spacing w:line="360" w:lineRule="auto"/>
              <w:jc w:val="left"/>
              <w:rPr>
                <w:rFonts w:ascii="Times New Roman" w:hAnsi="Times New Roman" w:eastAsia="宋体" w:cs="Times New Roman"/>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46162B">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仿宋_GB2312" w:eastAsia="仿宋_GB2312"/>
                <w:color w:val="000000" w:themeColor="text1"/>
                <w:highlight w:val="none"/>
                <w:rtl w:val="0"/>
                <w:lang w:val="zh-TW" w:eastAsia="zh-TW"/>
                <w14:textFill>
                  <w14:solidFill>
                    <w14:schemeClr w14:val="tx1"/>
                  </w14:solidFill>
                </w14:textFill>
              </w:rPr>
              <w:t>安全管理体系与措施（</w:t>
            </w:r>
            <w:r>
              <w:rPr>
                <w:rFonts w:hint="eastAsia" w:ascii="仿宋_GB2312" w:eastAsia="仿宋_GB2312"/>
                <w:color w:val="000000" w:themeColor="text1"/>
                <w:highlight w:val="none"/>
                <w:rtl w:val="0"/>
                <w:lang w:val="en-US" w:eastAsia="zh-CN"/>
                <w14:textFill>
                  <w14:solidFill>
                    <w14:schemeClr w14:val="tx1"/>
                  </w14:solidFill>
                </w14:textFill>
              </w:rPr>
              <w:t>7</w:t>
            </w:r>
            <w:r>
              <w:rPr>
                <w:rFonts w:hint="eastAsia" w:ascii="仿宋_GB2312" w:eastAsia="仿宋_GB2312"/>
                <w:color w:val="000000" w:themeColor="text1"/>
                <w:highlight w:val="none"/>
                <w:rtl w:val="0"/>
                <w:lang w:val="zh-TW" w:eastAsia="zh-TW"/>
                <w14:textFill>
                  <w14:solidFill>
                    <w14:schemeClr w14:val="tx1"/>
                  </w14:solidFill>
                </w14:textFill>
              </w:rPr>
              <w:t>分）</w:t>
            </w:r>
          </w:p>
        </w:tc>
        <w:tc>
          <w:tcPr>
            <w:tcW w:w="4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88B23F">
            <w:pPr>
              <w:snapToGrid w:val="0"/>
              <w:spacing w:line="34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根据项目特点提出安全管理体系与措施，包含但不限于燃气、电缆等的现状管线保护措施、完善的突发事件应急预案，并安排专人妥善处理周边居民投诉。对本项目安全文明施工的重点难点分析透彻，安全管理体系完善、安全保证措施得当，针对性强。</w:t>
            </w:r>
          </w:p>
          <w:p w14:paraId="6C14D434">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【优】：制定了健全的安全管理体系与措施，针对性强，对本项目安全文明施工的重点难点分析透彻，安全管理体系完善、安全保证措施切实可行，得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7</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210C6618">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【良】：制定了安全管理体系与措施，针对性一般，对本项目安全文明施工的重点难点分析较透彻，安全管理体系较完善、安全保证措施基本可行，得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4.5</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1F22AE37">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【一般】：制定了安全管理体系与措施，缺乏针对性，对本项目安全文明施工的重点难点分析缺项，安全保证措施可行性差，得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7DFF621A">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【差】：未提供得0分。</w:t>
            </w:r>
          </w:p>
        </w:tc>
      </w:tr>
      <w:tr w14:paraId="77EA07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14:paraId="36C0C5A7">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top"/>
          </w:tcPr>
          <w:p w14:paraId="7CCA024C">
            <w:pPr>
              <w:spacing w:line="360" w:lineRule="auto"/>
              <w:jc w:val="left"/>
              <w:rPr>
                <w:rFonts w:ascii="Times New Roman" w:hAnsi="Times New Roman" w:eastAsia="宋体" w:cs="Times New Roman"/>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1FDBD0">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仿宋_GB2312" w:eastAsia="仿宋_GB2312"/>
                <w:color w:val="000000" w:themeColor="text1"/>
                <w:highlight w:val="none"/>
                <w:rtl w:val="0"/>
                <w:lang w:val="zh-TW" w:eastAsia="zh-TW"/>
                <w14:textFill>
                  <w14:solidFill>
                    <w14:schemeClr w14:val="tx1"/>
                  </w14:solidFill>
                </w14:textFill>
              </w:rPr>
              <w:t>环境保护管理体系与措施（</w:t>
            </w:r>
            <w:r>
              <w:rPr>
                <w:rFonts w:hint="eastAsia" w:ascii="仿宋_GB2312" w:eastAsia="仿宋_GB2312"/>
                <w:color w:val="000000" w:themeColor="text1"/>
                <w:highlight w:val="none"/>
                <w:rtl w:val="0"/>
                <w:lang w:val="en-US" w:eastAsia="zh-CN"/>
                <w14:textFill>
                  <w14:solidFill>
                    <w14:schemeClr w14:val="tx1"/>
                  </w14:solidFill>
                </w14:textFill>
              </w:rPr>
              <w:t>7</w:t>
            </w:r>
            <w:r>
              <w:rPr>
                <w:rFonts w:hint="eastAsia" w:ascii="仿宋_GB2312" w:eastAsia="仿宋_GB2312"/>
                <w:color w:val="000000" w:themeColor="text1"/>
                <w:highlight w:val="none"/>
                <w:rtl w:val="0"/>
                <w:lang w:val="zh-TW" w:eastAsia="zh-TW"/>
                <w14:textFill>
                  <w14:solidFill>
                    <w14:schemeClr w14:val="tx1"/>
                  </w14:solidFill>
                </w14:textFill>
              </w:rPr>
              <w:t>分）</w:t>
            </w:r>
          </w:p>
        </w:tc>
        <w:tc>
          <w:tcPr>
            <w:tcW w:w="4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7F2DA4">
            <w:pPr>
              <w:snapToGrid w:val="0"/>
              <w:spacing w:line="34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根据本工程的环境目标及沿路树木状况，提出环境保护管理体系、树木保护方案及相关保证措施、建筑废弃物的减量化方案和处理方案等。环境保护管理体系完善、环境保护管理措施得当。</w:t>
            </w:r>
          </w:p>
          <w:p w14:paraId="32F3C522">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【优】：制定了健全的环境保护管理体系与措施，针对性强，对本项目环境保护目标的重点难点分析透彻，环境保护管理措施切实可行，得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7</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4CD8F07A">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【良】：制定了环境保护管理体系与措施，针对性一般，对本项目环境保护目标的重点难点分析较透彻，环境保护管理措施基本可行，得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4.5</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7D93B9B2">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【一般】：制定了环境保护管理体系与措施，缺乏针对性，对本项目环境保护目标的重点难点分析缺项，环境保护管理措施可行性差，得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61DB3805">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【差】：未提供得0分。</w:t>
            </w:r>
          </w:p>
        </w:tc>
      </w:tr>
      <w:tr w14:paraId="702095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14:paraId="6E754BE6">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top"/>
          </w:tcPr>
          <w:p w14:paraId="3536D357">
            <w:pPr>
              <w:spacing w:line="360" w:lineRule="auto"/>
              <w:jc w:val="left"/>
              <w:rPr>
                <w:rFonts w:ascii="Times New Roman" w:hAnsi="Times New Roman" w:eastAsia="宋体" w:cs="Times New Roman"/>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B73135">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仿宋_GB2312" w:eastAsia="仿宋_GB2312"/>
                <w:color w:val="000000" w:themeColor="text1"/>
                <w:highlight w:val="none"/>
                <w:rtl w:val="0"/>
                <w:lang w:val="zh-TW" w:eastAsia="zh-TW"/>
                <w14:textFill>
                  <w14:solidFill>
                    <w14:schemeClr w14:val="tx1"/>
                  </w14:solidFill>
                </w14:textFill>
              </w:rPr>
              <w:t>工程建设进度计划与措施（</w:t>
            </w:r>
            <w:r>
              <w:rPr>
                <w:rFonts w:hint="eastAsia" w:ascii="仿宋_GB2312" w:eastAsia="仿宋_GB2312"/>
                <w:color w:val="000000" w:themeColor="text1"/>
                <w:highlight w:val="none"/>
                <w:rtl w:val="0"/>
                <w:lang w:val="en-US" w:eastAsia="zh-CN"/>
                <w14:textFill>
                  <w14:solidFill>
                    <w14:schemeClr w14:val="tx1"/>
                  </w14:solidFill>
                </w14:textFill>
              </w:rPr>
              <w:t>7</w:t>
            </w:r>
            <w:r>
              <w:rPr>
                <w:rFonts w:hint="eastAsia" w:ascii="仿宋_GB2312" w:eastAsia="仿宋_GB2312"/>
                <w:color w:val="000000" w:themeColor="text1"/>
                <w:highlight w:val="none"/>
                <w:rtl w:val="0"/>
                <w:lang w:val="zh-TW" w:eastAsia="zh-TW"/>
                <w14:textFill>
                  <w14:solidFill>
                    <w14:schemeClr w14:val="tx1"/>
                  </w14:solidFill>
                </w14:textFill>
              </w:rPr>
              <w:t>分）</w:t>
            </w:r>
          </w:p>
        </w:tc>
        <w:tc>
          <w:tcPr>
            <w:tcW w:w="4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C53B41">
            <w:pPr>
              <w:snapToGrid w:val="0"/>
              <w:spacing w:line="34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施工进度计划可行、合理、有很好的保障措施（如分片多点施工、流水作业等工序安排，赶工措施等），施工工期计划目标符合招标文件要求，关键节点及线路清晰、准确、完整，计划编制合理、可行，关键节点的控制措施合理。</w:t>
            </w:r>
          </w:p>
          <w:p w14:paraId="2A090C36">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【优】：制定了健全的工程建设进度计划与措施，针对性强，关键节点及线路清晰、准确、完整，计划编制合理，关键节点的控制措施合理、切实可行，得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7</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1B82B845">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【良】：制定了工程建设进度计划与措施，针对性一般，关键节点及线路较完整，计划编制较合理，关键节点的控制措施基本可行，得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4.5</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72E38EDC">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【一般】：制定了工程建设进度计划与措施，缺乏针对性，关键节点及线路缺项，计划编制不合理，关键节点的控制措施可行性差，得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7428DB82">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【差】：未提供得0分。</w:t>
            </w:r>
          </w:p>
        </w:tc>
      </w:tr>
      <w:tr w14:paraId="6D5BEE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14:paraId="38B968E3">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top"/>
          </w:tcPr>
          <w:p w14:paraId="3510EB7E">
            <w:pPr>
              <w:spacing w:line="360" w:lineRule="auto"/>
              <w:jc w:val="left"/>
              <w:rPr>
                <w:rFonts w:ascii="Times New Roman" w:hAnsi="Times New Roman" w:eastAsia="宋体" w:cs="Times New Roman"/>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DD1BD7">
            <w:pPr>
              <w:numPr>
                <w:ilvl w:val="0"/>
                <w:numId w:val="0"/>
              </w:numPr>
              <w:adjustRightInd/>
              <w:snapToGrid w:val="0"/>
              <w:spacing w:line="340" w:lineRule="exact"/>
              <w:ind w:left="0" w:leftChars="0" w:firstLine="0" w:firstLineChars="0"/>
              <w:jc w:val="both"/>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仿宋_GB2312" w:hAnsi="Calibri" w:eastAsia="仿宋_GB2312" w:cs="Calibri"/>
                <w:color w:val="000000" w:themeColor="text1"/>
                <w:kern w:val="2"/>
                <w:sz w:val="21"/>
                <w:szCs w:val="21"/>
                <w:highlight w:val="none"/>
                <w:rtl w:val="0"/>
                <w:lang w:val="zh-TW" w:eastAsia="zh-TW"/>
                <w14:textFill>
                  <w14:solidFill>
                    <w14:schemeClr w14:val="tx1"/>
                  </w14:solidFill>
                </w14:textFill>
              </w:rPr>
              <w:t>绿色施工（</w:t>
            </w:r>
            <w:r>
              <w:rPr>
                <w:rFonts w:hint="eastAsia" w:ascii="仿宋_GB2312" w:hAnsi="Calibri" w:eastAsia="仿宋_GB2312" w:cs="Calibri"/>
                <w:color w:val="000000" w:themeColor="text1"/>
                <w:kern w:val="2"/>
                <w:sz w:val="21"/>
                <w:szCs w:val="21"/>
                <w:highlight w:val="none"/>
                <w:rtl w:val="0"/>
                <w:lang w:val="en-US" w:eastAsia="zh-CN"/>
                <w14:textFill>
                  <w14:solidFill>
                    <w14:schemeClr w14:val="tx1"/>
                  </w14:solidFill>
                </w14:textFill>
              </w:rPr>
              <w:t>3</w:t>
            </w:r>
            <w:r>
              <w:rPr>
                <w:rFonts w:hint="eastAsia" w:ascii="仿宋_GB2312" w:hAnsi="Calibri" w:eastAsia="仿宋_GB2312" w:cs="Calibri"/>
                <w:color w:val="000000" w:themeColor="text1"/>
                <w:kern w:val="2"/>
                <w:sz w:val="21"/>
                <w:szCs w:val="21"/>
                <w:highlight w:val="none"/>
                <w:rtl w:val="0"/>
                <w:lang w:val="zh-TW" w:eastAsia="zh-TW"/>
                <w14:textFill>
                  <w14:solidFill>
                    <w14:schemeClr w14:val="tx1"/>
                  </w14:solidFill>
                </w14:textFill>
              </w:rPr>
              <w:t>分）</w:t>
            </w:r>
          </w:p>
        </w:tc>
        <w:tc>
          <w:tcPr>
            <w:tcW w:w="4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33D4BD">
            <w:pPr>
              <w:snapToGrid w:val="0"/>
              <w:spacing w:line="340" w:lineRule="exact"/>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投标人</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制定的绿色施工措施能</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在施工过程中通过科学管理和先进的技术手段，</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有效的</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节约资源与减少对环境的负面影响，以达到四节一环保（节能、节地、节水、节材和环境保护）和防尘降噪的目标</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w:t>
            </w:r>
          </w:p>
          <w:p w14:paraId="59C9EB4E">
            <w:pPr>
              <w:snapToGrid w:val="0"/>
              <w:spacing w:line="340" w:lineRule="exact"/>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【优】</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w:t>
            </w:r>
            <w:r>
              <w:rPr>
                <w:rFonts w:ascii="Times New Roman" w:hAnsi="Times New Roman" w:eastAsia="宋体" w:cs="Times New Roman"/>
                <w:color w:val="000000" w:themeColor="text1"/>
                <w:szCs w:val="21"/>
                <w:highlight w:val="none"/>
                <w:lang w:val="zh-TW" w:eastAsia="zh-TW"/>
                <w14:textFill>
                  <w14:solidFill>
                    <w14:schemeClr w14:val="tx1"/>
                  </w14:solidFill>
                </w14:textFill>
              </w:rPr>
              <w:t>投标人制定了绿色施工措施</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及</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绿色施工组织机构图</w:t>
            </w:r>
            <w:r>
              <w:rPr>
                <w:rFonts w:hint="eastAsia" w:ascii="Times New Roman" w:hAnsi="Times New Roman" w:eastAsia="宋体" w:cs="Times New Roman"/>
                <w:color w:val="000000" w:themeColor="text1"/>
                <w:szCs w:val="21"/>
                <w:highlight w:val="none"/>
                <w:lang w:val="zh-TW"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措施具备科学性和可行性，</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技术手段</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能有效实现</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四节一环保（节能、节地、节水、节材和环境保护）和防尘降噪的目标</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的，</w:t>
            </w:r>
            <w:r>
              <w:rPr>
                <w:rFonts w:hint="eastAsia" w:ascii="Times New Roman" w:hAnsi="Times New Roman" w:eastAsia="宋体" w:cs="Times New Roman"/>
                <w:color w:val="000000" w:themeColor="text1"/>
                <w:szCs w:val="21"/>
                <w:highlight w:val="none"/>
                <w:rtl w:val="0"/>
                <w:lang w:val="zh-TW" w:eastAsia="zh-TW"/>
                <w14:textFill>
                  <w14:solidFill>
                    <w14:schemeClr w14:val="tx1"/>
                  </w14:solidFill>
                </w14:textFill>
              </w:rPr>
              <w:t>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rtl w:val="0"/>
                <w:lang w:val="zh-TW" w:eastAsia="zh-TW"/>
                <w14:textFill>
                  <w14:solidFill>
                    <w14:schemeClr w14:val="tx1"/>
                  </w14:solidFill>
                </w14:textFill>
              </w:rPr>
              <w:t>分</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w:t>
            </w:r>
          </w:p>
          <w:p w14:paraId="69C1B313">
            <w:pPr>
              <w:snapToGrid w:val="0"/>
              <w:spacing w:line="340" w:lineRule="exact"/>
              <w:rPr>
                <w:rFonts w:hint="default" w:ascii="Times New Roman" w:hAnsi="Times New Roman" w:eastAsia="宋体" w:cs="Times New Roman"/>
                <w:color w:val="000000" w:themeColor="text1"/>
                <w:szCs w:val="21"/>
                <w:highlight w:val="none"/>
                <w:rtl w:val="0"/>
                <w:lang w:val="zh-TW" w:eastAsia="zh-TW"/>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【良】</w:t>
            </w:r>
            <w:r>
              <w:rPr>
                <w:rFonts w:hint="default" w:ascii="Times New Roman" w:hAnsi="Times New Roman" w:eastAsia="宋体" w:cs="Times New Roman"/>
                <w:color w:val="000000" w:themeColor="text1"/>
                <w:szCs w:val="21"/>
                <w:highlight w:val="none"/>
                <w:rtl w:val="0"/>
                <w:lang w:val="zh-TW" w:eastAsia="zh-TW"/>
                <w14:textFill>
                  <w14:solidFill>
                    <w14:schemeClr w14:val="tx1"/>
                  </w14:solidFill>
                </w14:textFill>
              </w:rPr>
              <w:t>：</w:t>
            </w:r>
            <w:r>
              <w:rPr>
                <w:rFonts w:ascii="Times New Roman" w:hAnsi="Times New Roman" w:eastAsia="宋体" w:cs="Times New Roman"/>
                <w:color w:val="000000" w:themeColor="text1"/>
                <w:szCs w:val="21"/>
                <w:highlight w:val="none"/>
                <w:lang w:val="zh-TW" w:eastAsia="zh-TW"/>
                <w14:textFill>
                  <w14:solidFill>
                    <w14:schemeClr w14:val="tx1"/>
                  </w14:solidFill>
                </w14:textFill>
              </w:rPr>
              <w:t>投标人制定了绿色施工措施</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及</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绿色施工组织机构图</w:t>
            </w:r>
            <w:r>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t>，措施具备</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一定的</w:t>
            </w:r>
            <w:r>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t>科学性和可行性，</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技术手段</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能基本实现</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四节一环保（节能、节地、节水、节材和环境保护）和防尘降噪的目标</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的，</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得2分</w:t>
            </w:r>
            <w:r>
              <w:rPr>
                <w:rFonts w:hint="default" w:ascii="Times New Roman" w:hAnsi="Times New Roman" w:eastAsia="宋体" w:cs="Times New Roman"/>
                <w:color w:val="000000" w:themeColor="text1"/>
                <w:szCs w:val="21"/>
                <w:highlight w:val="none"/>
                <w:rtl w:val="0"/>
                <w:lang w:val="zh-TW" w:eastAsia="zh-TW"/>
                <w14:textFill>
                  <w14:solidFill>
                    <w14:schemeClr w14:val="tx1"/>
                  </w14:solidFill>
                </w14:textFill>
              </w:rPr>
              <w:t>。</w:t>
            </w:r>
          </w:p>
          <w:p w14:paraId="77AD889F">
            <w:pPr>
              <w:snapToGrid w:val="0"/>
              <w:spacing w:line="340" w:lineRule="exact"/>
              <w:rPr>
                <w:rFonts w:hint="default" w:ascii="Times New Roman" w:hAnsi="Times New Roman" w:eastAsia="宋体" w:cs="Times New Roman"/>
                <w:color w:val="000000" w:themeColor="text1"/>
                <w:szCs w:val="21"/>
                <w:highlight w:val="none"/>
                <w:rtl w:val="0"/>
                <w:lang w:val="zh-TW" w:eastAsia="zh-TW"/>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【一般】</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w:t>
            </w:r>
            <w:r>
              <w:rPr>
                <w:rFonts w:ascii="Times New Roman" w:hAnsi="Times New Roman" w:eastAsia="宋体" w:cs="Times New Roman"/>
                <w:color w:val="000000" w:themeColor="text1"/>
                <w:szCs w:val="21"/>
                <w:highlight w:val="none"/>
                <w:lang w:val="zh-TW" w:eastAsia="zh-TW"/>
                <w14:textFill>
                  <w14:solidFill>
                    <w14:schemeClr w14:val="tx1"/>
                  </w14:solidFill>
                </w14:textFill>
              </w:rPr>
              <w:t>投标人制定</w:t>
            </w:r>
            <w:r>
              <w:rPr>
                <w:rFonts w:hint="eastAsia" w:ascii="Times New Roman" w:hAnsi="Times New Roman" w:eastAsia="宋体" w:cs="Times New Roman"/>
                <w:color w:val="000000" w:themeColor="text1"/>
                <w:szCs w:val="21"/>
                <w:highlight w:val="none"/>
                <w:lang w:val="zh-TW" w:eastAsia="zh-CN"/>
                <w14:textFill>
                  <w14:solidFill>
                    <w14:schemeClr w14:val="tx1"/>
                  </w14:solidFill>
                </w14:textFill>
              </w:rPr>
              <w:t>的</w:t>
            </w:r>
            <w:r>
              <w:rPr>
                <w:rFonts w:ascii="Times New Roman" w:hAnsi="Times New Roman" w:eastAsia="宋体" w:cs="Times New Roman"/>
                <w:color w:val="000000" w:themeColor="text1"/>
                <w:szCs w:val="21"/>
                <w:highlight w:val="none"/>
                <w:lang w:val="zh-TW" w:eastAsia="zh-TW"/>
                <w14:textFill>
                  <w14:solidFill>
                    <w14:schemeClr w14:val="tx1"/>
                  </w14:solidFill>
                </w14:textFill>
              </w:rPr>
              <w:t>绿色施工措施</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不完整，可行性一般，或</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未提供绿色施工组织机构图</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的，</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得1分</w:t>
            </w:r>
            <w:r>
              <w:rPr>
                <w:rFonts w:hint="default" w:ascii="Times New Roman" w:hAnsi="Times New Roman" w:eastAsia="宋体" w:cs="Times New Roman"/>
                <w:color w:val="000000" w:themeColor="text1"/>
                <w:szCs w:val="21"/>
                <w:highlight w:val="none"/>
                <w:rtl w:val="0"/>
                <w:lang w:val="zh-TW" w:eastAsia="zh-TW"/>
                <w14:textFill>
                  <w14:solidFill>
                    <w14:schemeClr w14:val="tx1"/>
                  </w14:solidFill>
                </w14:textFill>
              </w:rPr>
              <w:t>。</w:t>
            </w:r>
          </w:p>
          <w:p w14:paraId="492E8470">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Cs w:val="21"/>
                <w:highlight w:val="none"/>
                <w:lang w:val="zh-TW" w:eastAsia="zh-TW"/>
                <w14:textFill>
                  <w14:solidFill>
                    <w14:schemeClr w14:val="tx1"/>
                  </w14:solidFill>
                </w14:textFill>
              </w:rPr>
              <w:t>【差】：未提供相关内容或措施明显不符合要求，得0分。</w:t>
            </w:r>
          </w:p>
        </w:tc>
      </w:tr>
      <w:tr w14:paraId="57DCA2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80" w:type="dxa"/>
            <w:vMerge w:val="continue"/>
            <w:tcBorders>
              <w:right w:val="single" w:color="auto" w:sz="4" w:space="0"/>
            </w:tcBorders>
            <w:noWrap w:val="0"/>
            <w:vAlign w:val="top"/>
          </w:tcPr>
          <w:p w14:paraId="3DBC408B">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top"/>
          </w:tcPr>
          <w:p w14:paraId="6D5D3B78">
            <w:pPr>
              <w:spacing w:line="360" w:lineRule="auto"/>
              <w:jc w:val="left"/>
              <w:rPr>
                <w:rFonts w:ascii="Times New Roman" w:hAnsi="Times New Roman" w:eastAsia="宋体" w:cs="Times New Roman"/>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2D85D4">
            <w:pPr>
              <w:snapToGrid w:val="0"/>
              <w:spacing w:line="340" w:lineRule="exact"/>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仿宋_GB2312" w:hAnsi="Calibri" w:eastAsia="仿宋_GB2312" w:cs="Calibri"/>
                <w:color w:val="000000" w:themeColor="text1"/>
                <w:kern w:val="2"/>
                <w:sz w:val="21"/>
                <w:szCs w:val="21"/>
                <w:highlight w:val="none"/>
                <w:rtl w:val="0"/>
                <w:lang w:val="zh-TW" w:eastAsia="zh-TW"/>
                <w14:textFill>
                  <w14:solidFill>
                    <w14:schemeClr w14:val="tx1"/>
                  </w14:solidFill>
                </w14:textFill>
              </w:rPr>
              <w:t>拟投入的机械设备情况（</w:t>
            </w:r>
            <w:r>
              <w:rPr>
                <w:rFonts w:hint="eastAsia" w:ascii="仿宋_GB2312" w:hAnsi="Calibri" w:eastAsia="仿宋_GB2312" w:cs="Calibri"/>
                <w:color w:val="000000" w:themeColor="text1"/>
                <w:kern w:val="2"/>
                <w:sz w:val="21"/>
                <w:szCs w:val="21"/>
                <w:highlight w:val="none"/>
                <w:rtl w:val="0"/>
                <w:lang w:val="en-US" w:eastAsia="zh-CN"/>
                <w14:textFill>
                  <w14:solidFill>
                    <w14:schemeClr w14:val="tx1"/>
                  </w14:solidFill>
                </w14:textFill>
              </w:rPr>
              <w:t>3</w:t>
            </w:r>
            <w:r>
              <w:rPr>
                <w:rFonts w:hint="eastAsia" w:ascii="仿宋_GB2312" w:hAnsi="Calibri" w:eastAsia="仿宋_GB2312" w:cs="Calibri"/>
                <w:color w:val="000000" w:themeColor="text1"/>
                <w:kern w:val="2"/>
                <w:sz w:val="21"/>
                <w:szCs w:val="21"/>
                <w:highlight w:val="none"/>
                <w:rtl w:val="0"/>
                <w:lang w:val="zh-TW" w:eastAsia="zh-TW"/>
                <w14:textFill>
                  <w14:solidFill>
                    <w14:schemeClr w14:val="tx1"/>
                  </w14:solidFill>
                </w14:textFill>
              </w:rPr>
              <w:t>分）</w:t>
            </w:r>
          </w:p>
        </w:tc>
        <w:tc>
          <w:tcPr>
            <w:tcW w:w="4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C34AE6">
            <w:pPr>
              <w:snapToGrid w:val="0"/>
              <w:spacing w:line="340" w:lineRule="exact"/>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pP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投标人投入的机械设备配置合理、性能优异、技术先进，能够充分满足施工全过程及进度要求。</w:t>
            </w:r>
          </w:p>
          <w:p w14:paraId="762EE229">
            <w:pPr>
              <w:snapToGrid w:val="0"/>
              <w:spacing w:line="340" w:lineRule="exact"/>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【优】</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投标人提供了机械设备配置计划，提供的</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机械设备</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配置合理，技术</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先进、性能</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优异</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，能</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充分</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满足工程施工</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全过程及</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进度要求的，得</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分；</w:t>
            </w:r>
          </w:p>
          <w:p w14:paraId="27740E3D">
            <w:pPr>
              <w:snapToGrid w:val="0"/>
              <w:spacing w:line="340" w:lineRule="exact"/>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【良】</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投标人提供了机械设备配置计划，提供的</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机械设备</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配置基本合理，</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性能</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一般</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，能</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基本</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满足施工要求的，得</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分；</w:t>
            </w:r>
          </w:p>
          <w:p w14:paraId="213961CF">
            <w:pPr>
              <w:snapToGrid w:val="0"/>
              <w:spacing w:line="340" w:lineRule="exact"/>
              <w:rPr>
                <w:rFonts w:hint="default" w:ascii="Times New Roman" w:hAnsi="Times New Roman" w:eastAsia="宋体" w:cs="Times New Roman"/>
                <w:color w:val="000000" w:themeColor="text1"/>
                <w:szCs w:val="21"/>
                <w:highlight w:val="none"/>
                <w:rtl w:val="0"/>
                <w:lang w:val="zh-TW" w:eastAsia="zh-TW"/>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【一般】</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投标人投入的机械设备配置存在不足、性能一般，仅能部分满足施工需要，得</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分</w:t>
            </w:r>
            <w:r>
              <w:rPr>
                <w:rFonts w:hint="default" w:ascii="Times New Roman" w:hAnsi="Times New Roman" w:eastAsia="宋体" w:cs="Times New Roman"/>
                <w:color w:val="000000" w:themeColor="text1"/>
                <w:szCs w:val="21"/>
                <w:highlight w:val="none"/>
                <w:rtl w:val="0"/>
                <w:lang w:val="zh-TW" w:eastAsia="zh-TW"/>
                <w14:textFill>
                  <w14:solidFill>
                    <w14:schemeClr w14:val="tx1"/>
                  </w14:solidFill>
                </w14:textFill>
              </w:rPr>
              <w:t>。</w:t>
            </w:r>
          </w:p>
          <w:p w14:paraId="578ADA44">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Cs w:val="21"/>
                <w:highlight w:val="none"/>
                <w:lang w:val="zh-TW" w:eastAsia="zh-TW"/>
                <w14:textFill>
                  <w14:solidFill>
                    <w14:schemeClr w14:val="tx1"/>
                  </w14:solidFill>
                </w14:textFill>
              </w:rPr>
              <w:t>【</w:t>
            </w:r>
            <w:r>
              <w:rPr>
                <w:rFonts w:hint="eastAsia" w:ascii="Times New Roman" w:hAnsi="Times New Roman" w:eastAsia="宋体" w:cs="Times New Roman"/>
                <w:color w:val="000000" w:themeColor="text1"/>
                <w:szCs w:val="21"/>
                <w:highlight w:val="none"/>
                <w:lang w:val="zh-TW" w:eastAsia="zh-TW"/>
                <w14:textFill>
                  <w14:solidFill>
                    <w14:schemeClr w14:val="tx1"/>
                  </w14:solidFill>
                </w14:textFill>
              </w:rPr>
              <w:t>差】：投标人未提供相关内容或机械设备明显无法满足施工要求，得0分。</w:t>
            </w:r>
          </w:p>
        </w:tc>
      </w:tr>
      <w:tr w14:paraId="187FF0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7" w:hRule="atLeast"/>
        </w:trPr>
        <w:tc>
          <w:tcPr>
            <w:tcW w:w="880" w:type="dxa"/>
            <w:vMerge w:val="continue"/>
            <w:tcBorders>
              <w:right w:val="single" w:color="auto" w:sz="4" w:space="0"/>
            </w:tcBorders>
            <w:noWrap w:val="0"/>
            <w:vAlign w:val="top"/>
          </w:tcPr>
          <w:p w14:paraId="22BF1EDF">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951" w:type="dxa"/>
            <w:vMerge w:val="continue"/>
            <w:tcBorders>
              <w:right w:val="single" w:color="auto" w:sz="4" w:space="0"/>
            </w:tcBorders>
            <w:noWrap w:val="0"/>
            <w:vAlign w:val="top"/>
          </w:tcPr>
          <w:p w14:paraId="4F50D545">
            <w:pPr>
              <w:spacing w:line="360" w:lineRule="auto"/>
              <w:jc w:val="left"/>
              <w:rPr>
                <w:rFonts w:ascii="Times New Roman" w:hAnsi="Times New Roman" w:eastAsia="宋体" w:cs="Times New Roman"/>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right w:val="single" w:color="auto" w:sz="4" w:space="0"/>
            </w:tcBorders>
            <w:shd w:val="clear" w:color="auto" w:fill="auto"/>
            <w:noWrap w:val="0"/>
            <w:vAlign w:val="center"/>
          </w:tcPr>
          <w:p w14:paraId="1F9DCB3A">
            <w:pPr>
              <w:snapToGrid w:val="0"/>
              <w:spacing w:line="340" w:lineRule="exact"/>
              <w:jc w:val="both"/>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仿宋_GB2312" w:eastAsia="仿宋_GB2312"/>
                <w:color w:val="000000" w:themeColor="text1"/>
                <w:highlight w:val="none"/>
                <w:rtl w:val="0"/>
                <w:lang w:val="en-US" w:eastAsia="zh-CN"/>
                <w14:textFill>
                  <w14:solidFill>
                    <w14:schemeClr w14:val="tx1"/>
                  </w14:solidFill>
                </w14:textFill>
              </w:rPr>
              <w:t>产业工人队伍（14分）</w:t>
            </w:r>
          </w:p>
        </w:tc>
        <w:tc>
          <w:tcPr>
            <w:tcW w:w="4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44ACB5">
            <w:pPr>
              <w:snapToGrid w:val="0"/>
              <w:spacing w:line="340" w:lineRule="exact"/>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1.特种作业人员的配备：</w:t>
            </w:r>
          </w:p>
          <w:p w14:paraId="4A2D31F1">
            <w:pPr>
              <w:snapToGrid w:val="0"/>
              <w:spacing w:line="340" w:lineRule="exact"/>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投标人建立了稳定的产业工人队伍，且结合本项目工程特点，拟投入与项目施工内容特点密切相关的特种作业人员，包括建筑电工、焊工，以上2种特种作业人员，每提供1名得1分，每种工种最多提供2名，本项目最高得4分。</w:t>
            </w:r>
          </w:p>
          <w:p w14:paraId="791FBF51">
            <w:pPr>
              <w:snapToGrid w:val="0"/>
              <w:spacing w:line="340" w:lineRule="exact"/>
              <w:jc w:val="both"/>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注:1)上述人员均为本单位的正式职工，且需提供以下证明材料:</w:t>
            </w:r>
          </w:p>
          <w:p w14:paraId="328142F9">
            <w:pPr>
              <w:snapToGrid w:val="0"/>
              <w:spacing w:line="340" w:lineRule="exact"/>
              <w:jc w:val="both"/>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en-US"/>
                <w14:textFill>
                  <w14:solidFill>
                    <w14:schemeClr w14:val="tx1"/>
                  </w14:solidFill>
                </w14:textFill>
              </w:rPr>
              <w:t>①</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焊工需提供特种作业操作证，证件在有效期内，由应急管理部门签发，作业类别为焊接与热切割作业；②其他工种需提供建筑施工特种作业操作资格证书，证书在有效期内，由住建管理部门发证，操作类别需与对应工种一致</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③</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身份证扫描件和近</w:t>
            </w:r>
            <w:r>
              <w:rPr>
                <w:rFonts w:ascii="Times New Roman" w:hAnsi="Times New Roman" w:eastAsia="宋体" w:cs="Times New Roman"/>
                <w:color w:val="000000" w:themeColor="text1"/>
                <w:szCs w:val="21"/>
                <w:highlight w:val="none"/>
                <w:rtl w:val="0"/>
                <w:lang w:val="en-US"/>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个月</w:t>
            </w:r>
            <w:r>
              <w:rPr>
                <w:rFonts w:ascii="Times New Roman" w:hAnsi="Times New Roman" w:eastAsia="宋体" w:cs="Times New Roman"/>
                <w:color w:val="000000" w:themeColor="text1"/>
                <w:szCs w:val="21"/>
                <w:highlight w:val="none"/>
                <w:rtl w:val="0"/>
                <w:lang w:val="en-US"/>
                <w14:textFill>
                  <w14:solidFill>
                    <w14:schemeClr w14:val="tx1"/>
                  </w14:solidFill>
                </w14:textFill>
              </w:rPr>
              <w:t>(</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时间为</w:t>
            </w:r>
            <w:r>
              <w:rPr>
                <w:rFonts w:ascii="Times New Roman" w:hAnsi="Times New Roman" w:eastAsia="宋体" w:cs="Times New Roman"/>
                <w:color w:val="000000" w:themeColor="text1"/>
                <w:szCs w:val="21"/>
                <w:highlight w:val="none"/>
                <w:rtl w:val="0"/>
                <w:lang w:val="en-US"/>
                <w14:textFill>
                  <w14:solidFill>
                    <w14:schemeClr w14:val="tx1"/>
                  </w14:solidFill>
                </w14:textFill>
              </w:rPr>
              <w:t>:20</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26</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年</w:t>
            </w:r>
            <w:r>
              <w:rPr>
                <w:rFonts w:hint="eastAsia" w:cs="Times New Roman"/>
                <w:color w:val="000000" w:themeColor="text1"/>
                <w:szCs w:val="21"/>
                <w:highlight w:val="none"/>
                <w:rtl w:val="0"/>
                <w:lang w:val="en-US" w:eastAsia="zh-CN"/>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月在本单位交纳的社保证明</w:t>
            </w:r>
            <w:r>
              <w:rPr>
                <w:rFonts w:ascii="Times New Roman" w:hAnsi="Times New Roman" w:eastAsia="宋体" w:cs="Times New Roman"/>
                <w:color w:val="000000" w:themeColor="text1"/>
                <w:szCs w:val="21"/>
                <w:highlight w:val="none"/>
                <w:rtl w:val="0"/>
                <w:lang w:val="en-US"/>
                <w14:textFill>
                  <w14:solidFill>
                    <w14:schemeClr w14:val="tx1"/>
                  </w14:solidFill>
                </w14:textFill>
              </w:rPr>
              <w:t>(</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以加盖社会保险基金管理中心印章的《投保单》或《社会保险参保人员证明》资料为准</w:t>
            </w:r>
            <w:r>
              <w:rPr>
                <w:rFonts w:ascii="Times New Roman" w:hAnsi="Times New Roman" w:eastAsia="宋体" w:cs="Times New Roman"/>
                <w:color w:val="000000" w:themeColor="text1"/>
                <w:szCs w:val="21"/>
                <w:highlight w:val="none"/>
                <w:rtl w:val="0"/>
                <w:lang w:val="en-US"/>
                <w14:textFill>
                  <w14:solidFill>
                    <w14:schemeClr w14:val="tx1"/>
                  </w14:solidFill>
                </w14:textFill>
              </w:rPr>
              <w:t>)</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w:t>
            </w:r>
          </w:p>
          <w:p w14:paraId="7785AC5E">
            <w:pPr>
              <w:snapToGrid w:val="0"/>
              <w:spacing w:line="340" w:lineRule="exact"/>
              <w:jc w:val="both"/>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pPr>
            <w:r>
              <w:rPr>
                <w:rFonts w:ascii="Times New Roman" w:hAnsi="Times New Roman" w:eastAsia="宋体" w:cs="Times New Roman"/>
                <w:color w:val="000000" w:themeColor="text1"/>
                <w:szCs w:val="21"/>
                <w:highlight w:val="none"/>
                <w:rtl w:val="0"/>
                <w:lang w:val="en-US"/>
                <w14:textFill>
                  <w14:solidFill>
                    <w14:schemeClr w14:val="tx1"/>
                  </w14:solidFill>
                </w14:textFill>
              </w:rPr>
              <w:t>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一人提供两个或以上证书的，只计算一次得分，不重复计算得分。</w:t>
            </w:r>
          </w:p>
          <w:p w14:paraId="46D39F18">
            <w:pPr>
              <w:snapToGrid w:val="0"/>
              <w:spacing w:line="340" w:lineRule="exact"/>
              <w:jc w:val="both"/>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ascii="Times New Roman" w:hAnsi="Times New Roman" w:eastAsia="宋体" w:cs="Times New Roman"/>
                <w:color w:val="000000" w:themeColor="text1"/>
                <w:szCs w:val="21"/>
                <w:highlight w:val="none"/>
                <w:rtl w:val="0"/>
                <w:lang w:val="en-US" w:eastAsia="zh-TW"/>
                <w14:textFill>
                  <w14:solidFill>
                    <w14:schemeClr w14:val="tx1"/>
                  </w14:solidFill>
                </w14:textFill>
              </w:rPr>
              <w:t>3)</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不按上述要求提供证明材料的不得分。</w:t>
            </w:r>
          </w:p>
          <w:p w14:paraId="68F73DC2">
            <w:pPr>
              <w:snapToGrid w:val="0"/>
              <w:spacing w:line="340" w:lineRule="exact"/>
              <w:jc w:val="both"/>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4)自有产业工人不得由施工项目负责人、施工技术负责人、专职安全员、安全负责人和施工各专业负责人兼任；特种作业人员与技能等级人员可兼任。</w:t>
            </w:r>
          </w:p>
          <w:p w14:paraId="3FA844EB">
            <w:pPr>
              <w:snapToGrid w:val="0"/>
              <w:spacing w:line="340" w:lineRule="exact"/>
              <w:jc w:val="both"/>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p w14:paraId="70E6BBA1">
            <w:pPr>
              <w:snapToGrid w:val="0"/>
              <w:spacing w:line="340" w:lineRule="exact"/>
              <w:jc w:val="both"/>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pPr>
            <w:r>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t>2.技能等级人员的配备：</w:t>
            </w:r>
          </w:p>
          <w:p w14:paraId="18AD3036">
            <w:pPr>
              <w:snapToGrid w:val="0"/>
              <w:spacing w:line="340" w:lineRule="exact"/>
              <w:jc w:val="both"/>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pPr>
            <w:r>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t>投标人建立了稳定的产业工人队伍，且结合本项目工程特点，拟投入与项目施工内容特点密切相关的技能等级人员。</w:t>
            </w:r>
          </w:p>
          <w:p w14:paraId="694C2F49">
            <w:pPr>
              <w:snapToGrid w:val="0"/>
              <w:spacing w:line="340" w:lineRule="exact"/>
              <w:jc w:val="both"/>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pPr>
            <w:r>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t>1、每提供1名技能等级为高级工的得0.75分,最多得3分，每种工种最多提供2名；</w:t>
            </w:r>
          </w:p>
          <w:p w14:paraId="4E7E8676">
            <w:pPr>
              <w:snapToGrid w:val="0"/>
              <w:spacing w:line="340" w:lineRule="exact"/>
              <w:jc w:val="both"/>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pPr>
            <w:r>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t>2、每提供1名技能等级为技师或以上的得1.75分，最多得7分，每种工种最多提供2名。</w:t>
            </w:r>
          </w:p>
          <w:p w14:paraId="43FF563B">
            <w:pPr>
              <w:snapToGrid w:val="0"/>
              <w:spacing w:line="340" w:lineRule="exact"/>
              <w:jc w:val="both"/>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pPr>
            <w:r>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t>本项目最高得10分。</w:t>
            </w:r>
          </w:p>
          <w:p w14:paraId="576E2510">
            <w:pPr>
              <w:snapToGrid w:val="0"/>
              <w:spacing w:line="340" w:lineRule="exact"/>
              <w:jc w:val="both"/>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pPr>
            <w:r>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t>注:1)上述人员均为本单位的正式职工，且需提供以下证明材料:①职业技能证书扫描件(证书在有效期内)；②身份证扫描件和近1个月(时间为:2026年</w:t>
            </w:r>
            <w:r>
              <w:rPr>
                <w:rFonts w:hint="eastAsia" w:cs="Times New Roman"/>
                <w:color w:val="000000" w:themeColor="text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t>月在本单位交纳的社保证明(以加盖社会保险基金管理中心印章的《投保单》或《社会保险参保人员证明》资料为准)。</w:t>
            </w:r>
          </w:p>
          <w:p w14:paraId="09E1EA96">
            <w:pPr>
              <w:snapToGrid w:val="0"/>
              <w:spacing w:line="340" w:lineRule="exact"/>
              <w:jc w:val="both"/>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pPr>
            <w:r>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t>2)一人提供两个或以上证书的，只按最高等级证书计算一次得分，不重复计算得分。</w:t>
            </w:r>
          </w:p>
          <w:p w14:paraId="1D28C664">
            <w:pPr>
              <w:snapToGrid w:val="0"/>
              <w:spacing w:line="340" w:lineRule="exact"/>
              <w:jc w:val="both"/>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pPr>
            <w:r>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t>3)不按上述要求提供证明材料的不得分。</w:t>
            </w:r>
          </w:p>
          <w:p w14:paraId="798AC1B2">
            <w:pPr>
              <w:snapToGrid w:val="0"/>
              <w:spacing w:line="340" w:lineRule="exact"/>
              <w:jc w:val="both"/>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t>4)自有产业工人不得由项目负责人、施工技术负责人、专职安全员、安全负责人和施工各专业负责人兼任；特种作业人员与技能等级人员可兼任。</w:t>
            </w:r>
          </w:p>
        </w:tc>
      </w:tr>
      <w:tr w14:paraId="5AB677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7" w:hRule="atLeast"/>
        </w:trPr>
        <w:tc>
          <w:tcPr>
            <w:tcW w:w="880" w:type="dxa"/>
            <w:tcBorders>
              <w:right w:val="single" w:color="auto" w:sz="4" w:space="0"/>
            </w:tcBorders>
            <w:noWrap w:val="0"/>
            <w:vAlign w:val="top"/>
          </w:tcPr>
          <w:p w14:paraId="5ED39285">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951" w:type="dxa"/>
            <w:tcBorders>
              <w:right w:val="single" w:color="auto" w:sz="4" w:space="0"/>
            </w:tcBorders>
            <w:noWrap w:val="0"/>
            <w:vAlign w:val="top"/>
          </w:tcPr>
          <w:p w14:paraId="64C6D6F5">
            <w:pPr>
              <w:spacing w:line="360" w:lineRule="auto"/>
              <w:jc w:val="left"/>
              <w:rPr>
                <w:rFonts w:ascii="Times New Roman" w:hAnsi="Times New Roman" w:eastAsia="宋体" w:cs="Times New Roman"/>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right w:val="single" w:color="auto" w:sz="4" w:space="0"/>
            </w:tcBorders>
            <w:shd w:val="clear" w:color="auto" w:fill="auto"/>
            <w:noWrap w:val="0"/>
            <w:vAlign w:val="center"/>
          </w:tcPr>
          <w:p w14:paraId="1D0FB565">
            <w:pPr>
              <w:snapToGrid w:val="0"/>
              <w:spacing w:line="340" w:lineRule="exact"/>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仿宋_GB2312" w:eastAsia="仿宋_GB2312"/>
                <w:color w:val="000000" w:themeColor="text1"/>
                <w:highlight w:val="none"/>
                <w:rtl w:val="0"/>
                <w:lang w:val="en-US" w:eastAsia="zh-CN"/>
                <w14:textFill>
                  <w14:solidFill>
                    <w14:schemeClr w14:val="tx1"/>
                  </w14:solidFill>
                </w14:textFill>
              </w:rPr>
              <w:t>施工项目负责人及技术负责人的任职资格与业绩（4分）</w:t>
            </w:r>
          </w:p>
        </w:tc>
        <w:tc>
          <w:tcPr>
            <w:tcW w:w="4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5B3D7F">
            <w:pPr>
              <w:snapToGrid w:val="0"/>
              <w:spacing w:line="34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rtl w:val="0"/>
                <w:lang w:val="en-US"/>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拟委派的项目负责人自</w:t>
            </w:r>
            <w:r>
              <w:rPr>
                <w:rFonts w:ascii="Times New Roman" w:hAnsi="Times New Roman" w:eastAsia="宋体" w:cs="Times New Roman"/>
                <w:color w:val="000000" w:themeColor="text1"/>
                <w:szCs w:val="21"/>
                <w:highlight w:val="none"/>
                <w:rtl w:val="0"/>
                <w:lang w:val="en-US"/>
                <w14:textFill>
                  <w14:solidFill>
                    <w14:schemeClr w14:val="tx1"/>
                  </w14:solidFill>
                </w14:textFill>
              </w:rPr>
              <w:t>20</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年</w:t>
            </w:r>
            <w:r>
              <w:rPr>
                <w:rFonts w:ascii="Times New Roman" w:hAnsi="Times New Roman" w:eastAsia="宋体" w:cs="Times New Roman"/>
                <w:color w:val="000000" w:themeColor="text1"/>
                <w:szCs w:val="21"/>
                <w:highlight w:val="none"/>
                <w:rtl w:val="0"/>
                <w:lang w:val="en-US"/>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月</w:t>
            </w:r>
            <w:r>
              <w:rPr>
                <w:rFonts w:ascii="Times New Roman" w:hAnsi="Times New Roman" w:eastAsia="宋体" w:cs="Times New Roman"/>
                <w:color w:val="000000" w:themeColor="text1"/>
                <w:szCs w:val="21"/>
                <w:highlight w:val="none"/>
                <w:rtl w:val="0"/>
                <w:lang w:val="en-US"/>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日至今，担任过质量合格的类似</w:t>
            </w:r>
            <w:r>
              <w:rPr>
                <w:rFonts w:hint="default" w:ascii="Times New Roman" w:hAnsi="Times New Roman" w:eastAsia="宋体" w:cs="Times New Roman"/>
                <w:color w:val="000000" w:themeColor="text1"/>
                <w:szCs w:val="21"/>
                <w:highlight w:val="none"/>
                <w:lang w:val="zh-TW" w:eastAsia="zh-TW"/>
                <w14:textFill>
                  <w14:solidFill>
                    <w14:schemeClr w14:val="tx1"/>
                  </w14:solidFill>
                </w14:textFill>
              </w:rPr>
              <w:t>工程的</w:t>
            </w:r>
            <w:r>
              <w:rPr>
                <w:rFonts w:hint="default" w:ascii="Times New Roman" w:hAnsi="Times New Roman" w:eastAsia="宋体" w:cs="Times New Roman"/>
                <w:color w:val="000000" w:themeColor="text1"/>
                <w:szCs w:val="21"/>
                <w:highlight w:val="none"/>
                <w:rtl w:val="0"/>
                <w:lang w:val="zh-TW" w:eastAsia="zh-TW"/>
                <w14:textFill>
                  <w14:solidFill>
                    <w14:schemeClr w14:val="tx1"/>
                  </w14:solidFill>
                </w14:textFill>
              </w:rPr>
              <w:t>施工总承包或工程总承包业绩的</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项目负责人的</w:t>
            </w:r>
            <w:r>
              <w:rPr>
                <w:rFonts w:ascii="Times New Roman" w:hAnsi="Times New Roman" w:eastAsia="宋体" w:cs="Times New Roman"/>
                <w:color w:val="000000" w:themeColor="text1"/>
                <w:szCs w:val="21"/>
                <w:highlight w:val="none"/>
                <w:rtl w:val="0"/>
                <w:lang w:val="en-US"/>
                <w14:textFill>
                  <w14:solidFill>
                    <w14:schemeClr w14:val="tx1"/>
                  </w14:solidFill>
                </w14:textFill>
              </w:rPr>
              <w:t>,</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6FA9E535">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en-US"/>
                <w14:textFill>
                  <w14:solidFill>
                    <w14:schemeClr w14:val="tx1"/>
                  </w14:solidFill>
                </w14:textFill>
              </w:rPr>
              <w:t>2.</w:t>
            </w:r>
            <w:r>
              <w:rPr>
                <w:rFonts w:hint="eastAsia" w:ascii="Times New Roman" w:hAnsi="Times New Roman" w:eastAsia="宋体" w:cs="Times New Roman"/>
                <w:color w:val="000000" w:themeColor="text1"/>
                <w:szCs w:val="21"/>
                <w:highlight w:val="none"/>
                <w:rtl w:val="0"/>
                <w:lang w:val="zh-TW" w:eastAsia="zh-TW"/>
                <w14:textFill>
                  <w14:solidFill>
                    <w14:schemeClr w14:val="tx1"/>
                  </w14:solidFill>
                </w14:textFill>
              </w:rPr>
              <w:t>拟委派的施工技术负责人具有给排水工程类高级工程师或以上技术职称的得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rtl w:val="0"/>
                <w:lang w:val="zh-TW" w:eastAsia="zh-TW"/>
                <w14:textFill>
                  <w14:solidFill>
                    <w14:schemeClr w14:val="tx1"/>
                  </w14:solidFill>
                </w14:textFill>
              </w:rPr>
              <w:t>分，具有给排水工程类中级工程师职称的得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1</w:t>
            </w:r>
            <w:r>
              <w:rPr>
                <w:rFonts w:hint="eastAsia" w:ascii="Times New Roman" w:hAnsi="Times New Roman" w:eastAsia="宋体" w:cs="Times New Roman"/>
                <w:color w:val="000000" w:themeColor="text1"/>
                <w:szCs w:val="21"/>
                <w:highlight w:val="none"/>
                <w:rtl w:val="0"/>
                <w:lang w:val="zh-TW" w:eastAsia="zh-TW"/>
                <w14:textFill>
                  <w14:solidFill>
                    <w14:schemeClr w14:val="tx1"/>
                  </w14:solidFill>
                </w14:textFill>
              </w:rPr>
              <w:t>分，其他不得分。</w:t>
            </w:r>
          </w:p>
          <w:p w14:paraId="1547B622">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注：</w:t>
            </w:r>
            <w:r>
              <w:rPr>
                <w:rFonts w:ascii="Times New Roman" w:hAnsi="Times New Roman" w:eastAsia="宋体" w:cs="Times New Roman"/>
                <w:color w:val="000000" w:themeColor="text1"/>
                <w:szCs w:val="21"/>
                <w:highlight w:val="none"/>
                <w:rtl w:val="0"/>
                <w:lang w:val="en-US"/>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）上述人员均为本单位的正式职工，施工项目负责人、施工技术负责人、</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安全负责人</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给水工程专业负责人、</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专职安全员不得兼任，需提供相关证书证明文件（职称证、身份证复印件等）和最近</w:t>
            </w:r>
            <w:r>
              <w:rPr>
                <w:rFonts w:ascii="Times New Roman" w:hAnsi="Times New Roman" w:eastAsia="宋体" w:cs="Times New Roman"/>
                <w:color w:val="000000" w:themeColor="text1"/>
                <w:szCs w:val="21"/>
                <w:highlight w:val="none"/>
                <w:rtl w:val="0"/>
                <w:lang w:val="en-US"/>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个月（时间为：</w:t>
            </w:r>
            <w:r>
              <w:rPr>
                <w:rFonts w:ascii="Times New Roman" w:hAnsi="Times New Roman" w:eastAsia="宋体" w:cs="Times New Roman"/>
                <w:color w:val="000000" w:themeColor="text1"/>
                <w:szCs w:val="21"/>
                <w:highlight w:val="none"/>
                <w:rtl w:val="0"/>
                <w:lang w:val="en-US"/>
                <w14:textFill>
                  <w14:solidFill>
                    <w14:schemeClr w14:val="tx1"/>
                  </w14:solidFill>
                </w14:textFill>
              </w:rPr>
              <w:t>20</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26</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年</w:t>
            </w:r>
            <w:r>
              <w:rPr>
                <w:rFonts w:hint="eastAsia" w:cs="Times New Roman"/>
                <w:color w:val="000000" w:themeColor="text1"/>
                <w:szCs w:val="21"/>
                <w:highlight w:val="none"/>
                <w:rtl w:val="0"/>
                <w:lang w:val="en-US" w:eastAsia="zh-CN"/>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月）在本单位交纳的社保证明。</w:t>
            </w:r>
          </w:p>
          <w:p w14:paraId="3452C88E">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2）类似工程指采用的资质类别与本招标项目采用的资质类别相同的给水工程。</w:t>
            </w:r>
          </w:p>
          <w:p w14:paraId="12514D5C">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en-US"/>
                <w14:textFill>
                  <w14:solidFill>
                    <w14:schemeClr w14:val="tx1"/>
                  </w14:solidFill>
                </w14:textFill>
              </w:rPr>
              <w:t>3</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）业绩完成时间以竣工验收时间为准。</w:t>
            </w:r>
          </w:p>
          <w:p w14:paraId="03CEECB5">
            <w:pPr>
              <w:snapToGrid w:val="0"/>
              <w:spacing w:line="340" w:lineRule="exact"/>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4）需同时提供中标通知书或免招标的相关证明、施工合同、竣工验收报告或竣工验收证明。类似业绩证明的信息须明确显示该业绩项目名称、中标价、规模等信息。如以上资料不能证明业绩规模的技术指标的，须另提供可证明业绩技术指标的其他资料。</w:t>
            </w:r>
          </w:p>
          <w:p w14:paraId="4C62FF85">
            <w:pPr>
              <w:snapToGrid w:val="0"/>
              <w:spacing w:line="340" w:lineRule="exact"/>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5）由总承包单位依法分包的专业工程业绩，不作为业绩证明。</w:t>
            </w:r>
          </w:p>
          <w:p w14:paraId="6E59095E">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6</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w:t>
            </w:r>
            <w:r>
              <w:rPr>
                <w:rFonts w:hint="eastAsia" w:ascii="Times New Roman" w:hAnsi="Times New Roman" w:eastAsia="宋体" w:cs="Times New Roman"/>
                <w:color w:val="000000" w:themeColor="text1"/>
                <w:szCs w:val="21"/>
                <w:highlight w:val="none"/>
                <w:rtl w:val="0"/>
                <w:lang w:val="zh-TW" w:eastAsia="zh-TW"/>
                <w14:textFill>
                  <w14:solidFill>
                    <w14:schemeClr w14:val="tx1"/>
                  </w14:solidFill>
                </w14:textFill>
              </w:rPr>
              <w:t>类似业绩在中标候选人公示期间一并进行公示。</w:t>
            </w:r>
          </w:p>
        </w:tc>
      </w:tr>
      <w:tr w14:paraId="75BC37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7" w:hRule="atLeast"/>
        </w:trPr>
        <w:tc>
          <w:tcPr>
            <w:tcW w:w="880" w:type="dxa"/>
            <w:tcBorders>
              <w:right w:val="single" w:color="auto" w:sz="4" w:space="0"/>
            </w:tcBorders>
            <w:noWrap w:val="0"/>
            <w:vAlign w:val="top"/>
          </w:tcPr>
          <w:p w14:paraId="597BA9B7">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951" w:type="dxa"/>
            <w:tcBorders>
              <w:right w:val="single" w:color="auto" w:sz="4" w:space="0"/>
            </w:tcBorders>
            <w:noWrap w:val="0"/>
            <w:vAlign w:val="top"/>
          </w:tcPr>
          <w:p w14:paraId="12FD0AAA">
            <w:pPr>
              <w:spacing w:line="360" w:lineRule="auto"/>
              <w:jc w:val="left"/>
              <w:rPr>
                <w:rFonts w:ascii="Times New Roman" w:hAnsi="Times New Roman" w:eastAsia="宋体" w:cs="Times New Roman"/>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right w:val="single" w:color="auto" w:sz="4" w:space="0"/>
            </w:tcBorders>
            <w:shd w:val="clear" w:color="auto" w:fill="auto"/>
            <w:noWrap w:val="0"/>
            <w:vAlign w:val="center"/>
          </w:tcPr>
          <w:p w14:paraId="209EED0F">
            <w:pPr>
              <w:snapToGrid w:val="0"/>
              <w:spacing w:line="340" w:lineRule="exact"/>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仿宋_GB2312" w:eastAsia="仿宋_GB2312"/>
                <w:color w:val="000000" w:themeColor="text1"/>
                <w:highlight w:val="none"/>
                <w:rtl w:val="0"/>
                <w:lang w:val="zh-TW" w:eastAsia="zh-TW"/>
                <w14:textFill>
                  <w14:solidFill>
                    <w14:schemeClr w14:val="tx1"/>
                  </w14:solidFill>
                </w14:textFill>
              </w:rPr>
              <w:t>组织机构及主要管理人员（</w:t>
            </w:r>
            <w:r>
              <w:rPr>
                <w:rFonts w:hint="eastAsia" w:ascii="仿宋_GB2312" w:eastAsia="仿宋_GB2312"/>
                <w:color w:val="000000" w:themeColor="text1"/>
                <w:highlight w:val="none"/>
                <w:rtl w:val="0"/>
                <w:lang w:val="en-US" w:eastAsia="zh-CN"/>
                <w14:textFill>
                  <w14:solidFill>
                    <w14:schemeClr w14:val="tx1"/>
                  </w14:solidFill>
                </w14:textFill>
              </w:rPr>
              <w:t>4</w:t>
            </w:r>
            <w:r>
              <w:rPr>
                <w:rFonts w:hint="eastAsia" w:ascii="仿宋_GB2312" w:eastAsia="仿宋_GB2312"/>
                <w:color w:val="000000" w:themeColor="text1"/>
                <w:highlight w:val="none"/>
                <w:rtl w:val="0"/>
                <w:lang w:val="zh-TW" w:eastAsia="zh-TW"/>
                <w14:textFill>
                  <w14:solidFill>
                    <w14:schemeClr w14:val="tx1"/>
                  </w14:solidFill>
                </w14:textFill>
              </w:rPr>
              <w:t>分）</w:t>
            </w:r>
          </w:p>
        </w:tc>
        <w:tc>
          <w:tcPr>
            <w:tcW w:w="4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CBCE02">
            <w:pPr>
              <w:snapToGrid w:val="0"/>
              <w:spacing w:line="34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rtl w:val="0"/>
                <w:lang w:val="en-US"/>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、拟委派在本项目的</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安全负责人</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具有中级或以上级别的注册安全工程师证书（证书在有效期内），且专业为建筑施工安全的得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具有</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初</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级注册安全工程师证书（证书在有效期内），且专业为建筑施工安全的得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r>
              <w:rPr>
                <w:rFonts w:hint="eastAsia" w:ascii="Times New Roman" w:hAnsi="Times New Roman" w:eastAsia="宋体" w:cs="Times New Roman"/>
                <w:color w:val="000000" w:themeColor="text1"/>
                <w:szCs w:val="21"/>
                <w:highlight w:val="none"/>
                <w:rtl w:val="0"/>
                <w:lang w:val="zh-TW" w:eastAsia="zh-TW"/>
                <w14:textFill>
                  <w14:solidFill>
                    <w14:schemeClr w14:val="tx1"/>
                  </w14:solidFill>
                </w14:textFill>
              </w:rPr>
              <w:t>其他不得分。</w:t>
            </w:r>
          </w:p>
          <w:p w14:paraId="155D0118">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en-US"/>
                <w14:textFill>
                  <w14:solidFill>
                    <w14:schemeClr w14:val="tx1"/>
                  </w14:solidFill>
                </w14:textFill>
              </w:rPr>
              <w:t>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、拟委派的</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给水工程专业负责人</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具备给排水工程类中级工程师或以上职称的得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分，具备给排水工程类</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初级</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职称的得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最高得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134B17B1">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注：</w:t>
            </w:r>
            <w:r>
              <w:rPr>
                <w:rFonts w:ascii="Times New Roman" w:hAnsi="Times New Roman" w:eastAsia="宋体" w:cs="Times New Roman"/>
                <w:color w:val="000000" w:themeColor="text1"/>
                <w:szCs w:val="21"/>
                <w:highlight w:val="none"/>
                <w:rtl w:val="0"/>
                <w:lang w:val="en-US"/>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）上述人员均为本单位的正式职工，施工负责人、施工技术负责人、</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安全负责人</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给水工程专业负责人、</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专职安全员不得兼任，需提供相关证书证明文件（职称证、身份证复印件等）和最近</w:t>
            </w:r>
            <w:r>
              <w:rPr>
                <w:rFonts w:ascii="Times New Roman" w:hAnsi="Times New Roman" w:eastAsia="宋体" w:cs="Times New Roman"/>
                <w:color w:val="000000" w:themeColor="text1"/>
                <w:szCs w:val="21"/>
                <w:highlight w:val="none"/>
                <w:rtl w:val="0"/>
                <w:lang w:val="en-US"/>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个月（时间为：</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2026</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年</w:t>
            </w:r>
            <w:r>
              <w:rPr>
                <w:rFonts w:hint="eastAsia" w:cs="Times New Roman"/>
                <w:color w:val="000000" w:themeColor="text1"/>
                <w:szCs w:val="21"/>
                <w:highlight w:val="none"/>
                <w:rtl w:val="0"/>
                <w:lang w:val="en-US" w:eastAsia="zh-CN"/>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月）在本单位交纳的社保证明。</w:t>
            </w:r>
          </w:p>
        </w:tc>
      </w:tr>
      <w:tr w14:paraId="5D1FF4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7" w:hRule="atLeast"/>
        </w:trPr>
        <w:tc>
          <w:tcPr>
            <w:tcW w:w="880" w:type="dxa"/>
            <w:tcBorders>
              <w:right w:val="single" w:color="auto" w:sz="4" w:space="0"/>
            </w:tcBorders>
            <w:noWrap w:val="0"/>
            <w:vAlign w:val="top"/>
          </w:tcPr>
          <w:p w14:paraId="64676D74">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951" w:type="dxa"/>
            <w:tcBorders>
              <w:right w:val="single" w:color="auto" w:sz="4" w:space="0"/>
            </w:tcBorders>
            <w:noWrap w:val="0"/>
            <w:vAlign w:val="top"/>
          </w:tcPr>
          <w:p w14:paraId="6143FFB1">
            <w:pPr>
              <w:spacing w:line="360" w:lineRule="auto"/>
              <w:jc w:val="left"/>
              <w:rPr>
                <w:rFonts w:ascii="Times New Roman" w:hAnsi="Times New Roman" w:eastAsia="宋体" w:cs="Times New Roman"/>
                <w:color w:val="000000" w:themeColor="text1"/>
                <w:szCs w:val="21"/>
                <w:highlight w:val="none"/>
                <w14:textFill>
                  <w14:solidFill>
                    <w14:schemeClr w14:val="tx1"/>
                  </w14:solidFill>
                </w14:textFill>
              </w:rPr>
            </w:pPr>
          </w:p>
        </w:tc>
        <w:tc>
          <w:tcPr>
            <w:tcW w:w="1827" w:type="dxa"/>
            <w:tcBorders>
              <w:top w:val="single" w:color="auto" w:sz="4" w:space="0"/>
              <w:left w:val="single" w:color="auto" w:sz="4" w:space="0"/>
              <w:right w:val="single" w:color="auto" w:sz="4" w:space="0"/>
            </w:tcBorders>
            <w:shd w:val="clear" w:color="auto" w:fill="auto"/>
            <w:noWrap w:val="0"/>
            <w:vAlign w:val="center"/>
          </w:tcPr>
          <w:p w14:paraId="763E75F4">
            <w:pPr>
              <w:adjustRightInd/>
              <w:snapToGrid w:val="0"/>
              <w:spacing w:line="340" w:lineRule="exact"/>
              <w:jc w:val="both"/>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rtl w:val="0"/>
                <w:lang w:val="zh-TW" w:eastAsia="zh-TW"/>
                <w14:textFill>
                  <w14:solidFill>
                    <w14:schemeClr w14:val="tx1"/>
                  </w14:solidFill>
                </w14:textFill>
              </w:rPr>
              <w:t>投标人的业绩、类似工程经历</w:t>
            </w:r>
          </w:p>
          <w:p w14:paraId="2A8310ED">
            <w:pPr>
              <w:rPr>
                <w:color w:val="000000" w:themeColor="text1"/>
                <w:highlight w:val="none"/>
                <w14:textFill>
                  <w14:solidFill>
                    <w14:schemeClr w14:val="tx1"/>
                  </w14:solidFill>
                </w14:textFill>
              </w:rPr>
            </w:pPr>
            <w:r>
              <w:rPr>
                <w:rFonts w:hint="eastAsia" w:ascii="仿宋_GB2312" w:eastAsia="仿宋_GB2312"/>
                <w:color w:val="000000" w:themeColor="text1"/>
                <w:highlight w:val="none"/>
                <w:rtl w:val="0"/>
                <w:lang w:val="zh-TW" w:eastAsia="zh-TW"/>
                <w14:textFill>
                  <w14:solidFill>
                    <w14:schemeClr w14:val="tx1"/>
                  </w14:solidFill>
                </w14:textFill>
              </w:rPr>
              <w:t>（</w:t>
            </w:r>
            <w:r>
              <w:rPr>
                <w:rFonts w:hint="eastAsia" w:ascii="仿宋_GB2312" w:eastAsia="仿宋_GB2312"/>
                <w:color w:val="000000" w:themeColor="text1"/>
                <w:highlight w:val="none"/>
                <w:rtl w:val="0"/>
                <w:lang w:val="en-US" w:eastAsia="zh-CN"/>
                <w14:textFill>
                  <w14:solidFill>
                    <w14:schemeClr w14:val="tx1"/>
                  </w14:solidFill>
                </w14:textFill>
              </w:rPr>
              <w:t>30</w:t>
            </w:r>
            <w:r>
              <w:rPr>
                <w:rFonts w:hint="eastAsia" w:ascii="仿宋_GB2312" w:eastAsia="仿宋_GB2312"/>
                <w:color w:val="000000" w:themeColor="text1"/>
                <w:highlight w:val="none"/>
                <w:rtl w:val="0"/>
                <w:lang w:val="zh-TW" w:eastAsia="zh-TW"/>
                <w14:textFill>
                  <w14:solidFill>
                    <w14:schemeClr w14:val="tx1"/>
                  </w14:solidFill>
                </w14:textFill>
              </w:rPr>
              <w:t>分）</w:t>
            </w:r>
          </w:p>
          <w:p w14:paraId="0AF0EC59">
            <w:pPr>
              <w:adjustRightInd/>
              <w:snapToGrid w:val="0"/>
              <w:spacing w:line="340" w:lineRule="exact"/>
              <w:jc w:val="both"/>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p>
        </w:tc>
        <w:tc>
          <w:tcPr>
            <w:tcW w:w="4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07E62D">
            <w:pPr>
              <w:snapToGrid w:val="0"/>
              <w:spacing w:line="340" w:lineRule="exac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投标人自</w:t>
            </w:r>
            <w:r>
              <w:rPr>
                <w:rFonts w:ascii="Times New Roman" w:hAnsi="Times New Roman" w:eastAsia="宋体" w:cs="Times New Roman"/>
                <w:color w:val="000000" w:themeColor="text1"/>
                <w:szCs w:val="21"/>
                <w:highlight w:val="none"/>
                <w:rtl w:val="0"/>
                <w:lang w:val="en-US"/>
                <w14:textFill>
                  <w14:solidFill>
                    <w14:schemeClr w14:val="tx1"/>
                  </w14:solidFill>
                </w14:textFill>
              </w:rPr>
              <w:t>20</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年</w:t>
            </w:r>
            <w:r>
              <w:rPr>
                <w:rFonts w:ascii="Times New Roman" w:hAnsi="Times New Roman" w:eastAsia="宋体" w:cs="Times New Roman"/>
                <w:color w:val="000000" w:themeColor="text1"/>
                <w:szCs w:val="21"/>
                <w:highlight w:val="none"/>
                <w:rtl w:val="0"/>
                <w:lang w:val="en-US"/>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月</w:t>
            </w:r>
            <w:r>
              <w:rPr>
                <w:rFonts w:ascii="Times New Roman" w:hAnsi="Times New Roman" w:eastAsia="宋体" w:cs="Times New Roman"/>
                <w:color w:val="000000" w:themeColor="text1"/>
                <w:szCs w:val="21"/>
                <w:highlight w:val="none"/>
                <w:rtl w:val="0"/>
                <w:lang w:val="en-US"/>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日至今完成过质量合格的</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单项合同造价为</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2500</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万元或以上的类似工程</w:t>
            </w:r>
            <w:r>
              <w:rPr>
                <w:rFonts w:hint="default" w:ascii="Times New Roman" w:hAnsi="Times New Roman" w:eastAsia="宋体" w:cs="Times New Roman"/>
                <w:color w:val="000000" w:themeColor="text1"/>
                <w:szCs w:val="21"/>
                <w:highlight w:val="none"/>
                <w:rtl w:val="0"/>
                <w:lang w:val="zh-TW" w:eastAsia="zh-TW"/>
                <w14:textFill>
                  <w14:solidFill>
                    <w14:schemeClr w14:val="tx1"/>
                  </w14:solidFill>
                </w14:textFill>
              </w:rPr>
              <w:t>的施工总承包或工程总承包</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业绩的，每项得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15</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分，最高得</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30</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分。</w:t>
            </w:r>
          </w:p>
          <w:p w14:paraId="595A0F2D">
            <w:pPr>
              <w:snapToGrid w:val="0"/>
              <w:spacing w:line="340" w:lineRule="exact"/>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pP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注：</w:t>
            </w:r>
            <w:r>
              <w:rPr>
                <w:rFonts w:ascii="Times New Roman" w:hAnsi="Times New Roman" w:eastAsia="宋体" w:cs="Times New Roman"/>
                <w:color w:val="000000" w:themeColor="text1"/>
                <w:szCs w:val="21"/>
                <w:highlight w:val="none"/>
                <w:rtl w:val="0"/>
                <w:lang w:val="en-US"/>
                <w14:textFill>
                  <w14:solidFill>
                    <w14:schemeClr w14:val="tx1"/>
                  </w14:solidFill>
                </w14:textFill>
              </w:rPr>
              <w:t>1</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w:t>
            </w:r>
            <w:r>
              <w:rPr>
                <w:rFonts w:ascii="Times New Roman" w:hAnsi="Times New Roman" w:eastAsia="宋体" w:cs="Times New Roman"/>
                <w:color w:val="000000" w:themeColor="text1"/>
                <w:szCs w:val="21"/>
                <w:highlight w:val="none"/>
                <w:rtl w:val="0"/>
                <w:lang w:val="zh-CN" w:eastAsia="zh-CN"/>
                <w14:textFill>
                  <w14:solidFill>
                    <w14:schemeClr w14:val="tx1"/>
                  </w14:solidFill>
                </w14:textFill>
              </w:rPr>
              <w:t>类似工程指</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采用的资质类别与本招标项目采用的资质类别相同的给水工程。</w:t>
            </w:r>
          </w:p>
          <w:p w14:paraId="0BCAFE2B">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2）</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业绩完成时间以竣工验收时间为准</w:t>
            </w:r>
            <w:r>
              <w:rPr>
                <w:rFonts w:hint="eastAsia" w:ascii="Times New Roman" w:hAnsi="Times New Roman" w:eastAsia="宋体" w:cs="Times New Roman"/>
                <w:color w:val="000000" w:themeColor="text1"/>
                <w:szCs w:val="21"/>
                <w:highlight w:val="none"/>
                <w:rtl w:val="0"/>
                <w:lang w:val="zh-TW" w:eastAsia="zh-CN"/>
                <w14:textFill>
                  <w14:solidFill>
                    <w14:schemeClr w14:val="tx1"/>
                  </w14:solidFill>
                </w14:textFill>
              </w:rPr>
              <w:t>，</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造价规模以给水部分造价金额为准。</w:t>
            </w:r>
          </w:p>
          <w:p w14:paraId="15EF8DFB">
            <w:pPr>
              <w:snapToGrid w:val="0"/>
              <w:spacing w:line="340" w:lineRule="exact"/>
              <w:rPr>
                <w:rFonts w:ascii="Times New Roman" w:hAnsi="Times New Roman" w:eastAsia="宋体" w:cs="Times New Roman"/>
                <w:color w:val="000000" w:themeColor="text1"/>
                <w:szCs w:val="21"/>
                <w:highlight w:val="none"/>
                <w:rtl w:val="0"/>
                <w14:textFill>
                  <w14:solidFill>
                    <w14:schemeClr w14:val="tx1"/>
                  </w14:solidFill>
                </w14:textFill>
              </w:rPr>
            </w:pPr>
            <w:r>
              <w:rPr>
                <w:rFonts w:ascii="Times New Roman" w:hAnsi="Times New Roman" w:eastAsia="宋体" w:cs="Times New Roman"/>
                <w:color w:val="000000" w:themeColor="text1"/>
                <w:szCs w:val="21"/>
                <w:highlight w:val="none"/>
                <w:rtl w:val="0"/>
                <w:lang w:val="en-US"/>
                <w14:textFill>
                  <w14:solidFill>
                    <w14:schemeClr w14:val="tx1"/>
                  </w14:solidFill>
                </w14:textFill>
              </w:rPr>
              <w:t>3</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）需同时提供中标通知书或免招标的相关证明、施工合同、竣工验收报告或竣工验收证明。类似业绩证明的信息须明确显示该业绩项目名称、中标价、规模（</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金额</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）等信息。如以上资料不能证明业绩规模的技术指标（指</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金额</w:t>
            </w:r>
            <w:r>
              <w:rPr>
                <w:rFonts w:ascii="Times New Roman" w:hAnsi="Times New Roman" w:eastAsia="宋体" w:cs="Times New Roman"/>
                <w:color w:val="000000" w:themeColor="text1"/>
                <w:szCs w:val="21"/>
                <w:highlight w:val="none"/>
                <w:rtl w:val="0"/>
                <w:lang w:val="zh-TW" w:eastAsia="zh-TW"/>
                <w14:textFill>
                  <w14:solidFill>
                    <w14:schemeClr w14:val="tx1"/>
                  </w14:solidFill>
                </w14:textFill>
              </w:rPr>
              <w:t>）的，须另提供可证明业绩技术指标的其他资料。</w:t>
            </w:r>
          </w:p>
          <w:p w14:paraId="1E041298">
            <w:pPr>
              <w:snapToGrid w:val="0"/>
              <w:spacing w:line="340" w:lineRule="exact"/>
              <w:rPr>
                <w:rFonts w:hint="default" w:ascii="Times New Roman" w:hAnsi="Times New Roman" w:eastAsia="宋体" w:cs="Times New Roman"/>
                <w:color w:val="000000" w:themeColor="text1"/>
                <w:szCs w:val="21"/>
                <w:highlight w:val="none"/>
                <w:rtl w:val="0"/>
                <w:lang w:val="en-US" w:eastAsia="zh-CN"/>
                <w14:textFill>
                  <w14:solidFill>
                    <w14:schemeClr w14:val="tx1"/>
                  </w14:solidFill>
                </w14:textFill>
              </w:rPr>
            </w:pPr>
            <w:r>
              <w:rPr>
                <w:rFonts w:ascii="Times New Roman" w:hAnsi="Times New Roman" w:eastAsia="宋体" w:cs="Times New Roman"/>
                <w:color w:val="000000" w:themeColor="text1"/>
                <w:szCs w:val="21"/>
                <w:highlight w:val="none"/>
                <w:rtl w:val="0"/>
                <w:lang w:val="en-US"/>
                <w14:textFill>
                  <w14:solidFill>
                    <w14:schemeClr w14:val="tx1"/>
                  </w14:solidFill>
                </w14:textFill>
              </w:rPr>
              <w:t>4</w:t>
            </w:r>
            <w:r>
              <w:rPr>
                <w:rFonts w:hint="eastAsia" w:ascii="Times New Roman" w:hAnsi="Times New Roman" w:eastAsia="宋体" w:cs="Times New Roman"/>
                <w:color w:val="000000" w:themeColor="text1"/>
                <w:szCs w:val="21"/>
                <w:highlight w:val="none"/>
                <w:rtl w:val="0"/>
                <w:lang w:val="zh-TW" w:eastAsia="zh-TW"/>
                <w14:textFill>
                  <w14:solidFill>
                    <w14:schemeClr w14:val="tx1"/>
                  </w14:solidFill>
                </w14:textFill>
              </w:rPr>
              <w:t>）</w:t>
            </w: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由总承包单位依法分包的专业工程业绩，不作为业绩证明。</w:t>
            </w:r>
          </w:p>
          <w:p w14:paraId="68B3515F">
            <w:pPr>
              <w:snapToGrid w:val="0"/>
              <w:spacing w:line="340" w:lineRule="exac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rtl w:val="0"/>
                <w:lang w:val="en-US" w:eastAsia="zh-CN"/>
                <w14:textFill>
                  <w14:solidFill>
                    <w14:schemeClr w14:val="tx1"/>
                  </w14:solidFill>
                </w14:textFill>
              </w:rPr>
              <w:t>5）</w:t>
            </w:r>
            <w:r>
              <w:rPr>
                <w:rFonts w:hint="eastAsia" w:ascii="Times New Roman" w:hAnsi="Times New Roman" w:eastAsia="宋体" w:cs="Times New Roman"/>
                <w:color w:val="000000" w:themeColor="text1"/>
                <w:szCs w:val="21"/>
                <w:highlight w:val="none"/>
                <w:rtl w:val="0"/>
                <w:lang w:val="zh-TW" w:eastAsia="zh-TW"/>
                <w14:textFill>
                  <w14:solidFill>
                    <w14:schemeClr w14:val="tx1"/>
                  </w14:solidFill>
                </w14:textFill>
              </w:rPr>
              <w:t>类似业绩在中标候选人公示期间一并进行公示。</w:t>
            </w:r>
          </w:p>
        </w:tc>
      </w:tr>
      <w:tr w14:paraId="7503F3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80" w:type="dxa"/>
            <w:vMerge w:val="restart"/>
            <w:tcBorders>
              <w:top w:val="single" w:color="auto" w:sz="4" w:space="0"/>
              <w:bottom w:val="single" w:color="auto" w:sz="4" w:space="0"/>
              <w:right w:val="single" w:color="auto" w:sz="4" w:space="0"/>
            </w:tcBorders>
            <w:noWrap w:val="0"/>
            <w:vAlign w:val="center"/>
          </w:tcPr>
          <w:p w14:paraId="1E80E774">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2</w:t>
            </w:r>
            <w:r>
              <w:rPr>
                <w:rFonts w:hint="eastAsia" w:ascii="Times New Roman" w:hAnsi="Times New Roman" w:eastAsia="宋体" w:cs="Times New Roman"/>
                <w:color w:val="000000" w:themeColor="text1"/>
                <w:szCs w:val="21"/>
                <w:highlight w:val="none"/>
                <w14:textFill>
                  <w14:solidFill>
                    <w14:schemeClr w14:val="tx1"/>
                  </w14:solidFill>
                </w14:textFill>
              </w:rPr>
              <w:t>)</w:t>
            </w:r>
          </w:p>
        </w:tc>
        <w:tc>
          <w:tcPr>
            <w:tcW w:w="951" w:type="dxa"/>
            <w:vMerge w:val="restart"/>
            <w:tcBorders>
              <w:top w:val="single" w:color="auto" w:sz="4" w:space="0"/>
              <w:right w:val="single" w:color="auto" w:sz="4" w:space="0"/>
            </w:tcBorders>
            <w:noWrap w:val="0"/>
            <w:vAlign w:val="center"/>
          </w:tcPr>
          <w:p w14:paraId="0C2539B9">
            <w:pPr>
              <w:spacing w:line="36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诚信部分评审（0分，权重0%）</w:t>
            </w:r>
          </w:p>
        </w:tc>
        <w:tc>
          <w:tcPr>
            <w:tcW w:w="6757" w:type="dxa"/>
            <w:gridSpan w:val="2"/>
            <w:tcBorders>
              <w:top w:val="single" w:color="auto" w:sz="4" w:space="0"/>
              <w:left w:val="single" w:color="auto" w:sz="4" w:space="0"/>
              <w:bottom w:val="single" w:color="auto" w:sz="4" w:space="0"/>
              <w:right w:val="single" w:color="auto" w:sz="4" w:space="0"/>
            </w:tcBorders>
            <w:noWrap w:val="0"/>
            <w:vAlign w:val="center"/>
          </w:tcPr>
          <w:p w14:paraId="21CC2027">
            <w:pPr>
              <w:spacing w:line="340" w:lineRule="exact"/>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w:t>
            </w:r>
          </w:p>
        </w:tc>
      </w:tr>
      <w:tr w14:paraId="3B10212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9" w:hRule="atLeast"/>
        </w:trPr>
        <w:tc>
          <w:tcPr>
            <w:tcW w:w="880" w:type="dxa"/>
            <w:tcBorders>
              <w:top w:val="single" w:color="auto" w:sz="4" w:space="0"/>
              <w:left w:val="single" w:color="auto" w:sz="4" w:space="0"/>
              <w:bottom w:val="single" w:color="auto" w:sz="4" w:space="0"/>
              <w:right w:val="single" w:color="auto" w:sz="4" w:space="0"/>
            </w:tcBorders>
            <w:noWrap w:val="0"/>
            <w:vAlign w:val="center"/>
          </w:tcPr>
          <w:p w14:paraId="7264C372">
            <w:pPr>
              <w:spacing w:line="36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14:textFill>
                  <w14:solidFill>
                    <w14:schemeClr w14:val="tx1"/>
                  </w14:solidFill>
                </w14:textFill>
              </w:rPr>
              <w:t>.2.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5（3）</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31050E06">
            <w:pPr>
              <w:spacing w:line="36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eastAsia="zh-CN"/>
                <w14:textFill>
                  <w14:solidFill>
                    <w14:schemeClr w14:val="tx1"/>
                  </w14:solidFill>
                </w14:textFill>
              </w:rPr>
              <w:t>投标报价评审（100分，权重80%）</w:t>
            </w:r>
          </w:p>
        </w:tc>
        <w:tc>
          <w:tcPr>
            <w:tcW w:w="6757" w:type="dxa"/>
            <w:gridSpan w:val="2"/>
            <w:tcBorders>
              <w:top w:val="single" w:color="auto" w:sz="4" w:space="0"/>
              <w:left w:val="single" w:color="auto" w:sz="4" w:space="0"/>
              <w:bottom w:val="single" w:color="auto" w:sz="4" w:space="0"/>
              <w:right w:val="single" w:color="auto" w:sz="4" w:space="0"/>
            </w:tcBorders>
            <w:noWrap w:val="0"/>
            <w:vAlign w:val="center"/>
          </w:tcPr>
          <w:p w14:paraId="215C9FE5">
            <w:pPr>
              <w:spacing w:line="360" w:lineRule="auto"/>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投标报价</w:t>
            </w:r>
            <w:r>
              <w:rPr>
                <w:rFonts w:hint="eastAsia" w:ascii="仿宋_GB2312" w:eastAsia="仿宋_GB2312"/>
                <w:color w:val="000000" w:themeColor="text1"/>
                <w:highlight w:val="none"/>
                <w:lang w:val="en-US" w:eastAsia="zh-CN"/>
                <w14:textFill>
                  <w14:solidFill>
                    <w14:schemeClr w14:val="tx1"/>
                  </w14:solidFill>
                </w14:textFill>
              </w:rPr>
              <w:t>评审</w:t>
            </w:r>
            <w:r>
              <w:rPr>
                <w:rFonts w:hint="eastAsia" w:ascii="仿宋_GB2312" w:eastAsia="仿宋_GB2312"/>
                <w:color w:val="000000" w:themeColor="text1"/>
                <w:highlight w:val="none"/>
                <w14:textFill>
                  <w14:solidFill>
                    <w14:schemeClr w14:val="tx1"/>
                  </w14:solidFill>
                </w14:textFill>
              </w:rPr>
              <w:t>分:投标报价等于评标基准价的得100分。投标报价比评标基准价每高1%扣</w:t>
            </w:r>
            <w:r>
              <w:rPr>
                <w:rFonts w:hint="eastAsia" w:ascii="仿宋_GB2312" w:eastAsia="仿宋_GB2312"/>
                <w:color w:val="000000" w:themeColor="text1"/>
                <w:highlight w:val="none"/>
                <w:lang w:val="en-US" w:eastAsia="zh-CN"/>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分，每低1%扣</w:t>
            </w:r>
            <w:r>
              <w:rPr>
                <w:rFonts w:hint="eastAsia" w:ascii="仿宋_GB2312" w:eastAsia="仿宋_GB2312"/>
                <w:color w:val="000000" w:themeColor="text1"/>
                <w:highlight w:val="none"/>
                <w:lang w:val="en-US" w:eastAsia="zh-CN"/>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分，扣至0分为止，投标报价偏差率=</w:t>
            </w:r>
            <w:r>
              <w:rPr>
                <w:rFonts w:hint="eastAsia" w:ascii="仿宋_GB2312" w:eastAsia="仿宋_GB2312"/>
                <w:color w:val="000000" w:themeColor="text1"/>
                <w:highlight w:val="none"/>
                <w:lang w:eastAsia="zh-CN"/>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投标报价-评标基准价</w:t>
            </w:r>
            <w:r>
              <w:rPr>
                <w:rFonts w:hint="eastAsia" w:ascii="仿宋_GB2312" w:eastAsia="仿宋_GB2312"/>
                <w:color w:val="000000" w:themeColor="text1"/>
                <w:highlight w:val="none"/>
                <w:lang w:eastAsia="zh-CN"/>
                <w14:textFill>
                  <w14:solidFill>
                    <w14:schemeClr w14:val="tx1"/>
                  </w14:solidFill>
                </w14:textFill>
              </w:rPr>
              <w:t>）</w:t>
            </w:r>
            <w:r>
              <w:rPr>
                <w:rFonts w:hint="eastAsia" w:ascii="仿宋_GB2312" w:eastAsia="仿宋_GB2312"/>
                <w:color w:val="000000" w:themeColor="text1"/>
                <w:highlight w:val="none"/>
                <w:lang w:val="en-US" w:eastAsia="zh-CN"/>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评标基准价</w:t>
            </w:r>
            <w:r>
              <w:rPr>
                <w:rFonts w:hint="default" w:ascii="Arial" w:hAnsi="Arial" w:eastAsia="仿宋_GB2312" w:cs="Arial"/>
                <w:color w:val="000000" w:themeColor="text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100%。本项目投标报价得分=投标报价评审分</w:t>
            </w:r>
            <w:r>
              <w:rPr>
                <w:rFonts w:hint="default" w:ascii="Arial" w:hAnsi="Arial" w:eastAsia="仿宋_GB2312" w:cs="Arial"/>
                <w:color w:val="000000" w:themeColor="text1"/>
                <w:highlight w:val="none"/>
                <w14:textFill>
                  <w14:solidFill>
                    <w14:schemeClr w14:val="tx1"/>
                  </w14:solidFill>
                </w14:textFill>
              </w:rPr>
              <w:t>×</w:t>
            </w:r>
            <w:r>
              <w:rPr>
                <w:rFonts w:hint="eastAsia" w:ascii="仿宋_GB2312" w:eastAsia="仿宋_GB2312"/>
                <w:color w:val="000000" w:themeColor="text1"/>
                <w:highlight w:val="none"/>
                <w:lang w:eastAsia="zh-CN"/>
                <w14:textFill>
                  <w14:solidFill>
                    <w14:schemeClr w14:val="tx1"/>
                  </w14:solidFill>
                </w14:textFill>
              </w:rPr>
              <w:t>8</w:t>
            </w:r>
            <w:r>
              <w:rPr>
                <w:rFonts w:hint="eastAsia" w:ascii="仿宋_GB2312" w:eastAsia="仿宋_GB2312"/>
                <w:color w:val="000000" w:themeColor="text1"/>
                <w:highlight w:val="none"/>
                <w:lang w:val="en-US" w:eastAsia="zh-CN"/>
                <w14:textFill>
                  <w14:solidFill>
                    <w14:schemeClr w14:val="tx1"/>
                  </w14:solidFill>
                </w14:textFill>
              </w:rPr>
              <w:t>0</w:t>
            </w:r>
            <w:r>
              <w:rPr>
                <w:rFonts w:hint="eastAsia" w:ascii="仿宋_GB2312" w:eastAsia="仿宋_GB2312"/>
                <w:color w:val="000000" w:themeColor="text1"/>
                <w:highlight w:val="none"/>
                <w14:textFill>
                  <w14:solidFill>
                    <w14:schemeClr w14:val="tx1"/>
                  </w14:solidFill>
                </w14:textFill>
              </w:rPr>
              <w:t>%。</w:t>
            </w:r>
          </w:p>
        </w:tc>
      </w:tr>
    </w:tbl>
    <w:p w14:paraId="2606D9C2">
      <w:pPr>
        <w:pStyle w:val="36"/>
        <w:spacing w:after="0" w:line="360" w:lineRule="auto"/>
        <w:ind w:firstLine="482" w:firstLineChars="200"/>
        <w:rPr>
          <w:rFonts w:ascii="宋体" w:hAnsi="宋体" w:eastAsia="宋体" w:cs="Times New Roman"/>
          <w:b/>
          <w:bCs/>
          <w:color w:val="000000" w:themeColor="text1"/>
          <w:sz w:val="24"/>
          <w:szCs w:val="24"/>
          <w:highlight w:val="none"/>
          <w14:textFill>
            <w14:solidFill>
              <w14:schemeClr w14:val="tx1"/>
            </w14:solidFill>
          </w14:textFill>
        </w:rPr>
      </w:pPr>
      <w:bookmarkStart w:id="394" w:name="_Toc152045600"/>
      <w:bookmarkStart w:id="395" w:name="_Toc179632618"/>
      <w:bookmarkStart w:id="396" w:name="_Toc144974567"/>
      <w:bookmarkStart w:id="397" w:name="_Toc152042377"/>
    </w:p>
    <w:p w14:paraId="3CD9819E">
      <w:pPr>
        <w:pStyle w:val="36"/>
        <w:spacing w:after="0" w:line="360" w:lineRule="auto"/>
        <w:ind w:firstLine="482" w:firstLineChars="200"/>
        <w:outlineLvl w:val="9"/>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br w:type="page"/>
      </w:r>
      <w:r>
        <w:rPr>
          <w:rFonts w:hint="eastAsia" w:ascii="宋体" w:hAnsi="宋体" w:eastAsia="宋体" w:cs="Times New Roman"/>
          <w:b/>
          <w:bCs/>
          <w:color w:val="000000" w:themeColor="text1"/>
          <w:sz w:val="24"/>
          <w:szCs w:val="24"/>
          <w:highlight w:val="none"/>
          <w14:textFill>
            <w14:solidFill>
              <w14:schemeClr w14:val="tx1"/>
            </w14:solidFill>
          </w14:textFill>
        </w:rPr>
        <w:t>1. 评标方法</w:t>
      </w:r>
      <w:bookmarkEnd w:id="394"/>
      <w:bookmarkEnd w:id="395"/>
      <w:bookmarkEnd w:id="396"/>
      <w:bookmarkEnd w:id="397"/>
    </w:p>
    <w:p w14:paraId="4289FA3C">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w:t>
      </w:r>
      <w:r>
        <w:rPr>
          <w:rFonts w:hint="eastAsia" w:ascii="宋体" w:hAnsi="宋体" w:eastAsia="宋体" w:cs="Times New Roman"/>
          <w:color w:val="000000" w:themeColor="text1"/>
          <w:sz w:val="24"/>
          <w:szCs w:val="24"/>
          <w:highlight w:val="none"/>
          <w:u w:val="single"/>
          <w:lang w:eastAsia="zh-CN"/>
          <w14:textFill>
            <w14:solidFill>
              <w14:schemeClr w14:val="tx1"/>
            </w14:solidFill>
          </w14:textFill>
        </w:rPr>
        <w:t>总得</w:t>
      </w:r>
      <w:r>
        <w:rPr>
          <w:rFonts w:hint="eastAsia" w:ascii="宋体" w:hAnsi="宋体" w:eastAsia="宋体" w:cs="Times New Roman"/>
          <w:color w:val="000000" w:themeColor="text1"/>
          <w:sz w:val="24"/>
          <w:szCs w:val="24"/>
          <w:highlight w:val="none"/>
          <w:u w:val="single"/>
          <w14:textFill>
            <w14:solidFill>
              <w14:schemeClr w14:val="tx1"/>
            </w14:solidFill>
          </w14:textFill>
        </w:rPr>
        <w:t>分相</w:t>
      </w:r>
      <w:r>
        <w:rPr>
          <w:rFonts w:hint="eastAsia" w:ascii="宋体" w:hAnsi="宋体" w:eastAsia="宋体" w:cs="Times New Roman"/>
          <w:color w:val="000000" w:themeColor="text1"/>
          <w:sz w:val="24"/>
          <w:szCs w:val="24"/>
          <w:highlight w:val="none"/>
          <w:u w:val="single"/>
          <w:lang w:eastAsia="zh-CN"/>
          <w14:textFill>
            <w14:solidFill>
              <w14:schemeClr w14:val="tx1"/>
            </w14:solidFill>
          </w14:textFill>
        </w:rPr>
        <w:t>同的投标文件</w:t>
      </w:r>
      <w:r>
        <w:rPr>
          <w:rFonts w:hint="eastAsia" w:ascii="宋体" w:hAnsi="宋体" w:eastAsia="宋体" w:cs="Times New Roman"/>
          <w:color w:val="000000" w:themeColor="text1"/>
          <w:sz w:val="24"/>
          <w:szCs w:val="24"/>
          <w:highlight w:val="none"/>
          <w:u w:val="single"/>
          <w14:textFill>
            <w14:solidFill>
              <w14:schemeClr w14:val="tx1"/>
            </w14:solidFill>
          </w14:textFill>
        </w:rPr>
        <w:t>，</w:t>
      </w:r>
      <w:r>
        <w:rPr>
          <w:rFonts w:hint="eastAsia" w:ascii="宋体" w:hAnsi="宋体" w:eastAsia="宋体" w:cs="Times New Roman"/>
          <w:color w:val="000000" w:themeColor="text1"/>
          <w:sz w:val="24"/>
          <w:szCs w:val="24"/>
          <w:highlight w:val="none"/>
          <w:u w:val="single"/>
          <w:lang w:eastAsia="zh-CN"/>
          <w14:textFill>
            <w14:solidFill>
              <w14:schemeClr w14:val="tx1"/>
            </w14:solidFill>
          </w14:textFill>
        </w:rPr>
        <w:t>以报价较低的排前；总得分与报价均相同的投标文件，以</w:t>
      </w:r>
      <w:r>
        <w:rPr>
          <w:rFonts w:hint="eastAsia" w:ascii="Times New Roman" w:hAnsi="Times New Roman" w:eastAsia="宋体" w:cs="Times New Roman"/>
          <w:color w:val="000000" w:themeColor="text1"/>
          <w:sz w:val="24"/>
          <w:szCs w:val="24"/>
          <w:highlight w:val="none"/>
          <w:u w:val="single"/>
          <w:lang w:eastAsia="zh-CN"/>
          <w14:textFill>
            <w14:solidFill>
              <w14:schemeClr w14:val="tx1"/>
            </w14:solidFill>
          </w14:textFill>
        </w:rPr>
        <w:t>技术</w:t>
      </w:r>
      <w:r>
        <w:rPr>
          <w:rFonts w:hint="eastAsia" w:ascii="Times New Roman" w:hAnsi="Times New Roman" w:eastAsia="宋体" w:cs="Times New Roman"/>
          <w:color w:val="000000" w:themeColor="text1"/>
          <w:sz w:val="24"/>
          <w:szCs w:val="24"/>
          <w:highlight w:val="none"/>
          <w:u w:val="single"/>
          <w14:textFill>
            <w14:solidFill>
              <w14:schemeClr w14:val="tx1"/>
            </w14:solidFill>
          </w14:textFill>
        </w:rPr>
        <w:t>评审得分</w:t>
      </w:r>
      <w:r>
        <w:rPr>
          <w:rFonts w:hint="eastAsia" w:ascii="Times New Roman" w:hAnsi="Times New Roman" w:eastAsia="宋体" w:cs="Times New Roman"/>
          <w:color w:val="000000" w:themeColor="text1"/>
          <w:sz w:val="24"/>
          <w:szCs w:val="24"/>
          <w:highlight w:val="none"/>
          <w:u w:val="single"/>
          <w:lang w:eastAsia="zh-CN"/>
          <w14:textFill>
            <w14:solidFill>
              <w14:schemeClr w14:val="tx1"/>
            </w14:solidFill>
          </w14:textFill>
        </w:rPr>
        <w:t>较</w:t>
      </w:r>
      <w:r>
        <w:rPr>
          <w:rFonts w:hint="eastAsia" w:ascii="Times New Roman" w:hAnsi="Times New Roman" w:eastAsia="宋体" w:cs="Times New Roman"/>
          <w:color w:val="000000" w:themeColor="text1"/>
          <w:sz w:val="24"/>
          <w:szCs w:val="24"/>
          <w:highlight w:val="none"/>
          <w:u w:val="single"/>
          <w14:textFill>
            <w14:solidFill>
              <w14:schemeClr w14:val="tx1"/>
            </w14:solidFill>
          </w14:textFill>
        </w:rPr>
        <w:t>高的</w:t>
      </w:r>
      <w:r>
        <w:rPr>
          <w:rFonts w:hint="eastAsia" w:ascii="Times New Roman" w:hAnsi="Times New Roman" w:eastAsia="宋体" w:cs="Times New Roman"/>
          <w:color w:val="000000" w:themeColor="text1"/>
          <w:sz w:val="24"/>
          <w:szCs w:val="24"/>
          <w:highlight w:val="none"/>
          <w:u w:val="single"/>
          <w:lang w:eastAsia="zh-CN"/>
          <w14:textFill>
            <w14:solidFill>
              <w14:schemeClr w14:val="tx1"/>
            </w14:solidFill>
          </w14:textFill>
        </w:rPr>
        <w:t>排前</w:t>
      </w:r>
      <w:r>
        <w:rPr>
          <w:rFonts w:hint="eastAsia" w:ascii="Times New Roman" w:hAnsi="Times New Roman" w:eastAsia="宋体" w:cs="Times New Roman"/>
          <w:color w:val="000000" w:themeColor="text1"/>
          <w:sz w:val="24"/>
          <w:szCs w:val="24"/>
          <w:highlight w:val="none"/>
          <w:u w:val="single"/>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single"/>
          <w:lang w:eastAsia="zh-CN"/>
          <w14:textFill>
            <w14:solidFill>
              <w14:schemeClr w14:val="tx1"/>
            </w14:solidFill>
          </w14:textFill>
        </w:rPr>
        <w:t>如仍存在相同情况，则对具有相同情况的投标人</w:t>
      </w:r>
      <w:r>
        <w:rPr>
          <w:rFonts w:hint="eastAsia" w:ascii="Times New Roman" w:hAnsi="Times New Roman" w:eastAsia="宋体" w:cs="Times New Roman"/>
          <w:color w:val="000000" w:themeColor="text1"/>
          <w:sz w:val="24"/>
          <w:szCs w:val="24"/>
          <w:highlight w:val="none"/>
          <w:u w:val="single"/>
          <w14:textFill>
            <w14:solidFill>
              <w14:schemeClr w14:val="tx1"/>
            </w14:solidFill>
          </w14:textFill>
        </w:rPr>
        <w:t>，</w:t>
      </w:r>
      <w:r>
        <w:rPr>
          <w:rFonts w:hint="eastAsia" w:ascii="Times New Roman" w:hAnsi="Times New Roman" w:eastAsia="宋体" w:cs="Times New Roman"/>
          <w:color w:val="000000" w:themeColor="text1"/>
          <w:sz w:val="24"/>
          <w:highlight w:val="none"/>
          <w:u w:val="single"/>
          <w14:textFill>
            <w14:solidFill>
              <w14:schemeClr w14:val="tx1"/>
            </w14:solidFill>
          </w14:textFill>
        </w:rPr>
        <w:t>由评委通过记名投标表决（不得弃权），以“少数服从多数”的原则确定排序。</w:t>
      </w:r>
    </w:p>
    <w:p w14:paraId="722151F7">
      <w:pPr>
        <w:pStyle w:val="36"/>
        <w:spacing w:after="0" w:line="360" w:lineRule="auto"/>
        <w:ind w:firstLine="482" w:firstLineChars="200"/>
        <w:outlineLvl w:val="9"/>
        <w:rPr>
          <w:rFonts w:ascii="宋体" w:hAnsi="宋体" w:eastAsia="宋体" w:cs="Times New Roman"/>
          <w:b/>
          <w:bCs/>
          <w:color w:val="000000" w:themeColor="text1"/>
          <w:sz w:val="24"/>
          <w:szCs w:val="24"/>
          <w:highlight w:val="none"/>
          <w14:textFill>
            <w14:solidFill>
              <w14:schemeClr w14:val="tx1"/>
            </w14:solidFill>
          </w14:textFill>
        </w:rPr>
      </w:pPr>
      <w:bookmarkStart w:id="398" w:name="_Toc179632619"/>
      <w:bookmarkStart w:id="399" w:name="_Toc152042378"/>
      <w:bookmarkStart w:id="400" w:name="_Toc152045601"/>
      <w:bookmarkStart w:id="401" w:name="_Toc144974568"/>
      <w:r>
        <w:rPr>
          <w:rFonts w:hint="eastAsia" w:ascii="宋体" w:hAnsi="宋体" w:eastAsia="宋体" w:cs="Times New Roman"/>
          <w:b/>
          <w:bCs/>
          <w:color w:val="000000" w:themeColor="text1"/>
          <w:sz w:val="24"/>
          <w:szCs w:val="24"/>
          <w:highlight w:val="none"/>
          <w14:textFill>
            <w14:solidFill>
              <w14:schemeClr w14:val="tx1"/>
            </w14:solidFill>
          </w14:textFill>
        </w:rPr>
        <w:t>2. 评审标准</w:t>
      </w:r>
      <w:bookmarkEnd w:id="398"/>
      <w:bookmarkEnd w:id="399"/>
      <w:bookmarkEnd w:id="400"/>
      <w:bookmarkEnd w:id="401"/>
    </w:p>
    <w:p w14:paraId="3D3AAB45">
      <w:pPr>
        <w:spacing w:line="360" w:lineRule="auto"/>
        <w:ind w:firstLine="480" w:firstLineChars="200"/>
        <w:outlineLvl w:val="9"/>
        <w:rPr>
          <w:rFonts w:ascii="宋体" w:hAnsi="宋体" w:eastAsia="宋体" w:cs="Times New Roman"/>
          <w:color w:val="000000" w:themeColor="text1"/>
          <w:sz w:val="24"/>
          <w:highlight w:val="none"/>
          <w14:textFill>
            <w14:solidFill>
              <w14:schemeClr w14:val="tx1"/>
            </w14:solidFill>
          </w14:textFill>
        </w:rPr>
      </w:pPr>
      <w:bookmarkStart w:id="402" w:name="_Toc144974569"/>
      <w:bookmarkStart w:id="403" w:name="_Toc179632620"/>
      <w:bookmarkStart w:id="404" w:name="_Toc152042379"/>
      <w:bookmarkStart w:id="405" w:name="_Toc152045602"/>
      <w:r>
        <w:rPr>
          <w:rFonts w:hint="eastAsia" w:ascii="宋体" w:hAnsi="宋体" w:eastAsia="宋体" w:cs="Times New Roman"/>
          <w:color w:val="000000" w:themeColor="text1"/>
          <w:sz w:val="24"/>
          <w:highlight w:val="none"/>
          <w14:textFill>
            <w14:solidFill>
              <w14:schemeClr w14:val="tx1"/>
            </w14:solidFill>
          </w14:textFill>
        </w:rPr>
        <w:t>2.1 初步评审标准</w:t>
      </w:r>
      <w:bookmarkEnd w:id="402"/>
      <w:bookmarkEnd w:id="403"/>
      <w:bookmarkEnd w:id="404"/>
      <w:bookmarkEnd w:id="405"/>
    </w:p>
    <w:p w14:paraId="719A662F">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2.1.1 资格评审标准：见评标办法前附表。</w:t>
      </w:r>
    </w:p>
    <w:p w14:paraId="04B523F8">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2.1.2 形式评审标准：见评标办法前附表。</w:t>
      </w:r>
    </w:p>
    <w:p w14:paraId="0A9FFCA8">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2.1.3 响应性评审标准：见评标办法前附表。</w:t>
      </w:r>
    </w:p>
    <w:p w14:paraId="288685AF">
      <w:pPr>
        <w:spacing w:line="360" w:lineRule="auto"/>
        <w:ind w:firstLine="480" w:firstLineChars="200"/>
        <w:rPr>
          <w:rFonts w:hint="eastAsia" w:ascii="宋体" w:hAnsi="宋体" w:eastAsia="宋体" w:cs="Times New Roman"/>
          <w:color w:val="000000" w:themeColor="text1"/>
          <w:sz w:val="24"/>
          <w:highlight w:val="none"/>
          <w:u w:val="none"/>
          <w14:textFill>
            <w14:solidFill>
              <w14:schemeClr w14:val="tx1"/>
            </w14:solidFill>
          </w14:textFill>
        </w:rPr>
      </w:pPr>
      <w:bookmarkStart w:id="406" w:name="_Toc179632621"/>
      <w:bookmarkStart w:id="407" w:name="_Toc152045603"/>
      <w:bookmarkStart w:id="408" w:name="_Toc152042380"/>
      <w:bookmarkStart w:id="409" w:name="_Toc144974570"/>
      <w:r>
        <w:rPr>
          <w:rFonts w:hint="eastAsia" w:ascii="Calibri" w:hAnsi="Calibri" w:eastAsia="宋体" w:cs="Times New Roman"/>
          <w:color w:val="000000" w:themeColor="text1"/>
          <w:kern w:val="2"/>
          <w:sz w:val="24"/>
          <w:highlight w:val="none"/>
          <w:u w:val="none"/>
          <w:lang w:val="en-US" w:eastAsia="zh-CN"/>
          <w14:textFill>
            <w14:solidFill>
              <w14:schemeClr w14:val="tx1"/>
            </w14:solidFill>
          </w14:textFill>
        </w:rPr>
        <w:t>注：</w:t>
      </w:r>
      <w:r>
        <w:rPr>
          <w:rFonts w:hint="eastAsia" w:ascii="Calibri" w:hAnsi="Calibri" w:eastAsia="宋体" w:cs="Times New Roman"/>
          <w:b w:val="0"/>
          <w:bCs w:val="0"/>
          <w:color w:val="000000" w:themeColor="text1"/>
          <w:kern w:val="2"/>
          <w:sz w:val="24"/>
          <w:highlight w:val="none"/>
          <w:u w:val="none"/>
          <w14:textFill>
            <w14:solidFill>
              <w14:schemeClr w14:val="tx1"/>
            </w14:solidFill>
          </w14:textFill>
        </w:rPr>
        <w:t>不得将文件顺序、明显的文字错误等列为否决投标的情形。评委发现</w:t>
      </w:r>
      <w:r>
        <w:rPr>
          <w:rFonts w:hint="eastAsia" w:ascii="Calibri" w:hAnsi="Calibri" w:eastAsia="宋体" w:cs="Times New Roman"/>
          <w:b w:val="0"/>
          <w:bCs w:val="0"/>
          <w:color w:val="000000" w:themeColor="text1"/>
          <w:kern w:val="2"/>
          <w:sz w:val="24"/>
          <w:highlight w:val="none"/>
          <w:u w:val="none"/>
          <w:lang w:eastAsia="zh-CN"/>
          <w14:textFill>
            <w14:solidFill>
              <w14:schemeClr w14:val="tx1"/>
            </w14:solidFill>
          </w14:textFill>
        </w:rPr>
        <w:t>投标</w:t>
      </w:r>
      <w:r>
        <w:rPr>
          <w:rFonts w:hint="eastAsia" w:ascii="Calibri" w:hAnsi="Calibri" w:eastAsia="宋体" w:cs="Times New Roman"/>
          <w:b w:val="0"/>
          <w:bCs w:val="0"/>
          <w:color w:val="000000" w:themeColor="text1"/>
          <w:kern w:val="2"/>
          <w:sz w:val="24"/>
          <w:highlight w:val="none"/>
          <w:u w:val="none"/>
          <w14:textFill>
            <w14:solidFill>
              <w14:schemeClr w14:val="tx1"/>
            </w14:solidFill>
          </w14:textFill>
        </w:rPr>
        <w:t>文件中含义不明确、对同类问题表述不一致、有明显文字和计算错误</w:t>
      </w:r>
      <w:r>
        <w:rPr>
          <w:rFonts w:hint="eastAsia" w:ascii="Calibri" w:hAnsi="Calibri" w:eastAsia="宋体" w:cs="Times New Roman"/>
          <w:b w:val="0"/>
          <w:bCs w:val="0"/>
          <w:color w:val="000000" w:themeColor="text1"/>
          <w:kern w:val="2"/>
          <w:sz w:val="24"/>
          <w:highlight w:val="none"/>
          <w:u w:val="none"/>
          <w:lang w:eastAsia="zh-CN"/>
          <w14:textFill>
            <w14:solidFill>
              <w14:schemeClr w14:val="tx1"/>
            </w14:solidFill>
          </w14:textFill>
        </w:rPr>
        <w:t>、投标报价可能低于成本影响履约的，</w:t>
      </w:r>
      <w:r>
        <w:rPr>
          <w:rFonts w:hint="eastAsia" w:ascii="Calibri" w:hAnsi="Calibri" w:eastAsia="宋体" w:cs="Times New Roman"/>
          <w:b w:val="0"/>
          <w:bCs w:val="0"/>
          <w:color w:val="000000" w:themeColor="text1"/>
          <w:kern w:val="2"/>
          <w:sz w:val="24"/>
          <w:highlight w:val="none"/>
          <w:u w:val="none"/>
          <w14:textFill>
            <w14:solidFill>
              <w14:schemeClr w14:val="tx1"/>
            </w14:solidFill>
          </w14:textFill>
        </w:rPr>
        <w:t>应当要求投标人作必要的澄清、说明后再判定投标人是否通过</w:t>
      </w:r>
      <w:r>
        <w:rPr>
          <w:rFonts w:hint="eastAsia" w:ascii="Calibri" w:hAnsi="Calibri" w:eastAsia="宋体" w:cs="Times New Roman"/>
          <w:b w:val="0"/>
          <w:bCs w:val="0"/>
          <w:color w:val="000000" w:themeColor="text1"/>
          <w:kern w:val="2"/>
          <w:sz w:val="24"/>
          <w:highlight w:val="none"/>
          <w:u w:val="none"/>
          <w:lang w:eastAsia="zh-CN"/>
          <w14:textFill>
            <w14:solidFill>
              <w14:schemeClr w14:val="tx1"/>
            </w14:solidFill>
          </w14:textFill>
        </w:rPr>
        <w:t>初步评审</w:t>
      </w:r>
      <w:r>
        <w:rPr>
          <w:rFonts w:hint="eastAsia" w:ascii="Calibri" w:hAnsi="Calibri" w:eastAsia="宋体" w:cs="Times New Roman"/>
          <w:b w:val="0"/>
          <w:bCs w:val="0"/>
          <w:color w:val="000000" w:themeColor="text1"/>
          <w:kern w:val="2"/>
          <w:sz w:val="24"/>
          <w:highlight w:val="none"/>
          <w:u w:val="none"/>
          <w14:textFill>
            <w14:solidFill>
              <w14:schemeClr w14:val="tx1"/>
            </w14:solidFill>
          </w14:textFill>
        </w:rPr>
        <w:t>，不得直接认定其不通过</w:t>
      </w:r>
      <w:r>
        <w:rPr>
          <w:rFonts w:hint="eastAsia" w:ascii="Calibri" w:hAnsi="Calibri" w:eastAsia="宋体" w:cs="Times New Roman"/>
          <w:b w:val="0"/>
          <w:bCs w:val="0"/>
          <w:color w:val="000000" w:themeColor="text1"/>
          <w:kern w:val="2"/>
          <w:sz w:val="24"/>
          <w:highlight w:val="none"/>
          <w:u w:val="none"/>
          <w:lang w:eastAsia="zh-CN"/>
          <w14:textFill>
            <w14:solidFill>
              <w14:schemeClr w14:val="tx1"/>
            </w14:solidFill>
          </w14:textFill>
        </w:rPr>
        <w:t>初步评审</w:t>
      </w:r>
      <w:r>
        <w:rPr>
          <w:rFonts w:hint="eastAsia" w:ascii="Calibri" w:hAnsi="Calibri" w:eastAsia="宋体" w:cs="Times New Roman"/>
          <w:b w:val="0"/>
          <w:bCs w:val="0"/>
          <w:color w:val="000000" w:themeColor="text1"/>
          <w:kern w:val="2"/>
          <w:sz w:val="24"/>
          <w:highlight w:val="none"/>
          <w:u w:val="none"/>
          <w14:textFill>
            <w14:solidFill>
              <w14:schemeClr w14:val="tx1"/>
            </w14:solidFill>
          </w14:textFill>
        </w:rPr>
        <w:t>。</w:t>
      </w:r>
    </w:p>
    <w:p w14:paraId="01A8CB00">
      <w:pPr>
        <w:spacing w:line="360" w:lineRule="auto"/>
        <w:ind w:firstLine="480" w:firstLineChars="200"/>
        <w:outlineLvl w:val="9"/>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2.2 分值构成与评分标准</w:t>
      </w:r>
      <w:bookmarkEnd w:id="406"/>
      <w:bookmarkEnd w:id="407"/>
      <w:bookmarkEnd w:id="408"/>
      <w:bookmarkEnd w:id="409"/>
    </w:p>
    <w:p w14:paraId="38C0FD14">
      <w:pPr>
        <w:spacing w:line="360" w:lineRule="auto"/>
        <w:ind w:firstLine="480" w:firstLineChars="200"/>
        <w:outlineLvl w:val="9"/>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2.2.1 分值构成</w:t>
      </w:r>
    </w:p>
    <w:p w14:paraId="0D49B704">
      <w:pPr>
        <w:spacing w:line="360" w:lineRule="auto"/>
        <w:ind w:firstLine="480" w:firstLineChars="200"/>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（1）技术部分：见评标办法前附表；</w:t>
      </w:r>
    </w:p>
    <w:p w14:paraId="66A70FD7">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w:t>
      </w:r>
      <w:r>
        <w:rPr>
          <w:rFonts w:hint="eastAsia" w:ascii="宋体" w:hAnsi="宋体" w:cs="Times New Roman"/>
          <w:color w:val="000000" w:themeColor="text1"/>
          <w:sz w:val="24"/>
          <w:highlight w:val="none"/>
          <w:lang w:val="en-US" w:eastAsia="zh-CN"/>
          <w14:textFill>
            <w14:solidFill>
              <w14:schemeClr w14:val="tx1"/>
            </w14:solidFill>
          </w14:textFill>
        </w:rPr>
        <w:t>诚信</w:t>
      </w:r>
      <w:r>
        <w:rPr>
          <w:rFonts w:hint="eastAsia" w:ascii="宋体" w:hAnsi="宋体" w:eastAsia="宋体" w:cs="Times New Roman"/>
          <w:color w:val="000000" w:themeColor="text1"/>
          <w:sz w:val="24"/>
          <w:highlight w:val="none"/>
          <w14:textFill>
            <w14:solidFill>
              <w14:schemeClr w14:val="tx1"/>
            </w14:solidFill>
          </w14:textFill>
        </w:rPr>
        <w:t>部分：见评标办法前附表；</w:t>
      </w:r>
    </w:p>
    <w:p w14:paraId="162AEA10">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（3）投标报价：见评标办法前附表；</w:t>
      </w:r>
    </w:p>
    <w:p w14:paraId="015BD9BC">
      <w:pPr>
        <w:spacing w:line="360" w:lineRule="auto"/>
        <w:ind w:firstLine="480" w:firstLineChars="200"/>
        <w:outlineLvl w:val="9"/>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2.2.2</w:t>
      </w:r>
      <w:r>
        <w:rPr>
          <w:rFonts w:ascii="宋体" w:hAnsi="宋体" w:eastAsia="宋体" w:cs="Times New Roman"/>
          <w:color w:val="000000" w:themeColor="text1"/>
          <w:sz w:val="24"/>
          <w:highlight w:val="none"/>
          <w14:textFill>
            <w14:solidFill>
              <w14:schemeClr w14:val="tx1"/>
            </w14:solidFill>
          </w14:textFill>
        </w:rPr>
        <w:t xml:space="preserve"> </w:t>
      </w:r>
      <w:r>
        <w:rPr>
          <w:rFonts w:hint="eastAsia" w:ascii="宋体" w:hAnsi="宋体" w:eastAsia="宋体" w:cs="Times New Roman"/>
          <w:color w:val="000000" w:themeColor="text1"/>
          <w:sz w:val="24"/>
          <w:highlight w:val="none"/>
          <w14:textFill>
            <w14:solidFill>
              <w14:schemeClr w14:val="tx1"/>
            </w14:solidFill>
          </w14:textFill>
        </w:rPr>
        <w:t>有效投标报价</w:t>
      </w:r>
    </w:p>
    <w:p w14:paraId="328CADEE">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通过初步评审且不高于最高投标限价的投标报价为有效投标报价，高于最高投标限价的投标报价无效。投标报价不得低于成本价，否则投标报价为无效投标报价。</w:t>
      </w:r>
    </w:p>
    <w:p w14:paraId="43DC553E">
      <w:pPr>
        <w:spacing w:line="360" w:lineRule="auto"/>
        <w:ind w:firstLine="480" w:firstLineChars="200"/>
        <w:outlineLvl w:val="9"/>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2.2.</w:t>
      </w:r>
      <w:r>
        <w:rPr>
          <w:rFonts w:ascii="宋体" w:hAnsi="宋体" w:eastAsia="宋体" w:cs="Times New Roman"/>
          <w:color w:val="000000" w:themeColor="text1"/>
          <w:sz w:val="24"/>
          <w:highlight w:val="none"/>
          <w14:textFill>
            <w14:solidFill>
              <w14:schemeClr w14:val="tx1"/>
            </w14:solidFill>
          </w14:textFill>
        </w:rPr>
        <w:t>3</w:t>
      </w:r>
      <w:r>
        <w:rPr>
          <w:rFonts w:hint="eastAsia" w:ascii="宋体" w:hAnsi="宋体" w:eastAsia="宋体" w:cs="Times New Roman"/>
          <w:color w:val="000000" w:themeColor="text1"/>
          <w:sz w:val="24"/>
          <w:highlight w:val="none"/>
          <w14:textFill>
            <w14:solidFill>
              <w14:schemeClr w14:val="tx1"/>
            </w14:solidFill>
          </w14:textFill>
        </w:rPr>
        <w:t xml:space="preserve"> 评标基准价计算</w:t>
      </w:r>
    </w:p>
    <w:p w14:paraId="6CC6EC8B">
      <w:pPr>
        <w:snapToGrid w:val="0"/>
        <w:spacing w:line="360" w:lineRule="auto"/>
        <w:ind w:firstLine="480" w:firstLineChars="200"/>
        <w:rPr>
          <w:rFonts w:hint="eastAsia" w:ascii="宋体" w:hAnsi="宋体" w:eastAsia="宋体" w:cs="Times New Roman"/>
          <w:color w:val="000000" w:themeColor="text1"/>
          <w:sz w:val="24"/>
          <w:szCs w:val="24"/>
          <w:highlight w:val="none"/>
          <w:lang w:val="zh-TW" w:eastAsia="zh-CN"/>
          <w14:textFill>
            <w14:solidFill>
              <w14:schemeClr w14:val="tx1"/>
            </w14:solidFill>
          </w14:textFill>
        </w:rPr>
      </w:pPr>
      <w:r>
        <w:rPr>
          <w:rFonts w:hint="eastAsia" w:ascii="宋体" w:hAnsi="宋体" w:eastAsia="宋体" w:cs="Times New Roman"/>
          <w:color w:val="000000" w:themeColor="text1"/>
          <w:sz w:val="24"/>
          <w:szCs w:val="24"/>
          <w:highlight w:val="none"/>
          <w:lang w:val="zh-TW" w:eastAsia="zh-CN"/>
          <w14:textFill>
            <w14:solidFill>
              <w14:schemeClr w14:val="tx1"/>
            </w14:solidFill>
          </w14:textFill>
        </w:rPr>
        <w:t>将技术评审得分排序。</w:t>
      </w:r>
    </w:p>
    <w:p w14:paraId="19B12E4D">
      <w:pPr>
        <w:snapToGrid w:val="0"/>
        <w:spacing w:line="360" w:lineRule="auto"/>
        <w:ind w:firstLine="480" w:firstLineChars="200"/>
        <w:rPr>
          <w:rFonts w:hint="eastAsia" w:ascii="宋体" w:hAnsi="宋体" w:eastAsia="宋体" w:cs="Times New Roman"/>
          <w:color w:val="000000" w:themeColor="text1"/>
          <w:sz w:val="24"/>
          <w:szCs w:val="24"/>
          <w:highlight w:val="none"/>
          <w:lang w:val="zh-TW" w:eastAsia="zh-CN"/>
          <w14:textFill>
            <w14:solidFill>
              <w14:schemeClr w14:val="tx1"/>
            </w14:solidFill>
          </w14:textFill>
        </w:rPr>
      </w:pPr>
      <w:r>
        <w:rPr>
          <w:rFonts w:hint="eastAsia" w:ascii="宋体" w:hAnsi="宋体" w:eastAsia="宋体" w:cs="Times New Roman"/>
          <w:color w:val="000000" w:themeColor="text1"/>
          <w:sz w:val="24"/>
          <w:szCs w:val="24"/>
          <w:highlight w:val="none"/>
          <w:lang w:val="zh-TW" w:eastAsia="zh-CN"/>
          <w14:textFill>
            <w14:solidFill>
              <w14:schemeClr w14:val="tx1"/>
            </w14:solidFill>
          </w14:textFill>
        </w:rPr>
        <w:t>a、当有效投标报价的投标人少于或等于7个时，取全部有效投标报价的算术平均按随机抽取的评标基准价下浮率（2～5%，0.5一个级别）下浮作为评标基准价。</w:t>
      </w:r>
    </w:p>
    <w:p w14:paraId="091B1177">
      <w:pPr>
        <w:snapToGrid w:val="0"/>
        <w:spacing w:line="360" w:lineRule="auto"/>
        <w:ind w:firstLine="480" w:firstLineChars="200"/>
        <w:rPr>
          <w:rFonts w:hint="eastAsia" w:ascii="宋体" w:hAnsi="宋体" w:eastAsia="宋体" w:cs="Times New Roman"/>
          <w:color w:val="000000" w:themeColor="text1"/>
          <w:sz w:val="24"/>
          <w:szCs w:val="24"/>
          <w:highlight w:val="none"/>
          <w:lang w:val="zh-TW" w:eastAsia="zh-CN"/>
          <w14:textFill>
            <w14:solidFill>
              <w14:schemeClr w14:val="tx1"/>
            </w14:solidFill>
          </w14:textFill>
        </w:rPr>
      </w:pPr>
      <w:r>
        <w:rPr>
          <w:rFonts w:hint="eastAsia" w:ascii="宋体" w:hAnsi="宋体" w:eastAsia="宋体" w:cs="Times New Roman"/>
          <w:color w:val="000000" w:themeColor="text1"/>
          <w:sz w:val="24"/>
          <w:szCs w:val="24"/>
          <w:highlight w:val="none"/>
          <w:lang w:val="zh-TW" w:eastAsia="zh-CN"/>
          <w14:textFill>
            <w14:solidFill>
              <w14:schemeClr w14:val="tx1"/>
            </w14:solidFill>
          </w14:textFill>
        </w:rPr>
        <w:t>b、当有效投标报价的投标人大于7个小于10个时，从全部有效投标报价中去掉一个最大值和最小值，其他有效投标报价的算术平均值按随机抽取的评标基准价下浮率（2～5%，0.5一个级别）下浮作为评标基准价。</w:t>
      </w:r>
    </w:p>
    <w:p w14:paraId="425A170D">
      <w:pPr>
        <w:snapToGrid w:val="0"/>
        <w:spacing w:line="360" w:lineRule="auto"/>
        <w:ind w:firstLine="480" w:firstLineChars="200"/>
        <w:rPr>
          <w:rFonts w:hint="eastAsia" w:ascii="宋体" w:hAnsi="宋体" w:eastAsia="宋体" w:cs="Times New Roman"/>
          <w:color w:val="000000" w:themeColor="text1"/>
          <w:sz w:val="24"/>
          <w:szCs w:val="24"/>
          <w:highlight w:val="none"/>
          <w:lang w:val="zh-TW" w:eastAsia="zh-CN"/>
          <w14:textFill>
            <w14:solidFill>
              <w14:schemeClr w14:val="tx1"/>
            </w14:solidFill>
          </w14:textFill>
        </w:rPr>
      </w:pPr>
      <w:r>
        <w:rPr>
          <w:rFonts w:hint="eastAsia" w:ascii="宋体" w:hAnsi="宋体" w:eastAsia="宋体" w:cs="Times New Roman"/>
          <w:color w:val="000000" w:themeColor="text1"/>
          <w:sz w:val="24"/>
          <w:szCs w:val="24"/>
          <w:highlight w:val="none"/>
          <w:lang w:val="zh-TW" w:eastAsia="zh-CN"/>
          <w14:textFill>
            <w14:solidFill>
              <w14:schemeClr w14:val="tx1"/>
            </w14:solidFill>
          </w14:textFill>
        </w:rPr>
        <w:t>c、当有效投标报价的投标人数量大于或等于10时，随机从前</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10</w:t>
      </w:r>
      <w:r>
        <w:rPr>
          <w:rFonts w:hint="eastAsia" w:ascii="宋体" w:hAnsi="宋体" w:eastAsia="宋体" w:cs="Times New Roman"/>
          <w:color w:val="000000" w:themeColor="text1"/>
          <w:sz w:val="24"/>
          <w:szCs w:val="24"/>
          <w:highlight w:val="none"/>
          <w:lang w:val="zh-TW" w:eastAsia="zh-CN"/>
          <w14:textFill>
            <w14:solidFill>
              <w14:schemeClr w14:val="tx1"/>
            </w14:solidFill>
          </w14:textFill>
        </w:rPr>
        <w:t>名（前10-20名，具体由招标人自定）抽取</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7</w:t>
      </w:r>
      <w:r>
        <w:rPr>
          <w:rFonts w:hint="eastAsia" w:ascii="宋体" w:hAnsi="宋体" w:eastAsia="宋体" w:cs="Times New Roman"/>
          <w:color w:val="000000" w:themeColor="text1"/>
          <w:sz w:val="24"/>
          <w:szCs w:val="24"/>
          <w:highlight w:val="none"/>
          <w:lang w:val="zh-TW" w:eastAsia="zh-CN"/>
          <w14:textFill>
            <w14:solidFill>
              <w14:schemeClr w14:val="tx1"/>
            </w14:solidFill>
          </w14:textFill>
        </w:rPr>
        <w:t>个（选7-10个，具体由招标人自定）有效投标报价并从中去掉一个最大值和最小值后计算算术平均值，该平均值按随机抽取的评标基准价下浮率（2～5%，0.5一个级别）下浮作为评标基准价。</w:t>
      </w:r>
    </w:p>
    <w:p w14:paraId="5051872A">
      <w:pPr>
        <w:snapToGrid w:val="0"/>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lang w:val="zh-TW" w:eastAsia="zh-CN"/>
          <w14:textFill>
            <w14:solidFill>
              <w14:schemeClr w14:val="tx1"/>
            </w14:solidFill>
          </w14:textFill>
        </w:rPr>
        <w:t>技术评审得分相同的，由评标委员会采用记名投票方式，确定投标人的排序。</w:t>
      </w:r>
    </w:p>
    <w:p w14:paraId="1CA5EDC9">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在首次评标过程中，投标人未被发现存在串通投标、弄虚作假、行贿等情形的，无论是否重评，经确定的评标基准价不变。</w:t>
      </w:r>
    </w:p>
    <w:p w14:paraId="311981EE">
      <w:pPr>
        <w:spacing w:line="360" w:lineRule="auto"/>
        <w:ind w:firstLine="480" w:firstLineChars="200"/>
        <w:outlineLvl w:val="9"/>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2.2.4投标报价偏差率计算</w:t>
      </w:r>
    </w:p>
    <w:p w14:paraId="324E9B0A">
      <w:pPr>
        <w:spacing w:line="360" w:lineRule="auto"/>
        <w:ind w:firstLine="480" w:firstLineChars="200"/>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投标报价的偏差率计算公式：见评标办法前附表；</w:t>
      </w:r>
    </w:p>
    <w:p w14:paraId="081B0ACB">
      <w:pPr>
        <w:spacing w:line="360" w:lineRule="auto"/>
        <w:ind w:firstLine="480" w:firstLineChars="200"/>
        <w:outlineLvl w:val="9"/>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2.2.</w:t>
      </w:r>
      <w:r>
        <w:rPr>
          <w:rFonts w:ascii="宋体" w:hAnsi="宋体" w:eastAsia="宋体" w:cs="Times New Roman"/>
          <w:color w:val="000000" w:themeColor="text1"/>
          <w:sz w:val="24"/>
          <w:highlight w:val="none"/>
          <w14:textFill>
            <w14:solidFill>
              <w14:schemeClr w14:val="tx1"/>
            </w14:solidFill>
          </w14:textFill>
        </w:rPr>
        <w:t>5</w:t>
      </w:r>
      <w:r>
        <w:rPr>
          <w:rFonts w:hint="eastAsia" w:ascii="宋体" w:hAnsi="宋体" w:eastAsia="宋体" w:cs="Times New Roman"/>
          <w:color w:val="000000" w:themeColor="text1"/>
          <w:sz w:val="24"/>
          <w:highlight w:val="none"/>
          <w14:textFill>
            <w14:solidFill>
              <w14:schemeClr w14:val="tx1"/>
            </w14:solidFill>
          </w14:textFill>
        </w:rPr>
        <w:t xml:space="preserve"> 评分标准</w:t>
      </w:r>
    </w:p>
    <w:p w14:paraId="5C438C9A">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（1）技术部分评分标准：见评标办法前附表；</w:t>
      </w:r>
    </w:p>
    <w:p w14:paraId="238610B7">
      <w:pPr>
        <w:spacing w:line="360" w:lineRule="auto"/>
        <w:ind w:firstLine="480" w:firstLineChars="200"/>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w:t>
      </w:r>
      <w:r>
        <w:rPr>
          <w:rFonts w:hint="eastAsia" w:ascii="宋体" w:hAnsi="宋体" w:cs="Times New Roman"/>
          <w:color w:val="000000" w:themeColor="text1"/>
          <w:sz w:val="24"/>
          <w:highlight w:val="none"/>
          <w:lang w:val="en-US" w:eastAsia="zh-CN"/>
          <w14:textFill>
            <w14:solidFill>
              <w14:schemeClr w14:val="tx1"/>
            </w14:solidFill>
          </w14:textFill>
        </w:rPr>
        <w:t>诚信</w:t>
      </w:r>
      <w:r>
        <w:rPr>
          <w:rFonts w:hint="eastAsia" w:ascii="宋体" w:hAnsi="宋体" w:eastAsia="宋体" w:cs="Times New Roman"/>
          <w:color w:val="000000" w:themeColor="text1"/>
          <w:sz w:val="24"/>
          <w:highlight w:val="none"/>
          <w14:textFill>
            <w14:solidFill>
              <w14:schemeClr w14:val="tx1"/>
            </w14:solidFill>
          </w14:textFill>
        </w:rPr>
        <w:t>部分评分标准：见评标办法前附表；</w:t>
      </w:r>
    </w:p>
    <w:p w14:paraId="1BA234D7">
      <w:pPr>
        <w:snapToGrid w:val="0"/>
        <w:spacing w:line="360" w:lineRule="auto"/>
        <w:ind w:firstLine="480" w:firstLineChars="200"/>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注：投标人的诚信评价总分取自本项目招标公告发布第1天所在季度的上一季度的诚信综合评价分。</w:t>
      </w:r>
    </w:p>
    <w:p w14:paraId="4545762B">
      <w:pPr>
        <w:spacing w:line="360" w:lineRule="auto"/>
        <w:ind w:firstLine="480" w:firstLineChars="200"/>
        <w:rPr>
          <w:rFonts w:hint="eastAsia" w:ascii="宋体" w:hAnsi="宋体" w:eastAsia="宋体" w:cs="Times New Roman"/>
          <w:color w:val="000000" w:themeColor="text1"/>
          <w:sz w:val="24"/>
          <w:highlight w:val="none"/>
          <w:lang w:eastAsia="zh-CN"/>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（3）投标报价评分标准：见评标办法前附表</w:t>
      </w:r>
      <w:r>
        <w:rPr>
          <w:rFonts w:hint="eastAsia" w:ascii="宋体" w:hAnsi="宋体" w:eastAsia="宋体" w:cs="Times New Roman"/>
          <w:color w:val="000000" w:themeColor="text1"/>
          <w:sz w:val="24"/>
          <w:highlight w:val="none"/>
          <w:lang w:eastAsia="zh-CN"/>
          <w14:textFill>
            <w14:solidFill>
              <w14:schemeClr w14:val="tx1"/>
            </w14:solidFill>
          </w14:textFill>
        </w:rPr>
        <w:t>。</w:t>
      </w:r>
    </w:p>
    <w:p w14:paraId="1A827DCA">
      <w:pPr>
        <w:pStyle w:val="36"/>
        <w:spacing w:after="0" w:line="360" w:lineRule="auto"/>
        <w:ind w:firstLine="482" w:firstLineChars="200"/>
        <w:outlineLvl w:val="9"/>
        <w:rPr>
          <w:rFonts w:ascii="宋体" w:hAnsi="宋体" w:eastAsia="宋体" w:cs="Times New Roman"/>
          <w:b/>
          <w:bCs/>
          <w:color w:val="000000" w:themeColor="text1"/>
          <w:sz w:val="24"/>
          <w:szCs w:val="24"/>
          <w:highlight w:val="none"/>
          <w14:textFill>
            <w14:solidFill>
              <w14:schemeClr w14:val="tx1"/>
            </w14:solidFill>
          </w14:textFill>
        </w:rPr>
      </w:pPr>
      <w:bookmarkStart w:id="410" w:name="_Toc144974571"/>
      <w:bookmarkStart w:id="411" w:name="_Toc152042381"/>
      <w:bookmarkStart w:id="412" w:name="_Toc179632622"/>
      <w:bookmarkStart w:id="413" w:name="_Toc152045604"/>
      <w:r>
        <w:rPr>
          <w:rFonts w:hint="eastAsia" w:ascii="宋体" w:hAnsi="宋体" w:eastAsia="宋体" w:cs="Times New Roman"/>
          <w:b/>
          <w:bCs/>
          <w:color w:val="000000" w:themeColor="text1"/>
          <w:sz w:val="24"/>
          <w:szCs w:val="24"/>
          <w:highlight w:val="none"/>
          <w14:textFill>
            <w14:solidFill>
              <w14:schemeClr w14:val="tx1"/>
            </w14:solidFill>
          </w14:textFill>
        </w:rPr>
        <w:t>3. 评标程序</w:t>
      </w:r>
      <w:bookmarkEnd w:id="410"/>
      <w:bookmarkEnd w:id="411"/>
      <w:bookmarkEnd w:id="412"/>
      <w:bookmarkEnd w:id="413"/>
    </w:p>
    <w:p w14:paraId="4BD40290">
      <w:pPr>
        <w:pStyle w:val="36"/>
        <w:snapToGrid w:val="0"/>
        <w:spacing w:after="0" w:line="360" w:lineRule="auto"/>
        <w:ind w:firstLine="482" w:firstLineChars="200"/>
        <w:outlineLvl w:val="9"/>
        <w:rPr>
          <w:rFonts w:hint="eastAsia" w:ascii="宋体" w:hAnsi="宋体" w:eastAsia="宋体" w:cs="Times New Roman"/>
          <w:b/>
          <w:bCs/>
          <w:color w:val="000000" w:themeColor="text1"/>
          <w:sz w:val="24"/>
          <w:szCs w:val="24"/>
          <w:highlight w:val="none"/>
          <w14:textFill>
            <w14:solidFill>
              <w14:schemeClr w14:val="tx1"/>
            </w14:solidFill>
          </w14:textFill>
        </w:rPr>
      </w:pPr>
      <w:bookmarkStart w:id="414" w:name="_Toc144974572"/>
      <w:bookmarkStart w:id="415" w:name="_Toc152045605"/>
      <w:bookmarkStart w:id="416" w:name="_Toc152042382"/>
      <w:bookmarkStart w:id="417" w:name="_Toc179632623"/>
      <w:r>
        <w:rPr>
          <w:rFonts w:hint="eastAsia" w:ascii="宋体" w:hAnsi="宋体" w:eastAsia="宋体" w:cs="Times New Roman"/>
          <w:b/>
          <w:bCs/>
          <w:color w:val="000000" w:themeColor="text1"/>
          <w:sz w:val="24"/>
          <w:szCs w:val="24"/>
          <w:highlight w:val="none"/>
          <w14:textFill>
            <w14:solidFill>
              <w14:schemeClr w14:val="tx1"/>
            </w14:solidFill>
          </w14:textFill>
        </w:rPr>
        <w:t>评标开始前，招标人应当向评标委员会提供评标所必需的信息，向评标委员会介绍招标项目背景、特点和需求，特别是向评标委员会提供招标项目的质量、价格、进度等需求目标和实施要点，招标项目的特殊性，招标文件规定的评标方法、评标因素及标准等信息。招标人提供的信息不得含有歧视性、倾向性、误导性，不得超出招标文件的范围或者改变招标文件的实质性内容。</w:t>
      </w:r>
    </w:p>
    <w:p w14:paraId="71915D8D">
      <w:pPr>
        <w:spacing w:line="360" w:lineRule="auto"/>
        <w:ind w:firstLine="482" w:firstLineChars="200"/>
        <w:outlineLvl w:val="9"/>
        <w:rPr>
          <w:rFonts w:hint="eastAsia"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评标委员会在开始评标前，应了解评标专家的职责及守则，认真阅读《评标委员会成员声明》的内容并签名，签字后方可进行评标；</w:t>
      </w:r>
    </w:p>
    <w:p w14:paraId="4C0F210E">
      <w:pPr>
        <w:spacing w:line="360" w:lineRule="auto"/>
        <w:ind w:firstLine="480" w:firstLineChars="200"/>
        <w:outlineLvl w:val="9"/>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3.1 初步评审</w:t>
      </w:r>
      <w:bookmarkEnd w:id="414"/>
      <w:bookmarkEnd w:id="415"/>
      <w:bookmarkEnd w:id="416"/>
      <w:bookmarkEnd w:id="417"/>
    </w:p>
    <w:p w14:paraId="19CF6D6E">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3.1.1 评标委员会可以要求投标人提交第二章“投标人须知”第3.5节规定的有关证明和证件的原件，以便核验。评标委员会依据本章第2.1节规定的标准对投标文件进行初步评审。有一项不符合评审标准的，评标委员会应当否决其投标。通过资格审查的单位少于3家的或通过初步评审的单位少于3家的，重新招标。</w:t>
      </w:r>
    </w:p>
    <w:p w14:paraId="4A8B2CF9">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3.1.2 投标人有以下情形之一的，评标委员会应当否决其投标。：</w:t>
      </w:r>
    </w:p>
    <w:p w14:paraId="58B61F72">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（1）第二章“投标人须知”第</w:t>
      </w:r>
      <w:r>
        <w:rPr>
          <w:rFonts w:hint="eastAsia" w:ascii="宋体" w:hAnsi="宋体" w:eastAsia="宋体" w:cs="Times New Roman"/>
          <w:color w:val="000000" w:themeColor="text1"/>
          <w:sz w:val="24"/>
          <w:highlight w:val="none"/>
          <w:lang w:val="en-US" w:eastAsia="zh-CN"/>
          <w14:textFill>
            <w14:solidFill>
              <w14:schemeClr w14:val="tx1"/>
            </w14:solidFill>
          </w14:textFill>
        </w:rPr>
        <w:t>1.4.3</w:t>
      </w:r>
      <w:r>
        <w:rPr>
          <w:rFonts w:hint="eastAsia" w:ascii="宋体" w:hAnsi="宋体" w:eastAsia="宋体" w:cs="Times New Roman"/>
          <w:color w:val="000000" w:themeColor="text1"/>
          <w:sz w:val="24"/>
          <w:highlight w:val="none"/>
          <w14:textFill>
            <w14:solidFill>
              <w14:schemeClr w14:val="tx1"/>
            </w14:solidFill>
          </w14:textFill>
        </w:rPr>
        <w:t>项规定的任何一种情形的；</w:t>
      </w:r>
    </w:p>
    <w:p w14:paraId="7CF3A838">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（2）串通投标或弄虚作假或有其他违法行为的；</w:t>
      </w:r>
    </w:p>
    <w:p w14:paraId="43645E65">
      <w:pPr>
        <w:spacing w:line="360" w:lineRule="auto"/>
        <w:ind w:firstLine="480" w:firstLineChars="200"/>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（3）不按评标委员会要求澄清、说明或补正的。</w:t>
      </w:r>
    </w:p>
    <w:p w14:paraId="2C7DB5FF">
      <w:pPr>
        <w:spacing w:line="360" w:lineRule="auto"/>
        <w:ind w:firstLine="480" w:firstLineChars="200"/>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lang w:eastAsia="zh-CN"/>
          <w14:textFill>
            <w14:solidFill>
              <w14:schemeClr w14:val="tx1"/>
            </w14:solidFill>
          </w14:textFill>
        </w:rPr>
        <w:t>（</w:t>
      </w:r>
      <w:r>
        <w:rPr>
          <w:rFonts w:hint="eastAsia" w:ascii="宋体" w:hAnsi="宋体" w:eastAsia="宋体" w:cs="Times New Roman"/>
          <w:color w:val="000000" w:themeColor="text1"/>
          <w:sz w:val="24"/>
          <w:highlight w:val="none"/>
          <w:lang w:val="en-US" w:eastAsia="zh-CN"/>
          <w14:textFill>
            <w14:solidFill>
              <w14:schemeClr w14:val="tx1"/>
            </w14:solidFill>
          </w14:textFill>
        </w:rPr>
        <w:t>4</w:t>
      </w:r>
      <w:r>
        <w:rPr>
          <w:rFonts w:hint="eastAsia" w:ascii="宋体" w:hAnsi="宋体" w:eastAsia="宋体" w:cs="Times New Roman"/>
          <w:color w:val="000000" w:themeColor="text1"/>
          <w:sz w:val="24"/>
          <w:highlight w:val="none"/>
          <w:lang w:eastAsia="zh-CN"/>
          <w14:textFill>
            <w14:solidFill>
              <w14:schemeClr w14:val="tx1"/>
            </w14:solidFill>
          </w14:textFill>
        </w:rPr>
        <w:t>）两个（含两个）以上</w:t>
      </w:r>
      <w:r>
        <w:rPr>
          <w:rFonts w:hint="eastAsia" w:ascii="宋体" w:hAnsi="宋体" w:eastAsia="宋体" w:cs="Times New Roman"/>
          <w:color w:val="000000" w:themeColor="text1"/>
          <w:sz w:val="24"/>
          <w:highlight w:val="none"/>
          <w14:textFill>
            <w14:solidFill>
              <w14:schemeClr w14:val="tx1"/>
            </w14:solidFill>
          </w14:textFill>
        </w:rPr>
        <w:t>投标人加密打包投标文件</w:t>
      </w:r>
      <w:r>
        <w:rPr>
          <w:rFonts w:hint="eastAsia" w:ascii="宋体" w:hAnsi="宋体" w:eastAsia="宋体" w:cs="Times New Roman"/>
          <w:color w:val="000000" w:themeColor="text1"/>
          <w:sz w:val="24"/>
          <w:highlight w:val="none"/>
          <w:lang w:eastAsia="zh-CN"/>
          <w14:textFill>
            <w14:solidFill>
              <w14:schemeClr w14:val="tx1"/>
            </w14:solidFill>
          </w14:textFill>
        </w:rPr>
        <w:t>工程量清单编制</w:t>
      </w:r>
      <w:r>
        <w:rPr>
          <w:rFonts w:hint="eastAsia" w:ascii="宋体" w:hAnsi="宋体" w:eastAsia="宋体" w:cs="Times New Roman"/>
          <w:color w:val="000000" w:themeColor="text1"/>
          <w:sz w:val="24"/>
          <w:highlight w:val="none"/>
          <w14:textFill>
            <w14:solidFill>
              <w14:schemeClr w14:val="tx1"/>
            </w14:solidFill>
          </w14:textFill>
        </w:rPr>
        <w:t>机器</w:t>
      </w:r>
      <w:r>
        <w:rPr>
          <w:rFonts w:hint="eastAsia" w:ascii="宋体" w:hAnsi="宋体" w:eastAsia="宋体" w:cs="Times New Roman"/>
          <w:color w:val="000000" w:themeColor="text1"/>
          <w:sz w:val="24"/>
          <w:highlight w:val="none"/>
          <w:lang w:eastAsia="zh-CN"/>
          <w14:textFill>
            <w14:solidFill>
              <w14:schemeClr w14:val="tx1"/>
            </w14:solidFill>
          </w14:textFill>
        </w:rPr>
        <w:t>硬件信息</w:t>
      </w:r>
      <w:r>
        <w:rPr>
          <w:rFonts w:hint="eastAsia" w:ascii="宋体" w:hAnsi="宋体" w:eastAsia="宋体" w:cs="Times New Roman"/>
          <w:color w:val="000000" w:themeColor="text1"/>
          <w:sz w:val="24"/>
          <w:highlight w:val="none"/>
          <w14:textFill>
            <w14:solidFill>
              <w14:schemeClr w14:val="tx1"/>
            </w14:solidFill>
          </w14:textFill>
        </w:rPr>
        <w:t>一致的</w:t>
      </w:r>
      <w:r>
        <w:rPr>
          <w:rFonts w:hint="eastAsia" w:ascii="宋体" w:hAnsi="宋体" w:eastAsia="宋体" w:cs="Times New Roman"/>
          <w:color w:val="000000" w:themeColor="text1"/>
          <w:sz w:val="24"/>
          <w:highlight w:val="none"/>
          <w:lang w:eastAsia="zh-CN"/>
          <w14:textFill>
            <w14:solidFill>
              <w14:schemeClr w14:val="tx1"/>
            </w14:solidFill>
          </w14:textFill>
        </w:rPr>
        <w:t>。</w:t>
      </w:r>
    </w:p>
    <w:p w14:paraId="67D31962">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3.1.3投标报价有算术错误的，评标委员会按以下原则对投标报价进行修正，修正的价格经投标人书面确认后具有约束力。投标人不接受修正价格的，评标委员会应当否决其投标。</w:t>
      </w:r>
    </w:p>
    <w:p w14:paraId="66597EE1">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bookmarkStart w:id="418" w:name="_Toc152042383"/>
      <w:r>
        <w:rPr>
          <w:rFonts w:hint="eastAsia" w:ascii="宋体" w:hAnsi="宋体" w:eastAsia="宋体" w:cs="Times New Roman"/>
          <w:color w:val="000000" w:themeColor="text1"/>
          <w:sz w:val="24"/>
          <w:highlight w:val="none"/>
          <w14:textFill>
            <w14:solidFill>
              <w14:schemeClr w14:val="tx1"/>
            </w14:solidFill>
          </w14:textFill>
        </w:rPr>
        <w:t>（1）投标文件中的大写金额与小写金额不一致的，以大写金额为准；</w:t>
      </w:r>
      <w:bookmarkEnd w:id="418"/>
    </w:p>
    <w:p w14:paraId="54FFAABC">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（2）总价金额与依据单价计算出的结果不一致的，以单价金额为准修正总价，但单价金额小数点有明显错误的除外。</w:t>
      </w:r>
    </w:p>
    <w:p w14:paraId="1CCBC938">
      <w:pPr>
        <w:spacing w:line="360" w:lineRule="auto"/>
        <w:ind w:firstLine="480" w:firstLineChars="200"/>
        <w:outlineLvl w:val="9"/>
        <w:rPr>
          <w:rFonts w:ascii="宋体" w:hAnsi="宋体" w:eastAsia="宋体" w:cs="Times New Roman"/>
          <w:color w:val="000000" w:themeColor="text1"/>
          <w:sz w:val="24"/>
          <w:highlight w:val="none"/>
          <w14:textFill>
            <w14:solidFill>
              <w14:schemeClr w14:val="tx1"/>
            </w14:solidFill>
          </w14:textFill>
        </w:rPr>
      </w:pPr>
      <w:bookmarkStart w:id="419" w:name="_Toc144974573"/>
      <w:bookmarkStart w:id="420" w:name="_Toc179632624"/>
      <w:bookmarkStart w:id="421" w:name="_Toc152045606"/>
      <w:bookmarkStart w:id="422" w:name="_Toc152042384"/>
      <w:r>
        <w:rPr>
          <w:rFonts w:hint="eastAsia" w:ascii="宋体" w:hAnsi="宋体" w:eastAsia="宋体" w:cs="Times New Roman"/>
          <w:color w:val="000000" w:themeColor="text1"/>
          <w:sz w:val="24"/>
          <w:highlight w:val="none"/>
          <w14:textFill>
            <w14:solidFill>
              <w14:schemeClr w14:val="tx1"/>
            </w14:solidFill>
          </w14:textFill>
        </w:rPr>
        <w:t>3.2 详细评审</w:t>
      </w:r>
      <w:bookmarkEnd w:id="419"/>
      <w:bookmarkEnd w:id="420"/>
      <w:bookmarkEnd w:id="421"/>
      <w:bookmarkEnd w:id="422"/>
    </w:p>
    <w:p w14:paraId="0E4653BC">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3.2.1 评标委员会按本章第2.2款规定的量化因素和分值进行打分，并计算出综合评估得分。</w:t>
      </w:r>
    </w:p>
    <w:p w14:paraId="202DFCF7">
      <w:pPr>
        <w:spacing w:line="360" w:lineRule="auto"/>
        <w:ind w:firstLine="480" w:firstLineChars="200"/>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（1）按本章第2.2.5（1）目规定的评审因素和分值对技术部分计算出得分A；技术部分评审得分A为从各评标专家打分中去掉一个最高分和去掉一个最低分后的剩余评标专家打分的算术平均值。</w:t>
      </w:r>
    </w:p>
    <w:p w14:paraId="7E4E00F4">
      <w:pPr>
        <w:spacing w:line="360" w:lineRule="auto"/>
        <w:ind w:firstLine="480" w:firstLineChars="200"/>
        <w:rPr>
          <w:rFonts w:hint="eastAsia" w:ascii="宋体" w:hAnsi="宋体" w:eastAsia="宋体" w:cs="Times New Roman"/>
          <w:color w:val="000000" w:themeColor="text1"/>
          <w:sz w:val="24"/>
          <w:highlight w:val="none"/>
          <w:lang w:eastAsia="zh-CN"/>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（2）按本章第2.2.5（2）目规定对诚信部分计算出得分B</w:t>
      </w:r>
      <w:r>
        <w:rPr>
          <w:rFonts w:hint="eastAsia" w:ascii="宋体" w:hAnsi="宋体" w:cs="Times New Roman"/>
          <w:color w:val="000000" w:themeColor="text1"/>
          <w:sz w:val="24"/>
          <w:highlight w:val="none"/>
          <w:u w:val="single"/>
          <w:lang w:eastAsia="zh-CN"/>
          <w14:textFill>
            <w14:solidFill>
              <w14:schemeClr w14:val="tx1"/>
            </w14:solidFill>
          </w14:textFill>
        </w:rPr>
        <w:t>；</w:t>
      </w:r>
    </w:p>
    <w:p w14:paraId="02DFA2D1">
      <w:pPr>
        <w:spacing w:line="360" w:lineRule="auto"/>
        <w:ind w:firstLine="480" w:firstLineChars="200"/>
        <w:rPr>
          <w:rFonts w:hint="eastAsia" w:ascii="宋体" w:hAnsi="宋体" w:eastAsia="宋体" w:cs="Times New Roman"/>
          <w:color w:val="000000" w:themeColor="text1"/>
          <w:sz w:val="24"/>
          <w:highlight w:val="none"/>
          <w:lang w:eastAsia="zh-CN"/>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（3）按本章第2.2.5（3）目规定的评审因素和分值对投标报价计算出得分C</w:t>
      </w:r>
      <w:r>
        <w:rPr>
          <w:rFonts w:hint="eastAsia" w:ascii="宋体" w:hAnsi="宋体" w:eastAsia="宋体" w:cs="Times New Roman"/>
          <w:color w:val="000000" w:themeColor="text1"/>
          <w:sz w:val="24"/>
          <w:highlight w:val="none"/>
          <w:lang w:val="en-US" w:eastAsia="zh-CN"/>
          <w14:textFill>
            <w14:solidFill>
              <w14:schemeClr w14:val="tx1"/>
            </w14:solidFill>
          </w14:textFill>
        </w:rPr>
        <w:t>。</w:t>
      </w:r>
    </w:p>
    <w:p w14:paraId="648035BC">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3.2.2 评分分值计算保留小数点后两位，小数点后第三位“四舍五入”。</w:t>
      </w:r>
    </w:p>
    <w:p w14:paraId="19417DFD">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3.2.3</w:t>
      </w:r>
      <w:r>
        <w:rPr>
          <w:rFonts w:ascii="宋体" w:hAnsi="宋体" w:eastAsia="宋体" w:cs="Times New Roman"/>
          <w:color w:val="000000" w:themeColor="text1"/>
          <w:sz w:val="24"/>
          <w:highlight w:val="none"/>
          <w14:textFill>
            <w14:solidFill>
              <w14:schemeClr w14:val="tx1"/>
            </w14:solidFill>
          </w14:textFill>
        </w:rPr>
        <w:t xml:space="preserve"> </w:t>
      </w:r>
      <w:r>
        <w:rPr>
          <w:rFonts w:hint="eastAsia" w:ascii="宋体" w:hAnsi="宋体" w:eastAsia="宋体" w:cs="Times New Roman"/>
          <w:color w:val="000000" w:themeColor="text1"/>
          <w:sz w:val="24"/>
          <w:highlight w:val="none"/>
          <w14:textFill>
            <w14:solidFill>
              <w14:schemeClr w14:val="tx1"/>
            </w14:solidFill>
          </w14:textFill>
        </w:rPr>
        <w:t>投标人的得分为技术部分得分、诚信部分得分、投标报价得分之和。评标委员会应按照得分从高至低的顺序，确定得分前三名的投标人为第一中标候选人、第二中标候选人和第三中标候选人。计分采用百分制，得分计算方法：评标总得分=技术部分得分（A）×得分权重+诚信部分得分（B）×得分权重+投标报价得分(C)×得分权重。</w:t>
      </w:r>
    </w:p>
    <w:p w14:paraId="5BDBF4B5">
      <w:pPr>
        <w:spacing w:line="360" w:lineRule="auto"/>
        <w:ind w:firstLine="480" w:firstLineChars="200"/>
        <w:outlineLvl w:val="9"/>
        <w:rPr>
          <w:rFonts w:ascii="宋体" w:hAnsi="宋体" w:eastAsia="宋体" w:cs="Times New Roman"/>
          <w:color w:val="000000" w:themeColor="text1"/>
          <w:sz w:val="24"/>
          <w:highlight w:val="none"/>
          <w14:textFill>
            <w14:solidFill>
              <w14:schemeClr w14:val="tx1"/>
            </w14:solidFill>
          </w14:textFill>
        </w:rPr>
      </w:pPr>
      <w:bookmarkStart w:id="423" w:name="_Toc144974575"/>
      <w:bookmarkStart w:id="424" w:name="_Toc152045607"/>
      <w:bookmarkStart w:id="425" w:name="_Toc152042385"/>
      <w:bookmarkStart w:id="426" w:name="_Toc179632625"/>
      <w:r>
        <w:rPr>
          <w:rFonts w:hint="eastAsia" w:ascii="宋体" w:hAnsi="宋体" w:eastAsia="宋体" w:cs="Times New Roman"/>
          <w:color w:val="000000" w:themeColor="text1"/>
          <w:sz w:val="24"/>
          <w:highlight w:val="none"/>
          <w14:textFill>
            <w14:solidFill>
              <w14:schemeClr w14:val="tx1"/>
            </w14:solidFill>
          </w14:textFill>
        </w:rPr>
        <w:t>3.3 投标文件的澄清</w:t>
      </w:r>
      <w:bookmarkEnd w:id="423"/>
      <w:r>
        <w:rPr>
          <w:rFonts w:hint="eastAsia" w:ascii="宋体" w:hAnsi="宋体" w:eastAsia="宋体" w:cs="Times New Roman"/>
          <w:color w:val="000000" w:themeColor="text1"/>
          <w:sz w:val="24"/>
          <w:highlight w:val="none"/>
          <w14:textFill>
            <w14:solidFill>
              <w14:schemeClr w14:val="tx1"/>
            </w14:solidFill>
          </w14:textFill>
        </w:rPr>
        <w:t>和补正</w:t>
      </w:r>
      <w:bookmarkEnd w:id="424"/>
      <w:bookmarkEnd w:id="425"/>
      <w:bookmarkEnd w:id="426"/>
    </w:p>
    <w:p w14:paraId="41233F34">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3.3.1在评标过程中，经评标委员会中两人以上（含两人）以书面形式提出动议，评标委员会可以书面形式要求投标人对所提交投标文件中不明确的内容进行书面澄清或说明，或者对细微偏差进行补正。评标委员会不接受投标人主动提出的澄清、说明或补正。</w:t>
      </w:r>
    </w:p>
    <w:p w14:paraId="30460953">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3.3.2 澄清、说明和补正不得改变投标文件的实质性内容（算术性错误修正的除外）。投标人的书面澄清、说明和补正属于投标文件的组成部分。</w:t>
      </w:r>
    </w:p>
    <w:p w14:paraId="758049A5">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3.3.3 评标委员会对投标人提交的澄清、说明或补正有疑问的，可以要求投标人进一步澄清、说明或补正，直至满足评标委员会的要求。</w:t>
      </w:r>
    </w:p>
    <w:p w14:paraId="02448723">
      <w:pPr>
        <w:spacing w:line="360" w:lineRule="auto"/>
        <w:ind w:firstLine="480" w:firstLineChars="200"/>
        <w:outlineLvl w:val="9"/>
        <w:rPr>
          <w:rFonts w:ascii="宋体" w:hAnsi="宋体" w:eastAsia="宋体" w:cs="Times New Roman"/>
          <w:color w:val="000000" w:themeColor="text1"/>
          <w:sz w:val="24"/>
          <w:highlight w:val="none"/>
          <w14:textFill>
            <w14:solidFill>
              <w14:schemeClr w14:val="tx1"/>
            </w14:solidFill>
          </w14:textFill>
        </w:rPr>
      </w:pPr>
      <w:bookmarkStart w:id="427" w:name="_Toc179632626"/>
      <w:bookmarkStart w:id="428" w:name="_Toc152045608"/>
      <w:bookmarkStart w:id="429" w:name="_Toc152042386"/>
      <w:bookmarkStart w:id="430" w:name="_Toc144974576"/>
      <w:r>
        <w:rPr>
          <w:rFonts w:hint="eastAsia" w:ascii="宋体" w:hAnsi="宋体" w:eastAsia="宋体" w:cs="Times New Roman"/>
          <w:color w:val="000000" w:themeColor="text1"/>
          <w:sz w:val="24"/>
          <w:highlight w:val="none"/>
          <w14:textFill>
            <w14:solidFill>
              <w14:schemeClr w14:val="tx1"/>
            </w14:solidFill>
          </w14:textFill>
        </w:rPr>
        <w:t>3.4 评标结果</w:t>
      </w:r>
      <w:bookmarkEnd w:id="427"/>
      <w:bookmarkEnd w:id="428"/>
      <w:bookmarkEnd w:id="429"/>
      <w:bookmarkEnd w:id="430"/>
    </w:p>
    <w:p w14:paraId="2A1C6AF6">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3.4.1 评标委员会依据本章第2.2条评分标准进行评分，按评标办法前附表的约定计算投标人最终得分，评标委员会应按照得分从高至低的顺序，确定得分前三名的投标人为第一中标候选人、第二中标候选人和第三中标候选人。出现中标候选人得分相同的，以记名投票表决等其他可行的方式确定排序。</w:t>
      </w:r>
    </w:p>
    <w:p w14:paraId="29D8E182">
      <w:pPr>
        <w:widowControl/>
        <w:spacing w:line="360" w:lineRule="auto"/>
        <w:ind w:firstLine="482" w:firstLineChars="200"/>
        <w:jc w:val="left"/>
        <w:outlineLvl w:val="9"/>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color w:val="000000" w:themeColor="text1"/>
          <w:kern w:val="0"/>
          <w:sz w:val="24"/>
          <w:szCs w:val="24"/>
          <w:highlight w:val="none"/>
          <w14:textFill>
            <w14:solidFill>
              <w14:schemeClr w14:val="tx1"/>
            </w14:solidFill>
          </w14:textFill>
        </w:rPr>
        <w:t>.评标应急预案</w:t>
      </w:r>
    </w:p>
    <w:p w14:paraId="5FDA1736">
      <w:pPr>
        <w:widowControl/>
        <w:spacing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szCs w:val="24"/>
          <w:highlight w:val="none"/>
          <w14:textFill>
            <w14:solidFill>
              <w14:schemeClr w14:val="tx1"/>
            </w14:solidFill>
          </w14:textFill>
        </w:rPr>
        <w:t>.1</w:t>
      </w:r>
      <w:r>
        <w:rPr>
          <w:rFonts w:ascii="宋体" w:hAnsi="宋体" w:eastAsia="宋体" w:cs="宋体"/>
          <w:color w:val="000000" w:themeColor="text1"/>
          <w:kern w:val="0"/>
          <w:sz w:val="24"/>
          <w:szCs w:val="24"/>
          <w:highlight w:val="none"/>
          <w14:textFill>
            <w14:solidFill>
              <w14:schemeClr w14:val="tx1"/>
            </w14:solidFill>
          </w14:textFill>
        </w:rPr>
        <w:t>在评标过程中，当采用电子评标系统评标发生评审故障时，若</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广州交易集团有限公司（广州公共资源交易中心）</w:t>
      </w:r>
      <w:r>
        <w:rPr>
          <w:rFonts w:ascii="宋体" w:hAnsi="宋体" w:eastAsia="宋体" w:cs="宋体"/>
          <w:color w:val="000000" w:themeColor="text1"/>
          <w:kern w:val="0"/>
          <w:sz w:val="24"/>
          <w:szCs w:val="24"/>
          <w:highlight w:val="none"/>
          <w14:textFill>
            <w14:solidFill>
              <w14:schemeClr w14:val="tx1"/>
            </w14:solidFill>
          </w14:textFill>
        </w:rPr>
        <w:t>当天可解除评审故障，则继续采用电子评标系统评标；若</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广州交易集团有限公司（广州公共资源交易中心）</w:t>
      </w:r>
      <w:r>
        <w:rPr>
          <w:rFonts w:ascii="宋体" w:hAnsi="宋体" w:eastAsia="宋体" w:cs="宋体"/>
          <w:color w:val="000000" w:themeColor="text1"/>
          <w:kern w:val="0"/>
          <w:sz w:val="24"/>
          <w:szCs w:val="24"/>
          <w:highlight w:val="none"/>
          <w14:textFill>
            <w14:solidFill>
              <w14:schemeClr w14:val="tx1"/>
            </w14:solidFill>
          </w14:textFill>
        </w:rPr>
        <w:t>当天无法解除评审故障，则评标委员会依据电子投标文件对未完成的评标活动采用手动评审，提交包含已完成电子评审成果在内的纸质评标报告。评审故障以</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广州交易集团有限公司（广州公共资源交易中心）</w:t>
      </w:r>
      <w:r>
        <w:rPr>
          <w:rFonts w:ascii="宋体" w:hAnsi="宋体" w:eastAsia="宋体" w:cs="宋体"/>
          <w:color w:val="000000" w:themeColor="text1"/>
          <w:kern w:val="0"/>
          <w:sz w:val="24"/>
          <w:szCs w:val="24"/>
          <w:highlight w:val="none"/>
          <w14:textFill>
            <w14:solidFill>
              <w14:schemeClr w14:val="tx1"/>
            </w14:solidFill>
          </w14:textFill>
        </w:rPr>
        <w:t>的认定为准。当</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广州交易集团有限公司（广州公共资源交易中心）</w:t>
      </w:r>
      <w:r>
        <w:rPr>
          <w:rFonts w:ascii="宋体" w:hAnsi="宋体" w:eastAsia="宋体" w:cs="宋体"/>
          <w:color w:val="000000" w:themeColor="text1"/>
          <w:kern w:val="0"/>
          <w:sz w:val="24"/>
          <w:szCs w:val="24"/>
          <w:highlight w:val="none"/>
          <w14:textFill>
            <w14:solidFill>
              <w14:schemeClr w14:val="tx1"/>
            </w14:solidFill>
          </w14:textFill>
        </w:rPr>
        <w:t>的系统维护人员在评标室告知评标委员会当天无法解除评审故障后，评标委员会即可对未完成的评标活动启动手动评审。</w:t>
      </w:r>
    </w:p>
    <w:p w14:paraId="740DE0A1">
      <w:pPr>
        <w:widowControl/>
        <w:spacing w:line="360" w:lineRule="auto"/>
        <w:ind w:firstLine="480" w:firstLineChars="200"/>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szCs w:val="24"/>
          <w:highlight w:val="none"/>
          <w14:textFill>
            <w14:solidFill>
              <w14:schemeClr w14:val="tx1"/>
            </w14:solidFill>
          </w14:textFill>
        </w:rPr>
        <w:t>.2</w:t>
      </w:r>
      <w:r>
        <w:rPr>
          <w:rFonts w:ascii="宋体" w:hAnsi="宋体" w:eastAsia="宋体" w:cs="宋体"/>
          <w:color w:val="000000" w:themeColor="text1"/>
          <w:kern w:val="0"/>
          <w:sz w:val="24"/>
          <w:szCs w:val="24"/>
          <w:highlight w:val="none"/>
          <w14:textFill>
            <w14:solidFill>
              <w14:schemeClr w14:val="tx1"/>
            </w14:solidFill>
          </w14:textFill>
        </w:rPr>
        <w:t>在电子评标过程中，无论遇到任何系统异常或故障，评标委员会均应出具评标报告。</w:t>
      </w:r>
    </w:p>
    <w:p w14:paraId="72A40E90">
      <w:pPr>
        <w:pageBreakBefore w:val="0"/>
        <w:spacing w:line="240" w:lineRule="auto"/>
        <w:ind w:firstLine="480"/>
        <w:jc w:val="center"/>
        <w:rPr>
          <w:rFonts w:ascii="宋体" w:hAnsi="宋体" w:eastAsia="宋体" w:cs="Times New Roman"/>
          <w:b/>
          <w:color w:val="000000" w:themeColor="text1"/>
          <w:sz w:val="36"/>
          <w:szCs w:val="36"/>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r>
        <w:rPr>
          <w:rFonts w:hint="eastAsia" w:ascii="宋体" w:hAnsi="宋体" w:eastAsia="宋体" w:cs="Times New Roman"/>
          <w:b/>
          <w:color w:val="000000" w:themeColor="text1"/>
          <w:sz w:val="36"/>
          <w:szCs w:val="36"/>
          <w:highlight w:val="none"/>
          <w14:textFill>
            <w14:solidFill>
              <w14:schemeClr w14:val="tx1"/>
            </w14:solidFill>
          </w14:textFill>
        </w:rPr>
        <w:t>平均值法评标基准价计算表（适用于随机抽取）</w:t>
      </w:r>
    </w:p>
    <w:p w14:paraId="2D330387">
      <w:pPr>
        <w:spacing w:line="360" w:lineRule="auto"/>
        <w:rPr>
          <w:rFonts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 xml:space="preserve">工程名称：    </w:t>
      </w:r>
      <w:r>
        <w:rPr>
          <w:rFonts w:hint="eastAsia" w:ascii="宋体" w:hAnsi="宋体" w:eastAsia="宋体" w:cs="Times New Roman"/>
          <w:b/>
          <w:color w:val="000000" w:themeColor="text1"/>
          <w:szCs w:val="21"/>
          <w:highlight w:val="none"/>
          <w:lang w:val="en-US" w:eastAsia="zh-CN"/>
          <w14:textFill>
            <w14:solidFill>
              <w14:schemeClr w14:val="tx1"/>
            </w14:solidFill>
          </w14:textFill>
        </w:rPr>
        <w:t xml:space="preserve">         </w:t>
      </w:r>
      <w:r>
        <w:rPr>
          <w:rFonts w:hint="eastAsia" w:ascii="宋体" w:hAnsi="宋体" w:eastAsia="宋体" w:cs="Times New Roman"/>
          <w:b/>
          <w:color w:val="000000" w:themeColor="text1"/>
          <w:szCs w:val="21"/>
          <w:highlight w:val="none"/>
          <w14:textFill>
            <w14:solidFill>
              <w14:schemeClr w14:val="tx1"/>
            </w14:solidFill>
          </w14:textFill>
        </w:rPr>
        <w:t xml:space="preserve">                            最高投标限价：</w:t>
      </w:r>
      <w:r>
        <w:rPr>
          <w:rFonts w:hint="eastAsia" w:ascii="宋体" w:hAnsi="宋体" w:eastAsia="宋体" w:cs="Times New Roman"/>
          <w:b/>
          <w:color w:val="000000" w:themeColor="text1"/>
          <w:szCs w:val="21"/>
          <w:highlight w:val="none"/>
          <w:u w:val="single"/>
          <w14:textFill>
            <w14:solidFill>
              <w14:schemeClr w14:val="tx1"/>
            </w14:solidFill>
          </w14:textFill>
        </w:rPr>
        <w:t xml:space="preserve">           </w:t>
      </w:r>
      <w:r>
        <w:rPr>
          <w:rFonts w:hint="eastAsia" w:ascii="宋体" w:hAnsi="宋体" w:eastAsia="宋体" w:cs="Times New Roman"/>
          <w:b/>
          <w:color w:val="000000" w:themeColor="text1"/>
          <w:szCs w:val="21"/>
          <w:highlight w:val="none"/>
          <w14:textFill>
            <w14:solidFill>
              <w14:schemeClr w14:val="tx1"/>
            </w14:solidFill>
          </w14:textFill>
        </w:rPr>
        <w:t>元</w:t>
      </w:r>
    </w:p>
    <w:tbl>
      <w:tblPr>
        <w:tblStyle w:val="38"/>
        <w:tblW w:w="8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461"/>
        <w:gridCol w:w="1140"/>
        <w:gridCol w:w="745"/>
        <w:gridCol w:w="900"/>
        <w:gridCol w:w="1205"/>
        <w:gridCol w:w="1110"/>
        <w:gridCol w:w="1260"/>
      </w:tblGrid>
      <w:tr w14:paraId="5194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29" w:type="dxa"/>
            <w:vMerge w:val="restart"/>
            <w:noWrap w:val="0"/>
            <w:vAlign w:val="center"/>
          </w:tcPr>
          <w:p w14:paraId="68F454A7">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序号</w:t>
            </w:r>
          </w:p>
        </w:tc>
        <w:tc>
          <w:tcPr>
            <w:tcW w:w="1461" w:type="dxa"/>
            <w:vMerge w:val="restart"/>
            <w:noWrap w:val="0"/>
            <w:vAlign w:val="center"/>
          </w:tcPr>
          <w:p w14:paraId="72CA5571">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投标人名称</w:t>
            </w:r>
          </w:p>
        </w:tc>
        <w:tc>
          <w:tcPr>
            <w:tcW w:w="1140" w:type="dxa"/>
            <w:vMerge w:val="restart"/>
            <w:noWrap w:val="0"/>
            <w:vAlign w:val="center"/>
          </w:tcPr>
          <w:p w14:paraId="0EFEFFED">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投标价C</w:t>
            </w:r>
          </w:p>
        </w:tc>
        <w:tc>
          <w:tcPr>
            <w:tcW w:w="1645" w:type="dxa"/>
            <w:gridSpan w:val="2"/>
            <w:noWrap w:val="0"/>
            <w:vAlign w:val="center"/>
          </w:tcPr>
          <w:p w14:paraId="4281816C">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摇珠结果</w:t>
            </w:r>
          </w:p>
        </w:tc>
        <w:tc>
          <w:tcPr>
            <w:tcW w:w="1205" w:type="dxa"/>
            <w:vMerge w:val="restart"/>
            <w:noWrap w:val="0"/>
            <w:vAlign w:val="center"/>
          </w:tcPr>
          <w:p w14:paraId="48CB057C">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是否参与基准价计算【去掉最低及最高】</w:t>
            </w:r>
          </w:p>
        </w:tc>
        <w:tc>
          <w:tcPr>
            <w:tcW w:w="1110" w:type="dxa"/>
            <w:vMerge w:val="restart"/>
            <w:noWrap w:val="0"/>
            <w:vAlign w:val="center"/>
          </w:tcPr>
          <w:p w14:paraId="560324AA">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计算评标基准价的下浮率X</w:t>
            </w:r>
          </w:p>
        </w:tc>
        <w:tc>
          <w:tcPr>
            <w:tcW w:w="1260" w:type="dxa"/>
            <w:vMerge w:val="restart"/>
            <w:noWrap w:val="0"/>
            <w:vAlign w:val="center"/>
          </w:tcPr>
          <w:p w14:paraId="1B030C77">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评标基准价（元）</w:t>
            </w:r>
          </w:p>
        </w:tc>
      </w:tr>
      <w:tr w14:paraId="4FF2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29" w:type="dxa"/>
            <w:vMerge w:val="continue"/>
            <w:noWrap w:val="0"/>
            <w:vAlign w:val="center"/>
          </w:tcPr>
          <w:p w14:paraId="5B06A6DB">
            <w:pPr>
              <w:jc w:val="center"/>
              <w:rPr>
                <w:rFonts w:ascii="宋体" w:hAnsi="宋体" w:eastAsia="宋体" w:cs="Times New Roman"/>
                <w:color w:val="000000" w:themeColor="text1"/>
                <w:szCs w:val="21"/>
                <w:highlight w:val="none"/>
                <w14:textFill>
                  <w14:solidFill>
                    <w14:schemeClr w14:val="tx1"/>
                  </w14:solidFill>
                </w14:textFill>
              </w:rPr>
            </w:pPr>
          </w:p>
        </w:tc>
        <w:tc>
          <w:tcPr>
            <w:tcW w:w="1461" w:type="dxa"/>
            <w:vMerge w:val="continue"/>
            <w:noWrap w:val="0"/>
            <w:vAlign w:val="center"/>
          </w:tcPr>
          <w:p w14:paraId="5CB30F03">
            <w:pPr>
              <w:jc w:val="center"/>
              <w:rPr>
                <w:rFonts w:ascii="宋体" w:hAnsi="宋体" w:eastAsia="宋体" w:cs="Times New Roman"/>
                <w:color w:val="000000" w:themeColor="text1"/>
                <w:szCs w:val="21"/>
                <w:highlight w:val="none"/>
                <w14:textFill>
                  <w14:solidFill>
                    <w14:schemeClr w14:val="tx1"/>
                  </w14:solidFill>
                </w14:textFill>
              </w:rPr>
            </w:pPr>
          </w:p>
        </w:tc>
        <w:tc>
          <w:tcPr>
            <w:tcW w:w="1140" w:type="dxa"/>
            <w:vMerge w:val="continue"/>
            <w:noWrap w:val="0"/>
            <w:vAlign w:val="center"/>
          </w:tcPr>
          <w:p w14:paraId="26D5D4CC">
            <w:pPr>
              <w:jc w:val="center"/>
              <w:rPr>
                <w:rFonts w:ascii="宋体" w:hAnsi="宋体" w:eastAsia="宋体" w:cs="Times New Roman"/>
                <w:color w:val="000000" w:themeColor="text1"/>
                <w:szCs w:val="21"/>
                <w:highlight w:val="none"/>
                <w14:textFill>
                  <w14:solidFill>
                    <w14:schemeClr w14:val="tx1"/>
                  </w14:solidFill>
                </w14:textFill>
              </w:rPr>
            </w:pPr>
          </w:p>
        </w:tc>
        <w:tc>
          <w:tcPr>
            <w:tcW w:w="745" w:type="dxa"/>
            <w:noWrap w:val="0"/>
            <w:vAlign w:val="center"/>
          </w:tcPr>
          <w:p w14:paraId="7986349F">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号球号码</w:t>
            </w:r>
          </w:p>
        </w:tc>
        <w:tc>
          <w:tcPr>
            <w:tcW w:w="900" w:type="dxa"/>
            <w:noWrap w:val="0"/>
            <w:vAlign w:val="center"/>
          </w:tcPr>
          <w:p w14:paraId="7037BC2F">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是否被摇中</w:t>
            </w:r>
          </w:p>
        </w:tc>
        <w:tc>
          <w:tcPr>
            <w:tcW w:w="1205" w:type="dxa"/>
            <w:vMerge w:val="continue"/>
            <w:noWrap w:val="0"/>
            <w:vAlign w:val="top"/>
          </w:tcPr>
          <w:p w14:paraId="2234380A">
            <w:pPr>
              <w:jc w:val="center"/>
              <w:rPr>
                <w:rFonts w:ascii="宋体" w:hAnsi="宋体" w:eastAsia="宋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28D2B478">
            <w:pPr>
              <w:jc w:val="center"/>
              <w:rPr>
                <w:rFonts w:ascii="宋体" w:hAnsi="宋体" w:eastAsia="宋体" w:cs="Times New Roman"/>
                <w:color w:val="000000" w:themeColor="text1"/>
                <w:szCs w:val="21"/>
                <w:highlight w:val="none"/>
                <w14:textFill>
                  <w14:solidFill>
                    <w14:schemeClr w14:val="tx1"/>
                  </w14:solidFill>
                </w14:textFill>
              </w:rPr>
            </w:pPr>
          </w:p>
        </w:tc>
        <w:tc>
          <w:tcPr>
            <w:tcW w:w="1260" w:type="dxa"/>
            <w:vMerge w:val="continue"/>
            <w:noWrap w:val="0"/>
            <w:vAlign w:val="center"/>
          </w:tcPr>
          <w:p w14:paraId="2B9BC794">
            <w:pPr>
              <w:jc w:val="center"/>
              <w:rPr>
                <w:rFonts w:ascii="宋体" w:hAnsi="宋体" w:eastAsia="宋体" w:cs="Times New Roman"/>
                <w:color w:val="000000" w:themeColor="text1"/>
                <w:szCs w:val="21"/>
                <w:highlight w:val="none"/>
                <w14:textFill>
                  <w14:solidFill>
                    <w14:schemeClr w14:val="tx1"/>
                  </w14:solidFill>
                </w14:textFill>
              </w:rPr>
            </w:pPr>
          </w:p>
        </w:tc>
      </w:tr>
      <w:tr w14:paraId="1119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2D674AE8">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461" w:type="dxa"/>
            <w:noWrap w:val="0"/>
            <w:vAlign w:val="top"/>
          </w:tcPr>
          <w:p w14:paraId="059CB5A7">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40" w:type="dxa"/>
            <w:noWrap w:val="0"/>
            <w:vAlign w:val="top"/>
          </w:tcPr>
          <w:p w14:paraId="003A899C">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745" w:type="dxa"/>
            <w:vMerge w:val="restart"/>
            <w:noWrap w:val="0"/>
            <w:vAlign w:val="top"/>
          </w:tcPr>
          <w:p w14:paraId="0BB20046">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900" w:type="dxa"/>
            <w:noWrap w:val="0"/>
            <w:vAlign w:val="top"/>
          </w:tcPr>
          <w:p w14:paraId="3B44E599">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24FD7C3A">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restart"/>
            <w:noWrap w:val="0"/>
            <w:vAlign w:val="top"/>
          </w:tcPr>
          <w:p w14:paraId="7A8700AF">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60" w:type="dxa"/>
            <w:vMerge w:val="restart"/>
            <w:noWrap w:val="0"/>
            <w:vAlign w:val="top"/>
          </w:tcPr>
          <w:p w14:paraId="3F567856">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4055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13AF50D6">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461" w:type="dxa"/>
            <w:noWrap w:val="0"/>
            <w:vAlign w:val="top"/>
          </w:tcPr>
          <w:p w14:paraId="12D63F13">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40" w:type="dxa"/>
            <w:noWrap w:val="0"/>
            <w:vAlign w:val="top"/>
          </w:tcPr>
          <w:p w14:paraId="5636F0D9">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745" w:type="dxa"/>
            <w:vMerge w:val="continue"/>
            <w:noWrap w:val="0"/>
            <w:vAlign w:val="top"/>
          </w:tcPr>
          <w:p w14:paraId="2F13AE55">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900" w:type="dxa"/>
            <w:noWrap w:val="0"/>
            <w:vAlign w:val="top"/>
          </w:tcPr>
          <w:p w14:paraId="180ED6D7">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66C91CF4">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0033AFA1">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60" w:type="dxa"/>
            <w:vMerge w:val="continue"/>
            <w:noWrap w:val="0"/>
            <w:vAlign w:val="top"/>
          </w:tcPr>
          <w:p w14:paraId="27FC7698">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7167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7FAD05A5">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461" w:type="dxa"/>
            <w:noWrap w:val="0"/>
            <w:vAlign w:val="top"/>
          </w:tcPr>
          <w:p w14:paraId="3AC04DAB">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40" w:type="dxa"/>
            <w:noWrap w:val="0"/>
            <w:vAlign w:val="top"/>
          </w:tcPr>
          <w:p w14:paraId="4ABBE0BD">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745" w:type="dxa"/>
            <w:vMerge w:val="continue"/>
            <w:noWrap w:val="0"/>
            <w:vAlign w:val="top"/>
          </w:tcPr>
          <w:p w14:paraId="48FCD49C">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900" w:type="dxa"/>
            <w:noWrap w:val="0"/>
            <w:vAlign w:val="top"/>
          </w:tcPr>
          <w:p w14:paraId="14546808">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478D202B">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70FFA667">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60" w:type="dxa"/>
            <w:vMerge w:val="continue"/>
            <w:noWrap w:val="0"/>
            <w:vAlign w:val="top"/>
          </w:tcPr>
          <w:p w14:paraId="34EA951D">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1A0B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22D751F2">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461" w:type="dxa"/>
            <w:noWrap w:val="0"/>
            <w:vAlign w:val="top"/>
          </w:tcPr>
          <w:p w14:paraId="594A168D">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40" w:type="dxa"/>
            <w:noWrap w:val="0"/>
            <w:vAlign w:val="top"/>
          </w:tcPr>
          <w:p w14:paraId="75C0B29F">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745" w:type="dxa"/>
            <w:vMerge w:val="continue"/>
            <w:noWrap w:val="0"/>
            <w:vAlign w:val="top"/>
          </w:tcPr>
          <w:p w14:paraId="68B4EE9E">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900" w:type="dxa"/>
            <w:noWrap w:val="0"/>
            <w:vAlign w:val="top"/>
          </w:tcPr>
          <w:p w14:paraId="6600D330">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48A4A2C0">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42DEF98D">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60" w:type="dxa"/>
            <w:vMerge w:val="continue"/>
            <w:noWrap w:val="0"/>
            <w:vAlign w:val="top"/>
          </w:tcPr>
          <w:p w14:paraId="4BCB5802">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5660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71104A22">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461" w:type="dxa"/>
            <w:noWrap w:val="0"/>
            <w:vAlign w:val="top"/>
          </w:tcPr>
          <w:p w14:paraId="2389755C">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40" w:type="dxa"/>
            <w:noWrap w:val="0"/>
            <w:vAlign w:val="top"/>
          </w:tcPr>
          <w:p w14:paraId="503D3869">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745" w:type="dxa"/>
            <w:vMerge w:val="continue"/>
            <w:noWrap w:val="0"/>
            <w:vAlign w:val="top"/>
          </w:tcPr>
          <w:p w14:paraId="383812A9">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900" w:type="dxa"/>
            <w:noWrap w:val="0"/>
            <w:vAlign w:val="top"/>
          </w:tcPr>
          <w:p w14:paraId="1BBA434A">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5F227EB2">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1C817034">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60" w:type="dxa"/>
            <w:vMerge w:val="continue"/>
            <w:noWrap w:val="0"/>
            <w:vAlign w:val="top"/>
          </w:tcPr>
          <w:p w14:paraId="70A899CA">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04DB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4BCB3F76">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461" w:type="dxa"/>
            <w:noWrap w:val="0"/>
            <w:vAlign w:val="top"/>
          </w:tcPr>
          <w:p w14:paraId="01C98DA1">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40" w:type="dxa"/>
            <w:noWrap w:val="0"/>
            <w:vAlign w:val="top"/>
          </w:tcPr>
          <w:p w14:paraId="5CBF14CB">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745" w:type="dxa"/>
            <w:vMerge w:val="continue"/>
            <w:noWrap w:val="0"/>
            <w:vAlign w:val="top"/>
          </w:tcPr>
          <w:p w14:paraId="33869418">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900" w:type="dxa"/>
            <w:noWrap w:val="0"/>
            <w:vAlign w:val="top"/>
          </w:tcPr>
          <w:p w14:paraId="54808FE3">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02DCA523">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0E42F978">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60" w:type="dxa"/>
            <w:vMerge w:val="continue"/>
            <w:noWrap w:val="0"/>
            <w:vAlign w:val="top"/>
          </w:tcPr>
          <w:p w14:paraId="70F91C4E">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7936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04F00705">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461" w:type="dxa"/>
            <w:noWrap w:val="0"/>
            <w:vAlign w:val="top"/>
          </w:tcPr>
          <w:p w14:paraId="4352F4F0">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40" w:type="dxa"/>
            <w:noWrap w:val="0"/>
            <w:vAlign w:val="top"/>
          </w:tcPr>
          <w:p w14:paraId="13799335">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745" w:type="dxa"/>
            <w:vMerge w:val="continue"/>
            <w:noWrap w:val="0"/>
            <w:vAlign w:val="top"/>
          </w:tcPr>
          <w:p w14:paraId="08B70A88">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900" w:type="dxa"/>
            <w:noWrap w:val="0"/>
            <w:vAlign w:val="top"/>
          </w:tcPr>
          <w:p w14:paraId="5F022265">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4A819F48">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17C44076">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60" w:type="dxa"/>
            <w:vMerge w:val="continue"/>
            <w:noWrap w:val="0"/>
            <w:vAlign w:val="top"/>
          </w:tcPr>
          <w:p w14:paraId="4A075F71">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5B11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14D5EC69">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461" w:type="dxa"/>
            <w:noWrap w:val="0"/>
            <w:vAlign w:val="top"/>
          </w:tcPr>
          <w:p w14:paraId="23283E4E">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40" w:type="dxa"/>
            <w:noWrap w:val="0"/>
            <w:vAlign w:val="top"/>
          </w:tcPr>
          <w:p w14:paraId="59558088">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745" w:type="dxa"/>
            <w:vMerge w:val="continue"/>
            <w:noWrap w:val="0"/>
            <w:vAlign w:val="top"/>
          </w:tcPr>
          <w:p w14:paraId="7ED59535">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900" w:type="dxa"/>
            <w:noWrap w:val="0"/>
            <w:vAlign w:val="top"/>
          </w:tcPr>
          <w:p w14:paraId="024EA082">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73F83BD4">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69A39798">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60" w:type="dxa"/>
            <w:vMerge w:val="continue"/>
            <w:noWrap w:val="0"/>
            <w:vAlign w:val="top"/>
          </w:tcPr>
          <w:p w14:paraId="1BB6DEEA">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bl>
    <w:p w14:paraId="32FBE800">
      <w:pPr>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 xml:space="preserve"> 注：</w:t>
      </w:r>
      <w:r>
        <w:rPr>
          <w:rFonts w:hint="eastAsia" w:ascii="宋体" w:hAnsi="宋体" w:eastAsia="宋体" w:cs="Times New Roman"/>
          <w:b/>
          <w:color w:val="000000" w:themeColor="text1"/>
          <w:szCs w:val="21"/>
          <w:highlight w:val="none"/>
          <w14:textFill>
            <w14:solidFill>
              <w14:schemeClr w14:val="tx1"/>
            </w14:solidFill>
          </w14:textFill>
        </w:rPr>
        <w:t>1.该表格适用于</w:t>
      </w:r>
      <w:r>
        <w:rPr>
          <w:rFonts w:ascii="宋体" w:hAnsi="宋体" w:eastAsia="宋体" w:cs="Times New Roman"/>
          <w:b/>
          <w:color w:val="000000" w:themeColor="text1"/>
          <w:szCs w:val="21"/>
          <w:highlight w:val="none"/>
          <w14:textFill>
            <w14:solidFill>
              <w14:schemeClr w14:val="tx1"/>
            </w14:solidFill>
          </w14:textFill>
        </w:rPr>
        <w:t>以</w:t>
      </w:r>
      <w:r>
        <w:rPr>
          <w:rFonts w:hint="eastAsia" w:ascii="宋体" w:hAnsi="宋体" w:eastAsia="宋体" w:cs="Times New Roman"/>
          <w:b/>
          <w:color w:val="000000" w:themeColor="text1"/>
          <w:szCs w:val="21"/>
          <w:highlight w:val="none"/>
          <w14:textFill>
            <w14:solidFill>
              <w14:schemeClr w14:val="tx1"/>
            </w14:solidFill>
          </w14:textFill>
        </w:rPr>
        <w:t>有效</w:t>
      </w:r>
      <w:r>
        <w:rPr>
          <w:rFonts w:ascii="宋体" w:hAnsi="宋体" w:eastAsia="宋体" w:cs="Times New Roman"/>
          <w:b/>
          <w:color w:val="000000" w:themeColor="text1"/>
          <w:szCs w:val="21"/>
          <w:highlight w:val="none"/>
          <w14:textFill>
            <w14:solidFill>
              <w14:schemeClr w14:val="tx1"/>
            </w14:solidFill>
          </w14:textFill>
        </w:rPr>
        <w:t>投标价为基础计算并</w:t>
      </w:r>
      <w:r>
        <w:rPr>
          <w:rFonts w:hint="eastAsia" w:ascii="宋体" w:hAnsi="宋体" w:eastAsia="宋体" w:cs="Times New Roman"/>
          <w:b/>
          <w:color w:val="000000" w:themeColor="text1"/>
          <w:szCs w:val="21"/>
          <w:highlight w:val="none"/>
          <w14:textFill>
            <w14:solidFill>
              <w14:schemeClr w14:val="tx1"/>
            </w14:solidFill>
          </w14:textFill>
        </w:rPr>
        <w:t>根据抽取的计算评标基准价的下浮率下浮后</w:t>
      </w:r>
      <w:r>
        <w:rPr>
          <w:rFonts w:ascii="宋体" w:hAnsi="宋体" w:eastAsia="宋体" w:cs="Times New Roman"/>
          <w:b/>
          <w:color w:val="000000" w:themeColor="text1"/>
          <w:szCs w:val="21"/>
          <w:highlight w:val="none"/>
          <w14:textFill>
            <w14:solidFill>
              <w14:schemeClr w14:val="tx1"/>
            </w14:solidFill>
          </w14:textFill>
        </w:rPr>
        <w:t>确定评标基准价</w:t>
      </w:r>
      <w:r>
        <w:rPr>
          <w:rFonts w:hint="eastAsia" w:ascii="宋体" w:hAnsi="宋体" w:eastAsia="宋体" w:cs="Times New Roman"/>
          <w:b/>
          <w:color w:val="000000" w:themeColor="text1"/>
          <w:szCs w:val="21"/>
          <w:highlight w:val="none"/>
          <w14:textFill>
            <w14:solidFill>
              <w14:schemeClr w14:val="tx1"/>
            </w14:solidFill>
          </w14:textFill>
        </w:rPr>
        <w:t>。</w:t>
      </w:r>
    </w:p>
    <w:p w14:paraId="26532FC0">
      <w:pPr>
        <w:ind w:firstLine="527" w:firstLineChars="25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14:textFill>
            <w14:solidFill>
              <w14:schemeClr w14:val="tx1"/>
            </w14:solidFill>
          </w14:textFill>
        </w:rPr>
        <w:t>2.</w:t>
      </w:r>
      <w:r>
        <w:rPr>
          <w:rFonts w:hint="eastAsia" w:ascii="宋体" w:hAnsi="宋体" w:eastAsia="宋体" w:cs="Times New Roman"/>
          <w:b/>
          <w:color w:val="000000" w:themeColor="text1"/>
          <w:szCs w:val="21"/>
          <w:highlight w:val="none"/>
          <w14:textFill>
            <w14:solidFill>
              <w14:schemeClr w14:val="tx1"/>
            </w14:solidFill>
          </w14:textFill>
        </w:rPr>
        <w:t>使用此表时，对于已经确定为无效报价的，不得在本计算表中列出。投标单位的序号按开标时的顺序从小到大排列。</w:t>
      </w:r>
    </w:p>
    <w:p w14:paraId="4A4021DD">
      <w:pPr>
        <w:rPr>
          <w:rFonts w:hint="eastAsia" w:ascii="宋体" w:hAnsi="宋体" w:eastAsia="宋体" w:cs="Times New Roman"/>
          <w:color w:val="000000" w:themeColor="text1"/>
          <w:szCs w:val="21"/>
          <w:highlight w:val="none"/>
          <w14:textFill>
            <w14:solidFill>
              <w14:schemeClr w14:val="tx1"/>
            </w14:solidFill>
          </w14:textFill>
        </w:rPr>
      </w:pPr>
    </w:p>
    <w:p w14:paraId="06FCF420">
      <w:pP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评标委员会全体评委签名：</w:t>
      </w:r>
    </w:p>
    <w:p w14:paraId="67B6E3E0">
      <w:pPr>
        <w:ind w:right="-722" w:rightChars="-344"/>
        <w:rPr>
          <w:rFonts w:hint="eastAsia" w:ascii="宋体" w:hAnsi="宋体" w:eastAsia="宋体" w:cs="Times New Roman"/>
          <w:color w:val="000000" w:themeColor="text1"/>
          <w:kern w:val="0"/>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 xml:space="preserve">招标代理记录：        监督人：         见证人:            </w:t>
      </w:r>
      <w:r>
        <w:rPr>
          <w:rFonts w:hint="eastAsia" w:ascii="宋体" w:hAnsi="宋体" w:eastAsia="宋体" w:cs="Times New Roman"/>
          <w:color w:val="000000" w:themeColor="text1"/>
          <w:kern w:val="0"/>
          <w:highlight w:val="none"/>
          <w14:textFill>
            <w14:solidFill>
              <w14:schemeClr w14:val="tx1"/>
            </w14:solidFill>
          </w14:textFill>
        </w:rPr>
        <w:t>日期：   年   月  日</w:t>
      </w:r>
    </w:p>
    <w:p w14:paraId="4ADC9B05">
      <w:pPr>
        <w:pageBreakBefore w:val="0"/>
        <w:spacing w:line="240" w:lineRule="auto"/>
        <w:ind w:firstLine="480"/>
        <w:jc w:val="center"/>
        <w:rPr>
          <w:rFonts w:ascii="宋体" w:hAnsi="宋体" w:eastAsia="宋体" w:cs="Times New Roman"/>
          <w:b/>
          <w:color w:val="000000" w:themeColor="text1"/>
          <w:sz w:val="36"/>
          <w:szCs w:val="36"/>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r>
        <w:rPr>
          <w:rFonts w:hint="eastAsia" w:ascii="宋体" w:hAnsi="宋体" w:eastAsia="宋体" w:cs="Times New Roman"/>
          <w:b/>
          <w:color w:val="000000" w:themeColor="text1"/>
          <w:sz w:val="36"/>
          <w:szCs w:val="36"/>
          <w:highlight w:val="none"/>
          <w14:textFill>
            <w14:solidFill>
              <w14:schemeClr w14:val="tx1"/>
            </w14:solidFill>
          </w14:textFill>
        </w:rPr>
        <w:t>平均值法评标基准价计算表（适用于直接选取）</w:t>
      </w:r>
    </w:p>
    <w:p w14:paraId="10F14F88">
      <w:pPr>
        <w:spacing w:line="360" w:lineRule="auto"/>
        <w:rPr>
          <w:rFonts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 xml:space="preserve">工程名称：    </w:t>
      </w:r>
      <w:r>
        <w:rPr>
          <w:rFonts w:hint="eastAsia" w:ascii="宋体" w:hAnsi="宋体" w:eastAsia="宋体" w:cs="Times New Roman"/>
          <w:b/>
          <w:color w:val="000000" w:themeColor="text1"/>
          <w:szCs w:val="21"/>
          <w:highlight w:val="none"/>
          <w:lang w:val="en-US" w:eastAsia="zh-CN"/>
          <w14:textFill>
            <w14:solidFill>
              <w14:schemeClr w14:val="tx1"/>
            </w14:solidFill>
          </w14:textFill>
        </w:rPr>
        <w:t xml:space="preserve">         </w:t>
      </w:r>
      <w:r>
        <w:rPr>
          <w:rFonts w:hint="eastAsia" w:ascii="宋体" w:hAnsi="宋体" w:eastAsia="宋体" w:cs="Times New Roman"/>
          <w:b/>
          <w:color w:val="000000" w:themeColor="text1"/>
          <w:szCs w:val="21"/>
          <w:highlight w:val="none"/>
          <w14:textFill>
            <w14:solidFill>
              <w14:schemeClr w14:val="tx1"/>
            </w14:solidFill>
          </w14:textFill>
        </w:rPr>
        <w:t xml:space="preserve">                            最高投标限价：</w:t>
      </w:r>
      <w:r>
        <w:rPr>
          <w:rFonts w:hint="eastAsia" w:ascii="宋体" w:hAnsi="宋体" w:eastAsia="宋体" w:cs="Times New Roman"/>
          <w:b/>
          <w:color w:val="000000" w:themeColor="text1"/>
          <w:szCs w:val="21"/>
          <w:highlight w:val="none"/>
          <w:u w:val="single"/>
          <w14:textFill>
            <w14:solidFill>
              <w14:schemeClr w14:val="tx1"/>
            </w14:solidFill>
          </w14:textFill>
        </w:rPr>
        <w:t xml:space="preserve">           </w:t>
      </w:r>
      <w:r>
        <w:rPr>
          <w:rFonts w:hint="eastAsia" w:ascii="宋体" w:hAnsi="宋体" w:eastAsia="宋体" w:cs="Times New Roman"/>
          <w:b/>
          <w:color w:val="000000" w:themeColor="text1"/>
          <w:szCs w:val="21"/>
          <w:highlight w:val="none"/>
          <w14:textFill>
            <w14:solidFill>
              <w14:schemeClr w14:val="tx1"/>
            </w14:solidFill>
          </w14:textFill>
        </w:rPr>
        <w:t>元</w:t>
      </w:r>
    </w:p>
    <w:tbl>
      <w:tblPr>
        <w:tblStyle w:val="38"/>
        <w:tblW w:w="8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2109"/>
        <w:gridCol w:w="1335"/>
        <w:gridCol w:w="1205"/>
        <w:gridCol w:w="1110"/>
        <w:gridCol w:w="2275"/>
      </w:tblGrid>
      <w:tr w14:paraId="418C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29" w:type="dxa"/>
            <w:vMerge w:val="restart"/>
            <w:noWrap w:val="0"/>
            <w:vAlign w:val="center"/>
          </w:tcPr>
          <w:p w14:paraId="54E03A19">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序号</w:t>
            </w:r>
          </w:p>
        </w:tc>
        <w:tc>
          <w:tcPr>
            <w:tcW w:w="2109" w:type="dxa"/>
            <w:vMerge w:val="restart"/>
            <w:noWrap w:val="0"/>
            <w:vAlign w:val="center"/>
          </w:tcPr>
          <w:p w14:paraId="684F133F">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投标人名称</w:t>
            </w:r>
          </w:p>
        </w:tc>
        <w:tc>
          <w:tcPr>
            <w:tcW w:w="1335" w:type="dxa"/>
            <w:vMerge w:val="restart"/>
            <w:noWrap w:val="0"/>
            <w:vAlign w:val="center"/>
          </w:tcPr>
          <w:p w14:paraId="18949425">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投标价C</w:t>
            </w:r>
          </w:p>
        </w:tc>
        <w:tc>
          <w:tcPr>
            <w:tcW w:w="1205" w:type="dxa"/>
            <w:vMerge w:val="restart"/>
            <w:noWrap w:val="0"/>
            <w:vAlign w:val="center"/>
          </w:tcPr>
          <w:p w14:paraId="475F022D">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是否参与评标基准价的计算【是/否】</w:t>
            </w:r>
          </w:p>
        </w:tc>
        <w:tc>
          <w:tcPr>
            <w:tcW w:w="1110" w:type="dxa"/>
            <w:vMerge w:val="restart"/>
            <w:noWrap w:val="0"/>
            <w:vAlign w:val="center"/>
          </w:tcPr>
          <w:p w14:paraId="48A76B71">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计算评标基准价的下浮率X</w:t>
            </w:r>
          </w:p>
        </w:tc>
        <w:tc>
          <w:tcPr>
            <w:tcW w:w="2275" w:type="dxa"/>
            <w:vMerge w:val="restart"/>
            <w:noWrap w:val="0"/>
            <w:vAlign w:val="center"/>
          </w:tcPr>
          <w:p w14:paraId="5EF5483E">
            <w:pPr>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评标基准价（元）</w:t>
            </w:r>
          </w:p>
        </w:tc>
      </w:tr>
      <w:tr w14:paraId="29FC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29" w:type="dxa"/>
            <w:vMerge w:val="continue"/>
            <w:noWrap w:val="0"/>
            <w:vAlign w:val="center"/>
          </w:tcPr>
          <w:p w14:paraId="438491DE">
            <w:pPr>
              <w:jc w:val="center"/>
              <w:rPr>
                <w:rFonts w:ascii="宋体" w:hAnsi="宋体" w:eastAsia="宋体" w:cs="Times New Roman"/>
                <w:color w:val="000000" w:themeColor="text1"/>
                <w:szCs w:val="21"/>
                <w:highlight w:val="none"/>
                <w14:textFill>
                  <w14:solidFill>
                    <w14:schemeClr w14:val="tx1"/>
                  </w14:solidFill>
                </w14:textFill>
              </w:rPr>
            </w:pPr>
          </w:p>
        </w:tc>
        <w:tc>
          <w:tcPr>
            <w:tcW w:w="2109" w:type="dxa"/>
            <w:vMerge w:val="continue"/>
            <w:noWrap w:val="0"/>
            <w:vAlign w:val="center"/>
          </w:tcPr>
          <w:p w14:paraId="713B455E">
            <w:pPr>
              <w:jc w:val="center"/>
              <w:rPr>
                <w:rFonts w:ascii="宋体" w:hAnsi="宋体" w:eastAsia="宋体" w:cs="Times New Roman"/>
                <w:color w:val="000000" w:themeColor="text1"/>
                <w:szCs w:val="21"/>
                <w:highlight w:val="none"/>
                <w14:textFill>
                  <w14:solidFill>
                    <w14:schemeClr w14:val="tx1"/>
                  </w14:solidFill>
                </w14:textFill>
              </w:rPr>
            </w:pPr>
          </w:p>
        </w:tc>
        <w:tc>
          <w:tcPr>
            <w:tcW w:w="1335" w:type="dxa"/>
            <w:vMerge w:val="continue"/>
            <w:noWrap w:val="0"/>
            <w:vAlign w:val="center"/>
          </w:tcPr>
          <w:p w14:paraId="6ABCC5F1">
            <w:pPr>
              <w:jc w:val="center"/>
              <w:rPr>
                <w:rFonts w:ascii="宋体" w:hAnsi="宋体" w:eastAsia="宋体" w:cs="Times New Roman"/>
                <w:color w:val="000000" w:themeColor="text1"/>
                <w:szCs w:val="21"/>
                <w:highlight w:val="none"/>
                <w14:textFill>
                  <w14:solidFill>
                    <w14:schemeClr w14:val="tx1"/>
                  </w14:solidFill>
                </w14:textFill>
              </w:rPr>
            </w:pPr>
          </w:p>
        </w:tc>
        <w:tc>
          <w:tcPr>
            <w:tcW w:w="1205" w:type="dxa"/>
            <w:vMerge w:val="continue"/>
            <w:noWrap w:val="0"/>
            <w:vAlign w:val="top"/>
          </w:tcPr>
          <w:p w14:paraId="16B45A1F">
            <w:pPr>
              <w:jc w:val="center"/>
              <w:rPr>
                <w:rFonts w:ascii="宋体" w:hAnsi="宋体" w:eastAsia="宋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43924254">
            <w:pPr>
              <w:jc w:val="center"/>
              <w:rPr>
                <w:rFonts w:ascii="宋体" w:hAnsi="宋体" w:eastAsia="宋体" w:cs="Times New Roman"/>
                <w:color w:val="000000" w:themeColor="text1"/>
                <w:szCs w:val="21"/>
                <w:highlight w:val="none"/>
                <w14:textFill>
                  <w14:solidFill>
                    <w14:schemeClr w14:val="tx1"/>
                  </w14:solidFill>
                </w14:textFill>
              </w:rPr>
            </w:pPr>
          </w:p>
        </w:tc>
        <w:tc>
          <w:tcPr>
            <w:tcW w:w="2275" w:type="dxa"/>
            <w:vMerge w:val="continue"/>
            <w:noWrap w:val="0"/>
            <w:vAlign w:val="center"/>
          </w:tcPr>
          <w:p w14:paraId="06F9D270">
            <w:pPr>
              <w:jc w:val="center"/>
              <w:rPr>
                <w:rFonts w:ascii="宋体" w:hAnsi="宋体" w:eastAsia="宋体" w:cs="Times New Roman"/>
                <w:color w:val="000000" w:themeColor="text1"/>
                <w:szCs w:val="21"/>
                <w:highlight w:val="none"/>
                <w14:textFill>
                  <w14:solidFill>
                    <w14:schemeClr w14:val="tx1"/>
                  </w14:solidFill>
                </w14:textFill>
              </w:rPr>
            </w:pPr>
          </w:p>
        </w:tc>
      </w:tr>
      <w:tr w14:paraId="2EAF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1D764C3E">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109" w:type="dxa"/>
            <w:noWrap w:val="0"/>
            <w:vAlign w:val="top"/>
          </w:tcPr>
          <w:p w14:paraId="01C08B2A">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335" w:type="dxa"/>
            <w:noWrap w:val="0"/>
            <w:vAlign w:val="top"/>
          </w:tcPr>
          <w:p w14:paraId="7D08A132">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7DFBA34B">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restart"/>
            <w:noWrap w:val="0"/>
            <w:vAlign w:val="top"/>
          </w:tcPr>
          <w:p w14:paraId="79070704">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275" w:type="dxa"/>
            <w:vMerge w:val="restart"/>
            <w:noWrap w:val="0"/>
            <w:vAlign w:val="top"/>
          </w:tcPr>
          <w:p w14:paraId="315845AF">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3846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4E817CF5">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109" w:type="dxa"/>
            <w:noWrap w:val="0"/>
            <w:vAlign w:val="top"/>
          </w:tcPr>
          <w:p w14:paraId="29417FA6">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335" w:type="dxa"/>
            <w:noWrap w:val="0"/>
            <w:vAlign w:val="top"/>
          </w:tcPr>
          <w:p w14:paraId="4D72EA23">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6EC1853F">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16F9745B">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275" w:type="dxa"/>
            <w:vMerge w:val="continue"/>
            <w:noWrap w:val="0"/>
            <w:vAlign w:val="top"/>
          </w:tcPr>
          <w:p w14:paraId="3220EBEC">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0F2C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57EDC488">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109" w:type="dxa"/>
            <w:noWrap w:val="0"/>
            <w:vAlign w:val="top"/>
          </w:tcPr>
          <w:p w14:paraId="4BA89E55">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335" w:type="dxa"/>
            <w:noWrap w:val="0"/>
            <w:vAlign w:val="top"/>
          </w:tcPr>
          <w:p w14:paraId="4816DC86">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44620511">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78EEA7A3">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275" w:type="dxa"/>
            <w:vMerge w:val="continue"/>
            <w:noWrap w:val="0"/>
            <w:vAlign w:val="top"/>
          </w:tcPr>
          <w:p w14:paraId="1A950950">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5EDA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77888E8B">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109" w:type="dxa"/>
            <w:noWrap w:val="0"/>
            <w:vAlign w:val="top"/>
          </w:tcPr>
          <w:p w14:paraId="7A828C86">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335" w:type="dxa"/>
            <w:noWrap w:val="0"/>
            <w:vAlign w:val="top"/>
          </w:tcPr>
          <w:p w14:paraId="375E2C8A">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1990F25A">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0B7F92E0">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275" w:type="dxa"/>
            <w:vMerge w:val="continue"/>
            <w:noWrap w:val="0"/>
            <w:vAlign w:val="top"/>
          </w:tcPr>
          <w:p w14:paraId="78D55D1A">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40AE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465ADA29">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109" w:type="dxa"/>
            <w:noWrap w:val="0"/>
            <w:vAlign w:val="top"/>
          </w:tcPr>
          <w:p w14:paraId="144AD81E">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335" w:type="dxa"/>
            <w:noWrap w:val="0"/>
            <w:vAlign w:val="top"/>
          </w:tcPr>
          <w:p w14:paraId="2D92A6CF">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0315E3BF">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5B36AF07">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275" w:type="dxa"/>
            <w:vMerge w:val="continue"/>
            <w:noWrap w:val="0"/>
            <w:vAlign w:val="top"/>
          </w:tcPr>
          <w:p w14:paraId="5240F609">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5376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5F0F081B">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109" w:type="dxa"/>
            <w:noWrap w:val="0"/>
            <w:vAlign w:val="top"/>
          </w:tcPr>
          <w:p w14:paraId="24A8C4D4">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335" w:type="dxa"/>
            <w:noWrap w:val="0"/>
            <w:vAlign w:val="top"/>
          </w:tcPr>
          <w:p w14:paraId="64EF2DAE">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53D0C271">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26E73EA9">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275" w:type="dxa"/>
            <w:vMerge w:val="continue"/>
            <w:noWrap w:val="0"/>
            <w:vAlign w:val="top"/>
          </w:tcPr>
          <w:p w14:paraId="2CC62552">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13AA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75CCA7F1">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109" w:type="dxa"/>
            <w:noWrap w:val="0"/>
            <w:vAlign w:val="top"/>
          </w:tcPr>
          <w:p w14:paraId="6203E409">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335" w:type="dxa"/>
            <w:noWrap w:val="0"/>
            <w:vAlign w:val="top"/>
          </w:tcPr>
          <w:p w14:paraId="7A274752">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56E9FE2C">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14E1E2E8">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275" w:type="dxa"/>
            <w:vMerge w:val="continue"/>
            <w:noWrap w:val="0"/>
            <w:vAlign w:val="top"/>
          </w:tcPr>
          <w:p w14:paraId="4BF8A560">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r w14:paraId="7030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noWrap w:val="0"/>
            <w:vAlign w:val="top"/>
          </w:tcPr>
          <w:p w14:paraId="3A7071E4">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109" w:type="dxa"/>
            <w:noWrap w:val="0"/>
            <w:vAlign w:val="top"/>
          </w:tcPr>
          <w:p w14:paraId="5BCF2AF7">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335" w:type="dxa"/>
            <w:noWrap w:val="0"/>
            <w:vAlign w:val="top"/>
          </w:tcPr>
          <w:p w14:paraId="5684C489">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205" w:type="dxa"/>
            <w:noWrap w:val="0"/>
            <w:vAlign w:val="top"/>
          </w:tcPr>
          <w:p w14:paraId="48BAC728">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1110" w:type="dxa"/>
            <w:vMerge w:val="continue"/>
            <w:noWrap w:val="0"/>
            <w:vAlign w:val="top"/>
          </w:tcPr>
          <w:p w14:paraId="18FF7428">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c>
          <w:tcPr>
            <w:tcW w:w="2275" w:type="dxa"/>
            <w:vMerge w:val="continue"/>
            <w:noWrap w:val="0"/>
            <w:vAlign w:val="top"/>
          </w:tcPr>
          <w:p w14:paraId="4C5C2F2A">
            <w:pPr>
              <w:spacing w:line="560" w:lineRule="exact"/>
              <w:rPr>
                <w:rFonts w:ascii="黑体" w:hAnsi="Times New Roman" w:eastAsia="黑体" w:cs="Times New Roman"/>
                <w:color w:val="000000" w:themeColor="text1"/>
                <w:szCs w:val="21"/>
                <w:highlight w:val="none"/>
                <w14:textFill>
                  <w14:solidFill>
                    <w14:schemeClr w14:val="tx1"/>
                  </w14:solidFill>
                </w14:textFill>
              </w:rPr>
            </w:pPr>
          </w:p>
        </w:tc>
      </w:tr>
    </w:tbl>
    <w:p w14:paraId="18ECCB8C">
      <w:pPr>
        <w:rPr>
          <w:rFonts w:hint="eastAsia"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注：</w:t>
      </w:r>
      <w:r>
        <w:rPr>
          <w:rFonts w:hint="eastAsia" w:ascii="宋体" w:hAnsi="宋体" w:eastAsia="宋体" w:cs="Times New Roman"/>
          <w:b/>
          <w:color w:val="000000" w:themeColor="text1"/>
          <w:szCs w:val="21"/>
          <w:highlight w:val="none"/>
          <w14:textFill>
            <w14:solidFill>
              <w14:schemeClr w14:val="tx1"/>
            </w14:solidFill>
          </w14:textFill>
        </w:rPr>
        <w:t>1. 以有效投标价为基础计算并根据抽取的计算评标基准价的下浮率下浮后确定评标基准价。</w:t>
      </w:r>
    </w:p>
    <w:p w14:paraId="4AA1119D">
      <w:pPr>
        <w:ind w:firstLine="422" w:firstLineChars="200"/>
        <w:rPr>
          <w:rFonts w:hint="eastAsia"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2.使用此表时，对于已经确定为无效报价的，不得在本计算表中列出。</w:t>
      </w:r>
    </w:p>
    <w:p w14:paraId="7778E4EA">
      <w:pPr>
        <w:rPr>
          <w:rFonts w:hint="eastAsia" w:ascii="宋体" w:hAnsi="宋体" w:eastAsia="宋体" w:cs="Times New Roman"/>
          <w:color w:val="000000" w:themeColor="text1"/>
          <w:szCs w:val="21"/>
          <w:highlight w:val="none"/>
          <w14:textFill>
            <w14:solidFill>
              <w14:schemeClr w14:val="tx1"/>
            </w14:solidFill>
          </w14:textFill>
        </w:rPr>
      </w:pPr>
    </w:p>
    <w:p w14:paraId="489E9DC7">
      <w:pP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评标委员会全体评委签名：</w:t>
      </w:r>
    </w:p>
    <w:p w14:paraId="6675BFE1">
      <w:pPr>
        <w:ind w:right="-722" w:rightChars="-344"/>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 xml:space="preserve">招标代理记录：        监督人：         见证人:            </w:t>
      </w:r>
      <w:r>
        <w:rPr>
          <w:rFonts w:hint="eastAsia" w:ascii="宋体" w:hAnsi="宋体" w:eastAsia="宋体" w:cs="Times New Roman"/>
          <w:color w:val="000000" w:themeColor="text1"/>
          <w:kern w:val="0"/>
          <w:highlight w:val="none"/>
          <w14:textFill>
            <w14:solidFill>
              <w14:schemeClr w14:val="tx1"/>
            </w14:solidFill>
          </w14:textFill>
        </w:rPr>
        <w:t>日期：   年   月  日</w:t>
      </w:r>
    </w:p>
    <w:p w14:paraId="740065BE">
      <w:pPr>
        <w:pStyle w:val="4"/>
        <w:rPr>
          <w:rFonts w:hint="eastAsia"/>
          <w:color w:val="000000" w:themeColor="text1"/>
          <w:highlight w:val="none"/>
          <w14:textFill>
            <w14:solidFill>
              <w14:schemeClr w14:val="tx1"/>
            </w14:solidFill>
          </w14:textFill>
        </w:rPr>
      </w:pPr>
    </w:p>
    <w:p w14:paraId="1E65C98C">
      <w:pPr>
        <w:pStyle w:val="2"/>
        <w:rPr>
          <w:rFonts w:ascii="黑体" w:hAnsi="黑体" w:eastAsia="黑体"/>
          <w:color w:val="000000" w:themeColor="text1"/>
          <w:szCs w:val="27"/>
          <w:highlight w:val="none"/>
          <w14:textFill>
            <w14:solidFill>
              <w14:schemeClr w14:val="tx1"/>
            </w14:solidFill>
          </w14:textFill>
        </w:rPr>
      </w:pPr>
      <w:bookmarkStart w:id="431" w:name="_Toc17451115"/>
      <w:bookmarkStart w:id="432" w:name="_Toc25028"/>
      <w:bookmarkStart w:id="433" w:name="_Toc17451592"/>
      <w:bookmarkStart w:id="434" w:name="_Toc17454885"/>
      <w:bookmarkStart w:id="435" w:name="_Toc17454936"/>
      <w:bookmarkStart w:id="436" w:name="_Toc17451637"/>
      <w:bookmarkStart w:id="437" w:name="_Toc17556890"/>
      <w:bookmarkStart w:id="438" w:name="_Toc17452678"/>
      <w:bookmarkStart w:id="439" w:name="_Toc262229174"/>
      <w:r>
        <w:rPr>
          <w:rFonts w:hint="eastAsia"/>
          <w:color w:val="000000" w:themeColor="text1"/>
          <w:highlight w:val="none"/>
          <w14:textFill>
            <w14:solidFill>
              <w14:schemeClr w14:val="tx1"/>
            </w14:solidFill>
          </w14:textFill>
        </w:rPr>
        <w:br w:type="page"/>
      </w:r>
      <w:bookmarkStart w:id="440" w:name="_Toc32083"/>
      <w:bookmarkStart w:id="441" w:name="_Toc18245"/>
      <w:bookmarkStart w:id="442" w:name="_Toc17222"/>
      <w:bookmarkStart w:id="443" w:name="_Toc21765"/>
      <w:bookmarkStart w:id="444" w:name="_Toc11968"/>
      <w:bookmarkStart w:id="445" w:name="_Toc13972"/>
      <w:r>
        <w:rPr>
          <w:rFonts w:hint="eastAsia"/>
          <w:color w:val="000000" w:themeColor="text1"/>
          <w:highlight w:val="none"/>
          <w14:textFill>
            <w14:solidFill>
              <w14:schemeClr w14:val="tx1"/>
            </w14:solidFill>
          </w14:textFill>
        </w:rPr>
        <w:t>第四章 合同条款</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265931A8">
      <w:pPr>
        <w:spacing w:line="360" w:lineRule="auto"/>
        <w:jc w:val="left"/>
        <w:rPr>
          <w:rFonts w:hint="eastAsia" w:ascii="宋体" w:hAnsi="宋体" w:eastAsia="宋体" w:cs="Times New Roman"/>
          <w:color w:val="000000" w:themeColor="text1"/>
          <w:sz w:val="28"/>
          <w:szCs w:val="28"/>
          <w:highlight w:val="none"/>
          <w14:textFill>
            <w14:solidFill>
              <w14:schemeClr w14:val="tx1"/>
            </w14:solidFill>
          </w14:textFill>
        </w:rPr>
      </w:pPr>
    </w:p>
    <w:p w14:paraId="658A206F">
      <w:pPr>
        <w:widowControl/>
        <w:spacing w:line="640" w:lineRule="exact"/>
        <w:jc w:val="left"/>
        <w:rPr>
          <w:rFonts w:ascii="黑体" w:hAnsi="黑体" w:eastAsia="黑体" w:cs="黑体"/>
          <w:color w:val="000000" w:themeColor="text1"/>
          <w:sz w:val="32"/>
          <w:szCs w:val="32"/>
          <w:highlight w:val="none"/>
          <w14:textFill>
            <w14:solidFill>
              <w14:schemeClr w14:val="tx1"/>
            </w14:solidFill>
          </w14:textFill>
        </w:rPr>
      </w:pPr>
    </w:p>
    <w:p w14:paraId="63153DCB">
      <w:pPr>
        <w:widowControl/>
        <w:wordWrap/>
        <w:spacing w:line="640" w:lineRule="exact"/>
        <w:jc w:val="right"/>
        <w:rPr>
          <w:rFonts w:ascii="方正楷体_GBK" w:hAnsi="方正楷体_GBK" w:eastAsia="方正楷体_GBK" w:cs="方正楷体_GBK"/>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【标准文本】合同-SG-202405-01</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t xml:space="preserve">          </w:t>
      </w:r>
    </w:p>
    <w:p w14:paraId="10824CC7">
      <w:pPr>
        <w:tabs>
          <w:tab w:val="left" w:pos="3900"/>
          <w:tab w:val="right" w:pos="10245"/>
        </w:tabs>
        <w:wordWrap w:val="0"/>
        <w:spacing w:line="360" w:lineRule="auto"/>
        <w:jc w:val="left"/>
        <w:rPr>
          <w:rFonts w:ascii="宋体" w:hAnsi="Calibri" w:eastAsia="宋体" w:cs="Times New Roman"/>
          <w:color w:val="000000" w:themeColor="text1"/>
          <w:sz w:val="32"/>
          <w:szCs w:val="32"/>
          <w:highlight w:val="none"/>
          <w:u w:val="single"/>
          <w14:textFill>
            <w14:solidFill>
              <w14:schemeClr w14:val="tx1"/>
            </w14:solidFill>
          </w14:textFill>
        </w:rPr>
      </w:pPr>
    </w:p>
    <w:p w14:paraId="22ACF5A6">
      <w:pPr>
        <w:spacing w:line="360" w:lineRule="auto"/>
        <w:jc w:val="right"/>
        <w:rPr>
          <w:rFonts w:ascii="宋体" w:hAnsi="Calibri" w:eastAsia="宋体" w:cs="Times New Roman"/>
          <w:color w:val="000000" w:themeColor="text1"/>
          <w:sz w:val="32"/>
          <w:szCs w:val="32"/>
          <w:highlight w:val="none"/>
          <w:u w:val="single"/>
          <w14:textFill>
            <w14:solidFill>
              <w14:schemeClr w14:val="tx1"/>
            </w14:solidFill>
          </w14:textFill>
        </w:rPr>
      </w:pPr>
    </w:p>
    <w:p w14:paraId="7F787361">
      <w:pPr>
        <w:spacing w:line="960" w:lineRule="exact"/>
        <w:jc w:val="center"/>
        <w:rPr>
          <w:rFonts w:ascii="方正小标宋简体" w:hAnsi="方正小标宋简体" w:eastAsia="方正小标宋简体" w:cs="方正小标宋简体"/>
          <w:color w:val="000000" w:themeColor="text1"/>
          <w:spacing w:val="-40"/>
          <w:kern w:val="0"/>
          <w:sz w:val="72"/>
          <w:szCs w:val="72"/>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pacing w:val="-40"/>
          <w:kern w:val="0"/>
          <w:sz w:val="72"/>
          <w:szCs w:val="72"/>
          <w:highlight w:val="none"/>
          <w14:textFill>
            <w14:solidFill>
              <w14:schemeClr w14:val="tx1"/>
            </w14:solidFill>
          </w14:textFill>
        </w:rPr>
        <w:t>广州市自来水有限公司</w:t>
      </w:r>
    </w:p>
    <w:p w14:paraId="0F5FD08E">
      <w:pPr>
        <w:spacing w:line="960" w:lineRule="exact"/>
        <w:jc w:val="center"/>
        <w:rPr>
          <w:rFonts w:ascii="方正小标宋简体" w:hAnsi="方正小标宋简体" w:eastAsia="方正小标宋简体" w:cs="方正小标宋简体"/>
          <w:color w:val="000000" w:themeColor="text1"/>
          <w:spacing w:val="-40"/>
          <w:kern w:val="0"/>
          <w:sz w:val="72"/>
          <w:szCs w:val="72"/>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pacing w:val="-40"/>
          <w:kern w:val="0"/>
          <w:sz w:val="72"/>
          <w:szCs w:val="72"/>
          <w:highlight w:val="none"/>
          <w14:textFill>
            <w14:solidFill>
              <w14:schemeClr w14:val="tx1"/>
            </w14:solidFill>
          </w14:textFill>
        </w:rPr>
        <w:t>建设工程施工合同</w:t>
      </w:r>
    </w:p>
    <w:p w14:paraId="50AF2DC1">
      <w:pPr>
        <w:widowControl/>
        <w:spacing w:line="640" w:lineRule="exact"/>
        <w:jc w:val="center"/>
        <w:rPr>
          <w:rFonts w:ascii="方正楷体_GBK" w:hAnsi="方正楷体_GBK" w:eastAsia="方正楷体_GBK" w:cs="方正楷体_GBK"/>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（2024年修订版标准文本，适用于公开招标项目）</w:t>
      </w:r>
    </w:p>
    <w:p w14:paraId="2522F550">
      <w:pPr>
        <w:tabs>
          <w:tab w:val="left" w:pos="1380"/>
        </w:tabs>
        <w:spacing w:line="360" w:lineRule="auto"/>
        <w:rPr>
          <w:rFonts w:ascii="宋体" w:hAnsi="Calibri" w:eastAsia="宋体" w:cs="Times New Roman"/>
          <w:color w:val="000000" w:themeColor="text1"/>
          <w:sz w:val="32"/>
          <w:szCs w:val="32"/>
          <w:highlight w:val="none"/>
          <w14:textFill>
            <w14:solidFill>
              <w14:schemeClr w14:val="tx1"/>
            </w14:solidFill>
          </w14:textFill>
        </w:rPr>
      </w:pPr>
    </w:p>
    <w:p w14:paraId="5B4831D8">
      <w:pPr>
        <w:tabs>
          <w:tab w:val="left" w:pos="1380"/>
        </w:tabs>
        <w:spacing w:line="360" w:lineRule="auto"/>
        <w:rPr>
          <w:rFonts w:ascii="宋体" w:hAnsi="Calibri" w:eastAsia="宋体" w:cs="Times New Roman"/>
          <w:color w:val="000000" w:themeColor="text1"/>
          <w:sz w:val="32"/>
          <w:szCs w:val="32"/>
          <w:highlight w:val="none"/>
          <w14:textFill>
            <w14:solidFill>
              <w14:schemeClr w14:val="tx1"/>
            </w14:solidFill>
          </w14:textFill>
        </w:rPr>
      </w:pPr>
      <w:r>
        <w:rPr>
          <w:rFonts w:ascii="宋体" w:hAnsi="Calibri" w:eastAsia="宋体" w:cs="Times New Roman"/>
          <w:color w:val="000000" w:themeColor="text1"/>
          <w:sz w:val="32"/>
          <w:szCs w:val="32"/>
          <w:highlight w:val="none"/>
          <w14:textFill>
            <w14:solidFill>
              <w14:schemeClr w14:val="tx1"/>
            </w14:solidFill>
          </w14:textFill>
        </w:rPr>
        <w:tab/>
      </w:r>
    </w:p>
    <w:p w14:paraId="1BFA9784">
      <w:pPr>
        <w:spacing w:line="640" w:lineRule="exact"/>
        <w:ind w:firstLine="1699" w:firstLineChars="531"/>
        <w:rPr>
          <w:rFonts w:ascii="仿宋" w:hAnsi="仿宋" w:eastAsia="仿宋" w:cs="Times New Roman"/>
          <w:color w:val="000000" w:themeColor="text1"/>
          <w:sz w:val="32"/>
          <w:szCs w:val="32"/>
          <w:highlight w:val="none"/>
          <w:u w:val="single"/>
          <w14:textFill>
            <w14:solidFill>
              <w14:schemeClr w14:val="tx1"/>
            </w14:solidFill>
          </w14:textFill>
        </w:rPr>
      </w:pPr>
    </w:p>
    <w:p w14:paraId="6A67E6AC">
      <w:pPr>
        <w:spacing w:line="640" w:lineRule="exact"/>
        <w:jc w:val="left"/>
        <w:rPr>
          <w:rFonts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工程名称：</w:t>
      </w:r>
      <w:permStart w:id="0" w:edGrp="everyone"/>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2024年中区片区内街管网改造工程（北京南等8个片区）施工总承包项目</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permEnd w:id="0"/>
    </w:p>
    <w:p w14:paraId="782ECFF1">
      <w:pPr>
        <w:spacing w:before="240" w:beforeLines="100" w:after="120" w:afterLines="50"/>
        <w:jc w:val="left"/>
        <w:rPr>
          <w:rFonts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工程地点：</w:t>
      </w:r>
      <w:permStart w:id="1" w:edGrp="everyone"/>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广州市越秀区北京南片、长兴直街片、状元坊片、越秀区云台里片、越秀区广九大马路片、荔湾区南岸埗头片、荔湾区东风小区片、天河区水荫四横路片</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permEnd w:id="1"/>
    </w:p>
    <w:p w14:paraId="12197FAF">
      <w:pPr>
        <w:spacing w:line="640" w:lineRule="exact"/>
        <w:jc w:val="left"/>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发 包 人：</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广州市自来水有限公司   </w:t>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w:t>
      </w:r>
    </w:p>
    <w:p w14:paraId="62B81E70">
      <w:pPr>
        <w:spacing w:line="640" w:lineRule="exact"/>
        <w:jc w:val="left"/>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承 包 人：</w:t>
      </w:r>
      <w:permStart w:id="2" w:edGrp="everyone"/>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permEnd w:id="2"/>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w:t>
      </w:r>
    </w:p>
    <w:p w14:paraId="789C759C">
      <w:pPr>
        <w:spacing w:line="640" w:lineRule="exact"/>
        <w:jc w:val="left"/>
        <w:rPr>
          <w:rFonts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合同编号：</w:t>
      </w:r>
      <w:permStart w:id="3" w:edGrp="everyone"/>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permEnd w:id="3"/>
    </w:p>
    <w:p w14:paraId="3C91E6E5">
      <w:pPr>
        <w:spacing w:line="640" w:lineRule="exact"/>
        <w:ind w:firstLine="1680" w:firstLineChars="600"/>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w:t>
      </w:r>
    </w:p>
    <w:p w14:paraId="3B84E048">
      <w:pPr>
        <w:spacing w:line="240" w:lineRule="atLeast"/>
        <w:jc w:val="center"/>
        <w:rPr>
          <w:rFonts w:ascii="方正楷体_GBK" w:hAnsi="方正楷体_GBK" w:eastAsia="方正楷体_GBK" w:cs="方正楷体_GBK"/>
          <w:b/>
          <w:bCs/>
          <w:color w:val="000000" w:themeColor="text1"/>
          <w:spacing w:val="20"/>
          <w:sz w:val="28"/>
          <w:szCs w:val="28"/>
          <w:highlight w:val="none"/>
          <w14:textFill>
            <w14:solidFill>
              <w14:schemeClr w14:val="tx1"/>
            </w14:solidFill>
          </w14:textFill>
        </w:rPr>
      </w:pPr>
    </w:p>
    <w:p w14:paraId="4EEDE096">
      <w:pPr>
        <w:widowControl/>
        <w:spacing w:line="360" w:lineRule="auto"/>
        <w:jc w:val="left"/>
        <w:rPr>
          <w:rFonts w:hint="eastAsia" w:ascii="宋体" w:cs="Times New Roman"/>
          <w:b/>
          <w:bCs/>
          <w:color w:val="000000" w:themeColor="text1"/>
          <w:spacing w:val="80"/>
          <w:kern w:val="0"/>
          <w:sz w:val="36"/>
          <w:szCs w:val="36"/>
          <w:highlight w:val="none"/>
          <w14:textFill>
            <w14:solidFill>
              <w14:schemeClr w14:val="tx1"/>
            </w14:solidFill>
          </w14:textFill>
        </w:rPr>
        <w:sectPr>
          <w:endnotePr>
            <w:numFmt w:val="decimal"/>
          </w:endnotePr>
          <w:pgSz w:w="11905" w:h="16838"/>
          <w:pgMar w:top="1440" w:right="1800" w:bottom="1440" w:left="1800" w:header="0" w:footer="567" w:gutter="0"/>
          <w:pgNumType w:fmt="decimal"/>
          <w:cols w:space="720" w:num="1"/>
          <w:rtlGutter w:val="0"/>
          <w:docGrid w:linePitch="1" w:charSpace="0"/>
        </w:sectPr>
      </w:pPr>
    </w:p>
    <w:p w14:paraId="5FB1DA6B">
      <w:pPr>
        <w:widowControl/>
        <w:spacing w:line="420" w:lineRule="exact"/>
        <w:jc w:val="left"/>
        <w:rPr>
          <w:rFonts w:hint="eastAsia" w:ascii="宋体" w:hAnsi="宋体" w:eastAsia="宋体" w:cs="宋体"/>
          <w:color w:val="000000" w:themeColor="text1"/>
          <w:sz w:val="22"/>
          <w:szCs w:val="22"/>
          <w:highlight w:val="none"/>
          <w14:textFill>
            <w14:solidFill>
              <w14:schemeClr w14:val="tx1"/>
            </w14:solidFill>
          </w14:textFill>
        </w:rPr>
      </w:pPr>
    </w:p>
    <w:p w14:paraId="657A9D58">
      <w:pPr>
        <w:keepNext/>
        <w:keepLines/>
        <w:widowControl w:val="0"/>
        <w:spacing w:before="0" w:after="0" w:line="420" w:lineRule="exact"/>
        <w:ind w:left="0" w:firstLine="0"/>
        <w:jc w:val="center"/>
        <w:outlineLvl w:val="9"/>
        <w:rPr>
          <w:rFonts w:hint="eastAsia" w:ascii="方正小标宋简体" w:hAnsi="方正小标宋简体" w:eastAsia="方正小标宋简体" w:cs="方正小标宋简体"/>
          <w:b w:val="0"/>
          <w:bCs w:val="0"/>
          <w:color w:val="000000" w:themeColor="text1"/>
          <w:kern w:val="44"/>
          <w:sz w:val="32"/>
          <w:szCs w:val="32"/>
          <w:highlight w:val="none"/>
          <w:lang w:val="zh-CN" w:eastAsia="zh-CN" w:bidi="ar-SA"/>
          <w14:textFill>
            <w14:solidFill>
              <w14:schemeClr w14:val="tx1"/>
            </w14:solidFill>
          </w14:textFill>
        </w:rPr>
      </w:pPr>
      <w:bookmarkStart w:id="446" w:name="_Toc5233"/>
      <w:bookmarkStart w:id="447" w:name="_Toc25498"/>
      <w:bookmarkStart w:id="448" w:name="_Toc28212"/>
      <w:r>
        <w:rPr>
          <w:rFonts w:hint="eastAsia" w:ascii="方正小标宋简体" w:hAnsi="方正小标宋简体" w:eastAsia="方正小标宋简体" w:cs="方正小标宋简体"/>
          <w:b w:val="0"/>
          <w:bCs w:val="0"/>
          <w:color w:val="000000" w:themeColor="text1"/>
          <w:kern w:val="44"/>
          <w:sz w:val="32"/>
          <w:szCs w:val="32"/>
          <w:highlight w:val="none"/>
          <w:lang w:val="zh-CN" w:eastAsia="zh-CN" w:bidi="ar-SA"/>
          <w14:textFill>
            <w14:solidFill>
              <w14:schemeClr w14:val="tx1"/>
            </w14:solidFill>
          </w14:textFill>
        </w:rPr>
        <w:t>总  说  明</w:t>
      </w:r>
      <w:bookmarkEnd w:id="446"/>
      <w:bookmarkEnd w:id="447"/>
      <w:bookmarkEnd w:id="448"/>
    </w:p>
    <w:p w14:paraId="66F3FFF2">
      <w:pPr>
        <w:spacing w:line="420" w:lineRule="exact"/>
        <w:rPr>
          <w:rFonts w:ascii="宋体" w:hAnsi="宋体" w:eastAsia="宋体" w:cs="宋体"/>
          <w:color w:val="000000" w:themeColor="text1"/>
          <w:sz w:val="22"/>
          <w:szCs w:val="22"/>
          <w:highlight w:val="none"/>
          <w:lang w:val="zh-CN"/>
          <w14:textFill>
            <w14:solidFill>
              <w14:schemeClr w14:val="tx1"/>
            </w14:solidFill>
          </w14:textFill>
        </w:rPr>
      </w:pPr>
    </w:p>
    <w:p w14:paraId="01AD59CF">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为了指导建设工程施工合同当事人的签约行为，维护合同当事人的合法权益，依据《中华人民共和国民法典》《中华人民共和国建筑法》《中华人民共和国招标投标法》以及相关法律法规，参照《建设工程施工合同（示范文本）》（GF—2017—0201）《广东省建设工程标准施工合同（2009年版）》《广州市建设工程施工合同》（SF-2019-0204）等合同范本，制定了广州市自来水有限公司施工合同示范文本。为了便于合同当事人使用《广州市自来水有限公司建设工程施工合同（2024年修订版标准文本，适用于公开招标项目）》（【标准文本】合同-SG-202405-01），现就有关问题说明如下：</w:t>
      </w:r>
    </w:p>
    <w:p w14:paraId="23DB06B0">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一、《广州市自来水有限公司建设工程施工合同（2024年修订版标准文本，适用于公开招标项目）》（【标准文本】合同-SG-202405-01）由协议书、通用条款和专用条款三部分组成。</w:t>
      </w:r>
    </w:p>
    <w:p w14:paraId="075FA784">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（一）协议书</w:t>
      </w:r>
    </w:p>
    <w:p w14:paraId="088E59EC">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协议书集中约定了合同当事人基本的合同权利义务。</w:t>
      </w:r>
    </w:p>
    <w:p w14:paraId="0F54B400">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（二）通用条款</w:t>
      </w:r>
    </w:p>
    <w:p w14:paraId="445AB43C">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通用条款是合同当事人根据《中华人民共和国民法典》《中华人民共和国建筑法》等法律法规的规定，就工程施工的实施及相关事项，对合同当事人的权利义务作出的原则性约定。</w:t>
      </w:r>
    </w:p>
    <w:p w14:paraId="64928DC7">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通用条款既考虑了现行法律法规对工程发承包计价的有关要求，也考虑了工程施工管理的特殊需要。</w:t>
      </w:r>
    </w:p>
    <w:p w14:paraId="6A1EE6F0">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（三）专用条款</w:t>
      </w:r>
    </w:p>
    <w:p w14:paraId="64454710">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专用条款是对通用条款原则性约定的细化、完善、补充、修改或另行约定的条款。合同承办单位可以根据不同建设工程的特点及发承包计价的具体情况，通过双方的谈判、协商对相应的专用条款进行修改补充。在使用专用条款时，应注意以下事项：</w:t>
      </w:r>
    </w:p>
    <w:p w14:paraId="7501B3E1">
      <w:pPr>
        <w:spacing w:line="420" w:lineRule="exact"/>
        <w:ind w:right="25" w:rightChars="12"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1.专用条款的编号应与相应的通用条款的编号一致；</w:t>
      </w:r>
    </w:p>
    <w:p w14:paraId="5E257B5C">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2.合同当事人可以通过对专用条款的修改，满足具体工程的特殊要求，避免直接修改通用条款；</w:t>
      </w:r>
    </w:p>
    <w:p w14:paraId="78559EE7">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3.在专用条款中有横道线的地方，合同当事人可针对相应的通用条款进行细化、完善、补充、修改或另行约定；如无细化、完善、补充、修改或另行约定，则填写“无”或划“/”。</w:t>
      </w:r>
    </w:p>
    <w:p w14:paraId="7F2C01A5">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4.文本开头带“</w:t>
      </w:r>
      <w:r>
        <w:rPr>
          <w:rFonts w:hint="eastAsia" w:ascii="仿宋_GB2312" w:hAnsi="仿宋_GB2312" w:eastAsia="仿宋_GB2312" w:cs="仿宋_GB2312"/>
          <w:color w:val="000000" w:themeColor="text1"/>
          <w:sz w:val="24"/>
          <w:szCs w:val="24"/>
          <w:highlight w:val="none"/>
          <w:u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”的条款为选择性条款，由合同承办单位根据工程项目的具体特点和实际在“</w:t>
      </w:r>
      <w:r>
        <w:rPr>
          <w:rFonts w:hint="eastAsia" w:ascii="仿宋_GB2312" w:hAnsi="仿宋_GB2312" w:eastAsia="仿宋_GB2312" w:cs="仿宋_GB2312"/>
          <w:color w:val="000000" w:themeColor="text1"/>
          <w:sz w:val="24"/>
          <w:szCs w:val="24"/>
          <w:highlight w:val="none"/>
          <w:u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”内打“√”或打“×”。</w:t>
      </w:r>
    </w:p>
    <w:p w14:paraId="79D4D5C3">
      <w:pPr>
        <w:spacing w:line="420" w:lineRule="exact"/>
        <w:ind w:firstLine="480"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二、《广州市自来水有限公司建设工程施工合同（2024年修订版标准文本，适用于公开招标项目）》（【标准文本】合同-SG-202405-01）的适用范围</w:t>
      </w:r>
    </w:p>
    <w:p w14:paraId="72C2B834">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广州市自来水有限公司建设工程施工合同（2024年修订版标准文本，适用于公开招标项目）》（【标准文本】合同-SG-202405-01）适用于公司建设工程（非EPC)的新建、扩建、改建、装修、修缮等施工项目的合同订立。其中，通用条款中带</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自来水有限公司建设工程施工合同（2024年修订版标准文本，适用于公开招标项目）》（【标准文本】合同-SG-202405-01）的内容，约定双方具体的权利义务。</w:t>
      </w:r>
    </w:p>
    <w:p w14:paraId="72AAEB2B">
      <w:pPr>
        <w:spacing w:line="420" w:lineRule="exact"/>
        <w:ind w:firstLine="616" w:firstLineChars="25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三、其他事项</w:t>
      </w:r>
    </w:p>
    <w:p w14:paraId="5333053B">
      <w:pPr>
        <w:spacing w:line="420" w:lineRule="exact"/>
        <w:ind w:firstLine="616" w:firstLineChars="25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广州市自来水有限公司建设工程施工合同（2024年修订版标准文本，适用于公开招标项目）》（【标准文本】合同-SG-202405-01）专用条款中的“预付款”、“进度款”、“竣工结算”条款，在签订合同时优先选择本合同中已列的支付条件、支付方式，如选择“其它方式”或“另作约定”形式的，需以合同附件的形式予以说明原因。</w:t>
      </w:r>
    </w:p>
    <w:p w14:paraId="430F8272">
      <w:pPr>
        <w:spacing w:line="420" w:lineRule="exact"/>
        <w:ind w:firstLine="616" w:firstLineChars="25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广州市自来水有限公司建设工程施工合同（2024年修订版标准文本，适用于公开招标项目）》（【标准文本】合同-SG-202405-01）附件格式为通用表格，如为公司市政工程项目的，须统一使用广东省市政行业协议组织编写的《广东省市政基础设施工程竣工验收技术资料统一用表(2019版)》及其最新印发版本。</w:t>
      </w:r>
    </w:p>
    <w:p w14:paraId="2BC1AA25">
      <w:pPr>
        <w:rPr>
          <w:rFonts w:ascii="Calibri" w:hAnsi="Calibri" w:eastAsia="宋体" w:cs="Calibri"/>
          <w:color w:val="000000" w:themeColor="text1"/>
          <w:szCs w:val="21"/>
          <w:highlight w:val="none"/>
          <w14:textFill>
            <w14:solidFill>
              <w14:schemeClr w14:val="tx1"/>
            </w14:solidFill>
          </w14:textFill>
        </w:rPr>
      </w:pPr>
    </w:p>
    <w:p w14:paraId="6D4FFF69">
      <w:pPr>
        <w:widowControl/>
        <w:spacing w:beforeAutospacing="1" w:afterAutospacing="1" w:line="420" w:lineRule="exact"/>
        <w:jc w:val="left"/>
        <w:rPr>
          <w:rFonts w:ascii="宋体" w:hAnsi="宋体" w:cs="宋体"/>
          <w:color w:val="000000" w:themeColor="text1"/>
          <w:kern w:val="0"/>
          <w:sz w:val="22"/>
          <w:szCs w:val="22"/>
          <w:highlight w:val="none"/>
          <w14:textFill>
            <w14:solidFill>
              <w14:schemeClr w14:val="tx1"/>
            </w14:solidFill>
          </w14:textFill>
        </w:rPr>
        <w:sectPr>
          <w:footerReference r:id="rId10" w:type="first"/>
          <w:footerReference r:id="rId9" w:type="default"/>
          <w:endnotePr>
            <w:numFmt w:val="decimal"/>
          </w:endnotePr>
          <w:pgSz w:w="11905" w:h="16838"/>
          <w:pgMar w:top="1440" w:right="1800" w:bottom="1440" w:left="1800" w:header="0" w:footer="0" w:gutter="0"/>
          <w:pgNumType w:fmt="decimal"/>
          <w:cols w:space="720" w:num="1"/>
          <w:titlePg/>
          <w:rtlGutter w:val="0"/>
          <w:docGrid w:linePitch="286" w:charSpace="0"/>
        </w:sectPr>
      </w:pPr>
    </w:p>
    <w:p w14:paraId="6BED4006">
      <w:pPr>
        <w:widowControl/>
        <w:spacing w:line="420" w:lineRule="exact"/>
        <w:jc w:val="left"/>
        <w:rPr>
          <w:rFonts w:ascii="宋体" w:hAnsi="宋体" w:eastAsia="宋体" w:cs="宋体"/>
          <w:color w:val="000000" w:themeColor="text1"/>
          <w:sz w:val="22"/>
          <w:szCs w:val="22"/>
          <w:highlight w:val="none"/>
          <w14:textFill>
            <w14:solidFill>
              <w14:schemeClr w14:val="tx1"/>
            </w14:solidFill>
          </w14:textFill>
        </w:rPr>
      </w:pPr>
    </w:p>
    <w:p w14:paraId="206BA191">
      <w:pPr>
        <w:spacing w:line="420" w:lineRule="exact"/>
        <w:jc w:val="center"/>
        <w:outlineLvl w:val="0"/>
        <w:rPr>
          <w:rFonts w:hint="eastAsia" w:ascii="方正小标宋简体" w:hAnsi="方正小标宋简体" w:eastAsia="方正小标宋简体" w:cs="方正小标宋简体"/>
          <w:b w:val="0"/>
          <w:bCs w:val="0"/>
          <w:color w:val="000000" w:themeColor="text1"/>
          <w:sz w:val="32"/>
          <w:szCs w:val="32"/>
          <w:highlight w:val="none"/>
          <w14:textFill>
            <w14:solidFill>
              <w14:schemeClr w14:val="tx1"/>
            </w14:solidFill>
          </w14:textFill>
        </w:rPr>
      </w:pPr>
      <w:bookmarkStart w:id="449" w:name="_Toc17487"/>
      <w:bookmarkStart w:id="450" w:name="_Toc24167"/>
      <w:bookmarkStart w:id="451" w:name="_Toc28288"/>
      <w:bookmarkStart w:id="452" w:name="_Toc29268"/>
      <w:bookmarkStart w:id="453" w:name="_Toc1380"/>
      <w:bookmarkStart w:id="454" w:name="_Toc32342"/>
      <w:r>
        <w:rPr>
          <w:rFonts w:hint="eastAsia" w:ascii="方正小标宋简体" w:hAnsi="方正小标宋简体" w:eastAsia="方正小标宋简体" w:cs="方正小标宋简体"/>
          <w:b w:val="0"/>
          <w:bCs w:val="0"/>
          <w:color w:val="000000" w:themeColor="text1"/>
          <w:sz w:val="32"/>
          <w:szCs w:val="32"/>
          <w:highlight w:val="none"/>
          <w14:textFill>
            <w14:solidFill>
              <w14:schemeClr w14:val="tx1"/>
            </w14:solidFill>
          </w14:textFill>
        </w:rPr>
        <w:t>第一部分  协  议  书</w:t>
      </w:r>
      <w:bookmarkEnd w:id="449"/>
      <w:bookmarkEnd w:id="450"/>
      <w:bookmarkEnd w:id="451"/>
      <w:bookmarkEnd w:id="452"/>
      <w:bookmarkEnd w:id="453"/>
      <w:bookmarkEnd w:id="454"/>
    </w:p>
    <w:p w14:paraId="5AEE3E60">
      <w:pPr>
        <w:spacing w:line="420" w:lineRule="exact"/>
        <w:jc w:val="center"/>
        <w:rPr>
          <w:rFonts w:ascii="宋体" w:hAnsi="宋体" w:eastAsia="宋体" w:cs="宋体"/>
          <w:color w:val="000000" w:themeColor="text1"/>
          <w:sz w:val="22"/>
          <w:szCs w:val="22"/>
          <w:highlight w:val="none"/>
          <w14:textFill>
            <w14:solidFill>
              <w14:schemeClr w14:val="tx1"/>
            </w14:solidFill>
          </w14:textFill>
        </w:rPr>
      </w:pPr>
    </w:p>
    <w:p w14:paraId="79F37FA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3AE2464">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发包人:（全称）</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广州市自来水有限公司  </w:t>
      </w:r>
    </w:p>
    <w:p w14:paraId="507743CB">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承包人:（全称）</w:t>
      </w:r>
      <w:permStart w:id="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4"/>
    </w:p>
    <w:p w14:paraId="4AE18888">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C44D493">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依照《中华人民共和国民法典》、《中华人民共和国建筑法》及其他有关法律法规，遵循平等、自愿、公平和诚实信用的原则，双方就合同工程施工有关事项达成一致意见，订立本合同。</w:t>
      </w:r>
    </w:p>
    <w:p w14:paraId="0BE98426">
      <w:pPr>
        <w:spacing w:line="420" w:lineRule="exact"/>
        <w:outlineLvl w:val="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4295B987">
      <w:pPr>
        <w:spacing w:line="420" w:lineRule="exact"/>
        <w:outlineLvl w:val="1"/>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455" w:name="_Toc5642"/>
      <w:bookmarkStart w:id="456" w:name="_Toc2826"/>
      <w:bookmarkStart w:id="457" w:name="_Toc15835"/>
      <w:r>
        <w:rPr>
          <w:rFonts w:hint="eastAsia" w:ascii="黑体" w:hAnsi="黑体" w:eastAsia="黑体" w:cs="黑体"/>
          <w:b w:val="0"/>
          <w:bCs w:val="0"/>
          <w:color w:val="000000" w:themeColor="text1"/>
          <w:sz w:val="24"/>
          <w:szCs w:val="24"/>
          <w:highlight w:val="none"/>
          <w14:textFill>
            <w14:solidFill>
              <w14:schemeClr w14:val="tx1"/>
            </w14:solidFill>
          </w14:textFill>
        </w:rPr>
        <w:t>一、工程概况</w:t>
      </w:r>
      <w:bookmarkEnd w:id="455"/>
      <w:bookmarkEnd w:id="456"/>
      <w:bookmarkEnd w:id="457"/>
    </w:p>
    <w:p w14:paraId="7AF1B3C7">
      <w:pPr>
        <w:spacing w:line="420" w:lineRule="exact"/>
        <w:ind w:firstLine="480" w:firstLineChars="200"/>
        <w:jc w:val="both"/>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1.1立项批文编号或广东省企业基本建设投资项目备案证备案项目编号</w:t>
      </w:r>
      <w:permStart w:id="5" w:edGrp="everyone"/>
    </w:p>
    <w:p w14:paraId="66A961DD">
      <w:pPr>
        <w:spacing w:line="420" w:lineRule="exact"/>
        <w:ind w:firstLine="0" w:firstLineChars="0"/>
        <w:jc w:val="both"/>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u w:val="single"/>
          <w:shd w:val="clear" w:color="auto" w:fill="auto"/>
          <w:lang w:val="en-US" w:eastAsia="zh-CN"/>
          <w14:textFill>
            <w14:solidFill>
              <w14:schemeClr w14:val="tx1"/>
            </w14:solidFill>
          </w14:textFill>
        </w:rPr>
        <w:t>2505-440100-04-02-451586</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5"/>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CEFA8F4">
      <w:pPr>
        <w:spacing w:line="420" w:lineRule="exact"/>
        <w:ind w:firstLine="480"/>
        <w:rPr>
          <w:rFonts w:hint="default" w:ascii="仿宋_GB2312" w:hAnsi="仿宋_GB2312" w:eastAsia="仿宋_GB2312" w:cs="仿宋_GB2312"/>
          <w:color w:val="000000" w:themeColor="text1"/>
          <w:sz w:val="24"/>
          <w:szCs w:val="24"/>
          <w:highlight w:val="none"/>
          <w:u w:val="single"/>
          <w:lang w:val="en-US"/>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1.2项目名称：</w:t>
      </w:r>
      <w:permStart w:id="6" w:edGrp="everyone"/>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2024年中区片区内街管网改造工程（北京南等8个片区）施工总承包项目</w:t>
      </w:r>
      <w:permEnd w:id="6"/>
    </w:p>
    <w:p w14:paraId="228A3557">
      <w:pPr>
        <w:spacing w:line="420" w:lineRule="exact"/>
        <w:ind w:firstLine="48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1.3工程规模：</w:t>
      </w:r>
      <w:permStart w:id="7" w:edGrp="everyone"/>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新建DN400-15管约61670米：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新建DN400管</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1395</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、DN300管</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2583</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、DN200管</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5120</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、DN150管</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4945</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、DN100管</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7765</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、DN50管</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19317</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、DN40管</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2239</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、DN25管</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1515</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、DN20管</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13299</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、DN15管</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3492</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；DN400阀门1个、DN300阀门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30</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个、DN200阀门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56</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个、DN150阀门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85</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个、DN100阀门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247</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个、DN50阀门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933</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个；DN100消火栓</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78</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组；新建DN400电磁流量计1组、DN300超声波水表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14</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组、DN200超声波水表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14</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组、DN150超声波水表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组、DN100超声波水表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组；</w:t>
      </w:r>
    </w:p>
    <w:p w14:paraId="00E0E23D">
      <w:pPr>
        <w:spacing w:line="420" w:lineRule="exact"/>
        <w:ind w:firstLine="48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迁移DN50水表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232</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组、DN40水表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240</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组、DN25水表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226</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组、DN20水表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1066</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组、DN15水表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1870</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组</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7"/>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2D2FC44">
      <w:pPr>
        <w:spacing w:line="420" w:lineRule="exact"/>
        <w:ind w:firstLine="48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1.4资金来源：</w:t>
      </w:r>
      <w:permStart w:id="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 xml:space="preserve">企业自筹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2F218A1E">
      <w:pPr>
        <w:spacing w:line="420" w:lineRule="exact"/>
        <w:ind w:firstLine="48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1.5其他：</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563363AF">
      <w:pPr>
        <w:spacing w:line="420" w:lineRule="exact"/>
        <w:outlineLvl w:val="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3329C4EF">
      <w:pPr>
        <w:spacing w:line="420" w:lineRule="exact"/>
        <w:outlineLvl w:val="1"/>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458" w:name="_Toc970"/>
      <w:bookmarkStart w:id="459" w:name="_Toc2194"/>
      <w:bookmarkStart w:id="460" w:name="_Toc6695"/>
      <w:r>
        <w:rPr>
          <w:rFonts w:hint="eastAsia" w:ascii="黑体" w:hAnsi="黑体" w:eastAsia="黑体" w:cs="黑体"/>
          <w:b w:val="0"/>
          <w:bCs w:val="0"/>
          <w:color w:val="000000" w:themeColor="text1"/>
          <w:sz w:val="24"/>
          <w:szCs w:val="24"/>
          <w:highlight w:val="none"/>
          <w14:textFill>
            <w14:solidFill>
              <w14:schemeClr w14:val="tx1"/>
            </w14:solidFill>
          </w14:textFill>
        </w:rPr>
        <w:t>二、工程内容、承包范围与承包方式</w:t>
      </w:r>
      <w:bookmarkEnd w:id="458"/>
      <w:bookmarkEnd w:id="459"/>
      <w:bookmarkEnd w:id="460"/>
    </w:p>
    <w:p w14:paraId="59818CBC">
      <w:pPr>
        <w:spacing w:line="420" w:lineRule="exact"/>
        <w:ind w:firstLine="523" w:firstLineChars="218"/>
        <w:outlineLvl w:val="9"/>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2.1工程内容与承包范围:</w:t>
      </w:r>
      <w:permStart w:id="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82E531E">
      <w:pPr>
        <w:spacing w:line="420" w:lineRule="exact"/>
        <w:ind w:firstLine="523" w:firstLineChars="218"/>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（1）本工程施工范围包括但不限于本项目施工图纸内的施工内容，</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包括实施供水管道基坑开挖、支护、沟槽回填、管道吊放、管道安装、开叉接驳、试压、冲洗、消毒；路面修复、临时路面修复、交通疏解、现状设施查探及地下管线保护、土建施工。具体工作量以经审图单位审查的施工图设计文件及工程量清单为准。</w:t>
      </w:r>
    </w:p>
    <w:p w14:paraId="0ABD8E4F">
      <w:pPr>
        <w:spacing w:line="420" w:lineRule="exact"/>
        <w:ind w:firstLine="523" w:firstLineChars="218"/>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承包单位应做好本项目施工图纸内的所有工程内容的施工（包工、包料（除甲供材料外）、包安装、包工期、包质量、采取有效措施不发生安全事故、包文明施工、包劳保、包验收、包保修。包承包范围内工程验收通过、包移交、包结算、包资料整理、包施工承包管理和现场整体组织、包专业协调及配合等）；本项目施工范围内安全文明措施、道路安全评估、交通疏解、路面修复、耗水费代缴、土建、设备安装施工、完工验收、结算、保修、竣工验收、档案资料移交等施工过程管理，绿化树木保护，绘制竣工图，负责与本项目相关的沟通协调等工作、报批报建配合，竣工备案等。</w:t>
      </w:r>
    </w:p>
    <w:p w14:paraId="29DED2B2">
      <w:pPr>
        <w:spacing w:line="420" w:lineRule="exact"/>
        <w:ind w:firstLine="523" w:firstLineChars="218"/>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（2）</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本项目在施工过程中，如遇燃气、电力通信、航道、石油、地铁等重点设施，应积极协调对应的管理部门，开展安全评估及施工过程中的监测等工作，配合管线迁改及迁移等施工过程管理，相关费用</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由</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承包人</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综合考虑在投标报价的下浮率中，不再单独计取</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w:t>
      </w:r>
    </w:p>
    <w:p w14:paraId="02D9ED9C">
      <w:pPr>
        <w:spacing w:line="420" w:lineRule="exact"/>
        <w:ind w:firstLine="523" w:firstLineChars="218"/>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（3）开工前准备：</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①承包人应做好施工放线工作，做好地下管线会签交底。②负责编制交通疏导方案（含交通疏导流量评估）报项目所在交通管理部门审批并取得批复意见，配合道路安全评价单位根据道路行政管理部门的要求进行道路安全评估并出具项目涉路、桥梁、隧道、地铁等安全评估报告，取得本项目涉路、桥梁、隧道、地铁等权属单位的意见。③按照所属道路行政管理部门要求，编制符合要求的专项施工组织方案、路面修复方案等，报所属道路行政管理部门，并取得项目占道挖掘申请等行政许可。④承包人负责办理本项目质量登记监督备案及并办理取得项目监管部门的开工批复。⑤项目涉及地铁、河涌、城市绿化范围的，承包人应配合编制专项评估及保护方案，完善开工前准备工作。⑥承包人应做好各项水务质监在建工地的视频监控等信息化建设，落实扬尘防治六个百分百要求，落实海绵城市建设等要求，落实行政部门关于安全文明施工、标准化围蔽、疫情防控等要求。相关费用</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由</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承包人</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综合考虑在投标报价的下浮率中，不再单独计取</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w:t>
      </w:r>
    </w:p>
    <w:p w14:paraId="36BC8E11">
      <w:pPr>
        <w:spacing w:line="420" w:lineRule="exact"/>
        <w:ind w:firstLine="523" w:firstLineChars="218"/>
        <w:rPr>
          <w:color w:val="000000" w:themeColor="text1"/>
          <w:highlight w:val="none"/>
          <w14:textFill>
            <w14:solidFill>
              <w14:schemeClr w14:val="tx1"/>
            </w14:solidFill>
          </w14:textFill>
        </w:rPr>
      </w:pPr>
      <w:bookmarkStart w:id="461" w:name="OLE_LINK2"/>
      <w:r>
        <w:rPr>
          <w:rFonts w:hint="eastAsia" w:ascii="仿宋_GB2312" w:hAnsi="仿宋_GB2312" w:eastAsia="仿宋_GB2312" w:cs="仿宋_GB2312"/>
          <w:i w:val="0"/>
          <w:iCs w:val="0"/>
          <w:caps w:val="0"/>
          <w:color w:val="000000" w:themeColor="text1"/>
          <w:spacing w:val="0"/>
          <w:sz w:val="24"/>
          <w:szCs w:val="24"/>
          <w:highlight w:val="none"/>
          <w:shd w:val="clear" w:color="auto" w:fill="auto"/>
          <w:lang w:val="en-US" w:eastAsia="zh-CN"/>
          <w14:textFill>
            <w14:solidFill>
              <w14:schemeClr w14:val="tx1"/>
            </w14:solidFill>
          </w14:textFill>
        </w:rPr>
        <w:t>对于</w:t>
      </w:r>
      <w:r>
        <w:rPr>
          <w:rFonts w:hint="eastAsia" w:ascii="仿宋_GB2312" w:hAnsi="仿宋_GB2312" w:eastAsia="仿宋_GB2312" w:cs="仿宋_GB2312"/>
          <w:i w:val="0"/>
          <w:iCs w:val="0"/>
          <w:caps w:val="0"/>
          <w:color w:val="000000" w:themeColor="text1"/>
          <w:spacing w:val="0"/>
          <w:sz w:val="24"/>
          <w:szCs w:val="24"/>
          <w:highlight w:val="none"/>
          <w:shd w:val="clear" w:color="auto" w:fill="auto"/>
          <w14:textFill>
            <w14:solidFill>
              <w14:schemeClr w14:val="tx1"/>
            </w14:solidFill>
          </w14:textFill>
        </w:rPr>
        <w:t>超过一定规模</w:t>
      </w:r>
      <w:r>
        <w:rPr>
          <w:rFonts w:hint="eastAsia" w:ascii="仿宋_GB2312" w:hAnsi="仿宋_GB2312" w:eastAsia="仿宋_GB2312" w:cs="仿宋_GB2312"/>
          <w:i w:val="0"/>
          <w:iCs w:val="0"/>
          <w:caps w:val="0"/>
          <w:color w:val="000000" w:themeColor="text1"/>
          <w:spacing w:val="0"/>
          <w:sz w:val="24"/>
          <w:szCs w:val="24"/>
          <w:highlight w:val="none"/>
          <w:shd w:val="clear" w:color="auto" w:fill="auto"/>
          <w:lang w:val="en-US" w:eastAsia="zh-CN"/>
          <w14:textFill>
            <w14:solidFill>
              <w14:schemeClr w14:val="tx1"/>
            </w14:solidFill>
          </w14:textFill>
        </w:rPr>
        <w:t>的</w:t>
      </w:r>
      <w:r>
        <w:rPr>
          <w:rFonts w:hint="eastAsia" w:ascii="仿宋_GB2312" w:hAnsi="仿宋_GB2312" w:eastAsia="仿宋_GB2312" w:cs="仿宋_GB2312"/>
          <w:i w:val="0"/>
          <w:iCs w:val="0"/>
          <w:caps w:val="0"/>
          <w:color w:val="000000" w:themeColor="text1"/>
          <w:spacing w:val="0"/>
          <w:sz w:val="24"/>
          <w:szCs w:val="24"/>
          <w:highlight w:val="none"/>
          <w:shd w:val="clear" w:color="auto" w:fill="auto"/>
          <w14:textFill>
            <w14:solidFill>
              <w14:schemeClr w14:val="tx1"/>
            </w14:solidFill>
          </w14:textFill>
        </w:rPr>
        <w:t>危险性较大的分部分项工程</w:t>
      </w:r>
      <w:r>
        <w:rPr>
          <w:rFonts w:hint="eastAsia" w:ascii="仿宋_GB2312" w:hAnsi="仿宋_GB2312" w:eastAsia="仿宋_GB2312" w:cs="仿宋_GB2312"/>
          <w:i w:val="0"/>
          <w:iCs w:val="0"/>
          <w:caps w:val="0"/>
          <w:color w:val="000000" w:themeColor="text1"/>
          <w:spacing w:val="0"/>
          <w:sz w:val="24"/>
          <w:szCs w:val="24"/>
          <w:highlight w:val="none"/>
          <w:shd w:val="clear" w:color="auto" w:fill="auto"/>
          <w:lang w:eastAsia="zh-CN"/>
          <w14:textFill>
            <w14:solidFill>
              <w14:schemeClr w14:val="tx1"/>
            </w14:solidFill>
          </w14:textFill>
        </w:rPr>
        <w:t>（《</w:t>
      </w:r>
      <w:r>
        <w:rPr>
          <w:rStyle w:val="43"/>
          <w:rFonts w:hint="eastAsia" w:ascii="仿宋_GB2312" w:hAnsi="仿宋_GB2312" w:eastAsia="仿宋_GB2312" w:cs="仿宋_GB2312"/>
          <w:i w:val="0"/>
          <w:iCs w:val="0"/>
          <w:caps w:val="0"/>
          <w:color w:val="000000" w:themeColor="text1"/>
          <w:spacing w:val="0"/>
          <w:sz w:val="24"/>
          <w:szCs w:val="24"/>
          <w:highlight w:val="none"/>
          <w:u w:val="none"/>
          <w:shd w:val="clear" w:color="auto" w:fill="auto"/>
          <w14:textFill>
            <w14:solidFill>
              <w14:schemeClr w14:val="tx1"/>
            </w14:solidFill>
          </w14:textFill>
        </w:rPr>
        <w:t>广东省住房和城乡建设厅关于印发房屋市政工程危险性较大的分部分项工程安全管理实施细则的通知</w:t>
      </w:r>
      <w:r>
        <w:rPr>
          <w:rStyle w:val="43"/>
          <w:rFonts w:hint="eastAsia" w:ascii="仿宋_GB2312" w:hAnsi="仿宋_GB2312" w:eastAsia="仿宋_GB2312" w:cs="仿宋_GB2312"/>
          <w:i w:val="0"/>
          <w:iCs w:val="0"/>
          <w:caps w:val="0"/>
          <w:color w:val="000000" w:themeColor="text1"/>
          <w:spacing w:val="0"/>
          <w:sz w:val="24"/>
          <w:szCs w:val="24"/>
          <w:highlight w:val="none"/>
          <w:u w:val="none"/>
          <w:shd w:val="clear" w:color="auto" w:fill="auto"/>
          <w:lang w:val="en-US"/>
          <w14:textFill>
            <w14:solidFill>
              <w14:schemeClr w14:val="tx1"/>
            </w14:solidFill>
          </w14:textFill>
        </w:rPr>
        <w:t xml:space="preserve"> </w:t>
      </w:r>
      <w:r>
        <w:rPr>
          <w:rFonts w:hint="eastAsia" w:ascii="仿宋_GB2312" w:hAnsi="仿宋_GB2312" w:eastAsia="仿宋_GB2312" w:cs="仿宋_GB2312"/>
          <w:i w:val="0"/>
          <w:iCs w:val="0"/>
          <w:caps w:val="0"/>
          <w:color w:val="000000" w:themeColor="text1"/>
          <w:spacing w:val="0"/>
          <w:sz w:val="24"/>
          <w:szCs w:val="24"/>
          <w:highlight w:val="none"/>
          <w:u w:val="none"/>
          <w:shd w:val="clear" w:color="auto" w:fill="auto"/>
          <w:lang w:val="en-US"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24"/>
          <w:szCs w:val="24"/>
          <w:highlight w:val="none"/>
          <w:u w:val="none"/>
          <w:shd w:val="clear" w:color="auto" w:fill="auto"/>
          <w14:textFill>
            <w14:solidFill>
              <w14:schemeClr w14:val="tx1"/>
            </w14:solidFill>
          </w14:textFill>
        </w:rPr>
        <w:t>粤建规范〔2019〕2号</w:t>
      </w:r>
      <w:r>
        <w:rPr>
          <w:rFonts w:hint="eastAsia" w:ascii="仿宋_GB2312" w:hAnsi="仿宋_GB2312" w:eastAsia="仿宋_GB2312" w:cs="仿宋_GB2312"/>
          <w:i w:val="0"/>
          <w:iCs w:val="0"/>
          <w:caps w:val="0"/>
          <w:color w:val="000000" w:themeColor="text1"/>
          <w:spacing w:val="0"/>
          <w:sz w:val="24"/>
          <w:szCs w:val="24"/>
          <w:highlight w:val="none"/>
          <w:u w:val="none"/>
          <w:shd w:val="clear" w:color="auto" w:fill="auto"/>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24"/>
          <w:szCs w:val="24"/>
          <w:highlight w:val="none"/>
          <w:shd w:val="clear" w:color="auto" w:fill="auto"/>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24"/>
          <w:szCs w:val="24"/>
          <w:highlight w:val="none"/>
          <w:shd w:val="clear" w:color="auto" w:fill="auto"/>
          <w:lang w:val="en-US" w:eastAsia="zh-CN"/>
          <w14:textFill>
            <w14:solidFill>
              <w14:schemeClr w14:val="tx1"/>
            </w14:solidFill>
          </w14:textFill>
        </w:rPr>
        <w:t>承包人应组织</w:t>
      </w:r>
      <w:r>
        <w:rPr>
          <w:rFonts w:hint="eastAsia" w:ascii="仿宋_GB2312" w:hAnsi="仿宋_GB2312" w:eastAsia="仿宋_GB2312" w:cs="仿宋_GB2312"/>
          <w:i w:val="0"/>
          <w:iCs w:val="0"/>
          <w:caps w:val="0"/>
          <w:color w:val="000000" w:themeColor="text1"/>
          <w:spacing w:val="0"/>
          <w:sz w:val="24"/>
          <w:szCs w:val="24"/>
          <w:highlight w:val="none"/>
          <w:shd w:val="clear" w:color="auto" w:fill="auto"/>
          <w14:textFill>
            <w14:solidFill>
              <w14:schemeClr w14:val="tx1"/>
            </w14:solidFill>
          </w14:textFill>
        </w:rPr>
        <w:t>安全专项施工方案专家论证会</w:t>
      </w:r>
      <w:r>
        <w:rPr>
          <w:rFonts w:hint="eastAsia" w:ascii="仿宋_GB2312" w:hAnsi="仿宋_GB2312" w:eastAsia="仿宋_GB2312" w:cs="仿宋_GB2312"/>
          <w:i w:val="0"/>
          <w:iCs w:val="0"/>
          <w:caps w:val="0"/>
          <w:color w:val="000000" w:themeColor="text1"/>
          <w:spacing w:val="0"/>
          <w:sz w:val="24"/>
          <w:szCs w:val="24"/>
          <w:highlight w:val="none"/>
          <w:shd w:val="clear" w:color="auto" w:fill="auto"/>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24"/>
          <w:szCs w:val="24"/>
          <w:highlight w:val="none"/>
          <w:shd w:val="clear" w:color="auto" w:fill="auto"/>
          <w:lang w:val="en-US" w:eastAsia="zh-CN"/>
          <w14:textFill>
            <w14:solidFill>
              <w14:schemeClr w14:val="tx1"/>
            </w14:solidFill>
          </w14:textFill>
        </w:rPr>
        <w:t>组</w:t>
      </w:r>
      <w:r>
        <w:rPr>
          <w:rFonts w:hint="eastAsia" w:ascii="仿宋_GB2312" w:hAnsi="仿宋_GB2312" w:eastAsia="仿宋_GB2312" w:cs="仿宋_GB2312"/>
          <w:color w:val="000000" w:themeColor="text1"/>
          <w:sz w:val="24"/>
          <w:szCs w:val="24"/>
          <w:highlight w:val="none"/>
          <w14:textFill>
            <w14:solidFill>
              <w14:schemeClr w14:val="tx1"/>
            </w14:solidFill>
          </w14:textFill>
        </w:rPr>
        <w:t>织专家评审相关费用</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承包人</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综合考虑在投标报价的下浮率中，不再单独计取</w:t>
      </w:r>
      <w:bookmarkEnd w:id="461"/>
    </w:p>
    <w:p w14:paraId="7F3785F9">
      <w:pPr>
        <w:spacing w:line="420" w:lineRule="exact"/>
        <w:ind w:firstLine="523" w:firstLineChars="218"/>
        <w:rPr>
          <w:rFonts w:hint="eastAsia"/>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如有其他需要专项论证的，由承包人负责组织专家论证会，</w:t>
      </w:r>
      <w:r>
        <w:rPr>
          <w:rFonts w:hint="eastAsia" w:ascii="仿宋_GB2312" w:hAnsi="仿宋_GB2312" w:eastAsia="仿宋_GB2312" w:cs="仿宋_GB2312"/>
          <w:color w:val="000000" w:themeColor="text1"/>
          <w:sz w:val="24"/>
          <w:szCs w:val="24"/>
          <w:highlight w:val="none"/>
          <w:u w:val="none"/>
          <w14:textFill>
            <w14:solidFill>
              <w14:schemeClr w14:val="tx1"/>
            </w14:solidFill>
          </w14:textFill>
        </w:rPr>
        <w:t>组织专家评审相关费用</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由</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承包人</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综合考虑在投标报价的下浮率中，不再单独计取</w:t>
      </w:r>
      <w:r>
        <w:rPr>
          <w:rFonts w:hint="eastAsia" w:ascii="仿宋_GB2312" w:hAnsi="仿宋_GB2312" w:eastAsia="仿宋_GB2312" w:cs="仿宋_GB2312"/>
          <w:color w:val="000000" w:themeColor="text1"/>
          <w:sz w:val="24"/>
          <w:szCs w:val="24"/>
          <w:highlight w:val="none"/>
          <w:u w:val="none"/>
          <w14:textFill>
            <w14:solidFill>
              <w14:schemeClr w14:val="tx1"/>
            </w14:solidFill>
          </w14:textFill>
        </w:rPr>
        <w:t>。</w:t>
      </w:r>
    </w:p>
    <w:p w14:paraId="3F9580D9">
      <w:pPr>
        <w:spacing w:line="420" w:lineRule="exact"/>
        <w:ind w:firstLine="523" w:firstLineChars="218"/>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（具体工作内容详见施工设计图纸和工程量清单）。   </w:t>
      </w:r>
      <w:permEnd w:id="9"/>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4B5CD0A8">
      <w:pPr>
        <w:spacing w:line="420" w:lineRule="exact"/>
        <w:ind w:left="437" w:leftChars="208" w:firstLine="40" w:firstLineChars="17"/>
        <w:outlineLvl w:val="9"/>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2.2承包方式：</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按施工图内容，包人工、包材料（</w:t>
      </w:r>
      <w:permStart w:id="1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sym w:font="Wingdings 2" w:char="0052"/>
      </w:r>
      <w:permEnd w:id="10"/>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由发包人供应的材料除</w:t>
      </w:r>
    </w:p>
    <w:p w14:paraId="2D775303">
      <w:pPr>
        <w:spacing w:line="420" w:lineRule="exact"/>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外）、包安装、包质量、包工期、包文明施工，以及采取有效措施，不发生安全事故；包劳保、包验收、包保修；包承包范围内工程验收通过、包移交、包结算、包资料整理、包施工承包管理和现场整体组织、包专业协调及配合</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w:t>
      </w:r>
    </w:p>
    <w:p w14:paraId="035A78C5">
      <w:pPr>
        <w:spacing w:line="420" w:lineRule="exact"/>
        <w:ind w:left="437" w:leftChars="208"/>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permStart w:id="11"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sym w:font="Wingdings 2" w:char="0052"/>
      </w:r>
      <w:permEnd w:id="11"/>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包路面修复；</w:t>
      </w:r>
      <w:permStart w:id="12"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sym w:font="Wingdings 2" w:char="0052"/>
      </w:r>
      <w:permEnd w:id="12"/>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包交通疏解。</w:t>
      </w:r>
    </w:p>
    <w:p w14:paraId="49691EAF">
      <w:pPr>
        <w:spacing w:line="420" w:lineRule="exact"/>
        <w:outlineLvl w:val="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43A3A825">
      <w:pPr>
        <w:spacing w:line="420" w:lineRule="exact"/>
        <w:outlineLvl w:val="1"/>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462" w:name="_Toc16770"/>
      <w:bookmarkStart w:id="463" w:name="_Toc15591"/>
      <w:bookmarkStart w:id="464" w:name="_Toc10577"/>
      <w:r>
        <w:rPr>
          <w:rFonts w:hint="eastAsia" w:ascii="黑体" w:hAnsi="黑体" w:eastAsia="黑体" w:cs="黑体"/>
          <w:b w:val="0"/>
          <w:bCs w:val="0"/>
          <w:color w:val="000000" w:themeColor="text1"/>
          <w:sz w:val="24"/>
          <w:szCs w:val="24"/>
          <w:highlight w:val="none"/>
          <w14:textFill>
            <w14:solidFill>
              <w14:schemeClr w14:val="tx1"/>
            </w14:solidFill>
          </w14:textFill>
        </w:rPr>
        <w:t>三、合同工期</w:t>
      </w:r>
      <w:bookmarkEnd w:id="462"/>
      <w:bookmarkEnd w:id="463"/>
      <w:bookmarkEnd w:id="464"/>
    </w:p>
    <w:p w14:paraId="5EDB2A8F">
      <w:pPr>
        <w:spacing w:line="420" w:lineRule="exact"/>
        <w:ind w:left="1199" w:leftChars="250" w:hanging="674" w:hangingChars="281"/>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3.1工程合同工期总日历天数：</w:t>
      </w:r>
      <w:permStart w:id="1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466</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3"/>
      <w:r>
        <w:rPr>
          <w:rFonts w:hint="eastAsia" w:ascii="仿宋_GB2312" w:hAnsi="仿宋_GB2312" w:eastAsia="仿宋_GB2312" w:cs="仿宋_GB2312"/>
          <w:color w:val="000000" w:themeColor="text1"/>
          <w:sz w:val="24"/>
          <w:szCs w:val="24"/>
          <w:highlight w:val="none"/>
          <w14:textFill>
            <w14:solidFill>
              <w14:schemeClr w14:val="tx1"/>
            </w14:solidFill>
          </w14:textFill>
        </w:rPr>
        <w:t>天。</w:t>
      </w:r>
    </w:p>
    <w:p w14:paraId="7CFECAEE">
      <w:pPr>
        <w:spacing w:line="420" w:lineRule="exact"/>
        <w:ind w:left="0" w:leftChars="0" w:firstLine="480" w:firstLineChars="20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3.2暂定从 </w:t>
      </w:r>
      <w:permStart w:id="1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2026</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4"/>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permStart w:id="1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5"/>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permStart w:id="1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31</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6"/>
      <w:r>
        <w:rPr>
          <w:rFonts w:hint="eastAsia" w:ascii="仿宋_GB2312" w:hAnsi="仿宋_GB2312" w:eastAsia="仿宋_GB2312" w:cs="仿宋_GB2312"/>
          <w:color w:val="000000" w:themeColor="text1"/>
          <w:sz w:val="24"/>
          <w:szCs w:val="24"/>
          <w:highlight w:val="none"/>
          <w14:textFill>
            <w14:solidFill>
              <w14:schemeClr w14:val="tx1"/>
            </w14:solidFill>
          </w14:textFill>
        </w:rPr>
        <w:t>日开始施工，至</w:t>
      </w:r>
      <w:permStart w:id="17"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2027</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7"/>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permStart w:id="1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8"/>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permStart w:id="1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11</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9"/>
      <w:r>
        <w:rPr>
          <w:rFonts w:hint="eastAsia" w:ascii="仿宋_GB2312" w:hAnsi="仿宋_GB2312" w:eastAsia="仿宋_GB2312" w:cs="仿宋_GB2312"/>
          <w:color w:val="000000" w:themeColor="text1"/>
          <w:sz w:val="24"/>
          <w:szCs w:val="24"/>
          <w:highlight w:val="none"/>
          <w14:textFill>
            <w14:solidFill>
              <w14:schemeClr w14:val="tx1"/>
            </w14:solidFill>
          </w14:textFill>
        </w:rPr>
        <w:t>日竣工完成，具体开工日</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期以现场具备施工条件且在项目依法领取施工许可证后，</w:t>
      </w:r>
      <w:permStart w:id="20" w:edGrp="everyone"/>
      <w:r>
        <w:rPr>
          <w:rFonts w:hint="eastAsia" w:ascii="仿宋_GB2312" w:hAnsi="仿宋_GB2312" w:eastAsia="仿宋_GB2312" w:cs="仿宋_GB2312"/>
          <w:color w:val="000000" w:themeColor="text1"/>
          <w:kern w:val="2"/>
          <w:sz w:val="24"/>
          <w:szCs w:val="24"/>
          <w:highlight w:val="none"/>
          <w:u w:val="single"/>
          <w:lang w:val="en-US" w:eastAsia="zh-CN" w:bidi="ar-SA"/>
          <w14:textFill>
            <w14:solidFill>
              <w14:schemeClr w14:val="tx1"/>
            </w14:solidFill>
          </w14:textFill>
        </w:rPr>
        <w:t xml:space="preserve"> 以经发包人批准、监理工程师  </w:t>
      </w:r>
      <w:permEnd w:id="20"/>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签发的开工令日期为准。</w:t>
      </w:r>
    </w:p>
    <w:p w14:paraId="10B29432">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工期总日历天数与根据前述计划开竣工日期计算的工期天数不一致的，以工期总日历天数为准。</w:t>
      </w:r>
    </w:p>
    <w:p w14:paraId="372CCCDF">
      <w:pPr>
        <w:spacing w:line="420" w:lineRule="exact"/>
        <w:ind w:firstLine="480" w:firstLineChars="200"/>
        <w:outlineLvl w:val="9"/>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本项目</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需</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与区道路改造工程做好衔接，对于重合路段将配合道路改造工程</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同步实施</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，具备进场条件</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后</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，承包商应加大投入，在其实施期间(预计2025年5月前)完成对应部分的管网</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敷设</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工作。</w:t>
      </w:r>
    </w:p>
    <w:p w14:paraId="78C46CAE">
      <w:pPr>
        <w:spacing w:line="420" w:lineRule="exact"/>
        <w:outlineLvl w:val="9"/>
        <w:rPr>
          <w:rFonts w:hint="eastAsia" w:ascii="黑体" w:hAnsi="黑体" w:eastAsia="黑体" w:cs="黑体"/>
          <w:b w:val="0"/>
          <w:bCs w:val="0"/>
          <w:color w:val="000000" w:themeColor="text1"/>
          <w:sz w:val="24"/>
          <w:szCs w:val="24"/>
          <w:highlight w:val="none"/>
          <w14:textFill>
            <w14:solidFill>
              <w14:schemeClr w14:val="tx1"/>
            </w14:solidFill>
          </w14:textFill>
        </w:rPr>
      </w:pPr>
    </w:p>
    <w:p w14:paraId="7F88EFA3">
      <w:pPr>
        <w:spacing w:line="420" w:lineRule="exact"/>
        <w:outlineLvl w:val="1"/>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465" w:name="_Toc17988"/>
      <w:bookmarkStart w:id="466" w:name="_Toc11048"/>
      <w:bookmarkStart w:id="467" w:name="_Toc18664"/>
      <w:r>
        <w:rPr>
          <w:rFonts w:hint="eastAsia" w:ascii="黑体" w:hAnsi="黑体" w:eastAsia="黑体" w:cs="黑体"/>
          <w:b w:val="0"/>
          <w:bCs w:val="0"/>
          <w:color w:val="000000" w:themeColor="text1"/>
          <w:sz w:val="24"/>
          <w:szCs w:val="24"/>
          <w:highlight w:val="none"/>
          <w14:textFill>
            <w14:solidFill>
              <w14:schemeClr w14:val="tx1"/>
            </w14:solidFill>
          </w14:textFill>
        </w:rPr>
        <w:t>★四、质量标准</w:t>
      </w:r>
      <w:bookmarkEnd w:id="465"/>
      <w:bookmarkEnd w:id="466"/>
      <w:bookmarkEnd w:id="467"/>
    </w:p>
    <w:p w14:paraId="1CB595B4">
      <w:pPr>
        <w:spacing w:line="420" w:lineRule="exact"/>
        <w:ind w:left="479" w:leftChars="228" w:firstLine="43" w:firstLineChars="18"/>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4.1工程质量标准：</w:t>
      </w:r>
    </w:p>
    <w:p w14:paraId="26690D81">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确保符合国家、省、市</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《建筑工程施工质量验收统一标准》（GB50300-2013）；《给水排水管道工程施工及验收规范》（GB50268-2008）、《水利水电建设工程验收规程》（SL223-2008）等</w:t>
      </w:r>
      <w:r>
        <w:rPr>
          <w:rFonts w:hint="eastAsia" w:ascii="仿宋_GB2312" w:hAnsi="仿宋_GB2312" w:eastAsia="仿宋_GB2312" w:cs="仿宋_GB2312"/>
          <w:color w:val="000000" w:themeColor="text1"/>
          <w:sz w:val="24"/>
          <w:szCs w:val="24"/>
          <w:highlight w:val="none"/>
          <w14:textFill>
            <w14:solidFill>
              <w14:schemeClr w14:val="tx1"/>
            </w14:solidFill>
          </w14:textFill>
        </w:rPr>
        <w:t>质量验收标准，并达到合格或以上标准。</w:t>
      </w:r>
    </w:p>
    <w:p w14:paraId="228DA411">
      <w:pPr>
        <w:spacing w:line="420" w:lineRule="exact"/>
        <w:ind w:left="479" w:leftChars="228" w:firstLine="43" w:firstLineChars="18"/>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sym w:font="Wingdings" w:char="00FD"/>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以及符合优质工程</w:t>
      </w:r>
      <w:permStart w:id="2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ermEnd w:id="21"/>
      <w:r>
        <w:rPr>
          <w:rFonts w:hint="eastAsia" w:ascii="仿宋_GB2312" w:hAnsi="仿宋_GB2312" w:eastAsia="仿宋_GB2312" w:cs="仿宋_GB2312"/>
          <w:color w:val="000000" w:themeColor="text1"/>
          <w:sz w:val="24"/>
          <w:szCs w:val="24"/>
          <w:highlight w:val="none"/>
          <w14:textFill>
            <w14:solidFill>
              <w14:schemeClr w14:val="tx1"/>
            </w14:solidFill>
          </w14:textFill>
        </w:rPr>
        <w:t>质量验收标准。</w:t>
      </w:r>
    </w:p>
    <w:p w14:paraId="20CF9D9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4.2创优目标：</w:t>
      </w:r>
    </w:p>
    <w:p w14:paraId="4D83E51F">
      <w:pPr>
        <w:autoSpaceDE w:val="0"/>
        <w:autoSpaceDN w:val="0"/>
        <w:adjustRightInd w:val="0"/>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2" w:edGrp="everyone"/>
      <w: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2"/>
      <w:r>
        <w:rPr>
          <w:rFonts w:hint="eastAsia" w:ascii="仿宋_GB2312" w:hAnsi="仿宋_GB2312" w:eastAsia="仿宋_GB2312" w:cs="仿宋_GB2312"/>
          <w:color w:val="000000" w:themeColor="text1"/>
          <w:sz w:val="24"/>
          <w:szCs w:val="24"/>
          <w:highlight w:val="none"/>
          <w14:textFill>
            <w14:solidFill>
              <w14:schemeClr w14:val="tx1"/>
            </w14:solidFill>
          </w14:textFill>
        </w:rPr>
        <w:t>市级工程优质奖</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127E391A">
      <w:pPr>
        <w:autoSpaceDE w:val="0"/>
        <w:autoSpaceDN w:val="0"/>
        <w:adjustRightInd w:val="0"/>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3" w:edGrp="everyone"/>
      <w: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3"/>
      <w:r>
        <w:rPr>
          <w:rFonts w:hint="eastAsia" w:ascii="仿宋_GB2312" w:hAnsi="仿宋_GB2312" w:eastAsia="仿宋_GB2312" w:cs="仿宋_GB2312"/>
          <w:color w:val="000000" w:themeColor="text1"/>
          <w:sz w:val="24"/>
          <w:szCs w:val="24"/>
          <w:highlight w:val="none"/>
          <w14:textFill>
            <w14:solidFill>
              <w14:schemeClr w14:val="tx1"/>
            </w14:solidFill>
          </w14:textFill>
        </w:rPr>
        <w:t>省级工程优质奖</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3F7031E2">
      <w:pPr>
        <w:widowControl w:val="0"/>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permStart w:id="24" w:edGrp="everyone"/>
      <w: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 xml:space="preserve"> </w:t>
      </w:r>
      <w:permEnd w:id="24"/>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国家级工程优质奖</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w:t>
      </w:r>
    </w:p>
    <w:p w14:paraId="19BBC4B5">
      <w:pPr>
        <w:spacing w:line="420" w:lineRule="exact"/>
        <w:ind w:firstLine="480" w:firstLineChars="200"/>
        <w:rPr>
          <w:rFonts w:hint="default"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permStart w:id="25" w:edGrp="everyone"/>
      <w: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其它</w:t>
      </w:r>
      <w:permStart w:id="26" w:edGrp="everyone"/>
      <w:r>
        <w:rPr>
          <w:rFonts w:hint="eastAsia" w:ascii="仿宋_GB2312" w:hAnsi="仿宋_GB2312" w:eastAsia="仿宋_GB2312" w:cs="仿宋_GB2312"/>
          <w:color w:val="000000" w:themeColor="text1"/>
          <w:kern w:val="0"/>
          <w:sz w:val="24"/>
          <w:szCs w:val="24"/>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 /  </w:t>
      </w:r>
    </w:p>
    <w:permEnd w:id="26"/>
    <w:p w14:paraId="6D6CD4E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4.3创文明工地目标：</w:t>
      </w:r>
    </w:p>
    <w:p w14:paraId="19363378">
      <w:pPr>
        <w:autoSpaceDE w:val="0"/>
        <w:autoSpaceDN w:val="0"/>
        <w:adjustRightInd w:val="0"/>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7" w:edGrp="everyone"/>
      <w: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7"/>
      <w:r>
        <w:rPr>
          <w:rFonts w:hint="eastAsia" w:ascii="仿宋_GB2312" w:hAnsi="仿宋_GB2312" w:eastAsia="仿宋_GB2312" w:cs="仿宋_GB2312"/>
          <w:color w:val="000000" w:themeColor="text1"/>
          <w:sz w:val="24"/>
          <w:szCs w:val="24"/>
          <w:highlight w:val="none"/>
          <w14:textFill>
            <w14:solidFill>
              <w14:schemeClr w14:val="tx1"/>
            </w14:solidFill>
          </w14:textFill>
        </w:rPr>
        <w:t>市级安全文明绿色施工样板工地</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315ECDD1">
      <w:pPr>
        <w:autoSpaceDE w:val="0"/>
        <w:autoSpaceDN w:val="0"/>
        <w:adjustRightInd w:val="0"/>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ermStart w:id="28" w:edGrp="everyone"/>
      <w: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8"/>
      <w:r>
        <w:rPr>
          <w:rFonts w:hint="eastAsia" w:ascii="仿宋_GB2312" w:hAnsi="仿宋_GB2312" w:eastAsia="仿宋_GB2312" w:cs="仿宋_GB2312"/>
          <w:color w:val="000000" w:themeColor="text1"/>
          <w:sz w:val="24"/>
          <w:szCs w:val="24"/>
          <w:highlight w:val="none"/>
          <w14:textFill>
            <w14:solidFill>
              <w14:schemeClr w14:val="tx1"/>
            </w14:solidFill>
          </w14:textFill>
        </w:rPr>
        <w:t>省级安全文明示范工地；</w:t>
      </w:r>
    </w:p>
    <w:p w14:paraId="606E3500">
      <w:pPr>
        <w:autoSpaceDE w:val="0"/>
        <w:autoSpaceDN w:val="0"/>
        <w:adjustRightInd w:val="0"/>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9" w:edGrp="everyone"/>
      <w: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9"/>
      <w:r>
        <w:rPr>
          <w:rFonts w:hint="eastAsia" w:ascii="仿宋_GB2312" w:hAnsi="仿宋_GB2312" w:eastAsia="仿宋_GB2312" w:cs="仿宋_GB2312"/>
          <w:color w:val="000000" w:themeColor="text1"/>
          <w:sz w:val="24"/>
          <w:szCs w:val="24"/>
          <w:highlight w:val="none"/>
          <w14:textFill>
            <w14:solidFill>
              <w14:schemeClr w14:val="tx1"/>
            </w14:solidFill>
          </w14:textFill>
        </w:rPr>
        <w:t>国家级安全文明工地</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16297A4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30" w:edGrp="everyone"/>
      <w: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3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广州市建筑业绿色施工示范工程；</w:t>
      </w:r>
    </w:p>
    <w:p w14:paraId="19888CB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31" w:edGrp="everyone"/>
      <w: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3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广东省建筑业绿色施工示范工程；</w:t>
      </w:r>
    </w:p>
    <w:p w14:paraId="11AB97D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32" w:edGrp="everyone"/>
      <w: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3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全国建筑业绿色施工示范工程；</w:t>
      </w:r>
    </w:p>
    <w:p w14:paraId="00DE73F6">
      <w:pPr>
        <w:spacing w:line="420" w:lineRule="exact"/>
        <w:ind w:firstLine="480" w:firstLineChars="200"/>
        <w:rPr>
          <w:rFonts w:hint="default"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permStart w:id="33" w:edGrp="everyone"/>
      <w: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3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其它</w:t>
      </w:r>
      <w:permStart w:id="34" w:edGrp="everyone"/>
      <w:r>
        <w:rPr>
          <w:rFonts w:hint="eastAsia" w:ascii="仿宋_GB2312" w:hAnsi="仿宋_GB2312" w:eastAsia="仿宋_GB2312" w:cs="仿宋_GB2312"/>
          <w:color w:val="000000" w:themeColor="text1"/>
          <w:kern w:val="0"/>
          <w:sz w:val="24"/>
          <w:szCs w:val="24"/>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  /  </w:t>
      </w:r>
    </w:p>
    <w:permEnd w:id="34"/>
    <w:p w14:paraId="014C7710">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4.4以上所涉规范、标准、规定若在合同履行期间发生变更的，以合同履行期间有效适用的规定为准。若承包人投标时承诺的质量标准目标优于招标文件要求的，应按承包人投标时承诺的质量标准执行。</w:t>
      </w:r>
    </w:p>
    <w:p w14:paraId="334B8F8E">
      <w:pPr>
        <w:spacing w:line="420" w:lineRule="exact"/>
        <w:jc w:val="left"/>
        <w:outlineLvl w:val="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416C07A2">
      <w:pPr>
        <w:spacing w:line="420" w:lineRule="exact"/>
        <w:jc w:val="left"/>
        <w:outlineLvl w:val="1"/>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468" w:name="_Toc20939"/>
      <w:bookmarkStart w:id="469" w:name="_Toc904"/>
      <w:bookmarkStart w:id="470" w:name="_Toc20549"/>
      <w:r>
        <w:rPr>
          <w:rFonts w:hint="eastAsia" w:ascii="黑体" w:hAnsi="黑体" w:eastAsia="黑体" w:cs="黑体"/>
          <w:b w:val="0"/>
          <w:bCs w:val="0"/>
          <w:color w:val="000000" w:themeColor="text1"/>
          <w:sz w:val="24"/>
          <w:szCs w:val="24"/>
          <w:highlight w:val="none"/>
          <w14:textFill>
            <w14:solidFill>
              <w14:schemeClr w14:val="tx1"/>
            </w14:solidFill>
          </w14:textFill>
        </w:rPr>
        <w:t>五、合同价款</w:t>
      </w:r>
      <w:bookmarkEnd w:id="468"/>
      <w:bookmarkEnd w:id="469"/>
      <w:bookmarkEnd w:id="470"/>
    </w:p>
    <w:p w14:paraId="6D7C83EF">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5.1含税合同总价（大写）：</w:t>
      </w:r>
      <w:permStart w:id="3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35"/>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00138B7A">
      <w:pPr>
        <w:spacing w:line="420" w:lineRule="exact"/>
        <w:ind w:firstLine="2440" w:firstLineChars="1017"/>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w:t>
      </w:r>
      <w:permStart w:id="3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36"/>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p w14:paraId="7EEFDAC5">
      <w:pPr>
        <w:autoSpaceDE w:val="0"/>
        <w:autoSpaceDN w:val="0"/>
        <w:adjustRightInd w:val="0"/>
        <w:spacing w:line="420" w:lineRule="exact"/>
        <w:ind w:firstLine="960" w:firstLineChars="4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其中：暂列金额</w:t>
      </w:r>
      <w:r>
        <w:rPr>
          <w:rFonts w:hint="eastAsia" w:ascii="仿宋_GB2312" w:hAnsi="仿宋_GB2312" w:eastAsia="仿宋_GB2312" w:cs="仿宋_GB2312"/>
          <w:color w:val="000000" w:themeColor="text1"/>
          <w:sz w:val="24"/>
          <w:szCs w:val="24"/>
          <w:highlight w:val="none"/>
          <w14:textFill>
            <w14:solidFill>
              <w14:schemeClr w14:val="tx1"/>
            </w14:solidFill>
          </w14:textFill>
        </w:rPr>
        <w:t>（大写）：</w:t>
      </w:r>
      <w:permStart w:id="3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  </w:t>
      </w:r>
      <w:permEnd w:id="3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604013F8">
      <w:pPr>
        <w:autoSpaceDE w:val="0"/>
        <w:autoSpaceDN w:val="0"/>
        <w:adjustRightInd w:val="0"/>
        <w:spacing w:line="420" w:lineRule="exact"/>
        <w:ind w:firstLine="2640" w:firstLineChars="11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w:t>
      </w:r>
      <w:permStart w:id="3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2D0AC784">
      <w:pPr>
        <w:spacing w:line="420" w:lineRule="exact"/>
        <w:ind w:firstLine="960" w:firstLineChars="4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绿色施工安全防护措施费用（大写）：              ，（小写）：￥          元</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其中，</w:t>
      </w:r>
      <w:r>
        <w:rPr>
          <w:rFonts w:hint="eastAsia" w:ascii="仿宋_GB2312" w:hAnsi="仿宋_GB2312" w:eastAsia="仿宋_GB2312" w:cs="仿宋_GB2312"/>
          <w:strike w:val="0"/>
          <w:color w:val="000000" w:themeColor="text1"/>
          <w:kern w:val="0"/>
          <w:sz w:val="24"/>
          <w:szCs w:val="24"/>
          <w:highlight w:val="none"/>
          <w:lang w:val="en-US" w:eastAsia="zh-CN"/>
          <w14:textFill>
            <w14:solidFill>
              <w14:schemeClr w14:val="tx1"/>
            </w14:solidFill>
          </w14:textFill>
        </w:rPr>
        <w:t>安全生产</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措施费用</w:t>
      </w:r>
      <w:r>
        <w:rPr>
          <w:rFonts w:hint="eastAsia" w:ascii="仿宋_GB2312" w:hAnsi="仿宋_GB2312" w:eastAsia="仿宋_GB2312" w:cs="仿宋_GB2312"/>
          <w:color w:val="000000" w:themeColor="text1"/>
          <w:sz w:val="24"/>
          <w:szCs w:val="24"/>
          <w:highlight w:val="none"/>
          <w14:textFill>
            <w14:solidFill>
              <w14:schemeClr w14:val="tx1"/>
            </w14:solidFill>
          </w14:textFill>
        </w:rPr>
        <w:t>（大写）：</w:t>
      </w:r>
      <w:permStart w:id="39"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eastAsia="zh-CN"/>
          <w14:textFill>
            <w14:solidFill>
              <w14:schemeClr w14:val="tx1"/>
            </w14:solidFill>
          </w14:textFill>
        </w:rPr>
        <w:t>，</w:t>
      </w:r>
      <w:permEnd w:id="3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w:t>
      </w:r>
      <w:permStart w:id="4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4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p>
    <w:p w14:paraId="29207002">
      <w:pPr>
        <w:spacing w:line="420" w:lineRule="exact"/>
        <w:ind w:firstLine="960" w:firstLineChars="4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专业工程暂估价（大写）：</w:t>
      </w:r>
      <w:permStart w:id="4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4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02626B3D">
      <w:pPr>
        <w:spacing w:line="420" w:lineRule="exact"/>
        <w:ind w:firstLine="2640" w:firstLineChars="11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w:t>
      </w:r>
      <w:permStart w:id="4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   </w:t>
      </w:r>
      <w:permEnd w:id="4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5111C109">
      <w:pPr>
        <w:spacing w:line="420" w:lineRule="exact"/>
        <w:ind w:firstLine="960" w:firstLineChars="4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耗水费（大写）：</w:t>
      </w:r>
      <w:permStart w:id="4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4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10E2EF2E">
      <w:pPr>
        <w:spacing w:line="420" w:lineRule="exact"/>
        <w:ind w:firstLine="1680" w:firstLineChars="7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w:t>
      </w:r>
      <w:permStart w:id="4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  </w:t>
      </w:r>
      <w:permEnd w:id="4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1E64D82F">
      <w:pPr>
        <w:spacing w:line="420" w:lineRule="exact"/>
        <w:ind w:firstLine="960" w:firstLineChars="4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发包人供应材料运输费（大写）：</w:t>
      </w:r>
      <w:permStart w:id="4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4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67211F61">
      <w:pPr>
        <w:spacing w:line="420" w:lineRule="exact"/>
        <w:ind w:firstLine="3360" w:firstLineChars="14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w:t>
      </w:r>
      <w:permStart w:id="4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4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65829090">
      <w:pPr>
        <w:spacing w:line="420" w:lineRule="exact"/>
        <w:ind w:firstLine="960" w:firstLineChars="4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人工费（大写）：</w:t>
      </w:r>
      <w:permStart w:id="4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4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569C14AE">
      <w:pPr>
        <w:spacing w:line="420" w:lineRule="exact"/>
        <w:ind w:firstLine="1680" w:firstLineChars="7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w:t>
      </w:r>
      <w:permStart w:id="4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4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309AA9F1">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5.2项目单价：详见承包人的投标报价书；</w:t>
      </w:r>
    </w:p>
    <w:p w14:paraId="06504DA3">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5.3投标下浮率：   %，投标下浮率=1-投标报价（扣除包括但不限于</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安全生产</w:t>
      </w:r>
      <w:r>
        <w:rPr>
          <w:rFonts w:hint="eastAsia" w:ascii="仿宋_GB2312" w:hAnsi="仿宋_GB2312" w:eastAsia="仿宋_GB2312" w:cs="仿宋_GB2312"/>
          <w:color w:val="000000" w:themeColor="text1"/>
          <w:sz w:val="24"/>
          <w:szCs w:val="24"/>
          <w:highlight w:val="none"/>
          <w14:textFill>
            <w14:solidFill>
              <w14:schemeClr w14:val="tx1"/>
            </w14:solidFill>
          </w14:textFill>
        </w:rPr>
        <w:t>措施费、暂列金、耗水费、发包人供应材料运输费、暂估价等非竞争性费用）/最高投标限价（扣除包括但不限于</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安全生产</w:t>
      </w:r>
      <w:r>
        <w:rPr>
          <w:rFonts w:hint="eastAsia" w:ascii="仿宋_GB2312" w:hAnsi="仿宋_GB2312" w:eastAsia="仿宋_GB2312" w:cs="仿宋_GB2312"/>
          <w:color w:val="000000" w:themeColor="text1"/>
          <w:sz w:val="24"/>
          <w:szCs w:val="24"/>
          <w:highlight w:val="none"/>
          <w14:textFill>
            <w14:solidFill>
              <w14:schemeClr w14:val="tx1"/>
            </w14:solidFill>
          </w14:textFill>
        </w:rPr>
        <w:t>措施费、暂列金、耗水费、发包人供应材料运输费、暂估价等非竞争性费用），投标下浮率保留小数点后两位有效数字。</w:t>
      </w:r>
    </w:p>
    <w:p w14:paraId="5033DD41">
      <w:pPr>
        <w:spacing w:line="420" w:lineRule="exact"/>
        <w:outlineLvl w:val="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55EC4852">
      <w:pPr>
        <w:spacing w:line="420" w:lineRule="exact"/>
        <w:outlineLvl w:val="1"/>
        <w:rPr>
          <w:rFonts w:hint="eastAsia" w:ascii="黑体" w:hAnsi="黑体" w:eastAsia="黑体" w:cs="黑体"/>
          <w:b w:val="0"/>
          <w:bCs w:val="0"/>
          <w:color w:val="000000" w:themeColor="text1"/>
          <w:kern w:val="0"/>
          <w:sz w:val="24"/>
          <w:szCs w:val="24"/>
          <w:highlight w:val="none"/>
          <w14:textFill>
            <w14:solidFill>
              <w14:schemeClr w14:val="tx1"/>
            </w14:solidFill>
          </w14:textFill>
        </w:rPr>
      </w:pPr>
      <w:bookmarkStart w:id="471" w:name="_Toc4175"/>
      <w:bookmarkStart w:id="472" w:name="_Toc3879"/>
      <w:bookmarkStart w:id="473" w:name="_Toc27055"/>
      <w:r>
        <w:rPr>
          <w:rFonts w:hint="eastAsia" w:ascii="黑体" w:hAnsi="黑体" w:eastAsia="黑体" w:cs="黑体"/>
          <w:b w:val="0"/>
          <w:bCs w:val="0"/>
          <w:color w:val="000000" w:themeColor="text1"/>
          <w:sz w:val="24"/>
          <w:szCs w:val="24"/>
          <w:highlight w:val="none"/>
          <w14:textFill>
            <w14:solidFill>
              <w14:schemeClr w14:val="tx1"/>
            </w14:solidFill>
          </w14:textFill>
        </w:rPr>
        <w:t>六、结算方式</w:t>
      </w:r>
      <w:bookmarkEnd w:id="471"/>
      <w:bookmarkEnd w:id="472"/>
      <w:bookmarkEnd w:id="473"/>
    </w:p>
    <w:p w14:paraId="527BAB8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6.1分部分项工程以中标的综合单价包干；</w:t>
      </w:r>
    </w:p>
    <w:p w14:paraId="18AD301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6.2</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措施项目</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费</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、总承包服务费、发包人供应材料保管费</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E"/>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预算包干费</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按中标金额总价</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包干</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且不得超过最高投标限价中相对应的各项金额，超过则以最高投标限价中相对应的各项金额总价包干。</w:t>
      </w:r>
    </w:p>
    <w:p w14:paraId="4665DCE0">
      <w:pPr>
        <w:widowControl/>
        <w:spacing w:line="420" w:lineRule="exact"/>
        <w:ind w:left="0" w:leftChars="0"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3如发包人要求整个地址（单位工程）取消施工，则措施项目费在施工图预算或者结算时相应核减。</w:t>
      </w:r>
    </w:p>
    <w:p w14:paraId="2E0A670A">
      <w:pPr>
        <w:widowControl/>
        <w:spacing w:line="420" w:lineRule="exact"/>
        <w:ind w:left="0" w:leftChars="0"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施工图预算或者结算措施项目费总金额=中标的措施项目费总金额*（最高投标限价删除对应地址后的措施项目费总金额/最高投标限价中的措施项目费总金额）。</w:t>
      </w:r>
    </w:p>
    <w:p w14:paraId="0CA4E35A">
      <w:pPr>
        <w:widowControl/>
        <w:spacing w:line="420" w:lineRule="exact"/>
        <w:ind w:left="0" w:leftChars="0" w:firstLine="480" w:firstLineChars="200"/>
        <w:jc w:val="left"/>
        <w:rPr>
          <w:rFonts w:hint="default"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6.4</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☒若实际采用</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设备、</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材料品牌档次高于附件</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设备、</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材料表中“投标单位拟使用品牌”的，按中标单价结算；若实际采用材料品牌档次低于附件</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设备、</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材料表中“投标单位拟使用品牌”的，结算综合单价=中标综合单价-（最高投标限价中对应综合单价的主材费单价-实际采用材料市场价）。</w:t>
      </w:r>
    </w:p>
    <w:p w14:paraId="01C9742D">
      <w:pPr>
        <w:widowControl/>
        <w:spacing w:line="420" w:lineRule="exact"/>
        <w:ind w:left="0" w:leftChars="0"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6.5</w:t>
      </w:r>
      <w:r>
        <w:rPr>
          <w:rFonts w:hint="eastAsia" w:ascii="仿宋_GB2312" w:hAnsi="仿宋_GB2312" w:eastAsia="仿宋_GB2312" w:cs="仿宋_GB2312"/>
          <w:color w:val="000000" w:themeColor="text1"/>
          <w:sz w:val="24"/>
          <w:szCs w:val="24"/>
          <w:highlight w:val="none"/>
          <w14:textFill>
            <w14:solidFill>
              <w14:schemeClr w14:val="tx1"/>
            </w14:solidFill>
          </w14:textFill>
        </w:rPr>
        <w:t>如存在二次深化设计内容(包括但不限于设备型号规格及数量变化等)，该部分二次深化设计后的结算</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金额</w:t>
      </w:r>
      <w:r>
        <w:rPr>
          <w:rFonts w:hint="eastAsia" w:ascii="仿宋_GB2312" w:hAnsi="仿宋_GB2312" w:eastAsia="仿宋_GB2312" w:cs="仿宋_GB2312"/>
          <w:color w:val="000000" w:themeColor="text1"/>
          <w:sz w:val="24"/>
          <w:szCs w:val="24"/>
          <w:highlight w:val="none"/>
          <w14:textFill>
            <w14:solidFill>
              <w14:schemeClr w14:val="tx1"/>
            </w14:solidFill>
          </w14:textFill>
        </w:rPr>
        <w:t>不应超过对应投标报价。</w:t>
      </w:r>
    </w:p>
    <w:p w14:paraId="22F38CD9">
      <w:pPr>
        <w:spacing w:line="420" w:lineRule="exact"/>
        <w:ind w:left="900" w:leftChars="200" w:hanging="480" w:hanging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耗水费结算时凭计算依据及有效增值税普通发票按实支付。</w:t>
      </w:r>
    </w:p>
    <w:p w14:paraId="3B045BC6">
      <w:pPr>
        <w:spacing w:line="420" w:lineRule="exact"/>
        <w:ind w:left="0" w:leftChars="0" w:firstLine="420" w:firstLineChars="175"/>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建筑垃圾消纳费</w:t>
      </w:r>
      <w:r>
        <w:rPr>
          <w:rFonts w:hint="eastAsia" w:ascii="仿宋_GB2312" w:hAnsi="仿宋_GB2312" w:eastAsia="仿宋_GB2312" w:cs="仿宋_GB2312"/>
          <w:strike w:val="0"/>
          <w:color w:val="000000" w:themeColor="text1"/>
          <w:kern w:val="0"/>
          <w:sz w:val="24"/>
          <w:szCs w:val="24"/>
          <w:highlight w:val="none"/>
          <w:lang w:eastAsia="zh-CN"/>
          <w14:textFill>
            <w14:solidFill>
              <w14:schemeClr w14:val="tx1"/>
            </w14:solidFill>
          </w14:textFill>
        </w:rPr>
        <w:t>以中标综合单价包干、工程量按</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有效资质的消纳合同</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及</w:t>
      </w:r>
      <w:r>
        <w:rPr>
          <w:rFonts w:hint="eastAsia" w:ascii="仿宋_GB2312" w:hAnsi="仿宋_GB2312" w:eastAsia="仿宋_GB2312" w:cs="仿宋_GB2312"/>
          <w:strike w:val="0"/>
          <w:color w:val="000000" w:themeColor="text1"/>
          <w:kern w:val="0"/>
          <w:sz w:val="24"/>
          <w:szCs w:val="24"/>
          <w:highlight w:val="none"/>
          <w:lang w:eastAsia="zh-CN"/>
          <w14:textFill>
            <w14:solidFill>
              <w14:schemeClr w14:val="tx1"/>
            </w14:solidFill>
          </w14:textFill>
        </w:rPr>
        <w:t>广州市建筑废弃物电子联单</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结合有效图纸及其经审批土方平衡的方案内</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按实际运输量进行结算</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none"/>
          <w:lang w:val="en-US" w:eastAsia="zh-CN"/>
          <w14:textFill>
            <w14:solidFill>
              <w14:schemeClr w14:val="tx1"/>
            </w14:solidFill>
          </w14:textFill>
        </w:rPr>
        <w:t>并符合专用条款62条中“</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工程量清单计价相关要求</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none"/>
          <w:lang w:val="en-US" w:eastAsia="zh-CN"/>
          <w14:textFill>
            <w14:solidFill>
              <w14:schemeClr w14:val="tx1"/>
            </w14:solidFill>
          </w14:textFill>
        </w:rPr>
        <w:t>的相关规定</w:t>
      </w:r>
      <w:r>
        <w:rPr>
          <w:rFonts w:hint="eastAsia" w:ascii="仿宋_GB2312" w:hAnsi="仿宋_GB2312" w:eastAsia="仿宋_GB2312" w:cs="仿宋_GB2312"/>
          <w:color w:val="000000" w:themeColor="text1"/>
          <w:kern w:val="0"/>
          <w:sz w:val="24"/>
          <w:szCs w:val="24"/>
          <w:highlight w:val="none"/>
          <w:u w:val="none"/>
          <w:lang w:eastAsia="zh-CN"/>
          <w14:textFill>
            <w14:solidFill>
              <w14:schemeClr w14:val="tx1"/>
            </w14:solidFill>
          </w14:textFill>
        </w:rPr>
        <w:t>。</w:t>
      </w:r>
    </w:p>
    <w:p w14:paraId="7F5A753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若中标的综合单价高于最高投标限价报告中对应清单子目的综合单价，发包人有权在结算阶段调整该中标综合单价，调整方式为：结算综合单价＝最高投标限价对应清单子目的综合单价×（1-投标下浮率），并按调整后的综合单价作为结算综合单价。</w:t>
      </w:r>
    </w:p>
    <w:p w14:paraId="4719F86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各单项工程中相同的清单子目，中标的投标单价必须一致，若不一致，发包人有权在结算阶段按就低不就高的原则调整，调整方式为：结算综合单价＝最高投标限价对应清单子目综合单价×（1-投标下浮率）与中标的综合单价对比低值，并按调整后的综合单价作为结算综合单价。</w:t>
      </w:r>
    </w:p>
    <w:p w14:paraId="4D6FEEF4">
      <w:pPr>
        <w:spacing w:line="420" w:lineRule="exact"/>
        <w:ind w:firstLine="480" w:firstLineChars="200"/>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10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结算时，若试压消毒冲洗临时管安拆单独计价，发包人有权调整相关清单的中标综合单价：</w:t>
      </w:r>
    </w:p>
    <w:p w14:paraId="1F2207B7">
      <w:pPr>
        <w:spacing w:line="420" w:lineRule="exact"/>
        <w:ind w:firstLine="480" w:firstLineChars="200"/>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6.10.1“管道试压”子目，剔除:(1)钢板(2)石棉橡胶板(3)六角螺栓(4)低碳钢焊条(5)氧气(6)乙炔气(7)镀锌钢管(8)法兰截止阀(9)碳钢平焊法兰(10)水(11)试压泵中的“安拆费”(12)直流弧焊机(13)电焊条烘干箱。</w:t>
      </w:r>
    </w:p>
    <w:p w14:paraId="22D9192E">
      <w:pPr>
        <w:spacing w:line="420" w:lineRule="exact"/>
        <w:ind w:firstLine="480" w:firstLineChars="200"/>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6.10.2 不锈钢管道安装，剔除:(1)钢板(2)橡胶板(3)六角螺栓(4)低碳钢焊条(5)氧气(6)乙炔气(7)焊接钢管(8)螺纹阀门(9)弹力压力表(10)压力表弯管(11)水(12)试压泵中的“安拆费”(13)交流弧焊机。</w:t>
      </w:r>
    </w:p>
    <w:p w14:paraId="326BDB0B">
      <w:pPr>
        <w:spacing w:line="420" w:lineRule="exact"/>
        <w:ind w:left="0" w:leftChars="0"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6.11</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本工程采用</w:t>
      </w:r>
      <w:permStart w:id="49" w:edGrp="everyone"/>
      <w: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sym w:font="Wingdings" w:char="00FD"/>
      </w:r>
      <w:permEnd w:id="4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一般计税；</w:t>
      </w:r>
      <w:permStart w:id="50"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permEnd w:id="5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简易计税</w:t>
      </w:r>
    </w:p>
    <w:p w14:paraId="7893E7A8">
      <w:pPr>
        <w:widowControl w:val="0"/>
        <w:adjustRightInd w:val="0"/>
        <w:spacing w:line="420" w:lineRule="exact"/>
        <w:ind w:firstLine="0"/>
        <w:jc w:val="both"/>
        <w:textAlignment w:val="baseline"/>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p>
    <w:p w14:paraId="10699D64">
      <w:pPr>
        <w:widowControl w:val="0"/>
        <w:adjustRightInd w:val="0"/>
        <w:spacing w:line="420" w:lineRule="exact"/>
        <w:ind w:firstLine="0"/>
        <w:jc w:val="both"/>
        <w:textAlignment w:val="baseline"/>
        <w:outlineLvl w:val="1"/>
        <w:rPr>
          <w:rFonts w:hint="eastAsia" w:ascii="黑体" w:hAnsi="黑体" w:eastAsia="黑体" w:cs="黑体"/>
          <w:b w:val="0"/>
          <w:bCs w:val="0"/>
          <w:color w:val="000000" w:themeColor="text1"/>
          <w:kern w:val="2"/>
          <w:sz w:val="24"/>
          <w:szCs w:val="24"/>
          <w:highlight w:val="none"/>
          <w:lang w:val="en-US" w:eastAsia="zh-CN" w:bidi="ar-SA"/>
          <w14:textFill>
            <w14:solidFill>
              <w14:schemeClr w14:val="tx1"/>
            </w14:solidFill>
          </w14:textFill>
        </w:rPr>
      </w:pPr>
      <w:bookmarkStart w:id="474" w:name="_Toc8027"/>
      <w:bookmarkStart w:id="475" w:name="_Toc26085"/>
      <w:bookmarkStart w:id="476" w:name="_Toc32130"/>
      <w:r>
        <w:rPr>
          <w:rFonts w:hint="eastAsia" w:ascii="黑体" w:hAnsi="黑体" w:eastAsia="黑体" w:cs="黑体"/>
          <w:b w:val="0"/>
          <w:bCs w:val="0"/>
          <w:color w:val="000000" w:themeColor="text1"/>
          <w:kern w:val="2"/>
          <w:sz w:val="24"/>
          <w:szCs w:val="24"/>
          <w:highlight w:val="none"/>
          <w:lang w:val="en-US" w:eastAsia="zh-CN" w:bidi="ar-SA"/>
          <w14:textFill>
            <w14:solidFill>
              <w14:schemeClr w14:val="tx1"/>
            </w14:solidFill>
          </w14:textFill>
        </w:rPr>
        <w:t>七、承包人代表（项目经理）及其他主要管理人员</w:t>
      </w:r>
      <w:bookmarkEnd w:id="474"/>
      <w:bookmarkEnd w:id="475"/>
      <w:bookmarkEnd w:id="476"/>
    </w:p>
    <w:p w14:paraId="7180B2DB">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7.1 承包人代表（项目经理）：姓名：</w:t>
      </w:r>
      <w:permStart w:id="5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51"/>
      <w:r>
        <w:rPr>
          <w:rFonts w:hint="eastAsia" w:ascii="仿宋_GB2312" w:hAnsi="仿宋_GB2312" w:eastAsia="仿宋_GB2312" w:cs="仿宋_GB2312"/>
          <w:color w:val="000000" w:themeColor="text1"/>
          <w:sz w:val="24"/>
          <w:szCs w:val="24"/>
          <w:highlight w:val="none"/>
          <w14:textFill>
            <w14:solidFill>
              <w14:schemeClr w14:val="tx1"/>
            </w14:solidFill>
          </w14:textFill>
        </w:rPr>
        <w:t>；职称：</w:t>
      </w:r>
      <w:permStart w:id="5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52"/>
      <w:r>
        <w:rPr>
          <w:rFonts w:hint="eastAsia" w:ascii="仿宋_GB2312" w:hAnsi="仿宋_GB2312" w:eastAsia="仿宋_GB2312" w:cs="仿宋_GB2312"/>
          <w:color w:val="000000" w:themeColor="text1"/>
          <w:sz w:val="24"/>
          <w:szCs w:val="24"/>
          <w:highlight w:val="none"/>
          <w14:textFill>
            <w14:solidFill>
              <w14:schemeClr w14:val="tx1"/>
            </w14:solidFill>
          </w14:textFill>
        </w:rPr>
        <w:t>；身份证号：</w:t>
      </w:r>
      <w:permStart w:id="5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53"/>
      <w:r>
        <w:rPr>
          <w:rFonts w:hint="eastAsia" w:ascii="仿宋_GB2312" w:hAnsi="仿宋_GB2312" w:eastAsia="仿宋_GB2312" w:cs="仿宋_GB2312"/>
          <w:color w:val="000000" w:themeColor="text1"/>
          <w:sz w:val="24"/>
          <w:szCs w:val="24"/>
          <w:highlight w:val="none"/>
          <w14:textFill>
            <w14:solidFill>
              <w14:schemeClr w14:val="tx1"/>
            </w14:solidFill>
          </w14:textFill>
        </w:rPr>
        <w:t>；建造师执业资格证书号：</w:t>
      </w:r>
      <w:permStart w:id="5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54"/>
      <w:r>
        <w:rPr>
          <w:rFonts w:hint="eastAsia" w:ascii="仿宋_GB2312" w:hAnsi="仿宋_GB2312" w:eastAsia="仿宋_GB2312" w:cs="仿宋_GB2312"/>
          <w:color w:val="000000" w:themeColor="text1"/>
          <w:sz w:val="24"/>
          <w:szCs w:val="24"/>
          <w:highlight w:val="none"/>
          <w14:textFill>
            <w14:solidFill>
              <w14:schemeClr w14:val="tx1"/>
            </w14:solidFill>
          </w14:textFill>
        </w:rPr>
        <w:t>；建造师注册证书号：</w:t>
      </w:r>
      <w:permStart w:id="5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55"/>
      <w:r>
        <w:rPr>
          <w:rFonts w:hint="eastAsia" w:ascii="仿宋_GB2312" w:hAnsi="仿宋_GB2312" w:eastAsia="仿宋_GB2312" w:cs="仿宋_GB2312"/>
          <w:color w:val="000000" w:themeColor="text1"/>
          <w:sz w:val="24"/>
          <w:szCs w:val="24"/>
          <w:highlight w:val="none"/>
          <w14:textFill>
            <w14:solidFill>
              <w14:schemeClr w14:val="tx1"/>
            </w14:solidFill>
          </w14:textFill>
        </w:rPr>
        <w:t>；建造师执业印章号：</w:t>
      </w:r>
      <w:permStart w:id="5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56"/>
      <w:r>
        <w:rPr>
          <w:rFonts w:hint="eastAsia" w:ascii="仿宋_GB2312" w:hAnsi="仿宋_GB2312" w:eastAsia="仿宋_GB2312" w:cs="仿宋_GB2312"/>
          <w:color w:val="000000" w:themeColor="text1"/>
          <w:sz w:val="24"/>
          <w:szCs w:val="24"/>
          <w:highlight w:val="none"/>
          <w14:textFill>
            <w14:solidFill>
              <w14:schemeClr w14:val="tx1"/>
            </w14:solidFill>
          </w14:textFill>
        </w:rPr>
        <w:t>；安全生产考核合格证书号：</w:t>
      </w:r>
      <w:permStart w:id="57"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57"/>
      <w:r>
        <w:rPr>
          <w:rFonts w:hint="eastAsia" w:ascii="仿宋_GB2312" w:hAnsi="仿宋_GB2312" w:eastAsia="仿宋_GB2312" w:cs="仿宋_GB2312"/>
          <w:color w:val="000000" w:themeColor="text1"/>
          <w:sz w:val="24"/>
          <w:szCs w:val="24"/>
          <w:highlight w:val="none"/>
          <w14:textFill>
            <w14:solidFill>
              <w14:schemeClr w14:val="tx1"/>
            </w14:solidFill>
          </w14:textFill>
        </w:rPr>
        <w:t>；建</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w:t>
      </w:r>
      <w:r>
        <w:rPr>
          <w:rFonts w:hint="eastAsia" w:ascii="仿宋_GB2312" w:hAnsi="仿宋_GB2312" w:eastAsia="仿宋_GB2312" w:cs="仿宋_GB2312"/>
          <w:color w:val="000000" w:themeColor="text1"/>
          <w:sz w:val="24"/>
          <w:szCs w:val="24"/>
          <w:highlight w:val="none"/>
          <w14:textFill>
            <w14:solidFill>
              <w14:schemeClr w14:val="tx1"/>
            </w14:solidFill>
          </w14:textFill>
        </w:rPr>
        <w:t>师等级：</w:t>
      </w:r>
      <w:permStart w:id="5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58"/>
      <w:r>
        <w:rPr>
          <w:rFonts w:hint="eastAsia" w:ascii="仿宋_GB2312" w:hAnsi="仿宋_GB2312" w:eastAsia="仿宋_GB2312" w:cs="仿宋_GB2312"/>
          <w:color w:val="000000" w:themeColor="text1"/>
          <w:sz w:val="24"/>
          <w:szCs w:val="24"/>
          <w:highlight w:val="none"/>
          <w14:textFill>
            <w14:solidFill>
              <w14:schemeClr w14:val="tx1"/>
            </w14:solidFill>
          </w14:textFill>
        </w:rPr>
        <w:t>；建造师专业：</w:t>
      </w:r>
      <w:permStart w:id="5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59"/>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574A554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7.2 承包人项目技术负责人：姓名：</w:t>
      </w:r>
      <w:permStart w:id="6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0"/>
      <w:r>
        <w:rPr>
          <w:rFonts w:hint="eastAsia" w:ascii="仿宋_GB2312" w:hAnsi="仿宋_GB2312" w:eastAsia="仿宋_GB2312" w:cs="仿宋_GB2312"/>
          <w:color w:val="000000" w:themeColor="text1"/>
          <w:sz w:val="24"/>
          <w:szCs w:val="24"/>
          <w:highlight w:val="none"/>
          <w14:textFill>
            <w14:solidFill>
              <w14:schemeClr w14:val="tx1"/>
            </w14:solidFill>
          </w14:textFill>
        </w:rPr>
        <w:t>；职称：</w:t>
      </w:r>
      <w:permStart w:id="6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1"/>
      <w:r>
        <w:rPr>
          <w:rFonts w:hint="eastAsia" w:ascii="仿宋_GB2312" w:hAnsi="仿宋_GB2312" w:eastAsia="仿宋_GB2312" w:cs="仿宋_GB2312"/>
          <w:color w:val="000000" w:themeColor="text1"/>
          <w:sz w:val="24"/>
          <w:szCs w:val="24"/>
          <w:highlight w:val="none"/>
          <w14:textFill>
            <w14:solidFill>
              <w14:schemeClr w14:val="tx1"/>
            </w14:solidFill>
          </w14:textFill>
        </w:rPr>
        <w:t>；身份证号：</w:t>
      </w:r>
      <w:permStart w:id="6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2"/>
      <w:r>
        <w:rPr>
          <w:rFonts w:hint="eastAsia" w:ascii="仿宋_GB2312" w:hAnsi="仿宋_GB2312" w:eastAsia="仿宋_GB2312" w:cs="仿宋_GB2312"/>
          <w:color w:val="000000" w:themeColor="text1"/>
          <w:sz w:val="24"/>
          <w:szCs w:val="24"/>
          <w:highlight w:val="none"/>
          <w14:textFill>
            <w14:solidFill>
              <w14:schemeClr w14:val="tx1"/>
            </w14:solidFill>
          </w14:textFill>
        </w:rPr>
        <w:t>；建造师执业资格证书号：</w:t>
      </w:r>
      <w:permStart w:id="6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3"/>
      <w:r>
        <w:rPr>
          <w:rFonts w:hint="eastAsia" w:ascii="仿宋_GB2312" w:hAnsi="仿宋_GB2312" w:eastAsia="仿宋_GB2312" w:cs="仿宋_GB2312"/>
          <w:color w:val="000000" w:themeColor="text1"/>
          <w:sz w:val="24"/>
          <w:szCs w:val="24"/>
          <w:highlight w:val="none"/>
          <w14:textFill>
            <w14:solidFill>
              <w14:schemeClr w14:val="tx1"/>
            </w14:solidFill>
          </w14:textFill>
        </w:rPr>
        <w:t>；建造师注册证书号：</w:t>
      </w:r>
      <w:permStart w:id="6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4"/>
      <w:r>
        <w:rPr>
          <w:rFonts w:hint="eastAsia" w:ascii="仿宋_GB2312" w:hAnsi="仿宋_GB2312" w:eastAsia="仿宋_GB2312" w:cs="仿宋_GB2312"/>
          <w:color w:val="000000" w:themeColor="text1"/>
          <w:sz w:val="24"/>
          <w:szCs w:val="24"/>
          <w:highlight w:val="none"/>
          <w14:textFill>
            <w14:solidFill>
              <w14:schemeClr w14:val="tx1"/>
            </w14:solidFill>
          </w14:textFill>
        </w:rPr>
        <w:t>；建造师执业印章号：</w:t>
      </w:r>
      <w:permStart w:id="6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5"/>
      <w:r>
        <w:rPr>
          <w:rFonts w:hint="eastAsia" w:ascii="仿宋_GB2312" w:hAnsi="仿宋_GB2312" w:eastAsia="仿宋_GB2312" w:cs="仿宋_GB2312"/>
          <w:color w:val="000000" w:themeColor="text1"/>
          <w:sz w:val="24"/>
          <w:szCs w:val="24"/>
          <w:highlight w:val="none"/>
          <w14:textFill>
            <w14:solidFill>
              <w14:schemeClr w14:val="tx1"/>
            </w14:solidFill>
          </w14:textFill>
        </w:rPr>
        <w:t>；安全生产考核合格证书号：</w:t>
      </w:r>
      <w:permStart w:id="6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6"/>
      <w:r>
        <w:rPr>
          <w:rFonts w:hint="eastAsia" w:ascii="仿宋_GB2312" w:hAnsi="仿宋_GB2312" w:eastAsia="仿宋_GB2312" w:cs="仿宋_GB2312"/>
          <w:color w:val="000000" w:themeColor="text1"/>
          <w:sz w:val="24"/>
          <w:szCs w:val="24"/>
          <w:highlight w:val="none"/>
          <w14:textFill>
            <w14:solidFill>
              <w14:schemeClr w14:val="tx1"/>
            </w14:solidFill>
          </w14:textFill>
        </w:rPr>
        <w:t>；建</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w:t>
      </w:r>
      <w:r>
        <w:rPr>
          <w:rFonts w:hint="eastAsia" w:ascii="仿宋_GB2312" w:hAnsi="仿宋_GB2312" w:eastAsia="仿宋_GB2312" w:cs="仿宋_GB2312"/>
          <w:color w:val="000000" w:themeColor="text1"/>
          <w:sz w:val="24"/>
          <w:szCs w:val="24"/>
          <w:highlight w:val="none"/>
          <w14:textFill>
            <w14:solidFill>
              <w14:schemeClr w14:val="tx1"/>
            </w14:solidFill>
          </w14:textFill>
        </w:rPr>
        <w:t>师等级：</w:t>
      </w:r>
      <w:permStart w:id="67"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7"/>
      <w:r>
        <w:rPr>
          <w:rFonts w:hint="eastAsia" w:ascii="仿宋_GB2312" w:hAnsi="仿宋_GB2312" w:eastAsia="仿宋_GB2312" w:cs="仿宋_GB2312"/>
          <w:color w:val="000000" w:themeColor="text1"/>
          <w:sz w:val="24"/>
          <w:szCs w:val="24"/>
          <w:highlight w:val="none"/>
          <w14:textFill>
            <w14:solidFill>
              <w14:schemeClr w14:val="tx1"/>
            </w14:solidFill>
          </w14:textFill>
        </w:rPr>
        <w:t>；建造师专业：</w:t>
      </w:r>
      <w:permStart w:id="6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8"/>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3892A295">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7.3专职安全员：姓名：</w:t>
      </w:r>
      <w:permStart w:id="6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9"/>
      <w:r>
        <w:rPr>
          <w:rFonts w:hint="eastAsia" w:ascii="仿宋_GB2312" w:hAnsi="仿宋_GB2312" w:eastAsia="仿宋_GB2312" w:cs="仿宋_GB2312"/>
          <w:color w:val="000000" w:themeColor="text1"/>
          <w:sz w:val="24"/>
          <w:szCs w:val="24"/>
          <w:highlight w:val="none"/>
          <w14:textFill>
            <w14:solidFill>
              <w14:schemeClr w14:val="tx1"/>
            </w14:solidFill>
          </w14:textFill>
        </w:rPr>
        <w:t>；职称：</w:t>
      </w:r>
      <w:permStart w:id="7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70"/>
      <w:r>
        <w:rPr>
          <w:rFonts w:hint="eastAsia" w:ascii="仿宋_GB2312" w:hAnsi="仿宋_GB2312" w:eastAsia="仿宋_GB2312" w:cs="仿宋_GB2312"/>
          <w:color w:val="000000" w:themeColor="text1"/>
          <w:sz w:val="24"/>
          <w:szCs w:val="24"/>
          <w:highlight w:val="none"/>
          <w14:textFill>
            <w14:solidFill>
              <w14:schemeClr w14:val="tx1"/>
            </w14:solidFill>
          </w14:textFill>
        </w:rPr>
        <w:t>；身份证号：</w:t>
      </w:r>
      <w:permStart w:id="7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71"/>
      <w:r>
        <w:rPr>
          <w:rFonts w:hint="eastAsia" w:ascii="仿宋_GB2312" w:hAnsi="仿宋_GB2312" w:eastAsia="仿宋_GB2312" w:cs="仿宋_GB2312"/>
          <w:color w:val="000000" w:themeColor="text1"/>
          <w:sz w:val="24"/>
          <w:szCs w:val="24"/>
          <w:highlight w:val="none"/>
          <w14:textFill>
            <w14:solidFill>
              <w14:schemeClr w14:val="tx1"/>
            </w14:solidFill>
          </w14:textFill>
        </w:rPr>
        <w:t>；安全生产考核合格证书号：</w:t>
      </w:r>
      <w:permStart w:id="7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72"/>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2F3D7B46">
      <w:pPr>
        <w:spacing w:line="420" w:lineRule="exact"/>
        <w:outlineLvl w:val="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5DA4D13A">
      <w:pPr>
        <w:spacing w:line="420" w:lineRule="exact"/>
        <w:outlineLvl w:val="1"/>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477" w:name="_Toc1889"/>
      <w:bookmarkStart w:id="478" w:name="_Toc30831"/>
      <w:bookmarkStart w:id="479" w:name="_Toc11356"/>
      <w:r>
        <w:rPr>
          <w:rFonts w:hint="eastAsia" w:ascii="黑体" w:hAnsi="黑体" w:eastAsia="黑体" w:cs="黑体"/>
          <w:b w:val="0"/>
          <w:bCs w:val="0"/>
          <w:color w:val="000000" w:themeColor="text1"/>
          <w:sz w:val="24"/>
          <w:szCs w:val="24"/>
          <w:highlight w:val="none"/>
          <w14:textFill>
            <w14:solidFill>
              <w14:schemeClr w14:val="tx1"/>
            </w14:solidFill>
          </w14:textFill>
        </w:rPr>
        <w:t>★八、工人工资支付分账</w:t>
      </w:r>
      <w:bookmarkEnd w:id="477"/>
      <w:bookmarkEnd w:id="478"/>
      <w:bookmarkEnd w:id="479"/>
    </w:p>
    <w:p w14:paraId="366CCB2D">
      <w:pPr>
        <w:spacing w:line="420" w:lineRule="exact"/>
        <w:ind w:firstLine="480" w:firstLineChars="200"/>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工人工资款支付专用账户开设的约定内容：</w:t>
      </w:r>
      <w:permStart w:id="7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按照《关于印发广州市建设领域工人工资支付分账管理实施细则的通知》(穗建规字[2020]37号)等有关规定执行。  </w:t>
      </w:r>
      <w:permEnd w:id="7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742E3117">
      <w:pPr>
        <w:spacing w:line="420" w:lineRule="exact"/>
        <w:ind w:firstLine="495"/>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工人工资款支付专用账户开户银行（如有）：</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取得施工许可后办理          </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277C8FB9">
      <w:pPr>
        <w:spacing w:line="420" w:lineRule="exact"/>
        <w:ind w:firstLine="495"/>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工人工资款支付专用账户账号（如有）：</w:t>
      </w:r>
      <w:permStart w:id="74" w:edGrp="everyone"/>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取得施工许可后办理</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7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739153A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工程款中的工人工资款比例：</w:t>
      </w:r>
      <w:permStart w:id="7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7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，其中：每一期工程进度款中的工人工资款比例：</w:t>
      </w:r>
      <w:permStart w:id="7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7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605AE300">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工人工资支付周期：</w:t>
      </w:r>
      <w:permStart w:id="7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在进度款中同期支付  </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7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3449938C">
      <w:pPr>
        <w:spacing w:line="420" w:lineRule="exact"/>
        <w:ind w:firstLine="46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承包人已确认上述约定工程款中的工人工资款比例能满足本工程项目的工人工资支付。</w:t>
      </w:r>
    </w:p>
    <w:p w14:paraId="08A50968">
      <w:pPr>
        <w:spacing w:line="420" w:lineRule="exact"/>
        <w:outlineLvl w:val="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4324596F">
      <w:pPr>
        <w:spacing w:line="420" w:lineRule="exact"/>
        <w:outlineLvl w:val="1"/>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480" w:name="_Toc12255"/>
      <w:bookmarkStart w:id="481" w:name="_Toc29410"/>
      <w:bookmarkStart w:id="482" w:name="_Toc318"/>
      <w:r>
        <w:rPr>
          <w:rFonts w:hint="eastAsia" w:ascii="黑体" w:hAnsi="黑体" w:eastAsia="黑体" w:cs="黑体"/>
          <w:b w:val="0"/>
          <w:bCs w:val="0"/>
          <w:color w:val="000000" w:themeColor="text1"/>
          <w:sz w:val="24"/>
          <w:szCs w:val="24"/>
          <w:highlight w:val="none"/>
          <w14:textFill>
            <w14:solidFill>
              <w14:schemeClr w14:val="tx1"/>
            </w14:solidFill>
          </w14:textFill>
        </w:rPr>
        <w:t>九、组成合同的文件</w:t>
      </w:r>
      <w:bookmarkEnd w:id="480"/>
      <w:bookmarkEnd w:id="481"/>
      <w:bookmarkEnd w:id="482"/>
    </w:p>
    <w:p w14:paraId="41E346B3">
      <w:pPr>
        <w:widowControl w:val="0"/>
        <w:tabs>
          <w:tab w:val="left" w:pos="1260"/>
        </w:tabs>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组成本合同的文件及其优先解释顺序与本合同第二部分《通用条款》第2.2款赋予的规定一致。</w:t>
      </w:r>
    </w:p>
    <w:p w14:paraId="4BA65598">
      <w:pPr>
        <w:spacing w:line="420" w:lineRule="exact"/>
        <w:outlineLvl w:val="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173E1CFD">
      <w:pPr>
        <w:spacing w:line="420" w:lineRule="exact"/>
        <w:outlineLvl w:val="1"/>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483" w:name="_Toc25001"/>
      <w:bookmarkStart w:id="484" w:name="_Toc12467"/>
      <w:bookmarkStart w:id="485" w:name="_Toc27011"/>
      <w:r>
        <w:rPr>
          <w:rFonts w:hint="eastAsia" w:ascii="黑体" w:hAnsi="黑体" w:eastAsia="黑体" w:cs="黑体"/>
          <w:b w:val="0"/>
          <w:bCs w:val="0"/>
          <w:color w:val="000000" w:themeColor="text1"/>
          <w:sz w:val="24"/>
          <w:szCs w:val="24"/>
          <w:highlight w:val="none"/>
          <w14:textFill>
            <w14:solidFill>
              <w14:schemeClr w14:val="tx1"/>
            </w14:solidFill>
          </w14:textFill>
        </w:rPr>
        <w:t>十、词语含义</w:t>
      </w:r>
      <w:bookmarkEnd w:id="483"/>
      <w:bookmarkEnd w:id="484"/>
      <w:bookmarkEnd w:id="485"/>
    </w:p>
    <w:p w14:paraId="6FA49F69">
      <w:pPr>
        <w:widowControl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本协议书中有关词语含义与本合同第二部分《通用条款》第1条赋予它们的定义相同。</w:t>
      </w:r>
    </w:p>
    <w:p w14:paraId="76D88772">
      <w:pPr>
        <w:spacing w:line="420" w:lineRule="exact"/>
        <w:outlineLvl w:val="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491E8E88">
      <w:pPr>
        <w:spacing w:line="420" w:lineRule="exact"/>
        <w:outlineLvl w:val="1"/>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486" w:name="_Toc7964"/>
      <w:bookmarkStart w:id="487" w:name="_Toc24759"/>
      <w:bookmarkStart w:id="488" w:name="_Toc9132"/>
      <w:r>
        <w:rPr>
          <w:rFonts w:hint="eastAsia" w:ascii="黑体" w:hAnsi="黑体" w:eastAsia="黑体" w:cs="黑体"/>
          <w:b w:val="0"/>
          <w:bCs w:val="0"/>
          <w:color w:val="000000" w:themeColor="text1"/>
          <w:sz w:val="24"/>
          <w:szCs w:val="24"/>
          <w:highlight w:val="none"/>
          <w14:textFill>
            <w14:solidFill>
              <w14:schemeClr w14:val="tx1"/>
            </w14:solidFill>
          </w14:textFill>
        </w:rPr>
        <w:t>十一、承包人承诺</w:t>
      </w:r>
      <w:bookmarkEnd w:id="486"/>
      <w:bookmarkEnd w:id="487"/>
      <w:bookmarkEnd w:id="488"/>
    </w:p>
    <w:p w14:paraId="146DB474">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承包人向发包人承诺已阅读、理解并接受本合同所有条款，按照本合同约定实施、完成并保修合同工程，履行本合同所约定的全部义务。</w:t>
      </w:r>
    </w:p>
    <w:p w14:paraId="04A5F3BB">
      <w:pPr>
        <w:spacing w:line="420" w:lineRule="exact"/>
        <w:outlineLvl w:val="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16C4F7F4">
      <w:pPr>
        <w:spacing w:line="420" w:lineRule="exact"/>
        <w:outlineLvl w:val="1"/>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489" w:name="_Toc31609"/>
      <w:bookmarkStart w:id="490" w:name="_Toc3051"/>
      <w:bookmarkStart w:id="491" w:name="_Toc3983"/>
      <w:r>
        <w:rPr>
          <w:rFonts w:hint="eastAsia" w:ascii="黑体" w:hAnsi="黑体" w:eastAsia="黑体" w:cs="黑体"/>
          <w:b w:val="0"/>
          <w:bCs w:val="0"/>
          <w:color w:val="000000" w:themeColor="text1"/>
          <w:sz w:val="24"/>
          <w:szCs w:val="24"/>
          <w:highlight w:val="none"/>
          <w14:textFill>
            <w14:solidFill>
              <w14:schemeClr w14:val="tx1"/>
            </w14:solidFill>
          </w14:textFill>
        </w:rPr>
        <w:t>十二、发包人承诺</w:t>
      </w:r>
      <w:bookmarkEnd w:id="489"/>
      <w:bookmarkEnd w:id="490"/>
      <w:bookmarkEnd w:id="491"/>
    </w:p>
    <w:p w14:paraId="7E2088B0">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发包人向承包人承诺已阅读、理解并接受本合同所有条款，按照本合同约定的时限和方法支付工程款及其他应当支付的款项，履行本合同所约定的全部义务。</w:t>
      </w:r>
    </w:p>
    <w:p w14:paraId="7FDEA87E">
      <w:pPr>
        <w:numPr>
          <w:ilvl w:val="0"/>
          <w:numId w:val="0"/>
        </w:numPr>
        <w:spacing w:line="420" w:lineRule="exact"/>
        <w:outlineLvl w:val="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6F8794B2">
      <w:pPr>
        <w:numPr>
          <w:ilvl w:val="0"/>
          <w:numId w:val="0"/>
        </w:numPr>
        <w:spacing w:line="420" w:lineRule="exact"/>
        <w:outlineLvl w:val="1"/>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492" w:name="_Toc14585"/>
      <w:bookmarkStart w:id="493" w:name="_Toc27395"/>
      <w:bookmarkStart w:id="494" w:name="_Toc12656"/>
      <w:r>
        <w:rPr>
          <w:rFonts w:hint="eastAsia" w:ascii="黑体" w:hAnsi="黑体" w:eastAsia="黑体" w:cs="黑体"/>
          <w:b w:val="0"/>
          <w:bCs w:val="0"/>
          <w:color w:val="000000" w:themeColor="text1"/>
          <w:sz w:val="24"/>
          <w:szCs w:val="24"/>
          <w:highlight w:val="none"/>
          <w14:textFill>
            <w14:solidFill>
              <w14:schemeClr w14:val="tx1"/>
            </w14:solidFill>
          </w14:textFill>
        </w:rPr>
        <w:t>十三、合同生效</w:t>
      </w:r>
      <w:bookmarkEnd w:id="492"/>
      <w:bookmarkEnd w:id="493"/>
      <w:bookmarkEnd w:id="494"/>
    </w:p>
    <w:p w14:paraId="19F45629">
      <w:pPr>
        <w:spacing w:line="420" w:lineRule="exact"/>
        <w:ind w:left="52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本合同订立时间：</w:t>
      </w:r>
      <w:permStart w:id="7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78"/>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permStart w:id="7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79"/>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permStart w:id="8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0"/>
      <w:r>
        <w:rPr>
          <w:rFonts w:hint="eastAsia" w:ascii="仿宋_GB2312" w:hAnsi="仿宋_GB2312" w:eastAsia="仿宋_GB2312" w:cs="仿宋_GB2312"/>
          <w:color w:val="000000" w:themeColor="text1"/>
          <w:sz w:val="24"/>
          <w:szCs w:val="24"/>
          <w:highlight w:val="none"/>
          <w14:textFill>
            <w14:solidFill>
              <w14:schemeClr w14:val="tx1"/>
            </w14:solidFill>
          </w14:textFill>
        </w:rPr>
        <w:t>日</w:t>
      </w:r>
    </w:p>
    <w:p w14:paraId="32D5FEDE">
      <w:pPr>
        <w:spacing w:line="420" w:lineRule="exact"/>
        <w:ind w:left="525"/>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本合同订立地点：</w:t>
      </w:r>
      <w:permStart w:id="8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 xml:space="preserve">广州市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1"/>
    </w:p>
    <w:p w14:paraId="79561468">
      <w:pPr>
        <w:numPr>
          <w:ilvl w:val="0"/>
          <w:numId w:val="0"/>
        </w:numPr>
        <w:spacing w:line="420" w:lineRule="exact"/>
        <w:outlineLvl w:val="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5FFA75E2">
      <w:pPr>
        <w:numPr>
          <w:ilvl w:val="0"/>
          <w:numId w:val="0"/>
        </w:numPr>
        <w:spacing w:line="420" w:lineRule="exact"/>
        <w:outlineLvl w:val="1"/>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495" w:name="_Toc24108"/>
      <w:bookmarkStart w:id="496" w:name="_Toc27797"/>
      <w:bookmarkStart w:id="497" w:name="_Toc15697"/>
      <w:r>
        <w:rPr>
          <w:rFonts w:hint="eastAsia" w:ascii="黑体" w:hAnsi="黑体" w:eastAsia="黑体" w:cs="黑体"/>
          <w:b w:val="0"/>
          <w:bCs w:val="0"/>
          <w:color w:val="000000" w:themeColor="text1"/>
          <w:sz w:val="24"/>
          <w:szCs w:val="24"/>
          <w:highlight w:val="none"/>
          <w14:textFill>
            <w14:solidFill>
              <w14:schemeClr w14:val="tx1"/>
            </w14:solidFill>
          </w14:textFill>
        </w:rPr>
        <w:t>十四、合同份数</w:t>
      </w:r>
      <w:bookmarkEnd w:id="495"/>
      <w:bookmarkEnd w:id="496"/>
      <w:bookmarkEnd w:id="497"/>
    </w:p>
    <w:p w14:paraId="09069A7A">
      <w:pPr>
        <w:spacing w:line="420" w:lineRule="exact"/>
        <w:ind w:firstLine="480"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本合同一式</w:t>
      </w:r>
      <w:permStart w:id="8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 xml:space="preserve">伍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2"/>
      <w:r>
        <w:rPr>
          <w:rFonts w:hint="eastAsia" w:ascii="仿宋_GB2312" w:hAnsi="仿宋_GB2312" w:eastAsia="仿宋_GB2312" w:cs="仿宋_GB2312"/>
          <w:color w:val="000000" w:themeColor="text1"/>
          <w:sz w:val="24"/>
          <w:szCs w:val="24"/>
          <w:highlight w:val="none"/>
          <w14:textFill>
            <w14:solidFill>
              <w14:schemeClr w14:val="tx1"/>
            </w14:solidFill>
          </w14:textFill>
        </w:rPr>
        <w:t>份，具有同等法律效力，其中甲方执</w:t>
      </w:r>
      <w:permStart w:id="8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叁</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3"/>
      <w:r>
        <w:rPr>
          <w:rFonts w:hint="eastAsia" w:ascii="仿宋_GB2312" w:hAnsi="仿宋_GB2312" w:eastAsia="仿宋_GB2312" w:cs="仿宋_GB2312"/>
          <w:color w:val="000000" w:themeColor="text1"/>
          <w:sz w:val="24"/>
          <w:szCs w:val="24"/>
          <w:highlight w:val="none"/>
          <w14:textFill>
            <w14:solidFill>
              <w14:schemeClr w14:val="tx1"/>
            </w14:solidFill>
          </w14:textFill>
        </w:rPr>
        <w:t>份，乙方执</w:t>
      </w:r>
      <w:permStart w:id="8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贰</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4"/>
      <w:r>
        <w:rPr>
          <w:rFonts w:hint="eastAsia" w:ascii="仿宋_GB2312" w:hAnsi="仿宋_GB2312" w:eastAsia="仿宋_GB2312" w:cs="仿宋_GB2312"/>
          <w:color w:val="000000" w:themeColor="text1"/>
          <w:sz w:val="24"/>
          <w:szCs w:val="24"/>
          <w:highlight w:val="none"/>
          <w14:textFill>
            <w14:solidFill>
              <w14:schemeClr w14:val="tx1"/>
            </w14:solidFill>
          </w14:textFill>
        </w:rPr>
        <w:t>份，其中一份在合同报送建设行政主管部门备案时留存。</w:t>
      </w:r>
    </w:p>
    <w:p w14:paraId="61DACAF9">
      <w:pPr>
        <w:numPr>
          <w:ilvl w:val="0"/>
          <w:numId w:val="0"/>
        </w:numPr>
        <w:spacing w:line="420" w:lineRule="exact"/>
        <w:outlineLvl w:val="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2C3665C9">
      <w:pPr>
        <w:numPr>
          <w:ilvl w:val="0"/>
          <w:numId w:val="0"/>
        </w:numPr>
        <w:spacing w:line="420" w:lineRule="exact"/>
        <w:outlineLvl w:val="1"/>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498" w:name="_Toc2961"/>
      <w:bookmarkStart w:id="499" w:name="_Toc3357"/>
      <w:bookmarkStart w:id="500" w:name="_Toc9105"/>
      <w:r>
        <w:rPr>
          <w:rFonts w:hint="eastAsia" w:ascii="黑体" w:hAnsi="黑体" w:eastAsia="黑体" w:cs="黑体"/>
          <w:b w:val="0"/>
          <w:bCs w:val="0"/>
          <w:color w:val="000000" w:themeColor="text1"/>
          <w:sz w:val="24"/>
          <w:szCs w:val="24"/>
          <w:highlight w:val="none"/>
          <w14:textFill>
            <w14:solidFill>
              <w14:schemeClr w14:val="tx1"/>
            </w14:solidFill>
          </w14:textFill>
        </w:rPr>
        <w:t>十五、合同的生效及其他</w:t>
      </w:r>
      <w:bookmarkEnd w:id="498"/>
      <w:bookmarkEnd w:id="499"/>
      <w:bookmarkEnd w:id="500"/>
    </w:p>
    <w:p w14:paraId="1C693F58">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合同双方当事人约定本合同自双方签字、盖章后生效。合同未尽事宜，双方另行签订补充协议，但不得背离本合同第一部分《协议书》第九条所约定的合同文件的实质性内容。</w:t>
      </w:r>
    </w:p>
    <w:p w14:paraId="4079CC75">
      <w:pPr>
        <w:spacing w:line="420" w:lineRule="exact"/>
        <w:ind w:firstLine="523" w:firstLineChars="218"/>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本协议书中有关词语定义与合同条款中的定义相同。</w:t>
      </w:r>
    </w:p>
    <w:p w14:paraId="4EEB049B">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与发包人签订合同时使用的“开户银行名称、账户名称（简称户名，应当与本合同中承包人的名称一致）及账号”应当与投标文件中所填写的“开户银行名称、账户名称（简称户名）及账号”一致，且不得为临时账户，合同签定后原则上不得变更；如因特殊情况需要变更的，应提交发包人认可的证明文件，并征得发包人同意，否则发包人有权拒绝合同授予、有权停止工程款的拨付，所造成的一切后果由承包人承担。</w:t>
      </w:r>
    </w:p>
    <w:p w14:paraId="1B16E069">
      <w:pPr>
        <w:spacing w:line="420" w:lineRule="exact"/>
        <w:ind w:firstLine="1200" w:firstLineChars="500"/>
        <w:jc w:val="left"/>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以下无正文</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p>
    <w:p w14:paraId="4ED84C8F">
      <w:pPr>
        <w:spacing w:line="420" w:lineRule="exact"/>
        <w:ind w:firstLine="1200" w:firstLineChars="500"/>
        <w:jc w:val="left"/>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p>
    <w:p w14:paraId="346E91F5">
      <w:pPr>
        <w:spacing w:line="420" w:lineRule="exact"/>
        <w:ind w:firstLine="1200" w:firstLineChars="500"/>
        <w:jc w:val="left"/>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p>
    <w:p w14:paraId="6B6B2F28">
      <w:pPr>
        <w:spacing w:line="420" w:lineRule="exact"/>
        <w:ind w:firstLine="1200" w:firstLineChars="500"/>
        <w:jc w:val="left"/>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p>
    <w:tbl>
      <w:tblPr>
        <w:tblStyle w:val="39"/>
        <w:tblpPr w:leftFromText="180" w:rightFromText="180" w:vertAnchor="text" w:horzAnchor="page" w:tblpX="2111" w:tblpY="96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39"/>
        <w:gridCol w:w="3740"/>
      </w:tblGrid>
      <w:tr w14:paraId="5139F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noWrap w:val="0"/>
            <w:vAlign w:val="top"/>
          </w:tcPr>
          <w:p w14:paraId="2CF7981B">
            <w:pPr>
              <w:spacing w:line="420" w:lineRule="exact"/>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permStart w:id="85"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发包人：（盖章）</w:t>
            </w:r>
          </w:p>
        </w:tc>
        <w:tc>
          <w:tcPr>
            <w:tcW w:w="3740" w:type="dxa"/>
            <w:noWrap w:val="0"/>
            <w:vAlign w:val="top"/>
          </w:tcPr>
          <w:p w14:paraId="570BF711">
            <w:pPr>
              <w:spacing w:line="420" w:lineRule="exact"/>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承包人：（盖章）</w:t>
            </w:r>
          </w:p>
        </w:tc>
      </w:tr>
      <w:tr w14:paraId="752D5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noWrap w:val="0"/>
            <w:vAlign w:val="top"/>
          </w:tcPr>
          <w:p w14:paraId="44DC4669">
            <w:pPr>
              <w:spacing w:line="420" w:lineRule="exact"/>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地址：</w:t>
            </w:r>
          </w:p>
        </w:tc>
        <w:tc>
          <w:tcPr>
            <w:tcW w:w="3740" w:type="dxa"/>
            <w:noWrap w:val="0"/>
            <w:vAlign w:val="top"/>
          </w:tcPr>
          <w:p w14:paraId="4E06C692">
            <w:pPr>
              <w:spacing w:line="420" w:lineRule="exact"/>
              <w:jc w:val="left"/>
              <w:rPr>
                <w:rFonts w:hint="eastAsia"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地址：</w:t>
            </w:r>
          </w:p>
        </w:tc>
      </w:tr>
      <w:tr w14:paraId="47B28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noWrap w:val="0"/>
            <w:vAlign w:val="top"/>
          </w:tcPr>
          <w:p w14:paraId="7F3D664D">
            <w:pPr>
              <w:spacing w:line="420" w:lineRule="exact"/>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法定代表人或委托代理人：</w:t>
            </w:r>
          </w:p>
        </w:tc>
        <w:tc>
          <w:tcPr>
            <w:tcW w:w="3740" w:type="dxa"/>
            <w:noWrap w:val="0"/>
            <w:vAlign w:val="top"/>
          </w:tcPr>
          <w:p w14:paraId="4DDB91E6">
            <w:pPr>
              <w:spacing w:line="420" w:lineRule="exact"/>
              <w:jc w:val="left"/>
              <w:rPr>
                <w:rFonts w:hint="eastAsia"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法定代表人或委托代理人：</w:t>
            </w:r>
          </w:p>
        </w:tc>
      </w:tr>
      <w:tr w14:paraId="6C59C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noWrap w:val="0"/>
            <w:vAlign w:val="top"/>
          </w:tcPr>
          <w:p w14:paraId="11658684">
            <w:pPr>
              <w:spacing w:line="420" w:lineRule="exact"/>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电话：</w:t>
            </w:r>
          </w:p>
        </w:tc>
        <w:tc>
          <w:tcPr>
            <w:tcW w:w="3740" w:type="dxa"/>
            <w:noWrap w:val="0"/>
            <w:vAlign w:val="top"/>
          </w:tcPr>
          <w:p w14:paraId="2B980E41">
            <w:pPr>
              <w:spacing w:line="420" w:lineRule="exact"/>
              <w:jc w:val="left"/>
              <w:rPr>
                <w:rFonts w:hint="eastAsia"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电话：</w:t>
            </w:r>
          </w:p>
        </w:tc>
      </w:tr>
      <w:tr w14:paraId="677A2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noWrap w:val="0"/>
            <w:vAlign w:val="top"/>
          </w:tcPr>
          <w:p w14:paraId="473269A2">
            <w:pPr>
              <w:spacing w:line="420" w:lineRule="exact"/>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传真： </w:t>
            </w:r>
          </w:p>
        </w:tc>
        <w:tc>
          <w:tcPr>
            <w:tcW w:w="3740" w:type="dxa"/>
            <w:noWrap w:val="0"/>
            <w:vAlign w:val="top"/>
          </w:tcPr>
          <w:p w14:paraId="28FBF4AA">
            <w:pPr>
              <w:spacing w:line="420" w:lineRule="exact"/>
              <w:jc w:val="left"/>
              <w:rPr>
                <w:rFonts w:hint="eastAsia"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传真： </w:t>
            </w:r>
          </w:p>
        </w:tc>
      </w:tr>
      <w:tr w14:paraId="63FDE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noWrap w:val="0"/>
            <w:vAlign w:val="top"/>
          </w:tcPr>
          <w:p w14:paraId="6C2CCA9B">
            <w:pPr>
              <w:spacing w:line="420" w:lineRule="exact"/>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账户名称：</w:t>
            </w:r>
          </w:p>
        </w:tc>
        <w:tc>
          <w:tcPr>
            <w:tcW w:w="3740" w:type="dxa"/>
            <w:noWrap w:val="0"/>
            <w:vAlign w:val="top"/>
          </w:tcPr>
          <w:p w14:paraId="3EBD0474">
            <w:pPr>
              <w:spacing w:line="420" w:lineRule="exact"/>
              <w:jc w:val="left"/>
              <w:rPr>
                <w:rFonts w:hint="eastAsia"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账户名称：</w:t>
            </w:r>
          </w:p>
        </w:tc>
      </w:tr>
      <w:tr w14:paraId="728BF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noWrap w:val="0"/>
            <w:vAlign w:val="top"/>
          </w:tcPr>
          <w:p w14:paraId="3AFAE065">
            <w:pPr>
              <w:spacing w:line="420" w:lineRule="exact"/>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开户银行：</w:t>
            </w:r>
          </w:p>
        </w:tc>
        <w:tc>
          <w:tcPr>
            <w:tcW w:w="3740" w:type="dxa"/>
            <w:noWrap w:val="0"/>
            <w:vAlign w:val="top"/>
          </w:tcPr>
          <w:p w14:paraId="411AA7B2">
            <w:pPr>
              <w:spacing w:line="420" w:lineRule="exact"/>
              <w:jc w:val="left"/>
              <w:rPr>
                <w:rFonts w:hint="eastAsia"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开户银行：</w:t>
            </w:r>
          </w:p>
        </w:tc>
      </w:tr>
      <w:tr w14:paraId="4C172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noWrap w:val="0"/>
            <w:vAlign w:val="top"/>
          </w:tcPr>
          <w:p w14:paraId="48DAB68A">
            <w:pPr>
              <w:spacing w:line="420" w:lineRule="exact"/>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账号：</w:t>
            </w:r>
          </w:p>
        </w:tc>
        <w:tc>
          <w:tcPr>
            <w:tcW w:w="3740" w:type="dxa"/>
            <w:noWrap w:val="0"/>
            <w:vAlign w:val="top"/>
          </w:tcPr>
          <w:p w14:paraId="533136A3">
            <w:pPr>
              <w:spacing w:line="420" w:lineRule="exact"/>
              <w:jc w:val="left"/>
              <w:rPr>
                <w:rFonts w:hint="eastAsia"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账号：</w:t>
            </w:r>
          </w:p>
        </w:tc>
      </w:tr>
      <w:tr w14:paraId="22CBA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noWrap w:val="0"/>
            <w:vAlign w:val="top"/>
          </w:tcPr>
          <w:p w14:paraId="72F9639A">
            <w:pPr>
              <w:spacing w:line="420" w:lineRule="exact"/>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邮政编码：  </w:t>
            </w:r>
          </w:p>
        </w:tc>
        <w:tc>
          <w:tcPr>
            <w:tcW w:w="3740" w:type="dxa"/>
            <w:noWrap w:val="0"/>
            <w:vAlign w:val="top"/>
          </w:tcPr>
          <w:p w14:paraId="55910DFB">
            <w:pPr>
              <w:spacing w:line="420" w:lineRule="exact"/>
              <w:jc w:val="left"/>
              <w:rPr>
                <w:rFonts w:hint="eastAsia"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邮政编码：  </w:t>
            </w:r>
          </w:p>
        </w:tc>
      </w:tr>
      <w:tr w14:paraId="5DDC4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noWrap w:val="0"/>
            <w:vAlign w:val="top"/>
          </w:tcPr>
          <w:p w14:paraId="504BDB9B">
            <w:pPr>
              <w:spacing w:line="420" w:lineRule="exact"/>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电子邮箱:</w:t>
            </w:r>
          </w:p>
        </w:tc>
        <w:tc>
          <w:tcPr>
            <w:tcW w:w="3740" w:type="dxa"/>
            <w:noWrap w:val="0"/>
            <w:vAlign w:val="top"/>
          </w:tcPr>
          <w:p w14:paraId="5B182B4B">
            <w:pPr>
              <w:spacing w:line="420" w:lineRule="exact"/>
              <w:jc w:val="left"/>
              <w:rPr>
                <w:rFonts w:hint="eastAsia"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电子邮箱:</w:t>
            </w:r>
          </w:p>
        </w:tc>
      </w:tr>
      <w:permEnd w:id="85"/>
    </w:tbl>
    <w:p w14:paraId="48F28348">
      <w:pPr>
        <w:spacing w:line="420" w:lineRule="exact"/>
        <w:outlineLvl w:val="9"/>
        <w:rPr>
          <w:rFonts w:ascii="方正黑体_GBK" w:hAnsi="方正黑体_GBK" w:eastAsia="方正黑体_GBK" w:cs="方正黑体_GBK"/>
          <w:b/>
          <w:bCs/>
          <w:color w:val="000000" w:themeColor="text1"/>
          <w:sz w:val="28"/>
          <w:szCs w:val="28"/>
          <w:highlight w:val="none"/>
          <w14:textFill>
            <w14:solidFill>
              <w14:schemeClr w14:val="tx1"/>
            </w14:solidFill>
          </w14:textFill>
        </w:rPr>
      </w:pPr>
      <w:r>
        <w:rPr>
          <w:rFonts w:ascii="Calibri" w:hAnsi="Calibri" w:eastAsia="宋体" w:cs="Calibri"/>
          <w:color w:val="000000" w:themeColor="text1"/>
          <w:sz w:val="24"/>
          <w:szCs w:val="24"/>
          <w:highlight w:val="none"/>
          <w14:textFill>
            <w14:solidFill>
              <w14:schemeClr w14:val="tx1"/>
            </w14:solidFill>
          </w14:textFill>
        </w:rPr>
        <w:br w:type="page"/>
      </w:r>
    </w:p>
    <w:p w14:paraId="38CBB77B">
      <w:pPr>
        <w:spacing w:line="420" w:lineRule="exact"/>
        <w:jc w:val="center"/>
        <w:outlineLvl w:val="0"/>
        <w:rPr>
          <w:rFonts w:hint="eastAsia" w:ascii="方正小标宋简体" w:hAnsi="方正小标宋简体" w:eastAsia="方正小标宋简体" w:cs="方正小标宋简体"/>
          <w:b w:val="0"/>
          <w:bCs w:val="0"/>
          <w:color w:val="000000" w:themeColor="text1"/>
          <w:sz w:val="32"/>
          <w:szCs w:val="32"/>
          <w:highlight w:val="none"/>
          <w14:textFill>
            <w14:solidFill>
              <w14:schemeClr w14:val="tx1"/>
            </w14:solidFill>
          </w14:textFill>
        </w:rPr>
      </w:pPr>
      <w:bookmarkStart w:id="501" w:name="_Toc21884"/>
      <w:bookmarkStart w:id="502" w:name="_Toc30683"/>
      <w:bookmarkStart w:id="503" w:name="_Toc28199"/>
      <w:bookmarkStart w:id="504" w:name="_Toc14800"/>
      <w:bookmarkStart w:id="505" w:name="_Toc14946"/>
      <w:bookmarkStart w:id="506" w:name="_Toc1588"/>
      <w:r>
        <w:rPr>
          <w:rFonts w:hint="eastAsia" w:ascii="方正小标宋简体" w:hAnsi="方正小标宋简体" w:eastAsia="方正小标宋简体" w:cs="方正小标宋简体"/>
          <w:b w:val="0"/>
          <w:bCs w:val="0"/>
          <w:color w:val="000000" w:themeColor="text1"/>
          <w:sz w:val="32"/>
          <w:szCs w:val="32"/>
          <w:highlight w:val="none"/>
          <w14:textFill>
            <w14:solidFill>
              <w14:schemeClr w14:val="tx1"/>
            </w14:solidFill>
          </w14:textFill>
        </w:rPr>
        <w:t>第二部分  通用条款</w:t>
      </w:r>
      <w:bookmarkEnd w:id="501"/>
      <w:bookmarkEnd w:id="502"/>
      <w:bookmarkEnd w:id="503"/>
      <w:bookmarkEnd w:id="504"/>
      <w:bookmarkEnd w:id="505"/>
      <w:bookmarkEnd w:id="506"/>
    </w:p>
    <w:p w14:paraId="36C918C7">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p>
    <w:p w14:paraId="5D2E8641">
      <w:pPr>
        <w:widowControl w:val="0"/>
        <w:adjustRightInd w:val="0"/>
        <w:snapToGrid w:val="0"/>
        <w:spacing w:line="420" w:lineRule="exact"/>
        <w:jc w:val="center"/>
        <w:outlineLvl w:val="1"/>
        <w:rPr>
          <w:rFonts w:hint="eastAsia" w:ascii="黑体" w:hAnsi="黑体" w:eastAsia="黑体" w:cs="黑体"/>
          <w:b w:val="0"/>
          <w:bCs w:val="0"/>
          <w:color w:val="000000" w:themeColor="text1"/>
          <w:kern w:val="2"/>
          <w:sz w:val="24"/>
          <w:szCs w:val="24"/>
          <w:highlight w:val="none"/>
          <w:lang w:val="en-US" w:eastAsia="zh-CN" w:bidi="ar-SA"/>
          <w14:textFill>
            <w14:solidFill>
              <w14:schemeClr w14:val="tx1"/>
            </w14:solidFill>
          </w14:textFill>
        </w:rPr>
      </w:pPr>
      <w:bookmarkStart w:id="507" w:name="_Toc810"/>
      <w:bookmarkStart w:id="508" w:name="_Toc14281"/>
      <w:bookmarkStart w:id="509" w:name="_Toc1924"/>
      <w:r>
        <w:rPr>
          <w:rFonts w:hint="eastAsia" w:ascii="黑体" w:hAnsi="黑体" w:eastAsia="黑体" w:cs="黑体"/>
          <w:b w:val="0"/>
          <w:bCs w:val="0"/>
          <w:color w:val="000000" w:themeColor="text1"/>
          <w:kern w:val="2"/>
          <w:sz w:val="24"/>
          <w:szCs w:val="24"/>
          <w:highlight w:val="none"/>
          <w:lang w:val="en-US" w:eastAsia="zh-CN" w:bidi="ar-SA"/>
          <w14:textFill>
            <w14:solidFill>
              <w14:schemeClr w14:val="tx1"/>
            </w14:solidFill>
          </w14:textFill>
        </w:rPr>
        <w:t>一、总  则</w:t>
      </w:r>
      <w:bookmarkEnd w:id="507"/>
      <w:bookmarkEnd w:id="508"/>
      <w:bookmarkEnd w:id="509"/>
    </w:p>
    <w:p w14:paraId="39464EC3">
      <w:pPr>
        <w:widowControl w:val="0"/>
        <w:adjustRightInd w:val="0"/>
        <w:snapToGrid w:val="0"/>
        <w:spacing w:line="420" w:lineRule="exact"/>
        <w:jc w:val="center"/>
        <w:outlineLvl w:val="9"/>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p>
    <w:p w14:paraId="00F011DA">
      <w:pPr>
        <w:widowControl w:val="0"/>
        <w:tabs>
          <w:tab w:val="left" w:pos="900"/>
          <w:tab w:val="left" w:pos="1080"/>
        </w:tabs>
        <w:spacing w:before="120" w:beforeLines="50" w:after="120" w:afterLines="50" w:line="420" w:lineRule="exact"/>
        <w:jc w:val="both"/>
        <w:outlineLvl w:val="2"/>
        <w:rPr>
          <w:rFonts w:hint="eastAsia" w:ascii="黑体" w:hAnsi="黑体" w:eastAsia="黑体" w:cs="黑体"/>
          <w:b w:val="0"/>
          <w:bCs w:val="0"/>
          <w:color w:val="000000" w:themeColor="text1"/>
          <w:kern w:val="2"/>
          <w:sz w:val="22"/>
          <w:szCs w:val="22"/>
          <w:highlight w:val="none"/>
          <w:lang w:val="en-US" w:eastAsia="zh-CN" w:bidi="ar-SA"/>
          <w14:textFill>
            <w14:solidFill>
              <w14:schemeClr w14:val="tx1"/>
            </w14:solidFill>
          </w14:textFill>
        </w:rPr>
      </w:pPr>
      <w:r>
        <w:rPr>
          <w:rFonts w:hint="eastAsia" w:ascii="黑体" w:hAnsi="黑体" w:eastAsia="黑体" w:cs="黑体"/>
          <w:b w:val="0"/>
          <w:bCs w:val="0"/>
          <w:color w:val="000000" w:themeColor="text1"/>
          <w:kern w:val="2"/>
          <w:sz w:val="22"/>
          <w:szCs w:val="22"/>
          <w:highlight w:val="none"/>
          <w:lang w:val="en-US" w:eastAsia="zh-CN" w:bidi="ar-SA"/>
          <w14:textFill>
            <w14:solidFill>
              <w14:schemeClr w14:val="tx1"/>
            </w14:solidFill>
          </w14:textFill>
        </w:rPr>
        <w:t>1  定义</w:t>
      </w:r>
    </w:p>
    <w:p w14:paraId="62C2F0F7">
      <w:pPr>
        <w:widowControl w:val="0"/>
        <w:tabs>
          <w:tab w:val="left" w:pos="900"/>
          <w:tab w:val="left" w:pos="1980"/>
        </w:tabs>
        <w:adjustRightInd w:val="0"/>
        <w:spacing w:line="420" w:lineRule="exact"/>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           </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下列词语或措辞，除非特别说明，在本合同中均具有以下赋予的含义：</w:t>
      </w:r>
    </w:p>
    <w:p w14:paraId="72D149C9">
      <w:pPr>
        <w:widowControl w:val="0"/>
        <w:tabs>
          <w:tab w:val="left" w:pos="1260"/>
          <w:tab w:val="left" w:pos="2160"/>
        </w:tabs>
        <w:adjustRightInd w:val="0"/>
        <w:spacing w:before="120" w:beforeLines="5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u w:val="dotted"/>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1.1  合同：</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指合同双方当事人为实施、完成并保修合同工程所订立的合同文件。合同文件由第2.2款所列的文件组成。</w:t>
      </w:r>
    </w:p>
    <w:p w14:paraId="6C61E52D">
      <w:pPr>
        <w:widowControl w:val="0"/>
        <w:tabs>
          <w:tab w:val="left" w:pos="2160"/>
          <w:tab w:val="left" w:pos="2520"/>
        </w:tabs>
        <w:adjustRightInd w:val="0"/>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u w:val="dotted"/>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1.2  协议书：</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30天内签订。</w:t>
      </w:r>
    </w:p>
    <w:p w14:paraId="56C7BD41">
      <w:pPr>
        <w:widowControl w:val="0"/>
        <w:tabs>
          <w:tab w:val="left" w:pos="2160"/>
        </w:tabs>
        <w:adjustRightInd w:val="0"/>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1.3  通用条款：</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指根据法律、法规和规章的规定以及建设工程施工的需要所订立的，通用于建设工程施工的条款。</w:t>
      </w:r>
    </w:p>
    <w:p w14:paraId="521FD060">
      <w:pPr>
        <w:widowControl w:val="0"/>
        <w:tabs>
          <w:tab w:val="left" w:pos="2160"/>
          <w:tab w:val="left" w:pos="2520"/>
        </w:tabs>
        <w:adjustRightInd w:val="0"/>
        <w:spacing w:before="192" w:beforeLines="8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u w:val="dotted"/>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1.4  专用条款：</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14:paraId="2E6F8C25">
      <w:pPr>
        <w:widowControl w:val="0"/>
        <w:tabs>
          <w:tab w:val="left" w:pos="2160"/>
        </w:tabs>
        <w:adjustRightInd w:val="0"/>
        <w:spacing w:before="192" w:beforeLines="80" w:line="420" w:lineRule="exact"/>
        <w:ind w:firstLine="1446" w:firstLineChars="600"/>
        <w:jc w:val="both"/>
        <w:rPr>
          <w:rFonts w:hint="eastAsia" w:ascii="仿宋_GB2312" w:hAnsi="仿宋_GB2312" w:eastAsia="仿宋_GB2312" w:cs="仿宋_GB2312"/>
          <w:color w:val="000000" w:themeColor="text1"/>
          <w:kern w:val="2"/>
          <w:sz w:val="24"/>
          <w:szCs w:val="24"/>
          <w:highlight w:val="none"/>
          <w:u w:val="dotted"/>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1.5  中标通知书：</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指发包人正式接受中标人投标文件的书面文件。</w:t>
      </w:r>
    </w:p>
    <w:p w14:paraId="17D26561">
      <w:pPr>
        <w:widowControl w:val="0"/>
        <w:tabs>
          <w:tab w:val="left" w:pos="2160"/>
        </w:tabs>
        <w:adjustRightInd w:val="0"/>
        <w:spacing w:before="192" w:beforeLines="8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1.6  承包人投标文件：</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指构成合同文件组成部分的，由承包人根据招标文件编制完成、签字并被中标通知书所接受的，承包人为实施、完成并保修合同工程向发包人提交的技术、经济文件。</w:t>
      </w:r>
    </w:p>
    <w:p w14:paraId="3F29147B">
      <w:pPr>
        <w:widowControl w:val="0"/>
        <w:tabs>
          <w:tab w:val="left" w:pos="2160"/>
          <w:tab w:val="left" w:pos="2520"/>
        </w:tabs>
        <w:adjustRightInd w:val="0"/>
        <w:spacing w:before="192" w:beforeLines="8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1.7  标准、规范及有关技术文件：</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指构成合同文件组成部分的，本合同所指明的和合同工程依法应适用的标准与规范，以及监理工程师、造价工程师对有关技术方面问题做出的补充、修改和批准文件。</w:t>
      </w:r>
    </w:p>
    <w:p w14:paraId="2C77EC5B">
      <w:pPr>
        <w:widowControl w:val="0"/>
        <w:tabs>
          <w:tab w:val="left" w:pos="2160"/>
          <w:tab w:val="left" w:pos="2520"/>
        </w:tabs>
        <w:adjustRightInd w:val="0"/>
        <w:spacing w:before="192" w:beforeLines="8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1.8  施工设计图纸：</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指构成合同文件组成部分的，按规定审批的由发包人提供或经发包人批准由承包人提供，满足承包人施工需要的所有设计文件</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施工图纸、模型（包括任何补充和修改的施工图纸、配套说明和有关资料）。图纸应当按照法律规定审查合格。</w:t>
      </w:r>
    </w:p>
    <w:p w14:paraId="7CA46142">
      <w:pPr>
        <w:widowControl w:val="0"/>
        <w:tabs>
          <w:tab w:val="left" w:pos="2160"/>
        </w:tabs>
        <w:adjustRightInd w:val="0"/>
        <w:spacing w:before="192" w:beforeLines="8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1.9  工程量清单：</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指构成合同文件组成部分的,由发包人在招标文件中提供的,合同工程分部分项工程项目、措施项目、其他项目、规费项目和税金项目的名称和相应数量等的明细清单。</w:t>
      </w:r>
    </w:p>
    <w:p w14:paraId="08A694F5">
      <w:pPr>
        <w:widowControl w:val="0"/>
        <w:tabs>
          <w:tab w:val="left" w:pos="2160"/>
        </w:tabs>
        <w:adjustRightInd w:val="0"/>
        <w:spacing w:before="192" w:beforeLines="8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1.10  发包人：</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指在协议书中约定，具有工程发包主体资格和支付工程款能力的当事人，以及取得该当事人资格的合法继承人。</w:t>
      </w:r>
    </w:p>
    <w:p w14:paraId="52B3F4E7">
      <w:pPr>
        <w:widowControl w:val="0"/>
        <w:tabs>
          <w:tab w:val="left" w:pos="1980"/>
        </w:tabs>
        <w:adjustRightInd w:val="0"/>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1.11  承包人：</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指在协议书中约定，被发包人接受且具有工程施工承包主体资格的当事人，以及取得该当事人资格的合法继承人。</w:t>
      </w:r>
    </w:p>
    <w:p w14:paraId="39921B68">
      <w:pPr>
        <w:widowControl w:val="0"/>
        <w:tabs>
          <w:tab w:val="left" w:pos="198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1.12  分包人：</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指被发包人接受且具有相应资格，并与承包人签订了分包合同，依法分包合同工程某一部分的当事人，以及取得该当事人资格的合法继承人。</w:t>
      </w:r>
    </w:p>
    <w:p w14:paraId="0DE414DF">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1.13  第三方：</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除合同双方当事人(含双方雇员及代表其工作的人员)以外的任何他人或组织。</w:t>
      </w:r>
    </w:p>
    <w:p w14:paraId="2A0810C7">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1.14  设计人：</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指受发包人委托的，负责合同工程的工程设计专业技术且具有相应工程设计资质的当事人，以及取得该当事人资格的合法继承人。</w:t>
      </w:r>
    </w:p>
    <w:p w14:paraId="18FD585E">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1.15  监理人：</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指受发包人委托的，负责合同工程的工程监理专业技术且具有相应工程监理资质的当事人，以及取得该当事人资格的合法继承人。</w:t>
      </w:r>
    </w:p>
    <w:p w14:paraId="58A4441E">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1.16  工程造价咨询人：</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指受发包人委托的，负责合同工程的工程造价专业技术且具有相应工程造价咨询资质的当事人，以及取得该当事人资格的合法继承人。</w:t>
      </w:r>
    </w:p>
    <w:p w14:paraId="131A49BC">
      <w:pPr>
        <w:widowControl w:val="0"/>
        <w:tabs>
          <w:tab w:val="left" w:pos="1980"/>
          <w:tab w:val="left" w:pos="2160"/>
          <w:tab w:val="left" w:pos="252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1.17  工程造价管理机构：</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指国务院有关部门、县级以上人民政府建设行政主管部门或受其委托的工程造价管理机构。</w:t>
      </w:r>
    </w:p>
    <w:p w14:paraId="115A69B8">
      <w:pPr>
        <w:widowControl w:val="0"/>
        <w:tabs>
          <w:tab w:val="left" w:pos="1980"/>
          <w:tab w:val="left" w:pos="2160"/>
          <w:tab w:val="left" w:pos="252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1.18  发包人代表：</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指发包人指定的，履行本合同的全权代表。发包人代表由发包人依据第22.1款规定任命并书面通知承包人。</w:t>
      </w:r>
    </w:p>
    <w:p w14:paraId="15B96EBB">
      <w:pPr>
        <w:widowControl w:val="0"/>
        <w:tabs>
          <w:tab w:val="left" w:pos="1260"/>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1.19  监理工程师：</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指监理人委派常驻施工现场负责合同工程的工程监理专业技术的专业人员。监理工程师由监理人提名，经发包人依据第23.1款规定任命并书面通知承包人。</w:t>
      </w:r>
    </w:p>
    <w:p w14:paraId="31F74E32">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1.20  造价工程师：</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指工程造价咨询人或监理人委派常驻施工现场负责合同工程的工程造价专业技术的专业人员。造价工程师由工程造价咨询人或监理人提名，经发包人依据第24.1款规定任命并书面通知承包人。</w:t>
      </w:r>
    </w:p>
    <w:p w14:paraId="41948E0C">
      <w:pPr>
        <w:widowControl w:val="0"/>
        <w:tabs>
          <w:tab w:val="left" w:pos="1620"/>
          <w:tab w:val="left" w:pos="1980"/>
        </w:tabs>
        <w:spacing w:before="192" w:beforeLines="8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1.21  承包人代表：</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指承包人指定的，履行本合同和负责合同工程施工现场管理的全权代表。承包人代表由承包人依据第25.1款规定任命并书面通知发包人。</w:t>
      </w:r>
    </w:p>
    <w:p w14:paraId="1CB43A9A">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1.22  合同工期：</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指合同双方当事人在协议书中约定，按照总日历天数（包括法定节假日）计算的从开始实施到完成合同工程的天数。</w:t>
      </w:r>
    </w:p>
    <w:p w14:paraId="490D7752">
      <w:pPr>
        <w:widowControl w:val="0"/>
        <w:tabs>
          <w:tab w:val="left" w:pos="2160"/>
        </w:tabs>
        <w:spacing w:before="192" w:beforeLines="8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1.23  开工日期：</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指根据第34条规定，监理工程师在开工令中写明的、承包人按照合同约定最迟在该日期开工的日期。</w:t>
      </w:r>
    </w:p>
    <w:p w14:paraId="54F9FA93">
      <w:pPr>
        <w:widowControl w:val="0"/>
        <w:tabs>
          <w:tab w:val="left" w:pos="198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1.24  计划竣工日期：</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指自开工日期起根据合同约定要求承包人完成合同工程并竣工的全部时间（包括根据第36条和第37.2款规定所做的调整）。</w:t>
      </w:r>
    </w:p>
    <w:p w14:paraId="5D0DD255">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1.25  实际竣工日期：</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指承包人实际完成合同工程或某单位工程后，由发包人按照第58条规定组织竣工验收、接收工程并颁发工程接收证书的日期。实际竣工日期，按照第38.2款规定确定。</w:t>
      </w:r>
    </w:p>
    <w:p w14:paraId="38A83C97">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1.26  缺陷责任期：</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指履行第59.3款规定的缺陷责任的期限。具体期限在专用条款中约定，包括第59.2款规定的延长期限。</w:t>
      </w:r>
    </w:p>
    <w:p w14:paraId="49FE6F50">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1.27  基准日期：</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指招标工程递交投标文件截止日期前28天的日期；非招标工程订立合同前28天的日期。</w:t>
      </w:r>
    </w:p>
    <w:p w14:paraId="10890205">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1.28  小时或天：</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14:paraId="6AFC70D3">
      <w:pPr>
        <w:widowControl w:val="0"/>
        <w:tabs>
          <w:tab w:val="left" w:pos="900"/>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1.29  中标价格：</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指中标通知书中列明的，发包人接受中标人（承包人）实施、完成并保修合同工程的价格。</w:t>
      </w:r>
    </w:p>
    <w:p w14:paraId="3A5A46FB">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1.30  合同价款：</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68.2款规定合同价款调整事件确定。</w:t>
      </w:r>
    </w:p>
    <w:p w14:paraId="7430E6AF">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1.31  费用：</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指为履行合同所发生或将发生的所有合理开支，包括管理费和其他合理分摊的开支，但不包括利润。</w:t>
      </w:r>
    </w:p>
    <w:p w14:paraId="2EFFF391">
      <w:pPr>
        <w:widowControl w:val="0"/>
        <w:tabs>
          <w:tab w:val="left" w:pos="1980"/>
          <w:tab w:val="left" w:pos="2160"/>
        </w:tabs>
        <w:spacing w:before="240" w:beforeLines="10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1.32  分部分项工程费：</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指为实施、完成并保修永久工程，发生于工程实体项目所需的人工费、材料费、机械使用费、管理费、利润和风险费用。</w:t>
      </w:r>
    </w:p>
    <w:p w14:paraId="2AF25025">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1.33  措施项目费：</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指为实施、完成并保修合同工程，发生于合同工程施工准备和施工过程中的技术、生活、安全、环境保护等方面的非工程实体项目费用。</w:t>
      </w:r>
    </w:p>
    <w:p w14:paraId="70124137">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1.34  工程款：</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指为实施、完成并保修合同工程，发包人支付或应当支付给承包人的各种价款，包括进度款、结算款等。</w:t>
      </w:r>
    </w:p>
    <w:p w14:paraId="170DA034">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1.35  暂列金额：</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26D81CCB">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1.36  暂估价：</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指发包人在工程量清单中提供的用于支付必然发生但暂时不能确定价格的材料、工程设备以及专业工程的金额。</w:t>
      </w:r>
    </w:p>
    <w:p w14:paraId="79BF3950">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1.37  计日工：</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指在施工过程中，承包人完成发包人提出的施工设计图纸以外的零星项目或工作，按照合同中约定计价付款的一种计价方式。</w:t>
      </w:r>
    </w:p>
    <w:p w14:paraId="0D19FCDE">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1.38  质量保证金：</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指按照第84条约定用于保证在缺陷责任期内履行缺陷修复义务的金额。</w:t>
      </w:r>
    </w:p>
    <w:p w14:paraId="29A662CD">
      <w:pPr>
        <w:widowControl w:val="0"/>
        <w:tabs>
          <w:tab w:val="left" w:pos="2160"/>
        </w:tabs>
        <w:spacing w:before="240" w:beforeLines="10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1.39  合同工程：</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指合同双方当事人在协议书中约定的承包范围内的工程，包括永久工程和（或）临时工程。</w:t>
      </w:r>
    </w:p>
    <w:p w14:paraId="72E8E4E7">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1.40  永久工程：</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指按照合同约定承包人应当实施、完成并移交给发包人的永久性工程，包括工程设备。</w:t>
      </w:r>
    </w:p>
    <w:p w14:paraId="794A57D1">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1.41  临时工程：</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指实施、完成并保修永久工程过程中所需要的各类临时性工程，不包括施工设备。</w:t>
      </w:r>
    </w:p>
    <w:p w14:paraId="2094E80C">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1.42  分包工程：</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指合同工程中，由具有相应分包资质的分包人实施、完成的非主体结构（除钢结构外）的专业性工程。</w:t>
      </w:r>
    </w:p>
    <w:p w14:paraId="208733C5">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1.43  单位工程：</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指具有独立的设计文件，竣工后可以独立发挥生产能力和效益的永久工程。组成合同工程的单位工程名称、内容和范围等应在专用条款中明确。</w:t>
      </w:r>
    </w:p>
    <w:p w14:paraId="7A522EB7">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1.44  施工场地（或工地 、现场）：</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指由发包人提供的用于合同工程施工的场所，以及发包人在合同中具体指定的供施工使用的其他任何场所。</w:t>
      </w:r>
    </w:p>
    <w:p w14:paraId="1BDC64F1">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1.45  工程设备：</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指构成或计划构成永久工程一部分的机电设备、金属结构设备、仪器装置及其他类似的设备和装置。</w:t>
      </w:r>
    </w:p>
    <w:p w14:paraId="40F47216">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1.46  施工设备：</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指承包人临时带入现场用于合同工程施工的仪器、机械、运输工具或其他物品，但不包括用于或安装在合同工程中的工程设备。</w:t>
      </w:r>
    </w:p>
    <w:p w14:paraId="521B1AED">
      <w:pPr>
        <w:widowControl w:val="0"/>
        <w:tabs>
          <w:tab w:val="left" w:pos="2160"/>
        </w:tabs>
        <w:spacing w:before="192" w:beforeLines="80" w:line="420" w:lineRule="exact"/>
        <w:ind w:left="1310" w:leftChars="624" w:firstLine="0" w:firstLine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1.47  工程变更：</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指经发包人批准的，由监理工程师根据第56条规定发出指令的工程任何变更。</w:t>
      </w:r>
    </w:p>
    <w:p w14:paraId="03E3D5AC">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1.48  索赔：</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指合同履行期间，对于非自己的过错而应由对方当事人承担责任的情况所造成的损失，并根据第36条和第74条规定向对方当事人提出费用补偿和（或）工期顺延的要求。</w:t>
      </w:r>
    </w:p>
    <w:p w14:paraId="400CF231">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1.49  现场签证：</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指合同双方当事人按照第14.2款约定的指定人选根据第75条规定就施工过程中涉及的责任事件所作的签认证明。</w:t>
      </w:r>
    </w:p>
    <w:p w14:paraId="007B61E3">
      <w:pPr>
        <w:widowControl w:val="0"/>
        <w:tabs>
          <w:tab w:val="left" w:pos="2160"/>
        </w:tabs>
        <w:spacing w:before="192" w:beforeLines="80" w:line="420" w:lineRule="exact"/>
        <w:ind w:firstLine="1446" w:firstLineChars="6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1.50  不可抗力：</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指不能预见、不能避免并不能克服的客观情况。</w:t>
      </w:r>
    </w:p>
    <w:p w14:paraId="66FBB679">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1.51  竣工验收：</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指承包人完成了全部合同工作后，发包人按照合同要求进行的验收。</w:t>
      </w:r>
    </w:p>
    <w:p w14:paraId="4EB4EB68">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1.52  国家验收：</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指政府部门根据法律和政策等有关规定，针对发包人全面组织实施的整个工程正式交付投运前的验收。</w:t>
      </w:r>
    </w:p>
    <w:p w14:paraId="18CC7986">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1.53  书面形式：</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指合同文件、信函、电报、电传、传真、电子数据交换文件、电子邮件等可以有形地表现所载内容的形式。合同双方当事人可在专用条款中注明所采用的书面形式。</w:t>
      </w:r>
    </w:p>
    <w:p w14:paraId="7B16AE42">
      <w:pPr>
        <w:widowControl w:val="0"/>
        <w:tabs>
          <w:tab w:val="left" w:pos="2160"/>
        </w:tabs>
        <w:spacing w:before="192" w:beforeLines="80" w:line="420" w:lineRule="exact"/>
        <w:ind w:firstLine="1446" w:firstLineChars="6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1.54  国家：</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指中华人民共和国。</w:t>
      </w:r>
    </w:p>
    <w:p w14:paraId="20877211">
      <w:pPr>
        <w:tabs>
          <w:tab w:val="left" w:pos="1620"/>
        </w:tabs>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r>
        <w:rPr>
          <w:rFonts w:hint="eastAsia" w:ascii="宋体" w:hAnsi="宋体" w:eastAsia="宋体" w:cs="宋体"/>
          <w:color w:val="000000" w:themeColor="text1"/>
          <w:sz w:val="22"/>
          <w:szCs w:val="22"/>
          <w:highlight w:val="none"/>
          <w:u w:val="single"/>
          <w14:textFill>
            <w14:solidFill>
              <w14:schemeClr w14:val="tx1"/>
            </w14:solidFill>
          </w14:textFill>
        </w:rPr>
        <w:t xml:space="preserve">       </w:t>
      </w:r>
    </w:p>
    <w:p w14:paraId="7C3A99F9">
      <w:pPr>
        <w:keepNext/>
        <w:keepLines/>
        <w:widowControl/>
        <w:numPr>
          <w:ilvl w:val="0"/>
          <w:numId w:val="0"/>
        </w:numPr>
        <w:tabs>
          <w:tab w:val="left" w:pos="420"/>
          <w:tab w:val="left" w:pos="1287"/>
        </w:tabs>
        <w:spacing w:before="260" w:after="260" w:line="420" w:lineRule="exact"/>
        <w:ind w:left="720" w:hanging="720"/>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2  合同文件及解释</w:t>
      </w:r>
    </w:p>
    <w:p w14:paraId="5577B867">
      <w:pPr>
        <w:widowControl w:val="0"/>
        <w:tabs>
          <w:tab w:val="left" w:pos="1202"/>
        </w:tabs>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 xml:space="preserve">2.1 </w: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                                                                                </w:t>
      </w:r>
    </w:p>
    <w:p w14:paraId="678EF706">
      <w:pPr>
        <w:widowControl w:val="0"/>
        <w:tabs>
          <w:tab w:val="left" w:pos="1202"/>
          <w:tab w:val="left" w:pos="1620"/>
          <w:tab w:val="left" w:pos="1800"/>
          <w:tab w:val="left" w:pos="2160"/>
        </w:tabs>
        <w:spacing w:line="420" w:lineRule="exact"/>
        <w:ind w:firstLine="1529" w:firstLineChars="695"/>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20955</wp:posOffset>
                </wp:positionV>
                <wp:extent cx="800100" cy="297180"/>
                <wp:effectExtent l="0" t="0" r="0" b="0"/>
                <wp:wrapNone/>
                <wp:docPr id="2" name="文本框 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78BDAA4D">
                            <w:pPr>
                              <w:rPr>
                                <w:rFonts w:hint="eastAsia" w:ascii="仿宋_GB2312" w:hAnsi="仿宋_GB2312" w:eastAsia="仿宋_GB2312" w:cs="仿宋_GB2312"/>
                                <w:b/>
                                <w:bCs/>
                                <w:color w:val="000000"/>
                                <w:sz w:val="18"/>
                                <w:szCs w:val="18"/>
                              </w:rPr>
                            </w:pPr>
                            <w:r>
                              <w:rPr>
                                <w:rFonts w:hint="eastAsia" w:ascii="仿宋_GB2312" w:hAnsi="仿宋_GB2312" w:eastAsia="仿宋_GB2312" w:cs="仿宋_GB2312"/>
                                <w:b/>
                                <w:bCs/>
                                <w:color w:val="000000"/>
                                <w:sz w:val="18"/>
                                <w:szCs w:val="18"/>
                              </w:rPr>
                              <w:t>标题和旁注</w:t>
                            </w:r>
                          </w:p>
                        </w:txbxContent>
                      </wps:txbx>
                      <wps:bodyPr vert="horz" wrap="square" anchor="t" anchorCtr="0" upright="1"/>
                    </wps:wsp>
                  </a:graphicData>
                </a:graphic>
              </wp:anchor>
            </w:drawing>
          </mc:Choice>
          <mc:Fallback>
            <w:pict>
              <v:shape id="_x0000_s1026" o:spid="_x0000_s1026" o:spt="202" type="#_x0000_t202" style="position:absolute;left:0pt;margin-left:-9pt;margin-top:1.65pt;height:23.4pt;width:63pt;z-index:251660288;mso-width-relative:page;mso-height-relative:page;" filled="f" stroked="f" coordsize="21600,21600" o:gfxdata="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Q+Oy9QAAAAIAQAADwAAAAAAAAABACAAAAAiAAAAZHJzL2Rv&#10;d25yZXYueG1sUEsBAhQAFAAAAAgAh07iQAa6E9jMAQAAjgMAAA4AAAAAAAAAAQAgAAAAIwEAAGRy&#10;cy9lMm9Eb2MueG1sUEsFBgAAAAAGAAYAWQEAAGEFAAAAAA==&#10;">
                <v:fill on="f" focussize="0,0"/>
                <v:stroke on="f"/>
                <v:imagedata o:title=""/>
                <o:lock v:ext="edit" aspectratio="f"/>
                <v:textbox>
                  <w:txbxContent>
                    <w:p w14:paraId="78BDAA4D">
                      <w:pPr>
                        <w:rPr>
                          <w:rFonts w:hint="eastAsia" w:ascii="仿宋_GB2312" w:hAnsi="仿宋_GB2312" w:eastAsia="仿宋_GB2312" w:cs="仿宋_GB2312"/>
                          <w:b/>
                          <w:bCs/>
                          <w:color w:val="000000"/>
                          <w:sz w:val="18"/>
                          <w:szCs w:val="18"/>
                        </w:rPr>
                      </w:pPr>
                      <w:r>
                        <w:rPr>
                          <w:rFonts w:hint="eastAsia" w:ascii="仿宋_GB2312" w:hAnsi="仿宋_GB2312" w:eastAsia="仿宋_GB2312" w:cs="仿宋_GB2312"/>
                          <w:b/>
                          <w:bCs/>
                          <w:color w:val="000000"/>
                          <w:sz w:val="18"/>
                          <w:szCs w:val="18"/>
                        </w:rPr>
                        <w:t>标题和旁注</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 </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本合同条款的标题和旁注不构成合同的组成部分。</w:t>
      </w:r>
    </w:p>
    <w:p w14:paraId="4E6721D6">
      <w:pPr>
        <w:widowControl w:val="0"/>
        <w:tabs>
          <w:tab w:val="left" w:pos="1202"/>
        </w:tabs>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★2.2</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 xml:space="preserve"> </w: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3F9D9FA">
      <w:pPr>
        <w:widowControl w:val="0"/>
        <w:tabs>
          <w:tab w:val="left" w:pos="1320"/>
        </w:tabs>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-40640</wp:posOffset>
                </wp:positionH>
                <wp:positionV relativeFrom="paragraph">
                  <wp:posOffset>67310</wp:posOffset>
                </wp:positionV>
                <wp:extent cx="1007745" cy="706120"/>
                <wp:effectExtent l="0" t="0" r="0" b="0"/>
                <wp:wrapTight wrapText="bothSides">
                  <wp:wrapPolygon>
                    <wp:start x="21591" y="-2"/>
                    <wp:lineTo x="0" y="0"/>
                    <wp:lineTo x="0" y="21600"/>
                    <wp:lineTo x="21591" y="21602"/>
                    <wp:lineTo x="8" y="21602"/>
                    <wp:lineTo x="21599" y="21600"/>
                    <wp:lineTo x="21599" y="0"/>
                    <wp:lineTo x="8" y="-2"/>
                    <wp:lineTo x="21591" y="-2"/>
                  </wp:wrapPolygon>
                </wp:wrapTight>
                <wp:docPr id="3" name="文本框 3"/>
                <wp:cNvGraphicFramePr/>
                <a:graphic xmlns:a="http://schemas.openxmlformats.org/drawingml/2006/main">
                  <a:graphicData uri="http://schemas.microsoft.com/office/word/2010/wordprocessingShape">
                    <wps:wsp>
                      <wps:cNvSpPr txBox="1"/>
                      <wps:spPr>
                        <a:xfrm>
                          <a:off x="0" y="0"/>
                          <a:ext cx="1007745" cy="706120"/>
                        </a:xfrm>
                        <a:prstGeom prst="rect">
                          <a:avLst/>
                        </a:prstGeom>
                        <a:noFill/>
                        <a:ln>
                          <a:noFill/>
                        </a:ln>
                        <a:effectLst/>
                      </wps:spPr>
                      <wps:txbx>
                        <w:txbxContent>
                          <w:p w14:paraId="63553E0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合同文件组成</w:t>
                            </w:r>
                          </w:p>
                          <w:p w14:paraId="6505D42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及优先顺序</w:t>
                            </w:r>
                          </w:p>
                        </w:txbxContent>
                      </wps:txbx>
                      <wps:bodyPr vert="horz" wrap="square" anchor="t" anchorCtr="0" upright="1"/>
                    </wps:wsp>
                  </a:graphicData>
                </a:graphic>
              </wp:anchor>
            </w:drawing>
          </mc:Choice>
          <mc:Fallback>
            <w:pict>
              <v:shape id="_x0000_s1026" o:spid="_x0000_s1026" o:spt="202" type="#_x0000_t202" style="position:absolute;left:0pt;margin-left:-3.2pt;margin-top:5.3pt;height:55.6pt;width:79.35pt;mso-wrap-distance-left:9pt;mso-wrap-distance-right:9pt;z-index:-251655168;mso-width-relative:page;mso-height-relative:page;" filled="f" stroked="f" coordsize="21600,21600" wrapcoords="21591 -2 0 0 0 21600 21591 21602 8 21602 21599 21600 21599 0 8 -2 21591 -2" o:gfxdata="UEsDBAoAAAAAAIdO4kAAAAAAAAAAAAAAAAAEAAAAZHJzL1BLAwQUAAAACACHTuJA4TMe7NcAAAAJ&#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TMe7NcAAAAJAQAADwAAAAAAAAABACAAAAAiAAAA&#10;ZHJzL2Rvd25yZXYueG1sUEsBAhQAFAAAAAgAh07iQOoAqYPPAQAAjwMAAA4AAAAAAAAAAQAgAAAA&#10;JgEAAGRycy9lMm9Eb2MueG1sUEsFBgAAAAAGAAYAWQEAAGcFAAAAAA==&#10;">
                <v:fill on="f" focussize="0,0"/>
                <v:stroke on="f"/>
                <v:imagedata o:title=""/>
                <o:lock v:ext="edit" aspectratio="f"/>
                <v:textbox>
                  <w:txbxContent>
                    <w:p w14:paraId="63553E0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合同文件组成</w:t>
                      </w:r>
                    </w:p>
                    <w:p w14:paraId="6505D42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及优先顺序</w:t>
                      </w:r>
                    </w:p>
                  </w:txbxContent>
                </v:textbox>
                <w10:wrap type="tight"/>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下列组成本合同的文件是一个合同整体，彼此应当能相互解释，互为说明。当出现相互矛盾时，组成本合同文件的优先解释顺序如下：</w:t>
      </w:r>
    </w:p>
    <w:p w14:paraId="4BCB12E5">
      <w:pPr>
        <w:widowControl w:val="0"/>
        <w:numPr>
          <w:ilvl w:val="0"/>
          <w:numId w:val="3"/>
        </w:numPr>
        <w:spacing w:line="420" w:lineRule="exact"/>
        <w:ind w:firstLine="54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 xml:space="preserve">履行本合同的相关补充协议（含工程洽商记录、会议纪要、 </w:t>
      </w:r>
    </w:p>
    <w:p w14:paraId="3398831C">
      <w:pPr>
        <w:widowControl w:val="0"/>
        <w:numPr>
          <w:ilvl w:val="0"/>
          <w:numId w:val="0"/>
        </w:numPr>
        <w:spacing w:line="420" w:lineRule="exact"/>
        <w:ind w:left="1620" w:leftChars="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工程变更、现场签证、等修正文件）；</w:t>
      </w:r>
    </w:p>
    <w:p w14:paraId="4F3F8DDD">
      <w:pPr>
        <w:widowControl w:val="0"/>
        <w:numPr>
          <w:ilvl w:val="0"/>
          <w:numId w:val="3"/>
        </w:numPr>
        <w:tabs>
          <w:tab w:val="left" w:pos="1620"/>
        </w:tabs>
        <w:spacing w:line="420" w:lineRule="exact"/>
        <w:ind w:left="1620" w:firstLine="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协议书；</w:t>
      </w:r>
    </w:p>
    <w:p w14:paraId="0F1FF707">
      <w:pPr>
        <w:widowControl w:val="0"/>
        <w:numPr>
          <w:ilvl w:val="0"/>
          <w:numId w:val="3"/>
        </w:numPr>
        <w:spacing w:line="420" w:lineRule="exact"/>
        <w:ind w:firstLine="54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中标通知书；</w:t>
      </w:r>
    </w:p>
    <w:p w14:paraId="5DC8371C">
      <w:pPr>
        <w:widowControl w:val="0"/>
        <w:numPr>
          <w:ilvl w:val="0"/>
          <w:numId w:val="3"/>
        </w:numPr>
        <w:tabs>
          <w:tab w:val="left" w:pos="1620"/>
        </w:tabs>
        <w:spacing w:line="420" w:lineRule="exact"/>
        <w:ind w:left="1620" w:leftChars="771" w:hanging="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承包人投标文件及其附件（含评标期间的澄清文件和补充资料）；</w:t>
      </w:r>
    </w:p>
    <w:p w14:paraId="0FFD61B4">
      <w:pPr>
        <w:widowControl w:val="0"/>
        <w:numPr>
          <w:ilvl w:val="0"/>
          <w:numId w:val="3"/>
        </w:numPr>
        <w:spacing w:line="420" w:lineRule="exact"/>
        <w:ind w:firstLine="54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专用条款；</w:t>
      </w:r>
    </w:p>
    <w:p w14:paraId="3241889B">
      <w:pPr>
        <w:widowControl w:val="0"/>
        <w:numPr>
          <w:ilvl w:val="0"/>
          <w:numId w:val="3"/>
        </w:numPr>
        <w:spacing w:line="420" w:lineRule="exact"/>
        <w:ind w:firstLine="54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通用条款；</w:t>
      </w:r>
    </w:p>
    <w:p w14:paraId="63303CD9">
      <w:pPr>
        <w:widowControl w:val="0"/>
        <w:numPr>
          <w:ilvl w:val="0"/>
          <w:numId w:val="3"/>
        </w:numPr>
        <w:spacing w:line="420" w:lineRule="exact"/>
        <w:ind w:firstLine="54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标准、规范及有关技术文件；</w:t>
      </w:r>
    </w:p>
    <w:p w14:paraId="6E88137E">
      <w:pPr>
        <w:widowControl w:val="0"/>
        <w:numPr>
          <w:ilvl w:val="0"/>
          <w:numId w:val="3"/>
        </w:numPr>
        <w:spacing w:line="420" w:lineRule="exact"/>
        <w:ind w:left="1077" w:firstLine="54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施工设计图纸；</w:t>
      </w:r>
    </w:p>
    <w:p w14:paraId="18569E68">
      <w:pPr>
        <w:widowControl w:val="0"/>
        <w:numPr>
          <w:ilvl w:val="0"/>
          <w:numId w:val="3"/>
        </w:numPr>
        <w:spacing w:line="420" w:lineRule="exact"/>
        <w:ind w:left="1077" w:firstLine="54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 xml:space="preserve">招标文件（包括补充、修改、澄清的文件、招标图纸、答疑 </w:t>
      </w:r>
    </w:p>
    <w:p w14:paraId="3C72318E">
      <w:pPr>
        <w:widowControl w:val="0"/>
        <w:numPr>
          <w:ilvl w:val="0"/>
          <w:numId w:val="0"/>
        </w:numPr>
        <w:spacing w:line="420" w:lineRule="exact"/>
        <w:ind w:left="1617" w:leftChars="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纪要、工程量清单及总说明等）；</w:t>
      </w:r>
    </w:p>
    <w:p w14:paraId="07EBDD3C">
      <w:pPr>
        <w:widowControl w:val="0"/>
        <w:numPr>
          <w:ilvl w:val="0"/>
          <w:numId w:val="3"/>
        </w:numPr>
        <w:spacing w:line="420" w:lineRule="exact"/>
        <w:ind w:left="1077" w:firstLine="54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专用条款约定的其他文件。</w:t>
      </w:r>
    </w:p>
    <w:p w14:paraId="0A9556CA">
      <w:pPr>
        <w:spacing w:line="420" w:lineRule="exact"/>
        <w:ind w:left="1529" w:leftChars="728" w:firstLine="0" w:firstLineChars="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上述各项合同文件包括合同当事人就该项合同文件所作出的补充和修改，属于同一类内容的文件，应以最新签署的为准。</w:t>
      </w:r>
    </w:p>
    <w:p w14:paraId="7A2C7929">
      <w:pPr>
        <w:widowControl w:val="0"/>
        <w:tabs>
          <w:tab w:val="left" w:pos="540"/>
          <w:tab w:val="left" w:pos="1202"/>
        </w:tabs>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 xml:space="preserve">2.3 </w: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46CED79">
      <w:pPr>
        <w:spacing w:line="420" w:lineRule="exact"/>
        <w:ind w:left="1529" w:leftChars="728" w:firstLine="0" w:firstLineChars="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 name="文本框 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263A08B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&#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pNlRzVAAAACAEAAA8AAAAAAAAAAQAgAAAAIgAAAGRy&#10;cy9kb3ducmV2LnhtbFBLAQIUABQAAAAIAIdO4kDMlZIozwEAAI4DAAAOAAAAAAAAAAEAIAAAACQB&#10;AABkcnMvZTJvRG9jLnhtbFBLBQYAAAAABgAGAFkBAABlBQAAAAA=&#10;">
                <v:fill on="f" focussize="0,0"/>
                <v:stroke on="f"/>
                <v:imagedata o:title=""/>
                <o:lock v:ext="edit" aspectratio="f"/>
                <v:textbox>
                  <w:txbxContent>
                    <w:p w14:paraId="263A08B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当合同文件内容出现含糊不清或不一致时，由合同双方当事人在不影响合同工程正常实施的情况下协商解决。协商不成的，由监理工程师、造价工程师分别按照第23.2款、第24.2款规定职权作出解释。如合同任何一方当事人不同意监理工程师或造价工程师作出的解释，按照第86条规定处理。</w:t>
      </w:r>
    </w:p>
    <w:p w14:paraId="0B277CF1">
      <w:pPr>
        <w:spacing w:line="420" w:lineRule="exact"/>
        <w:jc w:val="lef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5B2DE1E3">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3  阅读、理解与接受</w:t>
      </w:r>
    </w:p>
    <w:p w14:paraId="450BAD31">
      <w:pPr>
        <w:tabs>
          <w:tab w:val="left" w:pos="1260"/>
        </w:tabs>
        <w:spacing w:before="240" w:beforeLines="100" w:line="420" w:lineRule="exact"/>
        <w:outlineLvl w:val="9"/>
        <w:rPr>
          <w:rFonts w:ascii="宋体" w:hAnsi="宋体" w:eastAsia="宋体" w:cs="宋体"/>
          <w:b/>
          <w:bCs/>
          <w:color w:val="000000" w:themeColor="text1"/>
          <w:sz w:val="22"/>
          <w:szCs w:val="22"/>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3.1 </w:t>
      </w:r>
    </w:p>
    <w:p w14:paraId="5843C841">
      <w:pPr>
        <w:spacing w:line="420" w:lineRule="exact"/>
        <w:ind w:left="1529" w:leftChars="728" w:firstLine="0" w:firstLineChars="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5" name="文本框 5"/>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5096D35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62.4pt;width:72pt;z-index:251663360;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qTZUc1QAAAAgBAAAPAAAAAAAAAAEAIAAAACIAAABk&#10;cnMvZG93bnJldi54bWxQSwECFAAUAAAACACHTuJAjLR0c9ABAACOAwAADgAAAAAAAAABACAAAAAk&#10;AQAAZHJzL2Uyb0RvYy54bWxQSwUGAAAAAAYABgBZAQAAZgUAAAAA&#10;">
                <v:fill on="f" focussize="0,0"/>
                <v:stroke on="f"/>
                <v:imagedata o:title=""/>
                <o:lock v:ext="edit" aspectratio="f"/>
                <v:textbox>
                  <w:txbxContent>
                    <w:p w14:paraId="5096D35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合同双方当事人应认真阅读和理解本合同的全部内容。除合同双方当事人同意修改外，本合同一旦订立，视为合同双方当事人已全面接受本合同的所有条款。</w:t>
      </w:r>
    </w:p>
    <w:p w14:paraId="210DDC1F">
      <w:pPr>
        <w:widowControl w:val="0"/>
        <w:tabs>
          <w:tab w:val="left" w:pos="2160"/>
        </w:tabs>
        <w:spacing w:before="192" w:beforeLines="80" w:line="420" w:lineRule="exact"/>
        <w:ind w:left="1485" w:hanging="1485" w:hangingChars="675"/>
        <w:jc w:val="both"/>
        <w:outlineLvl w:val="9"/>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a:effectLst/>
                      </wps:spPr>
                      <wps:txbx>
                        <w:txbxContent>
                          <w:p w14:paraId="48FCA669">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修改合同条款的限制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31.2pt;height:62.4pt;width:75pt;z-index:251664384;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kXlQ7YAAAACgEAAA8AAAAAAAAAAQAgAAAAIgAA&#10;AGRycy9kb3ducmV2LnhtbFBLAQIUABQAAAAIAIdO4kD46dTzzwEAAI4DAAAOAAAAAAAAAAEAIAAA&#10;ACcBAABkcnMvZTJvRG9jLnhtbFBLBQYAAAAABgAGAFkBAABoBQAAAAA=&#10;">
                <v:fill on="f" focussize="0,0"/>
                <v:stroke on="f"/>
                <v:imagedata o:title=""/>
                <o:lock v:ext="edit" aspectratio="f"/>
                <v:textbox>
                  <w:txbxContent>
                    <w:p w14:paraId="48FCA669">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修改合同条款的限制</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2A20BEA">
      <w:pPr>
        <w:spacing w:line="420" w:lineRule="exact"/>
        <w:ind w:left="1529" w:leftChars="728" w:firstLine="0" w:firstLineChars="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2D4125F3">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5A5F11D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4  语言及适用的法律、标准与规范</w:t>
      </w:r>
    </w:p>
    <w:p w14:paraId="23E5AD3A">
      <w:pPr>
        <w:tabs>
          <w:tab w:val="left" w:pos="1320"/>
        </w:tabs>
        <w:spacing w:line="420" w:lineRule="exact"/>
        <w:ind w:right="-15" w:rightChars="-7"/>
        <w:outlineLvl w:val="9"/>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4.1                         </w:t>
      </w:r>
    </w:p>
    <w:p w14:paraId="12088786">
      <w:pPr>
        <w:tabs>
          <w:tab w:val="left" w:pos="1620"/>
        </w:tabs>
        <w:spacing w:line="420" w:lineRule="exact"/>
        <w:ind w:left="1977" w:right="-7" w:hanging="1617" w:hangingChars="89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楷体_GB2312" w:hAnsi="Calibri" w:eastAsia="楷体_GB2312" w:cs="楷体_GB2312"/>
          <w:b/>
          <w:bCs/>
          <w:color w:val="000000" w:themeColor="text1"/>
          <w:sz w:val="18"/>
          <w:szCs w:val="18"/>
          <w:highlight w:val="none"/>
          <w14:textFill>
            <w14:solidFill>
              <w14:schemeClr w14:val="tx1"/>
            </w14:solidFill>
          </w14:textFill>
        </w:rPr>
        <w:t>语言文字</w:t>
      </w:r>
      <w:r>
        <w:rPr>
          <w:rFonts w:hint="eastAsia" w:ascii="宋体" w:hAnsi="宋体" w:eastAsia="宋体" w:cs="宋体"/>
          <w:b/>
          <w:bCs/>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本合同所使用的语言文字为中文（汉语）。</w:t>
      </w:r>
    </w:p>
    <w:p w14:paraId="4EEC42AC">
      <w:pPr>
        <w:tabs>
          <w:tab w:val="left" w:pos="1620"/>
        </w:tabs>
        <w:spacing w:line="420" w:lineRule="exact"/>
        <w:ind w:left="1436" w:leftChars="684" w:firstLine="0" w:firstLineChars="0"/>
        <w:rPr>
          <w:rFonts w:ascii="宋体" w:hAnsi="宋体" w:eastAsia="宋体" w:cs="宋体"/>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对于必须使用外文表达的专用术语等，应附有中文注释。合同当事人在合同中使用两种以上语言时，汉语为优先解释和说明合同的语言。</w:t>
      </w:r>
    </w:p>
    <w:p w14:paraId="461967EA">
      <w:pPr>
        <w:tabs>
          <w:tab w:val="left" w:pos="1320"/>
        </w:tabs>
        <w:spacing w:line="420" w:lineRule="exact"/>
        <w:ind w:right="-7"/>
        <w:outlineLvl w:val="9"/>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5B5C51E">
      <w:pPr>
        <w:widowControl w:val="0"/>
        <w:spacing w:line="420" w:lineRule="exact"/>
        <w:ind w:left="1617" w:leftChars="770" w:firstLine="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wps:spPr>
                      <wps:txbx>
                        <w:txbxContent>
                          <w:p w14:paraId="38DCB812">
                            <w:pPr>
                              <w:rPr>
                                <w:rFonts w:ascii="楷体_GB2312" w:hAnsi="Calibri" w:eastAsia="楷体_GB2312" w:cs="Times New Roman"/>
                                <w:sz w:val="18"/>
                                <w:szCs w:val="18"/>
                              </w:rPr>
                            </w:pPr>
                            <w:r>
                              <w:rPr>
                                <w:rFonts w:hint="eastAsia" w:ascii="楷体_GB2312" w:hAnsi="Calibri" w:eastAsia="楷体_GB2312" w:cs="楷体_GB2312"/>
                                <w:b/>
                                <w:bCs/>
                                <w:color w:val="000000"/>
                                <w:sz w:val="18"/>
                                <w:szCs w:val="18"/>
                              </w:rPr>
                              <w:t>适用法律</w:t>
                            </w:r>
                          </w:p>
                        </w:txbxContent>
                      </wps:txbx>
                      <wps:bodyPr vert="horz" wrap="square" anchor="t" anchorCtr="0" upright="1"/>
                    </wps:wsp>
                  </a:graphicData>
                </a:graphic>
              </wp:anchor>
            </w:drawing>
          </mc:Choice>
          <mc:Fallback>
            <w:pict>
              <v:shape id="_x0000_s1026" o:spid="_x0000_s1026" o:spt="202" type="#_x0000_t202" style="position:absolute;left:0pt;margin-left:-9pt;margin-top:3pt;height:36pt;width:81pt;z-index:251665408;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HCaz1AAAAAgBAAAPAAAAAAAAAAEAIAAAACIAAABkcnMv&#10;ZG93bnJldi54bWxQSwECFAAUAAAACACHTuJAAKaphM4BAACPAwAADgAAAAAAAAABACAAAAAjAQAA&#10;ZHJzL2Uyb0RvYy54bWxQSwUGAAAAAAYABgBZAQAAYwUAAAAA&#10;">
                <v:fill on="f" focussize="0,0"/>
                <v:stroke on="f"/>
                <v:imagedata o:title=""/>
                <o:lock v:ext="edit" aspectratio="f"/>
                <v:textbox>
                  <w:txbxContent>
                    <w:p w14:paraId="38DCB812">
                      <w:pPr>
                        <w:rPr>
                          <w:rFonts w:ascii="楷体_GB2312" w:hAnsi="Calibri" w:eastAsia="楷体_GB2312" w:cs="Times New Roman"/>
                          <w:sz w:val="18"/>
                          <w:szCs w:val="18"/>
                        </w:rPr>
                      </w:pPr>
                      <w:r>
                        <w:rPr>
                          <w:rFonts w:hint="eastAsia" w:ascii="楷体_GB2312" w:hAnsi="Calibri" w:eastAsia="楷体_GB2312" w:cs="楷体_GB2312"/>
                          <w:b/>
                          <w:bCs/>
                          <w:color w:val="000000"/>
                          <w:sz w:val="18"/>
                          <w:szCs w:val="18"/>
                        </w:rPr>
                        <w:t>适用法律</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本合同适用的法律为中华人民共和国的现行法律、行政法规、部门规章和合同工程所在地的地方性法规、地方政府规章、行政规范性文件。</w:t>
      </w:r>
    </w:p>
    <w:p w14:paraId="73EEC9CA">
      <w:pPr>
        <w:tabs>
          <w:tab w:val="left" w:pos="1320"/>
        </w:tabs>
        <w:spacing w:line="420" w:lineRule="exact"/>
        <w:ind w:right="-7"/>
        <w:outlineLvl w:val="9"/>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1E7EA223">
      <w:pPr>
        <w:spacing w:line="420" w:lineRule="exact"/>
        <w:ind w:left="1619" w:leftChars="77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a:effectLst/>
                      </wps:spPr>
                      <wps:txbx>
                        <w:txbxContent>
                          <w:p w14:paraId="781506C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w:t>
                            </w:r>
                          </w:p>
                          <w:p w14:paraId="4B5BD51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范</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4.8pt;width:81pt;z-index:251666432;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Lju9UAAAAHAQAADwAAAAAAAAABACAAAAAiAAAAZHJz&#10;L2Rvd25yZXYueG1sUEsBAhQAFAAAAAgAh07iQIl5oenOAQAAjwMAAA4AAAAAAAAAAQAgAAAAJAEA&#10;AGRycy9lMm9Eb2MueG1sUEsFBgAAAAAGAAYAWQEAAGQFAAAAAA==&#10;">
                <v:fill on="f" focussize="0,0"/>
                <v:stroke on="f"/>
                <v:imagedata o:title=""/>
                <o:lock v:ext="edit" aspectratio="f"/>
                <v:textbox>
                  <w:txbxContent>
                    <w:p w14:paraId="781506C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w:t>
                      </w:r>
                    </w:p>
                    <w:p w14:paraId="4B5BD51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仿宋_GB2312" w:hAnsi="仿宋_GB2312" w:eastAsia="仿宋_GB2312" w:cs="仿宋_GB2312"/>
          <w:color w:val="000000" w:themeColor="text1"/>
          <w:sz w:val="24"/>
          <w:szCs w:val="24"/>
          <w:highlight w:val="none"/>
          <w14:textFill>
            <w14:solidFill>
              <w14:schemeClr w14:val="tx1"/>
            </w14:solidFill>
          </w14:textFill>
        </w:rPr>
        <w:t>本合同适用的标准与规范为国家、行业和广东省的标准与规范或规程，以及发包人在合同中要求使用的标准与规范。</w:t>
      </w:r>
    </w:p>
    <w:p w14:paraId="61210067">
      <w:pPr>
        <w:spacing w:line="420" w:lineRule="exact"/>
        <w:ind w:left="1619" w:leftChars="77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合同双方当事人在专用条款中约定适用的国家标准、规范名称；国家没有但行业有的，约定适用的行业标准、规范名称；国家和行业没有但广东省有的，约定适用的广东省地方标准、规范名称。   </w:t>
      </w:r>
    </w:p>
    <w:p w14:paraId="61A964D3">
      <w:pPr>
        <w:spacing w:line="420" w:lineRule="exact"/>
        <w:ind w:left="1619" w:leftChars="771" w:firstLine="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14:paraId="37005B9B">
      <w:pPr>
        <w:spacing w:line="420" w:lineRule="exact"/>
        <w:outlineLvl w:val="9"/>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5  施工设计图纸</w:t>
      </w:r>
    </w:p>
    <w:p w14:paraId="6C40866B">
      <w:pPr>
        <w:widowControl w:val="0"/>
        <w:spacing w:line="420" w:lineRule="exact"/>
        <w:ind w:right="-238"/>
        <w:jc w:val="both"/>
        <w:outlineLvl w:val="9"/>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5.1 </w:t>
      </w:r>
    </w:p>
    <w:p w14:paraId="07890156">
      <w:pPr>
        <w:spacing w:line="420" w:lineRule="exact"/>
        <w:ind w:left="1619" w:leftChars="77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9" name="文本框 9"/>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a:effectLst/>
                      </wps:spPr>
                      <wps:txbx>
                        <w:txbxContent>
                          <w:p w14:paraId="4A3AF366">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图纸的提供</w:t>
                            </w:r>
                          </w:p>
                        </w:txbxContent>
                      </wps:txbx>
                      <wps:bodyPr vert="horz" wrap="square" anchor="t" anchorCtr="0" upright="1"/>
                    </wps:wsp>
                  </a:graphicData>
                </a:graphic>
              </wp:anchor>
            </w:drawing>
          </mc:Choice>
          <mc:Fallback>
            <w:pict>
              <v:shape id="_x0000_s1026" o:spid="_x0000_s1026" o:spt="202" type="#_x0000_t202" style="position:absolute;left:0pt;margin-left:-9pt;margin-top:1.6pt;height:71.8pt;width:63pt;z-index:251667456;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4LsWbWAAAACQEAAA8AAAAAAAAAAQAgAAAAIgAAAGRy&#10;cy9kb3ducmV2LnhtbFBLAQIUABQAAAAIAIdO4kDXrGiwzgEAAI4DAAAOAAAAAAAAAAEAIAAAACUB&#10;AABkcnMvZTJvRG9jLnhtbFBLBQYAAAAABgAGAFkBAABlBQAAAAA=&#10;">
                <v:fill on="f" focussize="0,0"/>
                <v:stroke on="f"/>
                <v:imagedata o:title=""/>
                <o:lock v:ext="edit" aspectratio="f"/>
                <v:textbox>
                  <w:txbxContent>
                    <w:p w14:paraId="4A3AF366">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图纸的提供</w:t>
                      </w:r>
                    </w:p>
                  </w:txbxContent>
                </v:textbox>
              </v:shape>
            </w:pict>
          </mc:Fallback>
        </mc:AlternateConten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 </w:t>
      </w:r>
    </w:p>
    <w:p w14:paraId="29BD2D3C">
      <w:pPr>
        <w:widowControl w:val="0"/>
        <w:spacing w:line="420" w:lineRule="exact"/>
        <w:ind w:right="-238"/>
        <w:jc w:val="both"/>
        <w:outlineLvl w:val="9"/>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7B4CE90">
      <w:pPr>
        <w:spacing w:line="420" w:lineRule="exact"/>
        <w:ind w:left="1619" w:leftChars="771"/>
        <w:rPr>
          <w:rFonts w:ascii="宋体" w:hAnsi="宋体" w:eastAsia="宋体" w:cs="宋体"/>
          <w:b/>
          <w:bCs/>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a:effectLst/>
                      </wps:spPr>
                      <wps:txbx>
                        <w:txbxContent>
                          <w:p w14:paraId="4786499A">
                            <w:pPr>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承包人提供配合施工的图纸</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71.8pt;width:63pt;z-index:251668480;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Ir7djUAAAACAEAAA8AAAAAAAAAAQAgAAAAIgAAAGRycy9k&#10;b3ducmV2LnhtbFBLAQIUABQAAAAIAIdO4kAw1OvTzQEAAJADAAAOAAAAAAAAAAEAIAAAACMBAABk&#10;cnMvZTJvRG9jLnhtbFBLBQYAAAAABgAGAFkBAABiBQAAAAA=&#10;">
                <v:fill on="f" focussize="0,0"/>
                <v:stroke on="f"/>
                <v:imagedata o:title=""/>
                <o:lock v:ext="edit" aspectratio="f"/>
                <v:textbox>
                  <w:txbxContent>
                    <w:p w14:paraId="4786499A">
                      <w:pPr>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承包人提供配合施工的图纸</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1532114D">
      <w:pPr>
        <w:tabs>
          <w:tab w:val="left" w:pos="4970"/>
        </w:tabs>
        <w:spacing w:line="420" w:lineRule="exact"/>
        <w:outlineLvl w:val="9"/>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28A69DC1">
      <w:pPr>
        <w:tabs>
          <w:tab w:val="left" w:pos="4970"/>
        </w:tabs>
        <w:spacing w:line="420" w:lineRule="exact"/>
        <w:ind w:left="1619" w:leftChars="771"/>
        <w:rPr>
          <w:rFonts w:ascii="宋体" w:hAnsi="宋体" w:eastAsia="宋体" w:cs="宋体"/>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a:effectLst/>
                      </wps:spPr>
                      <wps:txbx>
                        <w:txbxContent>
                          <w:p w14:paraId="3BCAFC37">
                            <w:pPr>
                              <w:rPr>
                                <w:rFonts w:ascii="宋体" w:hAnsi="Calibri" w:eastAsia="宋体" w:cs="Times New Roman"/>
                                <w:sz w:val="18"/>
                                <w:szCs w:val="18"/>
                              </w:rPr>
                            </w:pPr>
                            <w:r>
                              <w:rPr>
                                <w:rFonts w:hint="eastAsia" w:ascii="楷体_GB2312" w:hAnsi="宋体" w:eastAsia="楷体_GB2312" w:cs="楷体_GB2312"/>
                                <w:b/>
                                <w:bCs/>
                                <w:color w:val="000000"/>
                                <w:sz w:val="18"/>
                                <w:szCs w:val="18"/>
                              </w:rPr>
                              <w:t>图纸的修改</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2ymcB1QAAAAgBAAAPAAAAAAAAAAEAIAAAACIAAABk&#10;cnMvZG93bnJldi54bWxQSwECFAAUAAAACACHTuJAE12u0NABAACQAwAADgAAAAAAAAABACAAAAAk&#10;AQAAZHJzL2Uyb0RvYy54bWxQSwUGAAAAAAYABgBZAQAAZgUAAAAA&#10;">
                <v:fill on="f" focussize="0,0"/>
                <v:stroke on="f"/>
                <v:imagedata o:title=""/>
                <o:lock v:ext="edit" aspectratio="f"/>
                <v:textbox>
                  <w:txbxContent>
                    <w:p w14:paraId="3BCAFC37">
                      <w:pPr>
                        <w:rPr>
                          <w:rFonts w:ascii="宋体" w:hAnsi="Calibri" w:eastAsia="宋体" w:cs="Times New Roman"/>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14:paraId="45733521">
      <w:pPr>
        <w:tabs>
          <w:tab w:val="left" w:pos="4970"/>
        </w:tabs>
        <w:spacing w:line="420" w:lineRule="exact"/>
        <w:outlineLvl w:val="9"/>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5.4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315466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a:effectLst/>
                      </wps:spPr>
                      <wps:txbx>
                        <w:txbxContent>
                          <w:p w14:paraId="05EC0C3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bKZwHVAAAACAEAAA8AAAAAAAAAAQAgAAAAIgAAAGRy&#10;cy9kb3ducmV2LnhtbFBLAQIUABQAAAAIAIdO4kCF3y/jzwEAAJADAAAOAAAAAAAAAAEAIAAAACQB&#10;AABkcnMvZTJvRG9jLnhtbFBLBQYAAAAABgAGAFkBAABlBQAAAAA=&#10;">
                <v:fill on="f" focussize="0,0"/>
                <v:stroke on="f"/>
                <v:imagedata o:title=""/>
                <o:lock v:ext="edit" aspectratio="f"/>
                <v:textbox>
                  <w:txbxContent>
                    <w:p w14:paraId="05EC0C3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14:paraId="7EE757F2">
      <w:pPr>
        <w:adjustRightInd w:val="0"/>
        <w:snapToGrid w:val="0"/>
        <w:spacing w:line="420" w:lineRule="exact"/>
        <w:outlineLvl w:val="9"/>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5.5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58CC87B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a:effectLst/>
                      </wps:spPr>
                      <wps:txbx>
                        <w:txbxContent>
                          <w:p w14:paraId="0AB35AA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51.1pt;width:72pt;z-index:251671552;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2ymcB1QAAAAgBAAAPAAAAAAAAAAEAIAAAACIAAABk&#10;cnMvZG93bnJldi54bWxQSwECFAAUAAAACACHTuJA96FQ8tABAACQAwAADgAAAAAAAAABACAAAAAk&#10;AQAAZHJzL2Uyb0RvYy54bWxQSwUGAAAAAAYABgBZAQAAZgUAAAAA&#10;">
                <v:fill on="f" focussize="0,0"/>
                <v:stroke on="f"/>
                <v:imagedata o:title=""/>
                <o:lock v:ext="edit" aspectratio="f"/>
                <v:textbox>
                  <w:txbxContent>
                    <w:p w14:paraId="0AB35AA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14:paraId="08895C47">
      <w:pPr>
        <w:tabs>
          <w:tab w:val="left" w:pos="1620"/>
        </w:tabs>
        <w:spacing w:line="420" w:lineRule="exact"/>
        <w:outlineLvl w:val="9"/>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6  通讯联络</w:t>
      </w:r>
    </w:p>
    <w:p w14:paraId="336D5A44">
      <w:pPr>
        <w:widowControl w:val="0"/>
        <w:spacing w:line="420" w:lineRule="exact"/>
        <w:ind w:right="-238"/>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6.1   </w:t>
      </w:r>
    </w:p>
    <w:p w14:paraId="092E1D03">
      <w:pPr>
        <w:tabs>
          <w:tab w:val="left" w:pos="1620"/>
        </w:tabs>
        <w:spacing w:line="420" w:lineRule="exact"/>
        <w:ind w:left="1977" w:hanging="1617" w:hangingChars="89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楷体_GB2312" w:hAnsi="宋体" w:eastAsia="楷体_GB2312" w:cs="楷体_GB2312"/>
          <w:b/>
          <w:bCs/>
          <w:color w:val="000000" w:themeColor="text1"/>
          <w:sz w:val="18"/>
          <w:szCs w:val="18"/>
          <w:highlight w:val="none"/>
          <w14:textFill>
            <w14:solidFill>
              <w14:schemeClr w14:val="tx1"/>
            </w14:solidFill>
          </w14:textFill>
        </w:rPr>
        <w:t>通讯形式</w:t>
      </w:r>
      <w:r>
        <w:rPr>
          <w:rFonts w:hint="eastAsia" w:ascii="宋体" w:hAnsi="宋体" w:eastAsia="宋体" w:cs="宋体"/>
          <w:b/>
          <w:bCs/>
          <w:color w:val="000000" w:themeColor="text1"/>
          <w:sz w:val="22"/>
          <w:szCs w:val="22"/>
          <w:highlight w:val="none"/>
          <w14:textFill>
            <w14:solidFill>
              <w14:schemeClr w14:val="tx1"/>
            </w14:solidFill>
          </w14:textFill>
        </w:rPr>
        <w:t xml:space="preserve">     </w:t>
      </w: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14:paraId="146844B5">
      <w:pPr>
        <w:widowControl w:val="0"/>
        <w:spacing w:line="420" w:lineRule="exact"/>
        <w:ind w:right="-238"/>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7B590F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763BF00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23.4pt;width:63pt;z-index:251672576;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870+vUAAAABwEAAA8AAAAAAAAAAQAgAAAAIgAAAGRycy9k&#10;b3ducmV2LnhtbFBLAQIUABQAAAAIAIdO4kAqWOWgzQEAAJADAAAOAAAAAAAAAAEAIAAAACMBAABk&#10;cnMvZTJvRG9jLnhtbFBLBQYAAAAABgAGAFkBAABiBQAAAAA=&#10;">
                <v:fill on="f" focussize="0,0"/>
                <v:stroke on="f"/>
                <v:imagedata o:title=""/>
                <o:lock v:ext="edit" aspectratio="f"/>
                <v:textbox>
                  <w:txbxContent>
                    <w:p w14:paraId="763BF00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中无论何处涉及到各方之间的通讯都不应无理扣压或拖延。合同双方当事人应在专用条款中约定各方通讯地址和收件人，并按照约定期限内送达指定地点和接收人。收件人应在通讯回执上签署姓名和时间。一方当事人拒绝签收另一方当事人通讯，另一方当事人以特快专递、挂号信等专用条款约定的方式将通讯送至通讯地址的，视为送达。</w:t>
      </w:r>
    </w:p>
    <w:p w14:paraId="7A717CBB">
      <w:pPr>
        <w:adjustRightInd w:val="0"/>
        <w:snapToGrid w:val="0"/>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5F3851F4">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7  工程分包</w:t>
      </w:r>
    </w:p>
    <w:p w14:paraId="3B92BBDB">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a:effectLst/>
                      </wps:spPr>
                      <wps:txbx>
                        <w:txbxContent>
                          <w:p w14:paraId="38933A2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297D5F1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wps:txbx>
                      <wps:bodyPr vert="horz" wrap="square" anchor="t" anchorCtr="0" upright="1"/>
                    </wps:wsp>
                  </a:graphicData>
                </a:graphic>
              </wp:anchor>
            </w:drawing>
          </mc:Choice>
          <mc:Fallback>
            <w:pict>
              <v:shape id="_x0000_s1026" o:spid="_x0000_s1026" o:spt="202" type="#_x0000_t202" style="position:absolute;left:0pt;margin-left:-9pt;margin-top:16.7pt;height:35.45pt;width:81pt;z-index:251673600;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nQ7VdcAAAAKAQAADwAAAAAAAAABACAAAAAiAAAA&#10;ZHJzL2Rvd25yZXYueG1sUEsBAhQAFAAAAAgAh07iQFheRrXPAQAAkQMAAA4AAAAAAAAAAQAgAAAA&#10;JgEAAGRycy9lMm9Eb2MueG1sUEsFBgAAAAAGAAYAWQEAAGcFAAAAAA==&#10;">
                <v:fill on="f" focussize="0,0"/>
                <v:stroke on="f"/>
                <v:imagedata o:title=""/>
                <o:lock v:ext="edit" aspectratio="f"/>
                <v:textbox>
                  <w:txbxContent>
                    <w:p w14:paraId="38933A2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297D5F1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7.1   </w:t>
      </w:r>
    </w:p>
    <w:p w14:paraId="63DB965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承包人应自己实施、完成合同工程的主体结构。承包人不得将其承包的全部工程或将其肢解后以分包的名义转包给第三方，也不得将合同工程主体结构、关键性工作分包给第三方。</w:t>
      </w:r>
    </w:p>
    <w:p w14:paraId="20F902DE">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a:effectLst/>
                      </wps:spPr>
                      <wps:txbx>
                        <w:txbxContent>
                          <w:p w14:paraId="56368B9E">
                            <w:pPr>
                              <w:spacing w:line="240" w:lineRule="exact"/>
                              <w:rPr>
                                <w:rFonts w:ascii="楷体_GB2312" w:hAnsi="宋体" w:eastAsia="楷体_GB2312" w:cs="Times New Roman"/>
                                <w:b/>
                                <w:bCs/>
                                <w:color w:val="000000"/>
                                <w:sz w:val="18"/>
                                <w:szCs w:val="18"/>
                              </w:rPr>
                            </w:pPr>
                          </w:p>
                          <w:p w14:paraId="688AD9C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0CCE872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wps:txbx>
                      <wps:bodyPr vert="horz" wrap="square" anchor="t" anchorCtr="0" upright="1"/>
                    </wps:wsp>
                  </a:graphicData>
                </a:graphic>
              </wp:anchor>
            </w:drawing>
          </mc:Choice>
          <mc:Fallback>
            <w:pict>
              <v:shape id="_x0000_s1026" o:spid="_x0000_s1026" o:spt="202" type="#_x0000_t202" style="position:absolute;left:0pt;margin-left:-9pt;margin-top:9.6pt;height:62pt;width:81pt;z-index:251674624;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M4tS/XAAAACgEAAA8AAAAAAAAAAQAgAAAAIgAAAGRy&#10;cy9kb3ducmV2LnhtbFBLAQIUABQAAAAIAIdO4kDTFZGEzQEAAJEDAAAOAAAAAAAAAAEAIAAAACYB&#10;AABkcnMvZTJvRG9jLnhtbFBLBQYAAAAABgAGAFkBAABlBQAAAAA=&#10;">
                <v:fill on="f" focussize="0,0"/>
                <v:stroke on="f"/>
                <v:imagedata o:title=""/>
                <o:lock v:ext="edit" aspectratio="f"/>
                <v:textbox>
                  <w:txbxContent>
                    <w:p w14:paraId="56368B9E">
                      <w:pPr>
                        <w:spacing w:line="240" w:lineRule="exact"/>
                        <w:rPr>
                          <w:rFonts w:ascii="楷体_GB2312" w:hAnsi="宋体" w:eastAsia="楷体_GB2312" w:cs="Times New Roman"/>
                          <w:b/>
                          <w:bCs/>
                          <w:color w:val="000000"/>
                          <w:sz w:val="18"/>
                          <w:szCs w:val="18"/>
                        </w:rPr>
                      </w:pPr>
                    </w:p>
                    <w:p w14:paraId="688AD9C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0CCE872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          </w:t>
      </w:r>
    </w:p>
    <w:p w14:paraId="4B326A3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承包人可依法将部分工程分包给具有相应分包资质的分包人，但未经发包人同意，承包人不得将工程的任何部分或任何工作分包给第三方。下列情况则属例外：</w:t>
      </w:r>
    </w:p>
    <w:p w14:paraId="1B4848E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（1）施工劳务作业分包；</w:t>
      </w:r>
    </w:p>
    <w:p w14:paraId="375DB8A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（2）按照合同约定的标准购买材料和工程设备；</w:t>
      </w:r>
    </w:p>
    <w:p w14:paraId="670F283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（3）合同中已指定的分包工程。</w:t>
      </w:r>
    </w:p>
    <w:p w14:paraId="1B0DB367">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3F18F5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a:effectLst/>
                      </wps:spPr>
                      <wps:txbx>
                        <w:txbxContent>
                          <w:p w14:paraId="68EBCEA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24.05pt;width:81pt;z-index:251675648;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JN+cNQAAAAHAQAADwAAAAAAAAABACAAAAAiAAAAZHJz&#10;L2Rvd25yZXYueG1sUEsBAhQAFAAAAAgAh07iQBhwvw7PAQAAkQMAAA4AAAAAAAAAAQAgAAAAIwEA&#10;AGRycy9lMm9Eb2MueG1sUEsFBgAAAAAGAAYAWQEAAGQFAAAAAA==&#10;">
                <v:fill on="f" focussize="0,0"/>
                <v:stroke on="f"/>
                <v:imagedata o:title=""/>
                <o:lock v:ext="edit" aspectratio="f"/>
                <v:textbox>
                  <w:txbxContent>
                    <w:p w14:paraId="68EBCEA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承包人分包工程的，应与分包人签订分包合同，并在分包合同签订后的7天内向发包人和监理工程师、造价工程师各提交一份分包合同。承包人有义务禁止分包人将分包工程再次分包。</w:t>
      </w:r>
    </w:p>
    <w:p w14:paraId="333E09E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7AB4605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15.95pt;height:39pt;width:72pt;z-index:251676672;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gFcj1wAAAAoBAAAPAAAAAAAAAAEAIAAAACIAAABk&#10;cnMvZG93bnJldi54bWxQSwECFAAUAAAACACHTuJA+obqys4BAACQAwAADgAAAAAAAAABACAAAAAm&#10;AQAAZHJzL2Uyb0RvYy54bWxQSwUGAAAAAAYABgBZAQAAZgUAAAAA&#10;">
                <v:fill on="f" focussize="0,0"/>
                <v:stroke on="f"/>
                <v:imagedata o:title=""/>
                <o:lock v:ext="edit" aspectratio="f"/>
                <v:textbox>
                  <w:txbxContent>
                    <w:p w14:paraId="7AB4605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CDC133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分包工程款由承包人与分包人结算。除合同另有约定或取得承包人的同意外，发包人应将分包工程款按专用条款约定的支付方式全部支付给承包人，禁止发包人直接向分包人支付任何工程款。</w:t>
      </w:r>
    </w:p>
    <w:p w14:paraId="21E8AAA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如发包人有要求时，承包人应提供能证明自己已向分包人支付其分包工程款等证明资料。否则，发包人有权直接向分包人支付承包人应支付而未支付的分包工程款，并在承包人得到的工程款中扣除。</w:t>
      </w:r>
    </w:p>
    <w:p w14:paraId="2D2EBD7F">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087923E1">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wps:txbx>
                      <wps:bodyPr vert="horz" wrap="square" anchor="t" anchorCtr="0" upright="1"/>
                    </wps:wsp>
                  </a:graphicData>
                </a:graphic>
              </wp:anchor>
            </w:drawing>
          </mc:Choice>
          <mc:Fallback>
            <w:pict>
              <v:shape id="_x0000_s1026" o:spid="_x0000_s1026" o:spt="202" type="#_x0000_t202" style="position:absolute;left:0pt;margin-left:-9pt;margin-top:16.15pt;height:39pt;width:72pt;z-index:251677696;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&#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QcPty1wAAAAoBAAAPAAAAAAAAAAEAIAAAACIAAABk&#10;cnMvZG93bnJldi54bWxQSwECFAAUAAAACACHTuJAiPiV284BAACQAwAADgAAAAAAAAABACAAAAAm&#10;AQAAZHJzL2Uyb0RvYy54bWxQSwUGAAAAAAYABgBZAQAAZgUAAAAA&#10;">
                <v:fill on="f" focussize="0,0"/>
                <v:stroke on="f"/>
                <v:imagedata o:title=""/>
                <o:lock v:ext="edit" aspectratio="f"/>
                <v:textbox>
                  <w:txbxContent>
                    <w:p w14:paraId="087923E1">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FF0BF3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分包不能免除承包人应承担的任何责任和应履行的任何义务。承包人应在分包场地派驻相应管理人员保证本合同的履行。分包人应对分包工程负责。分包人的任何违约行为或疏忽导致工程损坏、损害或给发包人造成损失的，承包人应承担连带责任。</w:t>
      </w:r>
    </w:p>
    <w:p w14:paraId="09E4F73B">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a:effectLst/>
                      </wps:spPr>
                      <wps:txbx>
                        <w:txbxContent>
                          <w:p w14:paraId="13F7B18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wps:txbx>
                      <wps:bodyPr vert="horz" wrap="square" anchor="t" anchorCtr="0" upright="1"/>
                    </wps:wsp>
                  </a:graphicData>
                </a:graphic>
              </wp:anchor>
            </w:drawing>
          </mc:Choice>
          <mc:Fallback>
            <w:pict>
              <v:shape id="_x0000_s1026" o:spid="_x0000_s1026" o:spt="202" type="#_x0000_t202" style="position:absolute;left:0pt;margin-left:-9pt;margin-top:18.05pt;height:22.05pt;width:72pt;z-index:251678720;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hzHMrWAAAACQEAAA8AAAAAAAAAAQAgAAAAIgAAAGRy&#10;cy9kb3ducmV2LnhtbFBLAQIUABQAAAAIAIdO4kCwS5EnzgEAAJADAAAOAAAAAAAAAAEAIAAAACUB&#10;AABkcnMvZTJvRG9jLnhtbFBLBQYAAAAABgAGAFkBAABlBQAAAAA=&#10;">
                <v:fill on="f" focussize="0,0"/>
                <v:stroke on="f"/>
                <v:imagedata o:title=""/>
                <o:lock v:ext="edit" aspectratio="f"/>
                <v:textbox>
                  <w:txbxContent>
                    <w:p w14:paraId="13F7B18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7.6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4B187D0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无论何种原因，当本合同终止时，分包人与承包人签订的分包合同也随即终止。承包人应在本合同终止前向分包人支付分包人应得所有款项。</w:t>
      </w:r>
    </w:p>
    <w:p w14:paraId="6C491137">
      <w:pPr>
        <w:widowControl w:val="0"/>
        <w:tabs>
          <w:tab w:val="left" w:pos="1260"/>
        </w:tabs>
        <w:adjustRightInd w:val="0"/>
        <w:snapToGrid w:val="0"/>
        <w:spacing w:before="120" w:beforeLines="50"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3F908A9F">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8  现场查勘</w:t>
      </w:r>
    </w:p>
    <w:p w14:paraId="719030FB">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001EA11D">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8.65pt;height:39pt;width:72pt;z-index:251679744;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qBJj9gAAAAKAQAADwAAAAAAAAABACAAAAAiAAAA&#10;ZHJzL2Rvd25yZXYueG1sUEsBAhQAFAAAAAgAh07iQOu8MUnOAQAAkAMAAA4AAAAAAAAAAQAgAAAA&#10;JwEAAGRycy9lMm9Eb2MueG1sUEsFBgAAAAAGAAYAWQEAAGcFAAAAAA==&#10;">
                <v:fill on="f" focussize="0,0"/>
                <v:stroke on="f"/>
                <v:imagedata o:title=""/>
                <o:lock v:ext="edit" aspectratio="f"/>
                <v:textbox>
                  <w:txbxContent>
                    <w:p w14:paraId="001EA11D">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8.1                                                                                </w:t>
      </w:r>
    </w:p>
    <w:p w14:paraId="1F1158F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按照第19.2款第（4）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14:paraId="020BA8C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696DD7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a:effectLst/>
                      </wps:spPr>
                      <wps:txbx>
                        <w:txbxContent>
                          <w:p w14:paraId="5ED990BD">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9.4pt;width:72pt;z-index:251680768;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WmKUfUAAAABwEAAA8AAAAAAAAAAQAgAAAAIgAAAGRy&#10;cy9kb3ducmV2LnhtbFBLAQIUABQAAAAIAIdO4kAr1gSU0AEAAJADAAAOAAAAAAAAAAEAIAAAACMB&#10;AABkcnMvZTJvRG9jLnhtbFBLBQYAAAAABgAGAFkBAABlBQAAAAA=&#10;">
                <v:fill on="f" focussize="0,0"/>
                <v:stroke on="f"/>
                <v:imagedata o:title=""/>
                <o:lock v:ext="edit" aspectratio="f"/>
                <v:textbox>
                  <w:txbxContent>
                    <w:p w14:paraId="5ED990BD">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依据发包人按照第19.2款第（4）点规定提供的资料和自己对现场查勘来编制投标文件，并对发包人提供上述资料的理解、推断和应用负责。因承包人未能充分查勘、了解以下情况或未能充分估计以下情况所可能产生后果的，承包人承担由此增加的费用和（或）延误的工期。承包人的投标文件应被认为已经考虑了现场及其周围环境的影响，包括但不限于以下内容：</w:t>
      </w:r>
    </w:p>
    <w:p w14:paraId="60B1CBB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（1）现场地质情况及地形地貌特征；</w:t>
      </w:r>
    </w:p>
    <w:p w14:paraId="5698BC0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（2）水文和气候条件；</w:t>
      </w:r>
    </w:p>
    <w:p w14:paraId="0EDD4A0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（3）为实施、完成并保修合同工程所需的临时工程和措施项目；</w:t>
      </w:r>
    </w:p>
    <w:p w14:paraId="34D6D5E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（4）为实施、完成并保修合同工程所需的材料采购和加工、设备的采购，及所需的施工设备、周转性材料、人员和管理等；</w:t>
      </w:r>
    </w:p>
    <w:p w14:paraId="4BA9A8E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（5）场地内外的交通情况及水、电、食宿供应条件；</w:t>
      </w:r>
    </w:p>
    <w:p w14:paraId="510E2FE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（6）可能对投标报价有影响或起作用的其他情况。</w:t>
      </w:r>
    </w:p>
    <w:p w14:paraId="53A2AD4E">
      <w:pPr>
        <w:widowControl w:val="0"/>
        <w:adjustRightInd w:val="0"/>
        <w:snapToGrid w:val="0"/>
        <w:spacing w:line="420" w:lineRule="exact"/>
        <w:ind w:right="-238"/>
        <w:jc w:val="both"/>
        <w:rPr>
          <w:rFonts w:ascii="宋体" w:hAnsi="宋体" w:eastAsia="宋体" w:cs="宋体"/>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38410205">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9  招标错失的修正</w:t>
      </w:r>
    </w:p>
    <w:p w14:paraId="2C090D64">
      <w:pPr>
        <w:widowControl w:val="0"/>
        <w:adjustRightInd w:val="0"/>
        <w:snapToGrid w:val="0"/>
        <w:spacing w:before="240" w:beforeLines="100"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35CD8B1D">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合同条款及格式完备性和义务</w:t>
                            </w:r>
                          </w:p>
                          <w:p w14:paraId="764667F4">
                            <w:pPr>
                              <w:rPr>
                                <w:rFonts w:ascii="Times New Roman" w:hAnsi="Times New Roman" w:eastAsia="宋体" w:cs="Times New Roman"/>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4.8pt;margin-top:31.35pt;height:62.4pt;width:72pt;z-index:251681792;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XDqoDXAAAACQEAAA8AAAAAAAAAAQAgAAAAIgAA&#10;AGRycy9kb3ducmV2LnhtbFBLAQIUABQAAAAIAIdO4kCMemI80AEAAJADAAAOAAAAAAAAAAEAIAAA&#10;ACYBAABkcnMvZTJvRG9jLnhtbFBLBQYAAAAABgAGAFkBAABoBQAAAAA=&#10;">
                <v:fill on="f" focussize="0,0"/>
                <v:stroke on="f"/>
                <v:imagedata o:title=""/>
                <o:lock v:ext="edit" aspectratio="f"/>
                <v:textbox>
                  <w:txbxContent>
                    <w:p w14:paraId="35CD8B1D">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合同条款及格式完备性和义务</w:t>
                      </w:r>
                    </w:p>
                    <w:p w14:paraId="764667F4">
                      <w:pPr>
                        <w:rPr>
                          <w:rFonts w:ascii="Times New Roman" w:hAnsi="Times New Roman" w:eastAsia="宋体" w:cs="Times New Roman"/>
                          <w:sz w:val="18"/>
                          <w:szCs w:val="18"/>
                        </w:rPr>
                      </w:pP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9.1  </w:t>
      </w:r>
    </w:p>
    <w:p w14:paraId="3BCCABA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发包人招标文件中的合同条款及格式，应被认为是正确的和公平的，并已包括了发包人履行本合同的全部义务，包括但不限于以下内容：</w:t>
      </w:r>
    </w:p>
    <w:p w14:paraId="2A32F29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（1）支付工程款及其他应付款项的义务；</w:t>
      </w:r>
    </w:p>
    <w:p w14:paraId="5F23FCC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（2）完成本合同第19.2款约定工作的义务；</w:t>
      </w:r>
    </w:p>
    <w:p w14:paraId="422768B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（3）修正不正确合同条款及格式的义务；</w:t>
      </w:r>
    </w:p>
    <w:p w14:paraId="1C371FA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（4）澄清并改正被认定有失公平的合同条款的义务；</w:t>
      </w:r>
    </w:p>
    <w:p w14:paraId="3BF76F8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（5）协助承包人实施、完成并保修合同工程的义务。</w:t>
      </w:r>
    </w:p>
    <w:p w14:paraId="38FE8888">
      <w:pPr>
        <w:widowControl w:val="0"/>
        <w:tabs>
          <w:tab w:val="left" w:pos="2160"/>
        </w:tabs>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a:effectLst/>
                      </wps:spPr>
                      <wps:txbx>
                        <w:txbxContent>
                          <w:p w14:paraId="1BD117D4">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工程量清单准确性和修正</w:t>
                            </w:r>
                          </w:p>
                          <w:p w14:paraId="27388692">
                            <w:pPr>
                              <w:rPr>
                                <w:rFonts w:ascii="Times New Roman" w:hAnsi="Times New Roman" w:eastAsia="宋体" w:cs="Times New Roman"/>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3.55pt;margin-top:14.75pt;height:65.3pt;width:72pt;z-index:251682816;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7jO2t1QAAAAgBAAAPAAAAAAAAAAEAIAAAACIAAABk&#10;cnMvZG93bnJldi54bWxQSwECFAAUAAAACACHTuJA8W2wp9ABAACQAwAADgAAAAAAAAABACAAAAAk&#10;AQAAZHJzL2Uyb0RvYy54bWxQSwUGAAAAAAYABgBZAQAAZgUAAAAA&#10;">
                <v:fill on="f" focussize="0,0"/>
                <v:stroke on="f"/>
                <v:imagedata o:title=""/>
                <o:lock v:ext="edit" aspectratio="f"/>
                <v:textbox>
                  <w:txbxContent>
                    <w:p w14:paraId="1BD117D4">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工程量清单准确性和修正</w:t>
                      </w:r>
                    </w:p>
                    <w:p w14:paraId="27388692">
                      <w:pPr>
                        <w:rPr>
                          <w:rFonts w:ascii="Times New Roman" w:hAnsi="Times New Roman" w:eastAsia="宋体" w:cs="Times New Roman"/>
                          <w:sz w:val="18"/>
                          <w:szCs w:val="18"/>
                        </w:rPr>
                      </w:pP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F341EE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发包人招标文件提供的工程量清单及其招标控制价等资料，应被认为是准确的和完整的。当出现下列情形之一的，发包人应及时予以修正，并相应调整合同价款：</w:t>
      </w:r>
    </w:p>
    <w:p w14:paraId="7EA83D88">
      <w:pPr>
        <w:tabs>
          <w:tab w:val="left" w:pos="4970"/>
        </w:tabs>
        <w:spacing w:line="420" w:lineRule="exact"/>
        <w:ind w:firstLine="1680" w:firstLineChars="70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（1）施工设计图纸发生变化的；</w:t>
      </w:r>
    </w:p>
    <w:p w14:paraId="18250AB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（2）出现第68.2款规定调整合同价款事件的；</w:t>
      </w:r>
    </w:p>
    <w:p w14:paraId="22D0348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（3）未按照国家、省有关计价规定编制的其它情形。</w:t>
      </w:r>
    </w:p>
    <w:p w14:paraId="6A92F4D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（4）工程量清单存在缺项、漏项的；</w:t>
      </w:r>
    </w:p>
    <w:p w14:paraId="7400EC5A">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3CDBBC76">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10  投标文件的完备性</w:t>
      </w:r>
    </w:p>
    <w:p w14:paraId="6603AAA8">
      <w:pPr>
        <w:widowControl w:val="0"/>
        <w:tabs>
          <w:tab w:val="left" w:pos="141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a:effectLst/>
                      </wps:spPr>
                      <wps:txbx>
                        <w:txbxContent>
                          <w:p w14:paraId="386202A4">
                            <w:pPr>
                              <w:widowControl w:val="0"/>
                              <w:tabs>
                                <w:tab w:val="left" w:pos="2160"/>
                              </w:tabs>
                              <w:spacing w:before="192" w:beforeLines="80"/>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投标文件完备性和义务</w:t>
                            </w:r>
                          </w:p>
                        </w:txbxContent>
                      </wps:txbx>
                      <wps:bodyPr vert="horz" wrap="square" anchor="t" anchorCtr="0" upright="1"/>
                    </wps:wsp>
                  </a:graphicData>
                </a:graphic>
              </wp:anchor>
            </w:drawing>
          </mc:Choice>
          <mc:Fallback>
            <w:pict>
              <v:shape id="_x0000_s1026" o:spid="_x0000_s1026" o:spt="202" type="#_x0000_t202" style="position:absolute;left:0pt;margin-left:-9pt;margin-top:7.25pt;height:64pt;width:72pt;z-index:251683840;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&#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bjyhrWAAAACgEAAA8AAAAAAAAAAQAgAAAAIgAAAGRy&#10;cy9kb3ducmV2LnhtbFBLAQIUABQAAAAIAIdO4kDi/kFJzgEAAJADAAAOAAAAAAAAAAEAIAAAACUB&#10;AABkcnMvZTJvRG9jLnhtbFBLBQYAAAAABgAGAFkBAABlBQAAAAA=&#10;">
                <v:fill on="f" focussize="0,0"/>
                <v:stroke on="f"/>
                <v:imagedata o:title=""/>
                <o:lock v:ext="edit" aspectratio="f"/>
                <v:textbox>
                  <w:txbxContent>
                    <w:p w14:paraId="386202A4">
                      <w:pPr>
                        <w:widowControl w:val="0"/>
                        <w:tabs>
                          <w:tab w:val="left" w:pos="2160"/>
                        </w:tabs>
                        <w:spacing w:before="192" w:beforeLines="80"/>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投标文件完备性和义务</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10.1                                      </w:t>
      </w:r>
    </w:p>
    <w:p w14:paraId="6261C1D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承包人投标文件中的工程量清单所填单价和合价，应被认为是正确的和完备的，并已包括了承包人履行本合同的全部义务，包括但不限于以下内容：</w:t>
      </w:r>
    </w:p>
    <w:p w14:paraId="46B000C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（1）提供材料和工程设备、服务的义务及处理意外事件的义务； </w:t>
      </w:r>
    </w:p>
    <w:p w14:paraId="1363A33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（2）实施和完成合同工程的义务；</w:t>
      </w:r>
    </w:p>
    <w:p w14:paraId="040AD25F">
      <w:pPr>
        <w:tabs>
          <w:tab w:val="left" w:pos="4970"/>
        </w:tabs>
        <w:spacing w:line="420" w:lineRule="exact"/>
        <w:ind w:firstLine="1920" w:firstLineChars="80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（3）工程质量保修的一切义务。</w:t>
      </w:r>
    </w:p>
    <w:p w14:paraId="43537008">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10.2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F6D876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a:effectLst/>
                      </wps:spPr>
                      <wps:txbx>
                        <w:txbxContent>
                          <w:p w14:paraId="0C8E65FD">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O/jEPVAAAACAEAAA8AAAAAAAAAAQAgAAAAIgAAAGRy&#10;cy9kb3ducmV2LnhtbFBLAQIUABQAAAAIAIdO4kAJonD5zwEAAJADAAAOAAAAAAAAAAEAIAAAACQB&#10;AABkcnMvZTJvRG9jLnhtbFBLBQYAAAAABgAGAFkBAABlBQAAAAA=&#10;">
                <v:fill on="f" focussize="0,0"/>
                <v:stroke on="f"/>
                <v:imagedata o:title=""/>
                <o:lock v:ext="edit" aspectratio="f"/>
                <v:textbox>
                  <w:txbxContent>
                    <w:p w14:paraId="0C8E65FD">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承包人投标文件中的工程量清单中没有填入单价或合价的清单项目，应认为该项目价款已包含在工程量清单的其他项目的单价或合价中，发包人将不另行支付。</w:t>
      </w:r>
    </w:p>
    <w:p w14:paraId="74256DDA">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10.3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24F479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a:effectLst/>
                      </wps:spPr>
                      <wps:txbx>
                        <w:txbxContent>
                          <w:p w14:paraId="523D493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35.85pt;width:72pt;z-index:251685888;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&#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O/jEPVAAAACAEAAA8AAAAAAAAAAQAgAAAAIgAAAGRy&#10;cy9kb3ducmV2LnhtbFBLAQIUABQAAAAIAIdO4kB73A/ozwEAAJADAAAOAAAAAAAAAAEAIAAAACQB&#10;AABkcnMvZTJvRG9jLnhtbFBLBQYAAAAABgAGAFkBAABlBQAAAAA=&#10;">
                <v:fill on="f" focussize="0,0"/>
                <v:stroke on="f"/>
                <v:imagedata o:title=""/>
                <o:lock v:ext="edit" aspectratio="f"/>
                <v:textbox>
                  <w:txbxContent>
                    <w:p w14:paraId="523D493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承包人投标文件中出现算术性错误，导致其实际总造价与报价总金额不一致时，合同双方当事人可按照国家、省有关规定予以修正，并相应调整合同价款。</w:t>
      </w:r>
    </w:p>
    <w:p w14:paraId="4BA2D976">
      <w:pPr>
        <w:widowControl w:val="0"/>
        <w:adjustRightInd w:val="0"/>
        <w:snapToGrid w:val="0"/>
        <w:spacing w:line="420" w:lineRule="exact"/>
        <w:ind w:left="1491" w:leftChars="1" w:hanging="1489" w:hangingChars="674"/>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0033D57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11  文物和地下障碍物</w:t>
      </w:r>
    </w:p>
    <w:p w14:paraId="690CA1B9">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11.1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p>
    <w:p w14:paraId="534DEB3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68A7B6B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wps:txbx>
                      <wps:bodyPr vert="horz" wrap="square" anchor="t" anchorCtr="0" upright="1"/>
                    </wps:wsp>
                  </a:graphicData>
                </a:graphic>
              </wp:anchor>
            </w:drawing>
          </mc:Choice>
          <mc:Fallback>
            <w:pict>
              <v:shape id="_x0000_s1026" o:spid="_x0000_s1026" o:spt="202" type="#_x0000_t202" style="position:absolute;left:0pt;margin-left:-9pt;margin-top:-0.6pt;height:39pt;width:72pt;z-index:251686912;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&#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Nh7rbWAAAACQEAAA8AAAAAAAAAAQAgAAAAIgAAAGRy&#10;cy9kb3ducmV2LnhtbFBLAQIUABQAAAAIAIdO4kAJMbXTzgEAAJADAAAOAAAAAAAAAAEAIAAAACUB&#10;AABkcnMvZTJvRG9jLnhtbFBLBQYAAAAABgAGAFkBAABlBQAAAAA=&#10;">
                <v:fill on="f" focussize="0,0"/>
                <v:stroke on="f"/>
                <v:imagedata o:title=""/>
                <o:lock v:ext="edit" aspectratio="f"/>
                <v:textbox>
                  <w:txbxContent>
                    <w:p w14:paraId="68A7B6B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发包人承担由此增加的费用和（或）工期延误，并向承包人支付合理利润。</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br w:type="textWrapping"/>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如发现文物后隐瞒不报或报告不及时，导致上述文物丢失或遭受破坏的，由责任方赔偿损失，并承担相应的法律责任。</w:t>
      </w:r>
    </w:p>
    <w:p w14:paraId="22410C06">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37506F10">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wps:txbx>
                      <wps:bodyPr vert="horz" wrap="square" anchor="t" anchorCtr="0" upright="1"/>
                    </wps:wsp>
                  </a:graphicData>
                </a:graphic>
              </wp:anchor>
            </w:drawing>
          </mc:Choice>
          <mc:Fallback>
            <w:pict>
              <v:shape id="_x0000_s1026" o:spid="_x0000_s1026" o:spt="202" type="#_x0000_t202" style="position:absolute;left:0pt;margin-left:-9pt;margin-top:18.35pt;height:39pt;width:72pt;z-index:251687936;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89neDYAAAACgEAAA8AAAAAAAAAAQAgAAAAIgAA&#10;AGRycy9kb3ducmV2LnhtbFBLAQIUABQAAAAIAIdO4kB7T8rCzwEAAJADAAAOAAAAAAAAAAEAIAAA&#10;ACcBAABkcnMvZTJvRG9jLnhtbFBLBQYAAAAABgAGAFkBAABoBQAAAAA=&#10;">
                <v:fill on="f" focussize="0,0"/>
                <v:stroke on="f"/>
                <v:imagedata o:title=""/>
                <o:lock v:ext="edit" aspectratio="f"/>
                <v:textbox>
                  <w:txbxContent>
                    <w:p w14:paraId="37506F10">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11.2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CD6CFB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本合同已明确指出的地下障碍物（发包人招标文件提供的工程量清单有列明或提供的地质资料已明确反映的），应视为承包人在投标报价时已预见其对施工的影响，并已在合同价款中考虑。</w:t>
      </w:r>
    </w:p>
    <w:p w14:paraId="3150931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本合同未有明确指出的地下障碍物（发包人招标文件提供的工程量清单没列明或提供的地质资料不能明确反映的），在施工过程遇到时，承包人应于8小时内以书面形式通知监理工程师和发包人，并提出处置方案。监理工程师在收到处置方案后24小时内予以确认或提出修正方案，并发出施工指令。承包人应按照监理工程师指令进行施工。发包人应承担由此增加的费用和（或）延误的工期，并向承包人支付合理利润。</w:t>
      </w:r>
    </w:p>
    <w:p w14:paraId="70CCF06B">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65E3A05F">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12  事故处理</w:t>
      </w:r>
    </w:p>
    <w:p w14:paraId="09502247">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a:effectLst/>
                      </wps:spPr>
                      <wps:txbx>
                        <w:txbxContent>
                          <w:p w14:paraId="338F777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5B2560D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6F239759">
                            <w:pPr>
                              <w:rPr>
                                <w:rFonts w:ascii="Times New Roman" w:hAnsi="Times New Roman" w:eastAsia="宋体" w:cs="Times New Roman"/>
                                <w:color w:val="000000"/>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9pt;margin-top:18.05pt;height:41.25pt;width:81pt;z-index:251688960;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&#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UBsYf1gAAAAoBAAAPAAAAAAAAAAEAIAAAACIAAABk&#10;cnMvZG93bnJldi54bWxQSwECFAAUAAAACACHTuJA2wPWt88BAACRAwAADgAAAAAAAAABACAAAAAl&#10;AQAAZHJzL2Uyb0RvYy54bWxQSwUGAAAAAAYABgBZAQAAZgUAAAAA&#10;">
                <v:fill on="f" focussize="0,0"/>
                <v:stroke on="f"/>
                <v:imagedata o:title=""/>
                <o:lock v:ext="edit" aspectratio="f"/>
                <v:textbox>
                  <w:txbxContent>
                    <w:p w14:paraId="338F777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5B2560D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6F239759">
                      <w:pPr>
                        <w:rPr>
                          <w:rFonts w:ascii="Times New Roman" w:hAnsi="Times New Roman" w:eastAsia="宋体" w:cs="Times New Roman"/>
                          <w:color w:val="000000"/>
                          <w:sz w:val="18"/>
                          <w:szCs w:val="18"/>
                        </w:rPr>
                      </w:pP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12.1                   </w:t>
      </w:r>
    </w:p>
    <w:p w14:paraId="0BF433E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合同履行期间，合同工程发生质量与安全事故，承包人立即通知监理工程师和发包人。</w:t>
      </w:r>
    </w:p>
    <w:p w14:paraId="29DB1E0F">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14:paraId="34DFA53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wps:txbx>
                      <wps:bodyPr vert="horz" wrap="square" anchor="t" anchorCtr="0" upright="1"/>
                    </wps:wsp>
                  </a:graphicData>
                </a:graphic>
              </wp:anchor>
            </w:drawing>
          </mc:Choice>
          <mc:Fallback>
            <w:pict>
              <v:shape id="_x0000_s1026"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ZyZZdYAAAAJAQAADwAAAAAAAAABACAAAAAiAAAA&#10;ZHJzL2Rvd25yZXYueG1sUEsBAhQAFAAAAAgAh07iQEX6LoLQAQAAkQMAAA4AAAAAAAAAAQAgAAAA&#10;JQEAAGRycy9lMm9Eb2MueG1sUEsFBgAAAAAGAAYAWQEAAGcFAAAAAA==&#10;">
                <v:fill on="f" focussize="0,0"/>
                <v:stroke on="f"/>
                <v:imagedata o:title=""/>
                <o:lock v:ext="edit" aspectratio="f"/>
                <v:textbox>
                  <w:txbxContent>
                    <w:p w14:paraId="34DFA53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12.2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113147C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接到事故通知后，合同双方当事人应立即组织人员和设备进行紧急抢救和抢修，减少人员伤亡和财产损失，防止事故扩大，并保护事故现场。需移动现场物品时，应做好标记和书面记录，妥善保护有关证据。</w:t>
      </w:r>
    </w:p>
    <w:p w14:paraId="65E1918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合同双方当事人应按照国家规定时限如实上报政府有关部门，配合政府有关部门的调查和处理，由此发生的费用和（或）延误的工期由事故责任方承担。</w:t>
      </w:r>
    </w:p>
    <w:p w14:paraId="56C3C5CD">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14:paraId="294D389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wps:txbx>
                      <wps:bodyPr vert="horz" wrap="square" anchor="t" anchorCtr="0" upright="1"/>
                    </wps:wsp>
                  </a:graphicData>
                </a:graphic>
              </wp:anchor>
            </w:drawing>
          </mc:Choice>
          <mc:Fallback>
            <w:pict>
              <v:shape id="_x0000_s1026" o:spid="_x0000_s1026" o:spt="202" type="#_x0000_t202" style="position:absolute;left:0pt;margin-left:-9pt;margin-top:17.7pt;height:23.4pt;width:81pt;z-index:251691008;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WcmWXWAAAACQEAAA8AAAAAAAAAAQAgAAAAIgAA&#10;AGRycy9kb3ducmV2LnhtbFBLAQIUABQAAAAIAIdO4kC2TXGb0QEAAJEDAAAOAAAAAAAAAAEAIAAA&#10;ACUBAABkcnMvZTJvRG9jLnhtbFBLBQYAAAAABgAGAFkBAABoBQAAAAA=&#10;">
                <v:fill on="f" focussize="0,0"/>
                <v:stroke on="f"/>
                <v:imagedata o:title=""/>
                <o:lock v:ext="edit" aspectratio="f"/>
                <v:textbox>
                  <w:txbxContent>
                    <w:p w14:paraId="294D389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12.3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C8C74E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合同双方当事人对事故责任有争议时，应按照政府有关部门的认定处理。</w:t>
      </w:r>
    </w:p>
    <w:p w14:paraId="650650BA">
      <w:pPr>
        <w:widowControl w:val="0"/>
        <w:adjustRightInd w:val="0"/>
        <w:snapToGrid w:val="0"/>
        <w:spacing w:line="420" w:lineRule="exact"/>
        <w:ind w:right="-238"/>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2D5533F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13  交通运输</w:t>
      </w:r>
    </w:p>
    <w:p w14:paraId="29AD90DE">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a:effectLst/>
                      </wps:spPr>
                      <wps:txbx>
                        <w:txbxContent>
                          <w:p w14:paraId="4C7E350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28DCAAE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4B47FBB7">
                            <w:pPr>
                              <w:rPr>
                                <w:rFonts w:ascii="Times New Roman" w:hAnsi="Times New Roman" w:eastAsia="宋体" w:cs="Times New Roman"/>
                                <w:color w:val="0000FF"/>
                                <w:sz w:val="18"/>
                                <w:szCs w:val="18"/>
                              </w:rPr>
                            </w:pPr>
                          </w:p>
                          <w:p w14:paraId="600FE62D">
                            <w:pPr>
                              <w:rPr>
                                <w:rFonts w:ascii="Calibri" w:hAnsi="Calibri" w:eastAsia="宋体" w:cs="Times New Roman"/>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9pt;margin-top:18.05pt;height:41.25pt;width:81pt;z-index:251692032;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&#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UBsYf1gAAAAoBAAAPAAAAAAAAAAEAIAAAACIAAABk&#10;cnMvZG93bnJldi54bWxQSwECFAAUAAAACACHTuJAKLSJrs8BAACRAwAADgAAAAAAAAABACAAAAAl&#10;AQAAZHJzL2Uyb0RvYy54bWxQSwUGAAAAAAYABgBZAQAAZgUAAAAA&#10;">
                <v:fill on="f" focussize="0,0"/>
                <v:stroke on="f"/>
                <v:imagedata o:title=""/>
                <o:lock v:ext="edit" aspectratio="f"/>
                <v:textbox>
                  <w:txbxContent>
                    <w:p w14:paraId="4C7E350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28DCAAE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4B47FBB7">
                      <w:pPr>
                        <w:rPr>
                          <w:rFonts w:ascii="Times New Roman" w:hAnsi="Times New Roman" w:eastAsia="宋体" w:cs="Times New Roman"/>
                          <w:color w:val="0000FF"/>
                          <w:sz w:val="18"/>
                          <w:szCs w:val="18"/>
                        </w:rPr>
                      </w:pPr>
                    </w:p>
                    <w:p w14:paraId="600FE62D">
                      <w:pPr>
                        <w:rPr>
                          <w:rFonts w:ascii="Calibri" w:hAnsi="Calibri" w:eastAsia="宋体" w:cs="Times New Roman"/>
                          <w:sz w:val="18"/>
                          <w:szCs w:val="18"/>
                        </w:rPr>
                      </w:pP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13.1                   </w:t>
      </w:r>
    </w:p>
    <w:p w14:paraId="42BC10D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14:paraId="03276A5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承包人应在订立合同前查勘施工现场，并根据工程规模及技术参数合理预见工程施工所需的进出施工现场的方式、手段、路径等。因承包人未合理预见所增加的费用和（或）延误的工期由承包人承担。</w:t>
      </w:r>
    </w:p>
    <w:p w14:paraId="0E4D4020">
      <w:pPr>
        <w:widowControl w:val="0"/>
        <w:tabs>
          <w:tab w:val="left" w:pos="1202"/>
        </w:tabs>
        <w:adjustRightInd w:val="0"/>
        <w:snapToGrid w:val="0"/>
        <w:spacing w:line="420" w:lineRule="exact"/>
        <w:ind w:left="1484" w:leftChars="1" w:hanging="1482" w:hangingChars="674"/>
        <w:jc w:val="both"/>
        <w:rPr>
          <w:rFonts w:ascii="宋体" w:hAnsi="宋体" w:eastAsia="宋体" w:cs="宋体"/>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a:effectLst/>
                      </wps:spPr>
                      <wps:txbx>
                        <w:txbxContent>
                          <w:p w14:paraId="0A0B405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2F0F992C">
                            <w:pPr>
                              <w:rPr>
                                <w:rFonts w:ascii="宋体" w:hAnsi="Times New Roman" w:eastAsia="宋体" w:cs="Times New Roman"/>
                                <w:color w:val="000000"/>
                                <w:sz w:val="24"/>
                                <w:szCs w:val="24"/>
                              </w:rPr>
                            </w:pPr>
                            <w:r>
                              <w:rPr>
                                <w:rFonts w:hint="eastAsia" w:ascii="楷体_GB2312" w:hAnsi="宋体" w:eastAsia="楷体_GB2312" w:cs="楷体_GB2312"/>
                                <w:b/>
                                <w:bCs/>
                                <w:color w:val="000000"/>
                                <w:sz w:val="18"/>
                                <w:szCs w:val="18"/>
                              </w:rPr>
                              <w:t>和交通设施</w:t>
                            </w:r>
                          </w:p>
                          <w:p w14:paraId="62B302EC">
                            <w:pPr>
                              <w:rPr>
                                <w:rFonts w:ascii="Times New Roman" w:hAnsi="Calibri" w:eastAsia="宋体" w:cs="Times New Roman"/>
                                <w:color w:val="0000FF"/>
                                <w:sz w:val="18"/>
                                <w:szCs w:val="18"/>
                              </w:rPr>
                            </w:pPr>
                          </w:p>
                          <w:p w14:paraId="516E9555">
                            <w:pPr>
                              <w:rPr>
                                <w:rFonts w:ascii="Calibri" w:hAnsi="Calibri" w:eastAsia="宋体" w:cs="Times New Roman"/>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9pt;margin-top:26.25pt;height:41.25pt;width:81pt;z-index:251693056;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UniuZ2AAAAAoBAAAPAAAAAAAAAAEAIAAAACIA&#10;AABkcnMvZG93bnJldi54bWxQSwECFAAUAAAACACHTuJAoLQsItABAACRAwAADgAAAAAAAAABACAA&#10;AAAnAQAAZHJzL2Uyb0RvYy54bWxQSwUGAAAAAAYABgBZAQAAaQUAAAAA&#10;">
                <v:fill on="f" focussize="0,0"/>
                <v:stroke on="f"/>
                <v:imagedata o:title=""/>
                <o:lock v:ext="edit" aspectratio="f"/>
                <v:textbox>
                  <w:txbxContent>
                    <w:p w14:paraId="0A0B405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2F0F992C">
                      <w:pPr>
                        <w:rPr>
                          <w:rFonts w:ascii="宋体" w:hAnsi="Times New Roman" w:eastAsia="宋体" w:cs="Times New Roman"/>
                          <w:color w:val="000000"/>
                          <w:sz w:val="24"/>
                          <w:szCs w:val="24"/>
                        </w:rPr>
                      </w:pPr>
                      <w:r>
                        <w:rPr>
                          <w:rFonts w:hint="eastAsia" w:ascii="楷体_GB2312" w:hAnsi="宋体" w:eastAsia="楷体_GB2312" w:cs="楷体_GB2312"/>
                          <w:b/>
                          <w:bCs/>
                          <w:color w:val="000000"/>
                          <w:sz w:val="18"/>
                          <w:szCs w:val="18"/>
                        </w:rPr>
                        <w:t>和交通设施</w:t>
                      </w:r>
                    </w:p>
                    <w:p w14:paraId="62B302EC">
                      <w:pPr>
                        <w:rPr>
                          <w:rFonts w:ascii="Times New Roman" w:hAnsi="Calibri" w:eastAsia="宋体" w:cs="Times New Roman"/>
                          <w:color w:val="0000FF"/>
                          <w:sz w:val="18"/>
                          <w:szCs w:val="18"/>
                        </w:rPr>
                      </w:pPr>
                    </w:p>
                    <w:p w14:paraId="516E9555">
                      <w:pPr>
                        <w:rPr>
                          <w:rFonts w:ascii="Calibri" w:hAnsi="Calibri" w:eastAsia="宋体" w:cs="Times New Roman"/>
                          <w:sz w:val="18"/>
                          <w:szCs w:val="18"/>
                        </w:rPr>
                      </w:pP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13.2</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7DC2D92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除专用条款另有约定外，承包人应负责修建、维修、养护和管理施工场地内所需的临时道路和交通设施，包括维修、养护和管理发包人提供的道路和交通设施，并承担相应费用。</w:t>
      </w:r>
    </w:p>
    <w:p w14:paraId="20E13FB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承包人修建的临时道路和交通设施应免费提供发包人使用。</w:t>
      </w:r>
    </w:p>
    <w:p w14:paraId="33C6559A">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14:paraId="5359C9B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wps:txbx>
                      <wps:bodyPr vert="horz" wrap="square" anchor="t" anchorCtr="0" upright="1"/>
                    </wps:wsp>
                  </a:graphicData>
                </a:graphic>
              </wp:anchor>
            </w:drawing>
          </mc:Choice>
          <mc:Fallback>
            <w:pict>
              <v:shape id="_x0000_s1026" o:spid="_x0000_s1026" o:spt="202" type="#_x0000_t202" style="position:absolute;left:0pt;margin-left:-9pt;margin-top:17.7pt;height:23.4pt;width:81pt;z-index:25169408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ZyZZdYAAAAJAQAADwAAAAAAAAABACAAAAAiAAAA&#10;ZHJzL2Rvd25yZXYueG1sUEsBAhQAFAAAAAgAh07iQD5N1BfQAQAAkQMAAA4AAAAAAAAAAQAgAAAA&#10;JQEAAGRycy9lMm9Eb2MueG1sUEsFBgAAAAAGAAYAWQEAAGcFAAAAAA==&#10;">
                <v:fill on="f" focussize="0,0"/>
                <v:stroke on="f"/>
                <v:imagedata o:title=""/>
                <o:lock v:ext="edit" aspectratio="f"/>
                <v:textbox>
                  <w:txbxContent>
                    <w:p w14:paraId="5359C9B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13.3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EC978A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承包人应遵守有关交通法规，严格按照道路和桥梁的限制荷重安全行驶，并服从交通管理部门的检查和监督。承包人车辆外出行驶所需的场外公共道路的通行费、养路费和税款等，由承包人承担。</w:t>
      </w:r>
    </w:p>
    <w:p w14:paraId="0716DC3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a:effectLst/>
                      </wps:spPr>
                      <wps:txbx>
                        <w:txbxContent>
                          <w:p w14:paraId="6E745DB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03C30CD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wps:txbx>
                      <wps:bodyPr vert="horz" wrap="square" anchor="t" anchorCtr="0" upright="1"/>
                    </wps:wsp>
                  </a:graphicData>
                </a:graphic>
              </wp:anchor>
            </w:drawing>
          </mc:Choice>
          <mc:Fallback>
            <w:pict>
              <v:shape id="_x0000_s1026"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9Iqt9cAAAAKAQAADwAAAAAAAAABACAAAAAiAAAA&#10;ZHJzL2Rvd25yZXYueG1sUEsBAhQAFAAAAAgAh07iQIcMcMTPAQAAkQMAAA4AAAAAAAAAAQAgAAAA&#10;JgEAAGRycy9lMm9Eb2MueG1sUEsFBgAAAAAGAAYAWQEAAGcFAAAAAA==&#10;">
                <v:fill on="f" focussize="0,0"/>
                <v:stroke on="f"/>
                <v:imagedata o:title=""/>
                <o:lock v:ext="edit" aspectratio="f"/>
                <v:textbox>
                  <w:txbxContent>
                    <w:p w14:paraId="6E745DB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03C30CD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13.4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89944A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17B36E5B">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a:effectLst/>
                      </wps:spPr>
                      <wps:txbx>
                        <w:txbxContent>
                          <w:p w14:paraId="78938BC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067D906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7.7pt;height:36.7pt;width:81pt;z-index:251696128;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vSKrfXAAAACgEAAA8AAAAAAAAAAQAgAAAAIgAA&#10;AGRycy9kb3ducmV2LnhtbFBLAQIUABQAAAAIAIdO4kDpY2p60AEAAJEDAAAOAAAAAAAAAAEAIAAA&#10;ACYBAABkcnMvZTJvRG9jLnhtbFBLBQYAAAAABgAGAFkBAABoBQAAAAA=&#10;">
                <v:fill on="f" focussize="0,0"/>
                <v:stroke on="f"/>
                <v:imagedata o:title=""/>
                <o:lock v:ext="edit" aspectratio="f"/>
                <v:textbox>
                  <w:txbxContent>
                    <w:p w14:paraId="78938BC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067D906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13.5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A2B0CD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因承包人运输造成施工场地内外公共道路和桥梁损坏的，由承包人承担修复损坏的全部费用和可能引起的赔偿。</w:t>
      </w:r>
    </w:p>
    <w:p w14:paraId="767BC5AC">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a:effectLst/>
                      </wps:spPr>
                      <wps:txbx>
                        <w:txbxContent>
                          <w:p w14:paraId="2B76DA4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5BC8BD2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wps:txbx>
                      <wps:bodyPr vert="horz" wrap="square" anchor="t" anchorCtr="0" upright="1"/>
                    </wps:wsp>
                  </a:graphicData>
                </a:graphic>
              </wp:anchor>
            </w:drawing>
          </mc:Choice>
          <mc:Fallback>
            <w:pict>
              <v:shape id="_x0000_s1026" o:spid="_x0000_s1026" o:spt="202" type="#_x0000_t202" style="position:absolute;left:0pt;margin-left:-9pt;margin-top:17.7pt;height:47.9pt;width:81pt;z-index:251697152;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imnUnXAAAACgEAAA8AAAAAAAAAAQAgAAAAIgAA&#10;AGRycy9kb3ducmV2LnhtbFBLAQIUABQAAAAIAIdO4kBTVXVw0AEAAJEDAAAOAAAAAAAAAAEAIAAA&#10;ACYBAABkcnMvZTJvRG9jLnhtbFBLBQYAAAAABgAGAFkBAABoBQAAAAA=&#10;">
                <v:fill on="f" focussize="0,0"/>
                <v:stroke on="f"/>
                <v:imagedata o:title=""/>
                <o:lock v:ext="edit" aspectratio="f"/>
                <v:textbox>
                  <w:txbxContent>
                    <w:p w14:paraId="2B76DA4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5BC8BD2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13.6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87B357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本条内容适用于水路运输和航空运输，其中“道路”包括河道、航线、船闸、机场、码头、堤防以及水路或航空运输中其他相似结构物；“车辆”包括船舶和飞机等。</w:t>
      </w:r>
    </w:p>
    <w:p w14:paraId="7B79284F">
      <w:pPr>
        <w:widowControl w:val="0"/>
        <w:tabs>
          <w:tab w:val="left" w:pos="1202"/>
        </w:tabs>
        <w:adjustRightInd w:val="0"/>
        <w:snapToGrid w:val="0"/>
        <w:spacing w:line="420" w:lineRule="exact"/>
        <w:jc w:val="left"/>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  </w:t>
      </w:r>
    </w:p>
    <w:p w14:paraId="5A25204E">
      <w:pPr>
        <w:widowControl w:val="0"/>
        <w:tabs>
          <w:tab w:val="left" w:pos="3818"/>
        </w:tabs>
        <w:adjustRightInd w:val="0"/>
        <w:snapToGrid w:val="0"/>
        <w:spacing w:before="240" w:beforeLines="100" w:line="420" w:lineRule="exact"/>
        <w:jc w:val="both"/>
        <w:outlineLvl w:val="2"/>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14  专项批准事件的签认</w: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ab/>
      </w:r>
    </w:p>
    <w:p w14:paraId="7DFCEAD5">
      <w:pPr>
        <w:widowControl w:val="0"/>
        <w:tabs>
          <w:tab w:val="left" w:pos="1202"/>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a:effectLst/>
                      </wps:spPr>
                      <wps:txbx>
                        <w:txbxContent>
                          <w:p w14:paraId="44C0B1D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vert="horz" wrap="square" anchor="t" anchorCtr="0" upright="1"/>
                    </wps:wsp>
                  </a:graphicData>
                </a:graphic>
              </wp:anchor>
            </w:drawing>
          </mc:Choice>
          <mc:Fallback>
            <w:pict>
              <v:shape id="_x0000_s1026" o:spid="_x0000_s1026" o:spt="202" type="#_x0000_t202" style="position:absolute;left:0pt;margin-left:-9pt;margin-top:19.4pt;height:68.95pt;width:72pt;z-index:251698176;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HBLGNgAAAAKAQAADwAAAAAAAAABACAAAAAi&#10;AAAAZHJzL2Rvd25yZXYueG1sUEsBAhQAFAAAAAgAh07iQKGkMhfRAQAAkAMAAA4AAAAAAAAAAQAg&#10;AAAAJwEAAGRycy9lMm9Eb2MueG1sUEsFBgAAAAAGAAYAWQEAAGoFAAAAAA==&#10;">
                <v:fill on="f" focussize="0,0"/>
                <v:stroke on="f"/>
                <v:imagedata o:title=""/>
                <o:lock v:ext="edit" aspectratio="f"/>
                <v:textbox>
                  <w:txbxContent>
                    <w:p w14:paraId="44C0B1D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14.1      </w:t>
      </w:r>
    </w:p>
    <w:p w14:paraId="37E1F18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5EA4B3A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合同双方当事人应按照第14.2款规定对发生的专项批准事件予以签认，并及时将发生事件的相关资料整理、归档，同时按第23.2款、第24.2款规定职权将其中一份送监理工程师和（或）造价工程师留存。</w:t>
      </w:r>
    </w:p>
    <w:p w14:paraId="71F590BF">
      <w:pPr>
        <w:widowControl w:val="0"/>
        <w:tabs>
          <w:tab w:val="left" w:pos="2160"/>
        </w:tabs>
        <w:spacing w:before="192" w:beforeLines="80"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14.2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E77A68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a:effectLst/>
                      </wps:spPr>
                      <wps:txbx>
                        <w:txbxContent>
                          <w:p w14:paraId="212DE39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vert="horz" wrap="square" anchor="t" anchorCtr="0" upright="1"/>
                    </wps:wsp>
                  </a:graphicData>
                </a:graphic>
              </wp:anchor>
            </w:drawing>
          </mc:Choice>
          <mc:Fallback>
            <w:pict>
              <v:shape id="_x0000_s1026" o:spid="_x0000_s1026" o:spt="202" type="#_x0000_t202" style="position:absolute;left:0pt;margin-left:0pt;margin-top:0.85pt;height:68.95pt;width:72pt;z-index:251699200;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mpG5i0wAAAAYBAAAPAAAAAAAAAAEAIAAAACIAAABkcnMv&#10;ZG93bnJldi54bWxQSwECFAAUAAAACACHTuJAyykTAc8BAACQAwAADgAAAAAAAAABACAAAAAiAQAA&#10;ZHJzL2Uyb0RvYy54bWxQSwUGAAAAAAYABgBZAQAAYwUAAAAA&#10;">
                <v:fill on="f" focussize="0,0"/>
                <v:stroke on="f"/>
                <v:imagedata o:title=""/>
                <o:lock v:ext="edit" aspectratio="f"/>
                <v:textbox>
                  <w:txbxContent>
                    <w:p w14:paraId="212DE39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按照第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773AC75A">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2409088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15  专利技术</w:t>
      </w:r>
    </w:p>
    <w:p w14:paraId="60F3840A">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15.1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D917110">
      <w:pPr>
        <w:widowControl w:val="0"/>
        <w:adjustRightInd w:val="0"/>
        <w:snapToGrid w:val="0"/>
        <w:spacing w:line="420" w:lineRule="exact"/>
        <w:ind w:left="1619" w:leftChars="771"/>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a:effectLst/>
                      </wps:spPr>
                      <wps:txbx>
                        <w:txbxContent>
                          <w:p w14:paraId="2718215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6bZOk1gAAAAgBAAAPAAAAAAAAAAEAIAAAACIAAABk&#10;cnMvZG93bnJldi54bWxQSwECFAAUAAAACACHTuJAOl6e888BAACQAwAADgAAAAAAAAABACAAAAAl&#10;AQAAZHJzL2Uyb0RvYy54bWxQSwUGAAAAAAYABgBZAQAAZgUAAAAA&#10;">
                <v:fill on="f" focussize="0,0"/>
                <v:stroke on="f"/>
                <v:imagedata o:title=""/>
                <o:lock v:ext="edit" aspectratio="f"/>
                <v:textbox>
                  <w:txbxContent>
                    <w:p w14:paraId="2718215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0830CFA2">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15.2</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DB6F39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a:effectLst/>
                      </wps:spPr>
                      <wps:txbx>
                        <w:txbxContent>
                          <w:p w14:paraId="7CAE7A8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vert="horz" wrap="square" anchor="t" anchorCtr="0" upright="1"/>
                    </wps:wsp>
                  </a:graphicData>
                </a:graphic>
              </wp:anchor>
            </w:drawing>
          </mc:Choice>
          <mc:Fallback>
            <w:pict>
              <v:shape id="_x0000_s1026" o:spid="_x0000_s1026" o:spt="202" type="#_x0000_t202" style="position:absolute;left:0pt;margin-left:-9pt;margin-top:1.8pt;height:37.15pt;width:72pt;z-index:251701248;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&#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6bZOk1gAAAAgBAAAPAAAAAAAAAAEAIAAAACIAAABk&#10;cnMvZG93bnJldi54bWxQSwECFAAUAAAACACHTuJArNwfwM8BAACQAwAADgAAAAAAAAABACAAAAAl&#10;AQAAZHJzL2Uyb0RvYy54bWxQSwUGAAAAAAYABgBZAQAAZgUAAAAA&#10;">
                <v:fill on="f" focussize="0,0"/>
                <v:stroke on="f"/>
                <v:imagedata o:title=""/>
                <o:lock v:ext="edit" aspectratio="f"/>
                <v:textbox>
                  <w:txbxContent>
                    <w:p w14:paraId="7CAE7A8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承包人在投标文件中采用专利技术的，其发生的费用已包含在投标报价内。承包人的技术秘密和第91条规定的保密信息、资料等，发包人应严格按照第91条规定不得为合同以外的目的泄露给第三方。</w:t>
      </w:r>
    </w:p>
    <w:p w14:paraId="1C8E52E2">
      <w:pPr>
        <w:widowControl w:val="0"/>
        <w:tabs>
          <w:tab w:val="left" w:pos="1680"/>
        </w:tabs>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a:effectLst/>
                      </wps:spPr>
                      <wps:txbx>
                        <w:txbxContent>
                          <w:p w14:paraId="3034FFA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vert="horz" wrap="square" anchor="t" anchorCtr="0" upright="1"/>
                    </wps:wsp>
                  </a:graphicData>
                </a:graphic>
              </wp:anchor>
            </w:drawing>
          </mc:Choice>
          <mc:Fallback>
            <w:pict>
              <v:shape id="_x0000_s1026" o:spid="_x0000_s1026" o:spt="202" type="#_x0000_t202" style="position:absolute;left:0pt;margin-left:-9pt;margin-top:19pt;height:39.2pt;width:72pt;z-index:251702272;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1ehpHXAAAACgEAAA8AAAAAAAAAAQAgAAAAIgAA&#10;AGRycy9kb3ducmV2LnhtbFBLAQIUABQAAAAIAIdO4kCWU9FL0AEAAJADAAAOAAAAAAAAAAEAIAAA&#10;ACYBAABkcnMvZTJvRG9jLnhtbFBLBQYAAAAABgAGAFkBAABoBQAAAAA=&#10;">
                <v:fill on="f" focussize="0,0"/>
                <v:stroke on="f"/>
                <v:imagedata o:title=""/>
                <o:lock v:ext="edit" aspectratio="f"/>
                <v:textbox>
                  <w:txbxContent>
                    <w:p w14:paraId="3034FFA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15.3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5C2F0FA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14:paraId="78E825E9">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5A748476">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16  联合的责任</w:t>
      </w:r>
    </w:p>
    <w:p w14:paraId="2FAFD79B">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a:effectLst/>
                      </wps:spPr>
                      <wps:txbx>
                        <w:txbxContent>
                          <w:p w14:paraId="784E31D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8.5pt;height:36.3pt;width:72pt;z-index:251703296;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msTqfXAAAACgEAAA8AAAAAAAAAAQAgAAAAIgAAAGRy&#10;cy9kb3ducmV2LnhtbFBLAQIUABQAAAAIAIdO4kDq4q/zzQEAAJADAAAOAAAAAAAAAAEAIAAAACYB&#10;AABkcnMvZTJvRG9jLnhtbFBLBQYAAAAABgAGAFkBAABlBQAAAAA=&#10;">
                <v:fill on="f" focussize="0,0"/>
                <v:stroke on="f"/>
                <v:imagedata o:title=""/>
                <o:lock v:ext="edit" aspectratio="f"/>
                <v:textbox>
                  <w:txbxContent>
                    <w:p w14:paraId="784E31D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16.1                     </w:t>
      </w:r>
    </w:p>
    <w:p w14:paraId="4D37276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如果承包人是联合体经营，则联合体各方应共同与发包人签订合同协议书，并在工程开工前签订联合体施工协议书，作为本合同的附件。该联合体各方都应在合同履行期间对发包人负有共同的和各自的责任。</w:t>
      </w:r>
    </w:p>
    <w:p w14:paraId="02C63655">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3847837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vert="horz" wrap="square" anchor="t" anchorCtr="0" upright="1"/>
                    </wps:wsp>
                  </a:graphicData>
                </a:graphic>
              </wp:anchor>
            </w:drawing>
          </mc:Choice>
          <mc:Fallback>
            <w:pict>
              <v:shape id="_x0000_s1026" o:spid="_x0000_s1026" o:spt="202" type="#_x0000_t202" style="position:absolute;left:0pt;margin-left:-9pt;margin-top:19.35pt;height:39pt;width:72pt;z-index:251704320;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ux4gbYAAAACgEAAA8AAAAAAAAAAQAgAAAAIgAA&#10;AGRycy9kb3ducmV2LnhtbFBLAQIUABQAAAAIAIdO4kDFKnM+zwEAAJADAAAOAAAAAAAAAAEAIAAA&#10;ACcBAABkcnMvZTJvRG9jLnhtbFBLBQYAAAAABgAGAFkBAABoBQAAAAA=&#10;">
                <v:fill on="f" focussize="0,0"/>
                <v:stroke on="f"/>
                <v:imagedata o:title=""/>
                <o:lock v:ext="edit" aspectratio="f"/>
                <v:textbox>
                  <w:txbxContent>
                    <w:p w14:paraId="3847837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16.2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4F3F23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14:paraId="31DE97B1">
      <w:pPr>
        <w:tabs>
          <w:tab w:val="left" w:pos="1620"/>
        </w:tabs>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4050DA6E">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17  保障</w:t>
      </w:r>
    </w:p>
    <w:p w14:paraId="79BD96F0">
      <w:pPr>
        <w:widowControl w:val="0"/>
        <w:tabs>
          <w:tab w:val="left" w:pos="1202"/>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6544061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vert="horz" wrap="square" anchor="t" anchorCtr="0" upright="1"/>
                    </wps:wsp>
                  </a:graphicData>
                </a:graphic>
              </wp:anchor>
            </w:drawing>
          </mc:Choice>
          <mc:Fallback>
            <w:pict>
              <v:shape id="_x0000_s1026" o:spid="_x0000_s1026" o:spt="202" type="#_x0000_t202" style="position:absolute;left:0pt;margin-left:0pt;margin-top:14.3pt;height:46.8pt;width:72pt;z-index:251705344;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GCQ1QAAAAcBAAAPAAAAAAAAAAEAIAAAACIAAABk&#10;cnMvZG93bnJldi54bWxQSwECFAAUAAAACACHTuJAKajrH9ABAACQAwAADgAAAAAAAAABACAAAAAk&#10;AQAAZHJzL2Uyb0RvYy54bWxQSwUGAAAAAAYABgBZAQAAZgUAAAAA&#10;">
                <v:fill on="f" focussize="0,0"/>
                <v:stroke on="f"/>
                <v:imagedata o:title=""/>
                <o:lock v:ext="edit" aspectratio="f"/>
                <v:textbox>
                  <w:txbxContent>
                    <w:p w14:paraId="6544061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17.1      </w:t>
      </w:r>
    </w:p>
    <w:p w14:paraId="56618B8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14:paraId="45C17FDD">
      <w:pPr>
        <w:widowControl w:val="0"/>
        <w:tabs>
          <w:tab w:val="left" w:pos="1202"/>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a:effectLst/>
                      </wps:spPr>
                      <wps:txbx>
                        <w:txbxContent>
                          <w:p w14:paraId="55D3996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vert="horz" wrap="square" anchor="t" anchorCtr="0" upright="1"/>
                    </wps:wsp>
                  </a:graphicData>
                </a:graphic>
              </wp:anchor>
            </w:drawing>
          </mc:Choice>
          <mc:Fallback>
            <w:pict>
              <v:shape id="_x0000_s1026" o:spid="_x0000_s1026" o:spt="202" type="#_x0000_t202" style="position:absolute;left:0pt;margin-left:-9pt;margin-top:18.95pt;height:42.1pt;width:72pt;z-index:251706368;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mB5Bn2AAAAAoBAAAPAAAAAAAAAAEAIAAAACIA&#10;AABkcnMvZG93bnJldi54bWxQSwECFAAUAAAACACHTuJA6stPOdABAACQAwAADgAAAAAAAAABACAA&#10;AAAnAQAAZHJzL2Uyb0RvYy54bWxQSwUGAAAAAAYABgBZAQAAaQUAAAAA&#10;">
                <v:fill on="f" focussize="0,0"/>
                <v:stroke on="f"/>
                <v:imagedata o:title=""/>
                <o:lock v:ext="edit" aspectratio="f"/>
                <v:textbox>
                  <w:txbxContent>
                    <w:p w14:paraId="55D3996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17.2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08AB0D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承包人应保障发包人不承担因承包人移动或使用施工场地外的施工设备和临时设施所造成的损害而引起的赔偿。</w:t>
      </w:r>
    </w:p>
    <w:p w14:paraId="5AB37FC0">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03D229DD">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18  财产</w:t>
      </w:r>
    </w:p>
    <w:p w14:paraId="48F8D1A3">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18.1                       </w:t>
      </w:r>
    </w:p>
    <w:p w14:paraId="065F599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a:effectLst/>
                      </wps:spPr>
                      <wps:txbx>
                        <w:txbxContent>
                          <w:p w14:paraId="66EA577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57.05pt;width:72pt;z-index:251707392;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RSyLnVAAAACAEAAA8AAAAAAAAAAQAgAAAAIgAAAGRy&#10;cy9kb3ducmV2LnhtbFBLAQIUABQAAAAIAIdO4kCGuFRLzwEAAJADAAAOAAAAAAAAAAEAIAAAACQB&#10;AABkcnMvZTJvRG9jLnhtbFBLBQYAAAAABgAGAFkBAABlBQAAAAA=&#10;">
                <v:fill on="f" focussize="0,0"/>
                <v:stroke on="f"/>
                <v:imagedata o:title=""/>
                <o:lock v:ext="edit" aspectratio="f"/>
                <v:textbox>
                  <w:txbxContent>
                    <w:p w14:paraId="66EA577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7BBD77DD">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a:effectLst/>
                      </wps:spPr>
                      <wps:txbx>
                        <w:txbxContent>
                          <w:p w14:paraId="3FE20FA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vert="horz" wrap="square" anchor="t" anchorCtr="0" upright="1"/>
                    </wps:wsp>
                  </a:graphicData>
                </a:graphic>
              </wp:anchor>
            </w:drawing>
          </mc:Choice>
          <mc:Fallback>
            <w:pict>
              <v:shape id="_x0000_s1026" o:spid="_x0000_s1026" o:spt="202" type="#_x0000_t202" style="position:absolute;left:0pt;margin-left:-9pt;margin-top:22.25pt;height:36.25pt;width:72pt;z-index:251708416;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ho1LdcAAAAKAQAADwAAAAAAAAABACAAAAAiAAAA&#10;ZHJzL2Rvd25yZXYueG1sUEsBAhQAFAAAAAgAh07iQEZhchPPAQAAkAMAAA4AAAAAAAAAAQAgAAAA&#10;JgEAAGRycy9lMm9Eb2MueG1sUEsFBgAAAAAGAAYAWQEAAGcFAAAAAA==&#10;">
                <v:fill on="f" focussize="0,0"/>
                <v:stroke on="f"/>
                <v:imagedata o:title=""/>
                <o:lock v:ext="edit" aspectratio="f"/>
                <v:textbox>
                  <w:txbxContent>
                    <w:p w14:paraId="3FE20FA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18.2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3954481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如果发包人依据第87.3款规定的情形解除合同，则合同工程和临时工程，应认为是发包人的财产。</w:t>
      </w:r>
    </w:p>
    <w:p w14:paraId="5746676D">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a:effectLst/>
                      </wps:spPr>
                      <wps:txbx>
                        <w:txbxContent>
                          <w:p w14:paraId="72092A6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vert="horz" wrap="square" anchor="t" anchorCtr="0" upright="1"/>
                    </wps:wsp>
                  </a:graphicData>
                </a:graphic>
              </wp:anchor>
            </w:drawing>
          </mc:Choice>
          <mc:Fallback>
            <w:pict>
              <v:shape id="_x0000_s1026" o:spid="_x0000_s1026" o:spt="202" type="#_x0000_t202" style="position:absolute;left:0pt;margin-left:-9pt;margin-top:22.25pt;height:42.85pt;width:72pt;z-index:251709440;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bsBXNgAAAAKAQAADwAAAAAAAAABACAAAAAiAAAA&#10;ZHJzL2Rvd25yZXYueG1sUEsBAhQAFAAAAAgAh07iQFrdnqzOAQAAkAMAAA4AAAAAAAAAAQAgAAAA&#10;JwEAAGRycy9lMm9Eb2MueG1sUEsFBgAAAAAGAAYAWQEAAGcFAAAAAA==&#10;">
                <v:fill on="f" focussize="0,0"/>
                <v:stroke on="f"/>
                <v:imagedata o:title=""/>
                <o:lock v:ext="edit" aspectratio="f"/>
                <v:textbox>
                  <w:txbxContent>
                    <w:p w14:paraId="72092A6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18.3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3E5A404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承包人依据第87.4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165EB336">
      <w:pPr>
        <w:spacing w:line="420" w:lineRule="exact"/>
        <w:outlineLvl w:val="9"/>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27D23E08">
      <w:pPr>
        <w:spacing w:line="420" w:lineRule="exact"/>
        <w:ind w:firstLine="4320" w:firstLineChars="1793"/>
        <w:outlineLvl w:val="1"/>
        <w:rPr>
          <w:rFonts w:ascii="方正黑体_GBK" w:hAnsi="方正黑体_GBK" w:eastAsia="方正黑体_GBK" w:cs="方正黑体_GBK"/>
          <w:b/>
          <w:bCs/>
          <w:color w:val="000000" w:themeColor="text1"/>
          <w:sz w:val="24"/>
          <w:szCs w:val="24"/>
          <w:highlight w:val="none"/>
          <w14:textFill>
            <w14:solidFill>
              <w14:schemeClr w14:val="tx1"/>
            </w14:solidFill>
          </w14:textFill>
        </w:rPr>
      </w:pPr>
      <w:bookmarkStart w:id="510" w:name="_Toc32636"/>
      <w:bookmarkStart w:id="511" w:name="_Toc731"/>
      <w:bookmarkStart w:id="512" w:name="_Toc3017"/>
      <w:r>
        <w:rPr>
          <w:rFonts w:hint="eastAsia" w:ascii="方正小标宋_GBK" w:hAnsi="方正小标宋_GBK" w:eastAsia="方正小标宋_GBK" w:cs="方正小标宋_GBK"/>
          <w:b/>
          <w:bCs/>
          <w:color w:val="000000" w:themeColor="text1"/>
          <w:sz w:val="24"/>
          <w:szCs w:val="24"/>
          <w:highlight w:val="none"/>
          <w14:textFill>
            <w14:solidFill>
              <w14:schemeClr w14:val="tx1"/>
            </w14:solidFill>
          </w14:textFill>
        </w:rPr>
        <w:t>二、合同主体</w:t>
      </w:r>
      <w:bookmarkEnd w:id="510"/>
      <w:bookmarkEnd w:id="511"/>
      <w:bookmarkEnd w:id="512"/>
    </w:p>
    <w:p w14:paraId="64B7B8B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19  发包人</w:t>
      </w:r>
    </w:p>
    <w:p w14:paraId="17D2D355">
      <w:pPr>
        <w:tabs>
          <w:tab w:val="left" w:pos="1620"/>
        </w:tabs>
        <w:spacing w:line="420" w:lineRule="exact"/>
        <w:ind w:left="-2" w:leftChars="-1" w:firstLine="1"/>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19.1                                                        </w:t>
      </w:r>
    </w:p>
    <w:p w14:paraId="391596A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a:effectLst/>
                      </wps:spPr>
                      <wps:txbx>
                        <w:txbxContent>
                          <w:p w14:paraId="634BAF9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vert="horz" wrap="square" anchor="t" anchorCtr="0" upright="1"/>
                    </wps:wsp>
                  </a:graphicData>
                </a:graphic>
              </wp:anchor>
            </w:drawing>
          </mc:Choice>
          <mc:Fallback>
            <w:pict>
              <v:shape id="_x0000_s1026"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FFopk1QAAAAcBAAAPAAAAAAAAAAEAIAAAACIAAABk&#10;cnMvZG93bnJldi54bWxQSwECFAAUAAAACACHTuJAVSrDLdABAACQAwAADgAAAAAAAAABACAAAAAk&#10;AQAAZHJzL2Uyb0RvYy54bWxQSwUGAAAAAAYABgBZAQAAZgUAAAAA&#10;">
                <v:fill on="f" focussize="0,0"/>
                <v:stroke on="f"/>
                <v:imagedata o:title=""/>
                <o:lock v:ext="edit" aspectratio="f"/>
                <v:textbox>
                  <w:txbxContent>
                    <w:p w14:paraId="634BAF9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1592EB60">
      <w:pPr>
        <w:tabs>
          <w:tab w:val="left" w:pos="1620"/>
        </w:tabs>
        <w:spacing w:line="420" w:lineRule="exact"/>
        <w:ind w:left="-2" w:leftChars="-1" w:firstLine="1"/>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19.2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r>
        <w:rPr>
          <w:rFonts w:hint="eastAsia" w:ascii="宋体" w:hAnsi="宋体" w:eastAsia="宋体" w:cs="宋体"/>
          <w:b/>
          <w:bCs/>
          <w:color w:val="000000" w:themeColor="text1"/>
          <w:sz w:val="22"/>
          <w:szCs w:val="22"/>
          <w:highlight w:val="none"/>
          <w14:textFill>
            <w14:solidFill>
              <w14:schemeClr w14:val="tx1"/>
            </w14:solidFill>
          </w14:textFill>
        </w:rPr>
        <w:t xml:space="preserve"> </w:t>
      </w:r>
    </w:p>
    <w:p w14:paraId="002757C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a:effectLst/>
                      </wps:spPr>
                      <wps:txbx>
                        <w:txbxContent>
                          <w:p w14:paraId="635C64E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wps:txbx>
                      <wps:bodyPr vert="horz" wrap="square" anchor="t" anchorCtr="0" upright="1"/>
                    </wps:wsp>
                  </a:graphicData>
                </a:graphic>
              </wp:anchor>
            </w:drawing>
          </mc:Choice>
          <mc:Fallback>
            <w:pict>
              <v:shape id="_x0000_s1026" o:spid="_x0000_s1026" o:spt="202" type="#_x0000_t202" style="position:absolute;left:0pt;margin-left:-9pt;margin-top:0.35pt;height:33.85pt;width:72pt;z-index:25171148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FFopk1QAAAAcBAAAPAAAAAAAAAAEAIAAAACIAAABk&#10;cnMvZG93bnJldi54bWxQSwECFAAUAAAACACHTuJAw6hCHtABAACQAwAADgAAAAAAAAABACAAAAAk&#10;AQAAZHJzL2Uyb0RvYy54bWxQSwUGAAAAAAYABgBZAQAAZgUAAAAA&#10;">
                <v:fill on="f" focussize="0,0"/>
                <v:stroke on="f"/>
                <v:imagedata o:title=""/>
                <o:lock v:ext="edit" aspectratio="f"/>
                <v:textbox>
                  <w:txbxContent>
                    <w:p w14:paraId="635C64E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发包人应按照合同约定完成下列工作，包括但不限于：</w:t>
      </w:r>
    </w:p>
    <w:p w14:paraId="0DAF17F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（1）办理土地征用、拆迁、平整施工场地等工作，使施工场地具备施工条件，并在开工后继续负责解决上述工作遗留的问题；</w:t>
      </w:r>
    </w:p>
    <w:p w14:paraId="0624B61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（2）将施工所需水、电、通讯线路从施工场地外部接驳至专用条款约定的地点，保证施工期间的需要；</w:t>
      </w:r>
    </w:p>
    <w:p w14:paraId="07311B8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（3）开通施工场地与城乡公共道路间的通道，满足第13条交通运输的需要；</w:t>
      </w:r>
    </w:p>
    <w:p w14:paraId="4F43D1B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14:paraId="6EA5F03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（5）办理施工许可及其他所需证件、批准文件和办理临时用地、停水、停电、中断道路交通、爆破作业等的申请批准手续（承包人自身施工资质的证件除外）；</w:t>
      </w:r>
    </w:p>
    <w:p w14:paraId="2ABF230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（6）确定水准点与坐标控制点，组织现场交验并以书面形式移交给承包人；</w:t>
      </w:r>
    </w:p>
    <w:p w14:paraId="6AE6100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（7）按照专用条款约定的时间向承包人提供一式两份约定的标准与规范；</w:t>
      </w:r>
    </w:p>
    <w:p w14:paraId="107EA2C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（8）组织承包人和设计人进行图纸会审和设计交底；</w:t>
      </w:r>
    </w:p>
    <w:p w14:paraId="1FE53CC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（9）协调处理施工场地周围地形关系问题和做好邻近建筑物、构筑物（包括文物保护建筑）、古树名木等的保护工作；</w:t>
      </w:r>
    </w:p>
    <w:p w14:paraId="186ECF9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（10）及时接收已完工程，并按照合同约定及时支付工程款及其他各种款项。</w:t>
      </w:r>
    </w:p>
    <w:p w14:paraId="7E74B04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发包人可将其中部分工作委托给承包人办理，具体由合同双方当事人在专用条款中约定。除合同价款已包括外，由发包人承担所需费用，并向承包人支付合理利润。</w:t>
      </w:r>
    </w:p>
    <w:p w14:paraId="0A6D8CB6">
      <w:pPr>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19.3 </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5ABCA03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3CEF023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9pt;width:72pt;z-index:25171251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LuITtQAAAAHAQAADwAAAAAAAAABACAAAAAiAAAAZHJz&#10;L2Rvd25yZXYueG1sUEsBAhQAFAAAAAgAh07iQIdAaufPAQAAkAMAAA4AAAAAAAAAAQAgAAAAIwEA&#10;AGRycy9lMm9Eb2MueG1sUEsFBgAAAAAGAAYAWQEAAGQFAAAAAA==&#10;">
                <v:fill on="f" focussize="0,0"/>
                <v:stroke on="f"/>
                <v:imagedata o:title=""/>
                <o:lock v:ext="edit" aspectratio="f"/>
                <v:textbox>
                  <w:txbxContent>
                    <w:p w14:paraId="3CEF023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发包人应按照专用条款约定的时间提供施工场地，并在确保承包人按照计划进度顺利开工的时间内给予承包人进入和使用施工场地的权利。</w:t>
      </w:r>
    </w:p>
    <w:p w14:paraId="7CEC2CC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发包人保留其工作人员、雇员和相关执法人员进入和使用施工场地的权利。</w:t>
      </w:r>
    </w:p>
    <w:p w14:paraId="20EEFB53">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19.4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35C1AB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a:effectLst/>
                      </wps:spPr>
                      <wps:txbx>
                        <w:txbxContent>
                          <w:p w14:paraId="27FFD97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vert="horz" wrap="square" anchor="t" anchorCtr="0" upright="1"/>
                    </wps:wsp>
                  </a:graphicData>
                </a:graphic>
              </wp:anchor>
            </w:drawing>
          </mc:Choice>
          <mc:Fallback>
            <w:pict>
              <v:shape id="_x0000_s1026" o:spid="_x0000_s1026" o:spt="202" type="#_x0000_t202" style="position:absolute;left:0pt;margin-left:-9pt;margin-top:1.2pt;height:56.35pt;width:72pt;z-index:251713536;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&#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VDE7k1gAAAAkBAAAPAAAAAAAAAAEAIAAAACIAAABk&#10;cnMvZG93bnJldi54bWxQSwECFAAUAAAACACHTuJAvhY8fs8BAACQAwAADgAAAAAAAAABACAAAAAl&#10;AQAAZHJzL2Uyb0RvYy54bWxQSwUGAAAAAAYABgBZAQAAZgUAAAAA&#10;">
                <v:fill on="f" focussize="0,0"/>
                <v:stroke on="f"/>
                <v:imagedata o:title=""/>
                <o:lock v:ext="edit" aspectratio="f"/>
                <v:textbox>
                  <w:txbxContent>
                    <w:p w14:paraId="27FFD97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发包人应按照合同约定的期限和方式向承包人支付工程款及其他应支付的款项。</w:t>
      </w:r>
    </w:p>
    <w:p w14:paraId="6F407AEA">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19.5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13CE92F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a:effectLst/>
                      </wps:spPr>
                      <wps:txbx>
                        <w:txbxContent>
                          <w:p w14:paraId="2257CC1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vert="horz" wrap="square" anchor="t" anchorCtr="0" upright="1"/>
                    </wps:wsp>
                  </a:graphicData>
                </a:graphic>
              </wp:anchor>
            </w:drawing>
          </mc:Choice>
          <mc:Fallback>
            <w:pict>
              <v:shape id="_x0000_s1026" o:spid="_x0000_s1026" o:spt="202" type="#_x0000_t202" style="position:absolute;left:0pt;margin-left:-9pt;margin-top:1.2pt;height:67.1pt;width:72pt;z-index:251714560;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csd5dYAAAAJAQAADwAAAAAAAAABACAAAAAiAAAA&#10;ZHJzL2Rvd25yZXYueG1sUEsBAhQAFAAAAAgAh07iQDPIebfQAQAAkAMAAA4AAAAAAAAAAQAgAAAA&#10;JQEAAGRycy9lMm9Eb2MueG1sUEsFBgAAAAAGAAYAWQEAAGcFAAAAAA==&#10;">
                <v:fill on="f" focussize="0,0"/>
                <v:stroke on="f"/>
                <v:imagedata o:title=""/>
                <o:lock v:ext="edit" aspectratio="f"/>
                <v:textbox>
                  <w:txbxContent>
                    <w:p w14:paraId="2257CC1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发包人应按照第58条规定组织承包人、设计人、监理人和工程造价咨询人（如有）等进行竣工验收。</w:t>
      </w:r>
    </w:p>
    <w:p w14:paraId="51D2A97C">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a:effectLst/>
                      </wps:spPr>
                      <wps:txbx>
                        <w:txbxContent>
                          <w:p w14:paraId="6422E41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21.5pt;height:91.55pt;width:72pt;z-index:251715584;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syLSXXAAAACgEAAA8AAAAAAAAAAQAgAAAAIgAA&#10;AGRycy9kb3ducmV2LnhtbFBLAQIUABQAAAAIAIdO4kAlkitD0AEAAJEDAAAOAAAAAAAAAAEAIAAA&#10;ACYBAABkcnMvZTJvRG9jLnhtbFBLBQYAAAAABgAGAFkBAABoBQAAAAA=&#10;">
                <v:fill on="f" focussize="0,0"/>
                <v:stroke on="f"/>
                <v:imagedata o:title=""/>
                <o:lock v:ext="edit" aspectratio="f"/>
                <v:textbox>
                  <w:txbxContent>
                    <w:p w14:paraId="6422E41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19.6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3611BE5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发包人供应材料和工程设备的，发包人应按照第48条规定向承包人提供材料和工程设备。</w:t>
      </w:r>
    </w:p>
    <w:p w14:paraId="18C04B61">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19.7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14DAC4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a:effectLst/>
                      </wps:spPr>
                      <wps:txbx>
                        <w:txbxContent>
                          <w:p w14:paraId="61F0025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5.4pt;width:72pt;z-index:251716608;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cPLa1AAAAAcBAAAPAAAAAAAAAAEAIAAAACIAAABk&#10;cnMvZG93bnJldi54bWxQSwECFAAUAAAACACHTuJA/5vB79EBAACQAwAADgAAAAAAAAABACAAAAAj&#10;AQAAZHJzL2Uyb0RvYy54bWxQSwUGAAAAAAYABgBZAQAAZgUAAAAA&#10;">
                <v:fill on="f" focussize="0,0"/>
                <v:stroke on="f"/>
                <v:imagedata o:title=""/>
                <o:lock v:ext="edit" aspectratio="f"/>
                <v:textbox>
                  <w:txbxContent>
                    <w:p w14:paraId="61F0025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发包人未能正确完成本合同约定的全部义务，导致费用的增加和（或）延误的工期，由发包人承担；给承包人造成损失的，发包人应予赔偿。</w:t>
      </w:r>
    </w:p>
    <w:p w14:paraId="191B8AA8">
      <w:pPr>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6D2CB518">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20  承包人</w:t>
      </w:r>
    </w:p>
    <w:p w14:paraId="3C018DBA">
      <w:pPr>
        <w:tabs>
          <w:tab w:val="left" w:pos="1620"/>
        </w:tabs>
        <w:spacing w:line="420" w:lineRule="exact"/>
        <w:ind w:left="-2" w:leftChars="-1" w:firstLine="1"/>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20.1                                                        </w:t>
      </w:r>
    </w:p>
    <w:p w14:paraId="36B3B78E">
      <w:pPr>
        <w:tabs>
          <w:tab w:val="left" w:pos="1620"/>
        </w:tabs>
        <w:spacing w:line="420" w:lineRule="exact"/>
        <w:ind w:left="1260" w:leftChars="6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a:effectLst/>
                      </wps:spPr>
                      <wps:txbx>
                        <w:txbxContent>
                          <w:p w14:paraId="11BFC74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vert="horz" wrap="square" anchor="t" anchorCtr="0" upright="1"/>
                    </wps:wsp>
                  </a:graphicData>
                </a:graphic>
              </wp:anchor>
            </w:drawing>
          </mc:Choice>
          <mc:Fallback>
            <w:pict>
              <v:shape id="_x0000_s1026" o:spid="_x0000_s1026" o:spt="202" type="#_x0000_t202" style="position:absolute;left:0pt;margin-left:-9pt;margin-top:0.35pt;height:33.85pt;width:72pt;z-index:251717632;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UWimTVAAAABwEAAA8AAAAAAAAAAQAgAAAAIgAAAGRy&#10;cy9kb3ducmV2LnhtbFBLAQIUABQAAAAIAIdO4kC3p0e3zwEAAJADAAAOAAAAAAAAAAEAIAAAACQB&#10;AABkcnMvZTJvRG9jLnhtbFBLBQYAAAAABgAGAFkBAABlBQAAAAA=&#10;">
                <v:fill on="f" focussize="0,0"/>
                <v:stroke on="f"/>
                <v:imagedata o:title=""/>
                <o:lock v:ext="edit" aspectratio="f"/>
                <v:textbox>
                  <w:txbxContent>
                    <w:p w14:paraId="11BFC74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承包人在履行合同期间应遵守法律，并保证发包人免于承担因承包人违反法律而引起的任何责任。遵守国家、省、市有关社会信用体系建设工作的法律、行政法规、 部门规章，严格执行信用承诺制度，违背信用承诺约定时，承担违约责任，并依法 承担相应法律责任。</w:t>
      </w:r>
    </w:p>
    <w:p w14:paraId="7AB6830E">
      <w:pPr>
        <w:widowControl/>
        <w:spacing w:before="0" w:beforeAutospacing="0" w:after="0" w:afterAutospacing="0" w:line="420" w:lineRule="exact"/>
        <w:ind w:left="1500" w:leftChars="600" w:hanging="240" w:hangingChars="10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承包人在本项目发包人的工程项目中存在下列行为的，将被拒绝参</w:t>
      </w:r>
    </w:p>
    <w:p w14:paraId="37DCF4F1">
      <w:pPr>
        <w:widowControl/>
        <w:spacing w:before="0" w:beforeAutospacing="0" w:after="0" w:afterAutospacing="0" w:line="420" w:lineRule="exact"/>
        <w:ind w:left="1500" w:leftChars="600" w:hanging="240" w:hangingChars="10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与发包人后续工程投标。拒绝投标时限由发包人（招标人）视严重</w:t>
      </w:r>
    </w:p>
    <w:p w14:paraId="0BEBE57A">
      <w:pPr>
        <w:widowControl/>
        <w:spacing w:before="0" w:beforeAutospacing="0" w:after="0" w:afterAutospacing="0" w:line="420" w:lineRule="exact"/>
        <w:ind w:left="1500" w:leftChars="600" w:hanging="240" w:hangingChars="10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程度确定，并在专用条款中约定。</w:t>
      </w:r>
    </w:p>
    <w:p w14:paraId="105A438B">
      <w:pPr>
        <w:widowControl/>
        <w:spacing w:before="0" w:beforeAutospacing="0" w:after="0" w:afterAutospacing="0" w:line="420" w:lineRule="exact"/>
        <w:ind w:firstLine="1440" w:firstLineChars="60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（1）将中标工程转包或者违法分包的；</w:t>
      </w:r>
    </w:p>
    <w:p w14:paraId="1110F65D">
      <w:pPr>
        <w:widowControl/>
        <w:spacing w:before="0" w:beforeAutospacing="0" w:after="0" w:afterAutospacing="0" w:line="420" w:lineRule="exact"/>
        <w:ind w:left="1676" w:leftChars="684" w:hanging="240" w:hangingChars="10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（2）在中标工程中不执行质量、安全生产相关规定的，造成质量或安全事故的；</w:t>
      </w:r>
    </w:p>
    <w:p w14:paraId="60FA9163">
      <w:pPr>
        <w:widowControl/>
        <w:spacing w:before="0" w:beforeAutospacing="0" w:after="0" w:afterAutospacing="0" w:line="420" w:lineRule="exact"/>
        <w:ind w:firstLine="1440" w:firstLineChars="60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（3）存在围标或串标情形的；</w:t>
      </w:r>
    </w:p>
    <w:p w14:paraId="1563A63B">
      <w:pPr>
        <w:widowControl/>
        <w:spacing w:before="0" w:beforeAutospacing="0" w:after="0" w:afterAutospacing="0" w:line="420" w:lineRule="exact"/>
        <w:ind w:firstLine="1440" w:firstLineChars="60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（4）存在弄虚作假骗取中标情形的；</w:t>
      </w:r>
    </w:p>
    <w:p w14:paraId="349884E1">
      <w:pPr>
        <w:widowControl/>
        <w:spacing w:before="0" w:beforeAutospacing="0" w:after="0" w:afterAutospacing="0" w:line="420" w:lineRule="exact"/>
        <w:ind w:firstLine="1440" w:firstLineChars="600"/>
        <w:jc w:val="left"/>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（5）存在因过错行为被生效法律文书认定承担违约或侵权责任的。</w:t>
      </w:r>
    </w:p>
    <w:p w14:paraId="01530716">
      <w:pPr>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20.2</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50D53289">
      <w:pPr>
        <w:tabs>
          <w:tab w:val="left" w:pos="1620"/>
        </w:tabs>
        <w:spacing w:line="420" w:lineRule="exact"/>
        <w:ind w:left="1619" w:leftChars="77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a:effectLst/>
                      </wps:spPr>
                      <wps:txbx>
                        <w:txbxContent>
                          <w:p w14:paraId="17FD25A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29.4pt;width:72pt;z-index:251718656;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p+2j1AAAAAcBAAAPAAAAAAAAAAEAIAAAACIAAABk&#10;cnMvZG93bnJldi54bWxQSwECFAAUAAAACACHTuJAy7B8ptEBAACQAwAADgAAAAAAAAABACAAAAAj&#10;AQAAZHJzL2Uyb0RvYy54bWxQSwUGAAAAAAYABgBZAQAAZgUAAAAA&#10;">
                <v:fill on="f" focussize="0,0"/>
                <v:stroke on="f"/>
                <v:imagedata o:title=""/>
                <o:lock v:ext="edit" aspectratio="f"/>
                <v:textbox>
                  <w:txbxContent>
                    <w:p w14:paraId="17FD25A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承包人应按照合同约定完成下列工作，包括但不限于：</w:t>
      </w:r>
    </w:p>
    <w:p w14:paraId="118AB19F">
      <w:pPr>
        <w:numPr>
          <w:ilvl w:val="0"/>
          <w:numId w:val="4"/>
        </w:numPr>
        <w:tabs>
          <w:tab w:val="left" w:pos="1980"/>
        </w:tabs>
        <w:spacing w:line="420" w:lineRule="exact"/>
        <w:ind w:firstLine="1440" w:firstLineChars="60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按照合同约定和监理工程师的指令实施、完成并保修合同工</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p>
    <w:p w14:paraId="046FFDAD">
      <w:pPr>
        <w:numPr>
          <w:ilvl w:val="0"/>
          <w:numId w:val="0"/>
        </w:numPr>
        <w:tabs>
          <w:tab w:val="left" w:pos="1980"/>
        </w:tabs>
        <w:spacing w:line="420" w:lineRule="exact"/>
        <w:ind w:firstLine="1680" w:firstLineChars="7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程；</w:t>
      </w:r>
    </w:p>
    <w:p w14:paraId="3E5405AD">
      <w:pPr>
        <w:numPr>
          <w:ilvl w:val="0"/>
          <w:numId w:val="0"/>
        </w:numPr>
        <w:tabs>
          <w:tab w:val="left" w:pos="1980"/>
        </w:tabs>
        <w:spacing w:line="420" w:lineRule="exact"/>
        <w:ind w:leftChars="77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按照合同约定和监理工程师的要求提交工程进度报告和进度计划；</w:t>
      </w:r>
    </w:p>
    <w:p w14:paraId="5C4A243B">
      <w:pPr>
        <w:numPr>
          <w:ilvl w:val="0"/>
          <w:numId w:val="0"/>
        </w:numPr>
        <w:tabs>
          <w:tab w:val="left" w:pos="1980"/>
        </w:tabs>
        <w:spacing w:line="420" w:lineRule="exact"/>
        <w:ind w:leftChars="77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按照合同约定和造价工程师的要求提交支付申请和工程款报告，包括绿色施工安全防护费、进度款、结算款和调整合同价款等；</w:t>
      </w:r>
    </w:p>
    <w:p w14:paraId="0CFE4A69">
      <w:pPr>
        <w:numPr>
          <w:ilvl w:val="0"/>
          <w:numId w:val="0"/>
        </w:numPr>
        <w:tabs>
          <w:tab w:val="left" w:pos="1980"/>
        </w:tabs>
        <w:spacing w:line="420" w:lineRule="exact"/>
        <w:ind w:leftChars="77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负责施工场地安全保卫工作，防止因工程施工造成的人身伤害和财产损失，提供和维修非夜间施工使用的照明、围栏设施等安全标志；</w:t>
      </w:r>
    </w:p>
    <w:p w14:paraId="5230CACD">
      <w:pPr>
        <w:numPr>
          <w:ilvl w:val="0"/>
          <w:numId w:val="0"/>
        </w:numPr>
        <w:tabs>
          <w:tab w:val="left" w:pos="1980"/>
        </w:tabs>
        <w:spacing w:line="420" w:lineRule="exact"/>
        <w:ind w:leftChars="77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按照专用条款约定的数量和要求，向发包人提供施工场地办公和生活的房屋及设施，并在施工现场保留本合同、约定的标准与规范、变更资料等各一份，供监理工程师、造价工程师需要时使用；</w:t>
      </w:r>
    </w:p>
    <w:p w14:paraId="2796DE6D">
      <w:pPr>
        <w:numPr>
          <w:ilvl w:val="0"/>
          <w:numId w:val="0"/>
        </w:numPr>
        <w:tabs>
          <w:tab w:val="left" w:pos="1980"/>
        </w:tabs>
        <w:spacing w:line="420" w:lineRule="exact"/>
        <w:ind w:leftChars="77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遵守政府部门有关施工场地交通、环境保护、施工噪声、绿色施工安全防护等的管理规定，办理有关手续，并以书面形式通知发包人，费用按政府有关部门相关文件规定由发（承）包人各自承担； </w:t>
      </w:r>
    </w:p>
    <w:p w14:paraId="3394BA06">
      <w:pPr>
        <w:numPr>
          <w:ilvl w:val="0"/>
          <w:numId w:val="0"/>
        </w:numPr>
        <w:tabs>
          <w:tab w:val="left" w:pos="1980"/>
          <w:tab w:val="left" w:pos="2520"/>
        </w:tabs>
        <w:spacing w:line="420" w:lineRule="exact"/>
        <w:ind w:leftChars="77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229E8DDC">
      <w:pPr>
        <w:numPr>
          <w:ilvl w:val="0"/>
          <w:numId w:val="0"/>
        </w:numPr>
        <w:tabs>
          <w:tab w:val="left" w:pos="1980"/>
          <w:tab w:val="left" w:pos="2520"/>
        </w:tabs>
        <w:spacing w:line="420" w:lineRule="exact"/>
        <w:ind w:leftChars="77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做好施工场地地下管线和邻近建筑物、构筑物（包括文物保护建筑）、古树名木的保护工作；</w:t>
      </w:r>
    </w:p>
    <w:p w14:paraId="48153A96">
      <w:pPr>
        <w:numPr>
          <w:ilvl w:val="0"/>
          <w:numId w:val="0"/>
        </w:numPr>
        <w:tabs>
          <w:tab w:val="left" w:pos="1980"/>
          <w:tab w:val="left" w:pos="2520"/>
        </w:tabs>
        <w:spacing w:line="420" w:lineRule="exact"/>
        <w:ind w:leftChars="77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遵守政府部门有关环境卫生的管理规定，保证施工场地的清洁和做好交工前施工现场的清理工作，并承担因自身责任造成的损失和罚款；</w:t>
      </w:r>
    </w:p>
    <w:p w14:paraId="1900AAD5">
      <w:pPr>
        <w:numPr>
          <w:ilvl w:val="0"/>
          <w:numId w:val="0"/>
        </w:numPr>
        <w:tabs>
          <w:tab w:val="left" w:pos="1440"/>
          <w:tab w:val="left" w:pos="1980"/>
        </w:tabs>
        <w:spacing w:line="420" w:lineRule="exact"/>
        <w:ind w:leftChars="77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工程完工后，应按照合同约定提交竣工验收申请报告和竣工结算文件。</w:t>
      </w:r>
    </w:p>
    <w:p w14:paraId="1E4380FD">
      <w:pPr>
        <w:tabs>
          <w:tab w:val="left" w:pos="4970"/>
        </w:tabs>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20.3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E13D1A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7BE4340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6.8pt;width:72pt;z-index:251719680;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sn6TLVAAAABwEAAA8AAAAAAAAAAQAgAAAAIgAAAGRy&#10;cy9kb3ducmV2LnhtbFBLAQIUABQAAAAIAIdO4kCYda3fzwEAAJADAAAOAAAAAAAAAAEAIAAAACQB&#10;AABkcnMvZTJvRG9jLnhtbFBLBQYAAAAABgAGAFkBAABlBQAAAAA=&#10;">
                <v:fill on="f" focussize="0,0"/>
                <v:stroke on="f"/>
                <v:imagedata o:title=""/>
                <o:lock v:ext="edit" aspectratio="f"/>
                <v:textbox>
                  <w:txbxContent>
                    <w:p w14:paraId="7BE4340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3942164C">
      <w:pPr>
        <w:tabs>
          <w:tab w:val="left" w:pos="4970"/>
        </w:tabs>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20.4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7C850C0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a:effectLst/>
                      </wps:spPr>
                      <wps:txbx>
                        <w:txbxContent>
                          <w:p w14:paraId="72E03FF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vert="horz" wrap="square" anchor="t" anchorCtr="0" upright="1"/>
                    </wps:wsp>
                  </a:graphicData>
                </a:graphic>
              </wp:anchor>
            </w:drawing>
          </mc:Choice>
          <mc:Fallback>
            <w:pict>
              <v:shape id="_x0000_s1026" o:spid="_x0000_s1026" o:spt="202" type="#_x0000_t202" style="position:absolute;left:0pt;margin-left:-9pt;margin-top:1.8pt;height:79.05pt;width:72pt;z-index:251720704;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q/gQnWAAAACQEAAA8AAAAAAAAAAQAgAAAAIgAA&#10;AGRycy9kb3ducmV2LnhtbFBLAQIUABQAAAAIAIdO4kBYKRuM0QEAAJEDAAAOAAAAAAAAAAEAIAAA&#10;ACUBAABkcnMvZTJvRG9jLnhtbFBLBQYAAAAABgAGAFkBAABoBQAAAAA=&#10;">
                <v:fill on="f" focussize="0,0"/>
                <v:stroke on="f"/>
                <v:imagedata o:title=""/>
                <o:lock v:ext="edit" aspectratio="f"/>
                <v:textbox>
                  <w:txbxContent>
                    <w:p w14:paraId="72E03FF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14:paraId="2F5C5227">
      <w:pPr>
        <w:tabs>
          <w:tab w:val="left" w:pos="4970"/>
        </w:tabs>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20.5 </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21947CB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a:effectLst/>
                      </wps:spPr>
                      <wps:txbx>
                        <w:txbxContent>
                          <w:p w14:paraId="0D5B7E68">
                            <w:pPr>
                              <w:spacing w:line="240" w:lineRule="exact"/>
                              <w:rPr>
                                <w:rFonts w:ascii="楷体_GB2312" w:hAnsi="宋体" w:eastAsia="楷体_GB2312" w:cs="Times New Roman"/>
                                <w:sz w:val="18"/>
                                <w:szCs w:val="18"/>
                              </w:rPr>
                            </w:pPr>
                            <w:r>
                              <w:rPr>
                                <w:rFonts w:hint="eastAsia" w:ascii="楷体_GB2312" w:hAnsi="Calibri" w:eastAsia="楷体_GB2312" w:cs="楷体_GB2312"/>
                                <w:b/>
                                <w:bCs/>
                                <w:color w:val="000000"/>
                                <w:sz w:val="18"/>
                                <w:szCs w:val="18"/>
                              </w:rPr>
                              <w:t>承包人为发包人的人员提供配合</w:t>
                            </w:r>
                          </w:p>
                        </w:txbxContent>
                      </wps:txbx>
                      <wps:bodyPr vert="horz" wrap="square" anchor="t" anchorCtr="0" upright="1"/>
                    </wps:wsp>
                  </a:graphicData>
                </a:graphic>
              </wp:anchor>
            </w:drawing>
          </mc:Choice>
          <mc:Fallback>
            <w:pict>
              <v:shape id="_x0000_s1026" o:spid="_x0000_s1026" o:spt="202" type="#_x0000_t202" style="position:absolute;left:0pt;margin-left:-9pt;margin-top:1.2pt;height:51.8pt;width:72pt;z-index:251721728;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lC3wPUAAAACQEAAA8AAAAAAAAAAQAgAAAAIgAAAGRy&#10;cy9kb3ducmV2LnhtbFBLAQIUABQAAAAIAIdO4kBMmt/L0AEAAJADAAAOAAAAAAAAAAEAIAAAACMB&#10;AABkcnMvZTJvRG9jLnhtbFBLBQYAAAAABgAGAFkBAABlBQAAAAA=&#10;">
                <v:fill on="f" focussize="0,0"/>
                <v:stroke on="f"/>
                <v:imagedata o:title=""/>
                <o:lock v:ext="edit" aspectratio="f"/>
                <v:textbox>
                  <w:txbxContent>
                    <w:p w14:paraId="0D5B7E68">
                      <w:pPr>
                        <w:spacing w:line="240" w:lineRule="exact"/>
                        <w:rPr>
                          <w:rFonts w:ascii="楷体_GB2312" w:hAnsi="宋体" w:eastAsia="楷体_GB2312" w:cs="Times New Roman"/>
                          <w:sz w:val="18"/>
                          <w:szCs w:val="18"/>
                        </w:rPr>
                      </w:pPr>
                      <w:r>
                        <w:rPr>
                          <w:rFonts w:hint="eastAsia" w:ascii="楷体_GB2312" w:hAnsi="Calibri" w:eastAsia="楷体_GB2312" w:cs="楷体_GB2312"/>
                          <w:b/>
                          <w:bCs/>
                          <w:color w:val="000000"/>
                          <w:sz w:val="18"/>
                          <w:szCs w:val="18"/>
                        </w:rPr>
                        <w:t>承包人为发包人的人员提供配合</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承包人应按照合同约定或监理工程师的指令，配合和协助下述人员在施工场地及其附近实施与合同工程有关的各项工作：</w:t>
      </w:r>
    </w:p>
    <w:p w14:paraId="753B277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（1）发包人的工作人员；</w:t>
      </w:r>
    </w:p>
    <w:p w14:paraId="4C96D52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（2）发包人的雇员；</w:t>
      </w:r>
    </w:p>
    <w:p w14:paraId="2F1A80C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（3）任何监督管理机构的执法人员。</w:t>
      </w:r>
    </w:p>
    <w:p w14:paraId="70B0132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此类指令若增加了承包人的工作或支出，包括使用了承包人的设备、临时工程或通行道路等，则视为工程变更，按照第72条规定调整合同价款。</w:t>
      </w:r>
    </w:p>
    <w:p w14:paraId="7700D1C7">
      <w:pPr>
        <w:tabs>
          <w:tab w:val="left" w:pos="4970"/>
        </w:tabs>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20.6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70EDE4E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07DC7123">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62.4pt;width:72pt;z-index:25172275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k2VHNUAAAAIAQAADwAAAAAAAAABACAAAAAiAAAA&#10;ZHJzL2Rvd25yZXYueG1sUEsBAhQAFAAAAAgAh07iQPfNmKnRAQAAkAMAAA4AAAAAAAAAAQAgAAAA&#10;JAEAAGRycy9lMm9Eb2MueG1sUEsFBgAAAAAGAAYAWQEAAGcFAAAAAA==&#10;">
                <v:fill on="f" focussize="0,0"/>
                <v:stroke on="f"/>
                <v:imagedata o:title=""/>
                <o:lock v:ext="edit" aspectratio="f"/>
                <v:textbox>
                  <w:txbxContent>
                    <w:p w14:paraId="07DC7123">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36AAC0F1">
      <w:pPr>
        <w:tabs>
          <w:tab w:val="left" w:pos="4970"/>
        </w:tabs>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20.7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30CC957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18E5C3C1">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9pt;width:72pt;z-index:251723776;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LuITtQAAAAHAQAADwAAAAAAAAABACAAAAAiAAAAZHJz&#10;L2Rvd25yZXYueG1sUEsBAhQAFAAAAAgAh07iQCqMSYjPAQAAkAMAAA4AAAAAAAAAAQAgAAAAIwEA&#10;AGRycy9lMm9Eb2MueG1sUEsFBgAAAAAGAAYAWQEAAGQFAAAAAA==&#10;">
                <v:fill on="f" focussize="0,0"/>
                <v:stroke on="f"/>
                <v:imagedata o:title=""/>
                <o:lock v:ext="edit" aspectratio="f"/>
                <v:textbox>
                  <w:txbxContent>
                    <w:p w14:paraId="18E5C3C1">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承包人未能正确完成本合同约定的全部义务，导致费用的增加和（或）延误的工期，由承包人承担；给发包人造成损失的，承包人应予赔偿。</w:t>
      </w:r>
    </w:p>
    <w:p w14:paraId="238977F6">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2F49183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21  现场管理人员任命和更换</w:t>
      </w:r>
    </w:p>
    <w:p w14:paraId="416DB9D6">
      <w:pPr>
        <w:widowControl w:val="0"/>
        <w:tabs>
          <w:tab w:val="left" w:pos="1320"/>
        </w:tabs>
        <w:adjustRightInd w:val="0"/>
        <w:snapToGrid w:val="0"/>
        <w:spacing w:line="420" w:lineRule="exact"/>
        <w:ind w:right="-24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21.1</w:t>
      </w:r>
    </w:p>
    <w:p w14:paraId="1FF13CB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a:effectLst/>
                      </wps:spPr>
                      <wps:txbx>
                        <w:txbxContent>
                          <w:p w14:paraId="5E22A4D2">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wps:txbx>
                      <wps:bodyPr vert="horz" wrap="square" anchor="t" anchorCtr="0" upright="1"/>
                    </wps:wsp>
                  </a:graphicData>
                </a:graphic>
              </wp:anchor>
            </w:drawing>
          </mc:Choice>
          <mc:Fallback>
            <w:pict>
              <v:shape id="_x0000_s1026" o:spid="_x0000_s1026" o:spt="202" type="#_x0000_t202" style="position:absolute;left:0pt;margin-left:-9pt;margin-top:0.6pt;height:47.45pt;width:72pt;z-index:251724800;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Tdb+dQAAAAIAQAADwAAAAAAAAABACAAAAAiAAAAZHJz&#10;L2Rvd25yZXYueG1sUEsBAhQAFAAAAAgAh07iQDkeaEHPAQAAkAMAAA4AAAAAAAAAAQAgAAAAIwEA&#10;AGRycy9lMm9Eb2MueG1sUEsFBgAAAAAGAAYAWQEAAGQFAAAAAA==&#10;">
                <v:fill on="f" focussize="0,0"/>
                <v:stroke on="f"/>
                <v:imagedata o:title=""/>
                <o:lock v:ext="edit" aspectratio="f"/>
                <v:textbox>
                  <w:txbxContent>
                    <w:p w14:paraId="5E22A4D2">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14:paraId="1C6F9D4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14:paraId="03D6BB42">
      <w:pPr>
        <w:widowControl w:val="0"/>
        <w:tabs>
          <w:tab w:val="left" w:pos="1320"/>
          <w:tab w:val="left" w:pos="1620"/>
        </w:tabs>
        <w:adjustRightInd w:val="0"/>
        <w:snapToGrid w:val="0"/>
        <w:spacing w:line="420" w:lineRule="exact"/>
        <w:ind w:right="-238"/>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21.2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20C061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wps:spPr>
                      <wps:txbx>
                        <w:txbxContent>
                          <w:p w14:paraId="77FC2740">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wps:txbx>
                      <wps:bodyPr vert="horz" wrap="square" anchor="t" anchorCtr="0" upright="1"/>
                    </wps:wsp>
                  </a:graphicData>
                </a:graphic>
              </wp:anchor>
            </w:drawing>
          </mc:Choice>
          <mc:Fallback>
            <w:pict>
              <v:shape id="_x0000_s1026" o:spid="_x0000_s1026" o:spt="202" type="#_x0000_t202" style="position:absolute;left:0pt;margin-left:-9pt;margin-top:6.65pt;height:36pt;width:72pt;z-index:251725824;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&#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EwJ+nWAAAACQEAAA8AAAAAAAAAAQAgAAAAIgAAAGRy&#10;cy9kb3ducmV2LnhtbFBLAQIUABQAAAAIAIdO4kAPqQjRzgEAAJADAAAOAAAAAAAAAAEAIAAAACUB&#10;AABkcnMvZTJvRG9jLnhtbFBLBQYAAAAABgAGAFkBAABlBQAAAAA=&#10;">
                <v:fill on="f" focussize="0,0"/>
                <v:stroke on="f"/>
                <v:imagedata o:title=""/>
                <o:lock v:ext="edit" aspectratio="f"/>
                <v:textbox>
                  <w:txbxContent>
                    <w:p w14:paraId="77FC2740">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3D93F09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14:paraId="3E8483AB">
      <w:pPr>
        <w:widowControl w:val="0"/>
        <w:tabs>
          <w:tab w:val="left" w:pos="1320"/>
        </w:tabs>
        <w:adjustRightInd w:val="0"/>
        <w:snapToGrid w:val="0"/>
        <w:spacing w:line="420" w:lineRule="exact"/>
        <w:ind w:right="-238"/>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21.3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0137E8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a:effectLst/>
                      </wps:spPr>
                      <wps:txbx>
                        <w:txbxContent>
                          <w:p w14:paraId="4BAACF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4241C0E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7E05957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wps:txbx>
                      <wps:bodyPr vert="horz" wrap="square" anchor="t" anchorCtr="0" upright="1"/>
                    </wps:wsp>
                  </a:graphicData>
                </a:graphic>
              </wp:anchor>
            </w:drawing>
          </mc:Choice>
          <mc:Fallback>
            <w:pict>
              <v:shape id="_x0000_s1026" o:spid="_x0000_s1026" o:spt="202" type="#_x0000_t202" style="position:absolute;left:0pt;margin-left:-6.6pt;margin-top:3.65pt;height:56.75pt;width:97pt;z-index:251726848;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QVlyPVAAAACQEAAA8AAAAAAAAAAQAgAAAAIgAAAGRy&#10;cy9kb3ducmV2LnhtbFBLAQIUABQAAAAIAIdO4kAH89jtzwEAAJEDAAAOAAAAAAAAAAEAIAAAACQB&#10;AABkcnMvZTJvRG9jLnhtbFBLBQYAAAAABgAGAFkBAABlBQAAAAA=&#10;">
                <v:fill on="f" focussize="0,0"/>
                <v:stroke on="f"/>
                <v:imagedata o:title=""/>
                <o:lock v:ext="edit" aspectratio="f"/>
                <v:textbox>
                  <w:txbxContent>
                    <w:p w14:paraId="4BAACF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4241C0E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7E05957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合同约定或依法应由监理工程师、造价工程师行使的职权外，监理工程师、造价工程师可将其职权以书面形式授予其任命的监理工程师、造价工程师代表，亦可将其授权撤回。任何此类任命或撤回，均应至少提前7天以书面形式通知承包人。未将有关文件送交承包人之前，任何此类任命或撤回均为无效。</w:t>
      </w:r>
    </w:p>
    <w:p w14:paraId="20F283F1">
      <w:pPr>
        <w:widowControl w:val="0"/>
        <w:tabs>
          <w:tab w:val="left" w:pos="1320"/>
        </w:tabs>
        <w:adjustRightInd w:val="0"/>
        <w:snapToGrid w:val="0"/>
        <w:spacing w:line="420" w:lineRule="exact"/>
        <w:ind w:right="-238"/>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21.4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18E6D7F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a:effectLst/>
                      </wps:spPr>
                      <wps:txbx>
                        <w:txbxContent>
                          <w:p w14:paraId="54BFFED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vert="horz" wrap="square" anchor="t" anchorCtr="0" upright="1"/>
                    </wps:wsp>
                  </a:graphicData>
                </a:graphic>
              </wp:anchor>
            </w:drawing>
          </mc:Choice>
          <mc:Fallback>
            <w:pict>
              <v:shape id="_x0000_s1026" o:spid="_x0000_s1026" o:spt="202" type="#_x0000_t202" style="position:absolute;left:0pt;margin-left:-9pt;margin-top:2.8pt;height:44.05pt;width:72pt;z-index:251727872;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eIOGdYAAAAIAQAADwAAAAAAAAABACAAAAAiAAAA&#10;ZHJzL2Rvd25yZXYueG1sUEsBAhQAFAAAAAgAh07iQP1ee6HQAQAAkAMAAA4AAAAAAAAAAQAgAAAA&#10;JQEAAGRycy9lMm9Eb2MueG1sUEsFBgAAAAAGAAYAWQEAAGcFAAAAAA==&#10;">
                <v:fill on="f" focussize="0,0"/>
                <v:stroke on="f"/>
                <v:imagedata o:title=""/>
                <o:lock v:ext="edit" aspectratio="f"/>
                <v:textbox>
                  <w:txbxContent>
                    <w:p w14:paraId="54BFFED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合同约定或依法应由承包人代表行使的职权外，承包人代表可将其职权以书面形式授予其任命的合格人选，亦可将其授权撤回。任何此类任命或撤回，均应至少提前7天以书面形式通知发包人和监理工程师、造价工程师。未将有关文件提交发包人和监理工程师、造价工程师之前，任何此类任命或撤回均为无效。</w:t>
      </w:r>
    </w:p>
    <w:p w14:paraId="5C184BC1">
      <w:pPr>
        <w:spacing w:line="420" w:lineRule="exact"/>
        <w:outlineLvl w:val="9"/>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22  发包人代表</w:t>
      </w:r>
    </w:p>
    <w:p w14:paraId="5956DE31">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22.1                           </w:t>
      </w:r>
    </w:p>
    <w:p w14:paraId="45A323C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a:effectLst/>
                      </wps:spPr>
                      <wps:txbx>
                        <w:txbxContent>
                          <w:p w14:paraId="1419B303">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发包人对其代表授权</w:t>
                            </w:r>
                          </w:p>
                        </w:txbxContent>
                      </wps:txbx>
                      <wps:bodyPr vert="horz" wrap="square" anchor="t" anchorCtr="0" upright="1"/>
                    </wps:wsp>
                  </a:graphicData>
                </a:graphic>
              </wp:anchor>
            </w:drawing>
          </mc:Choice>
          <mc:Fallback>
            <w:pict>
              <v:shape id="_x0000_s1026" o:spid="_x0000_s1026" o:spt="202" type="#_x0000_t202" style="position:absolute;left:0pt;margin-left:-9pt;margin-top:4.2pt;height:34.9pt;width:72pt;z-index:251728896;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Cu6wF1QAAAAgBAAAPAAAAAAAAAAEAIAAAACIAAABk&#10;cnMvZG93bnJldi54bWxQSwECFAAUAAAACACHTuJAUXwM9dABAACQAwAADgAAAAAAAAABACAAAAAk&#10;AQAAZHJzL2Uyb0RvYy54bWxQSwUGAAAAAAYABgBZAQAAZgUAAAAA&#10;">
                <v:fill on="f" focussize="0,0"/>
                <v:stroke on="f"/>
                <v:imagedata o:title=""/>
                <o:lock v:ext="edit" aspectratio="f"/>
                <v:textbox>
                  <w:txbxContent>
                    <w:p w14:paraId="1419B303">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发包人对其代表授权</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1139CF77">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22.2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5088E44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3DFA78CE">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发包人代表职权</w:t>
                            </w:r>
                          </w:p>
                        </w:txbxContent>
                      </wps:txbx>
                      <wps:bodyPr vert="horz" wrap="square" anchor="t" anchorCtr="0" upright="1"/>
                    </wps:wsp>
                  </a:graphicData>
                </a:graphic>
              </wp:anchor>
            </w:drawing>
          </mc:Choice>
          <mc:Fallback>
            <w:pict>
              <v:shape id="_x0000_s1026" o:spid="_x0000_s1026" o:spt="202" type="#_x0000_t202" style="position:absolute;left:0pt;margin-left:-9pt;margin-top:6pt;height:31.2pt;width:72pt;z-index:251729920;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zY3tu1gAAAAkBAAAPAAAAAAAAAAEAIAAAACIAAABk&#10;cnMvZG93bnJldi54bWxQSwECFAAUAAAACACHTuJAwJLZOs8BAACQAwAADgAAAAAAAAABACAAAAAl&#10;AQAAZHJzL2Uyb0RvYy54bWxQSwUGAAAAAAYABgBZAQAAZgUAAAAA&#10;">
                <v:fill on="f" focussize="0,0"/>
                <v:stroke on="f"/>
                <v:imagedata o:title=""/>
                <o:lock v:ext="edit" aspectratio="f"/>
                <v:textbox>
                  <w:txbxContent>
                    <w:p w14:paraId="3DFA78CE">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发包人代表职权</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发包人代表应代表发包人履行合同规定的职责、行使合同明文规定和必然隐含的权力，对发包人负责。发包人代表在发包人授予职权范围内工作，发包人应予认可。</w:t>
      </w:r>
    </w:p>
    <w:p w14:paraId="4E9F9FF6">
      <w:pPr>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30EB4AA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23  监理工程师</w:t>
      </w:r>
    </w:p>
    <w:p w14:paraId="295BFEF0">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23.1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3E17BD1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a:effectLst/>
                      </wps:spPr>
                      <wps:txbx>
                        <w:txbxContent>
                          <w:p w14:paraId="57663D00">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发包人对监理工程师授权</w:t>
                            </w:r>
                          </w:p>
                        </w:txbxContent>
                      </wps:txbx>
                      <wps:bodyPr vert="horz" wrap="square" anchor="t" anchorCtr="0" upright="1"/>
                    </wps:wsp>
                  </a:graphicData>
                </a:graphic>
              </wp:anchor>
            </w:drawing>
          </mc:Choice>
          <mc:Fallback>
            <w:pict>
              <v:shape id="_x0000_s1026" o:spid="_x0000_s1026" o:spt="202" type="#_x0000_t202" style="position:absolute;left:0pt;margin-left:-9pt;margin-top:4.2pt;height:30.7pt;width:72pt;z-index:251730944;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&#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uGASC1QAAAAgBAAAPAAAAAAAAAAEAIAAAACIAAABk&#10;cnMvZG93bnJldi54bWxQSwECFAAUAAAACACHTuJA8bZYStABAACQAwAADgAAAAAAAAABACAAAAAk&#10;AQAAZHJzL2Uyb0RvYy54bWxQSwUGAAAAAAYABgBZAQAAZgUAAAAA&#10;">
                <v:fill on="f" focussize="0,0"/>
                <v:stroke on="f"/>
                <v:imagedata o:title=""/>
                <o:lock v:ext="edit" aspectratio="f"/>
                <v:textbox>
                  <w:txbxContent>
                    <w:p w14:paraId="57663D00">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发包人对监理工程师授权</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发包人应在专用条款中写明负责合同工程监理专业技术的监理人名称和监理工程师具体人选，并在开工前将监理工程师任命书以书面形式通知承包人，授予其代表发包人履行合同规定职责所需的权力。</w:t>
      </w:r>
    </w:p>
    <w:p w14:paraId="07F57375">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23.2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74BFA8F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a:effectLst/>
                      </wps:spPr>
                      <wps:txbx>
                        <w:txbxContent>
                          <w:p w14:paraId="1C97C6F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vert="horz" wrap="square" anchor="t" anchorCtr="0" upright="1"/>
                    </wps:wsp>
                  </a:graphicData>
                </a:graphic>
              </wp:anchor>
            </w:drawing>
          </mc:Choice>
          <mc:Fallback>
            <w:pict>
              <v:shape id="_x0000_s1026" o:spid="_x0000_s1026" o:spt="202" type="#_x0000_t202" style="position:absolute;left:0pt;margin-left:-9pt;margin-top:3pt;height:38.1pt;width:72pt;z-index:251731968;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&#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7H5hO1QAAAAgBAAAPAAAAAAAAAAEAIAAAACIAAABk&#10;cnMvZG93bnJldi54bWxQSwECFAAUAAAACACHTuJAh8dymtABAACQAwAADgAAAAAAAAABACAAAAAk&#10;AQAAZHJzL2Uyb0RvYy54bWxQSwUGAAAAAAYABgBZAQAAZgUAAAAA&#10;">
                <v:fill on="f" focussize="0,0"/>
                <v:stroke on="f"/>
                <v:imagedata o:title=""/>
                <o:lock v:ext="edit" aspectratio="f"/>
                <v:textbox>
                  <w:txbxContent>
                    <w:p w14:paraId="1C97C6F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549950B5">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23.3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12EBF2E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a:effectLst/>
                      </wps:spPr>
                      <wps:txbx>
                        <w:txbxContent>
                          <w:p w14:paraId="2E33AC8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5.4pt;height:32.3pt;width:72pt;z-index:251732992;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&#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kwS2h1QAAAAkBAAAPAAAAAAAAAAEAIAAAACIAAABk&#10;cnMvZG93bnJldi54bWxQSwECFAAUAAAACACHTuJAPZRGLNABAACQAwAADgAAAAAAAAABACAAAAAk&#10;AQAAZHJzL2Uyb0RvYy54bWxQSwUGAAAAAAYABgBZAQAAZgUAAAAA&#10;">
                <v:fill on="f" focussize="0,0"/>
                <v:stroke on="f"/>
                <v:imagedata o:title=""/>
                <o:lock v:ext="edit" aspectratio="f"/>
                <v:textbox>
                  <w:txbxContent>
                    <w:p w14:paraId="2E33AC8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除属于第86条规定的争议外，监理工程师在职权范围内的工作，发包人应予认可，但下列事件应事先取得发包人的专项批准：</w:t>
      </w:r>
    </w:p>
    <w:p w14:paraId="74215E8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（1）根据第5.2款规定批准承包人提供的配合施工设计图纸；</w:t>
      </w:r>
    </w:p>
    <w:p w14:paraId="6E6E6F2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（2）根据第7.2款规定同意承包人分包工程；</w:t>
      </w:r>
    </w:p>
    <w:p w14:paraId="11AD048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（3）根据第18.1款规定批准承包人将材料和工程设备、施工设备移出施工场地；</w:t>
      </w:r>
    </w:p>
    <w:p w14:paraId="75BD604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（4）根据第33条规定批准承包人的施工组织设计和工程进度计划；</w:t>
      </w:r>
    </w:p>
    <w:p w14:paraId="70F165D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（5）根据第34.2款规定发出的工程开工令；</w:t>
      </w:r>
    </w:p>
    <w:p w14:paraId="7DC8A30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（6）根据第37.2款规定发出加快进度的变更指令；</w:t>
      </w:r>
    </w:p>
    <w:p w14:paraId="357106F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（7）根据第49.6款规定使用替换材料；</w:t>
      </w:r>
    </w:p>
    <w:p w14:paraId="5EBF171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（8）根据第63条规定发出使用暂列金额的工作指令；</w:t>
      </w:r>
    </w:p>
    <w:p w14:paraId="7221B2F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（9）根据第64条规定发出使用计日工的工作指令；</w:t>
      </w:r>
    </w:p>
    <w:p w14:paraId="6A33392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（10）根据第56条规定指令或批准的工程变更；</w:t>
      </w:r>
    </w:p>
    <w:p w14:paraId="0678342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（11）根据第75条规定指令或确认的现场签证；</w:t>
      </w:r>
    </w:p>
    <w:p w14:paraId="6166845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（12）专用条款约定需要发包人批准的其他事项。</w:t>
      </w:r>
    </w:p>
    <w:p w14:paraId="4B72BB2A">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wps:spPr>
                      <wps:txbx>
                        <w:txbxContent>
                          <w:p w14:paraId="646C6D9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737C7085">
                            <w:pPr>
                              <w:spacing w:line="240" w:lineRule="exact"/>
                              <w:rPr>
                                <w:rFonts w:ascii="宋体" w:hAnsi="Times New Roman" w:eastAsia="宋体" w:cs="Times New Roman"/>
                                <w:sz w:val="18"/>
                                <w:szCs w:val="18"/>
                              </w:rPr>
                            </w:pPr>
                            <w:r>
                              <w:rPr>
                                <w:rFonts w:hint="eastAsia" w:ascii="楷体_GB2312" w:hAnsi="宋体" w:eastAsia="楷体_GB2312" w:cs="楷体_GB2312"/>
                                <w:b/>
                                <w:bCs/>
                                <w:color w:val="000000"/>
                                <w:sz w:val="18"/>
                                <w:szCs w:val="18"/>
                              </w:rPr>
                              <w:t>令</w:t>
                            </w:r>
                          </w:p>
                        </w:txbxContent>
                      </wps:txbx>
                      <wps:bodyPr vert="horz" wrap="square" anchor="t" anchorCtr="0" upright="1"/>
                    </wps:wsp>
                  </a:graphicData>
                </a:graphic>
              </wp:anchor>
            </w:drawing>
          </mc:Choice>
          <mc:Fallback>
            <w:pict>
              <v:shape id="_x0000_s1026" o:spid="_x0000_s1026" o:spt="202" type="#_x0000_t202" style="position:absolute;left:0pt;margin-left:-9pt;margin-top:21.9pt;height:36pt;width:81pt;z-index:251734016;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ZhKhdcAAAAKAQAADwAAAAAAAAABACAAAAAiAAAA&#10;ZHJzL2Rvd25yZXYueG1sUEsBAhQAFAAAAAgAh07iQBf7uojPAQAAkQMAAA4AAAAAAAAAAQAgAAAA&#10;JgEAAGRycy9lMm9Eb2MueG1sUEsFBgAAAAAGAAYAWQEAAGcFAAAAAA==&#10;">
                <v:fill on="f" focussize="0,0"/>
                <v:stroke on="f"/>
                <v:imagedata o:title=""/>
                <o:lock v:ext="edit" aspectratio="f"/>
                <v:textbox>
                  <w:txbxContent>
                    <w:p w14:paraId="646C6D9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737C7085">
                      <w:pPr>
                        <w:spacing w:line="240" w:lineRule="exact"/>
                        <w:rPr>
                          <w:rFonts w:ascii="宋体" w:hAnsi="Times New Roman" w:eastAsia="宋体" w:cs="Times New Roman"/>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23.4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51F9B3E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监理工程师应按照合同约定时间向承包人提供实施合同工程的进度、质量和安全工作所需的批准、确认和通知等指令。</w:t>
      </w:r>
    </w:p>
    <w:p w14:paraId="65DE60E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14:paraId="0DFFC5BB">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23.5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4838A76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14:paraId="64F67CC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vert="horz" wrap="square" anchor="t" anchorCtr="0" upright="1"/>
                    </wps:wsp>
                  </a:graphicData>
                </a:graphic>
              </wp:anchor>
            </w:drawing>
          </mc:Choice>
          <mc:Fallback>
            <w:pict>
              <v:shape id="_x0000_s1026" o:spid="_x0000_s1026" o:spt="202" type="#_x0000_t202" style="position:absolute;left:0pt;margin-left:-9pt;margin-top:3.9pt;height:33.9pt;width:72pt;z-index:251735040;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VnfH61AAAAAgBAAAPAAAAAAAAAAEAIAAAACIAAABk&#10;cnMvZG93bnJldi54bWxQSwECFAAUAAAACACHTuJAStQvodEBAACQAwAADgAAAAAAAAABACAAAAAj&#10;AQAAZHJzL2Uyb0RvYy54bWxQSwUGAAAAAAYABgBZAQAAZgUAAAAA&#10;">
                <v:fill on="f" focussize="0,0"/>
                <v:stroke on="f"/>
                <v:imagedata o:title=""/>
                <o:lock v:ext="edit" aspectratio="f"/>
                <v:textbox>
                  <w:txbxContent>
                    <w:p w14:paraId="64F67CC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14:paraId="5376211B">
      <w:pPr>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23.6</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69816A6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a:effectLst/>
                      </wps:spPr>
                      <wps:txbx>
                        <w:txbxContent>
                          <w:p w14:paraId="29C1831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vert="horz" wrap="square" anchor="t" anchorCtr="0" upright="1"/>
                    </wps:wsp>
                  </a:graphicData>
                </a:graphic>
              </wp:anchor>
            </w:drawing>
          </mc:Choice>
          <mc:Fallback>
            <w:pict>
              <v:shape id="_x0000_s1026" o:spid="_x0000_s1026" o:spt="202" type="#_x0000_t202" style="position:absolute;left:0pt;margin-left:-9pt;margin-top:1.7pt;height:34.9pt;width:72pt;z-index:251736064;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LIZsdYAAAAIAQAADwAAAAAAAAABACAAAAAiAAAA&#10;ZHJzL2Rvd25yZXYueG1sUEsBAhQAFAAAAAgAh07iQPGbkbbQAQAAkAMAAA4AAAAAAAAAAQAgAAAA&#10;JQEAAGRycy9lMm9Eb2MueG1sUEsFBgAAAAAGAAYAWQEAAGcFAAAAAA==&#10;">
                <v:fill on="f" focussize="0,0"/>
                <v:stroke on="f"/>
                <v:imagedata o:title=""/>
                <o:lock v:ext="edit" aspectratio="f"/>
                <v:textbox>
                  <w:txbxContent>
                    <w:p w14:paraId="29C1831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21.3款规定，任何此类任命或撤回均为无效。</w:t>
      </w:r>
    </w:p>
    <w:p w14:paraId="7D508440">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23.7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691C1B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a:effectLst/>
                      </wps:spPr>
                      <wps:txbx>
                        <w:txbxContent>
                          <w:p w14:paraId="7DCD72C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2.3pt;height:48.1pt;width:72pt;z-index:251737088;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ocz9YAAAAJAQAADwAAAAAAAAABACAAAAAiAAAA&#10;ZHJzL2Rvd25yZXYueG1sUEsBAhQAFAAAAAgAh07iQH6nkTbQAQAAkAMAAA4AAAAAAAAAAQAgAAAA&#10;JQEAAGRycy9lMm9Eb2MueG1sUEsFBgAAAAAGAAYAWQEAAGcFAAAAAA==&#10;">
                <v:fill on="f" focussize="0,0"/>
                <v:stroke on="f"/>
                <v:imagedata o:title=""/>
                <o:lock v:ext="edit" aspectratio="f"/>
                <v:textbox>
                  <w:txbxContent>
                    <w:p w14:paraId="7DCD72C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监理工程师（含其代表）未能正确完成本合同约定的全部义务，或工作出现失误，导致费用的增加和（或）延误的工期，由发包人承担；给承包人造成损失的，发包人应予赔偿。</w:t>
      </w:r>
    </w:p>
    <w:p w14:paraId="30EB61D6">
      <w:pPr>
        <w:tabs>
          <w:tab w:val="left" w:pos="1260"/>
        </w:tabs>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5A267EBB">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24  造价工程师</w:t>
      </w:r>
    </w:p>
    <w:p w14:paraId="1DA777F6">
      <w:pPr>
        <w:tabs>
          <w:tab w:val="left" w:pos="1260"/>
        </w:tabs>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24.1                                                   </w:t>
      </w:r>
    </w:p>
    <w:p w14:paraId="1296A46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a:effectLst/>
                      </wps:spPr>
                      <wps:txbx>
                        <w:txbxContent>
                          <w:p w14:paraId="5CEB0CB5">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发包人对造价工程师授权</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35.4pt;width:72pt;z-index:251738112;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o5MUNMAAAAIAQAADwAAAAAAAAABACAAAAAiAAAAZHJz&#10;L2Rvd25yZXYueG1sUEsBAhQAFAAAAAgAh07iQKzLA7XQAQAAkAMAAA4AAAAAAAAAAQAgAAAAIgEA&#10;AGRycy9lMm9Eb2MueG1sUEsFBgAAAAAGAAYAWQEAAGQFAAAAAA==&#10;">
                <v:fill on="f" focussize="0,0"/>
                <v:stroke on="f"/>
                <v:imagedata o:title=""/>
                <o:lock v:ext="edit" aspectratio="f"/>
                <v:textbox>
                  <w:txbxContent>
                    <w:p w14:paraId="5CEB0CB5">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发包人对造价工程师授权</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14:paraId="3012493E">
      <w:pPr>
        <w:tabs>
          <w:tab w:val="left" w:pos="1260"/>
        </w:tabs>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24.2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4D6FBFA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a:effectLst/>
                      </wps:spPr>
                      <wps:txbx>
                        <w:txbxContent>
                          <w:p w14:paraId="177E777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vert="horz" wrap="square" anchor="t" anchorCtr="0" upright="1"/>
                    </wps:wsp>
                  </a:graphicData>
                </a:graphic>
              </wp:anchor>
            </w:drawing>
          </mc:Choice>
          <mc:Fallback>
            <w:pict>
              <v:shape id="_x0000_s1026" o:spid="_x0000_s1026" o:spt="202" type="#_x0000_t202" style="position:absolute;left:0pt;margin-left:-9pt;margin-top:-0.1pt;height:33.7pt;width:72pt;z-index:251739136;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coraj1QAAAAgBAAAPAAAAAAAAAAEAIAAAACIAAABk&#10;cnMvZG93bnJldi54bWxQSwECFAAUAAAACACHTuJAKHbPCNABAACQAwAADgAAAAAAAAABACAAAAAk&#10;AQAAZHJzL2Uyb0RvYy54bWxQSwUGAAAAAAYABgBZAQAAZgUAAAAA&#10;">
                <v:fill on="f" focussize="0,0"/>
                <v:stroke on="f"/>
                <v:imagedata o:title=""/>
                <o:lock v:ext="edit" aspectratio="f"/>
                <v:textbox>
                  <w:txbxContent>
                    <w:p w14:paraId="177E777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11D99E38">
      <w:pPr>
        <w:tabs>
          <w:tab w:val="left" w:pos="1260"/>
        </w:tabs>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24.3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ADDDAB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a:effectLst/>
                      </wps:spPr>
                      <wps:txbx>
                        <w:txbxContent>
                          <w:p w14:paraId="2330FDE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0.2pt;width:72pt;z-index:251740160;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7u8udtQAAAAHAQAADwAAAAAAAAABACAAAAAiAAAAZHJz&#10;L2Rvd25yZXYueG1sUEsBAhQAFAAAAAgAh07iQDaKsHLPAQAAkAMAAA4AAAAAAAAAAQAgAAAAIwEA&#10;AGRycy9lMm9Eb2MueG1sUEsFBgAAAAAGAAYAWQEAAGQFAAAAAA==&#10;">
                <v:fill on="f" focussize="0,0"/>
                <v:stroke on="f"/>
                <v:imagedata o:title=""/>
                <o:lock v:ext="edit" aspectratio="f"/>
                <v:textbox>
                  <w:txbxContent>
                    <w:p w14:paraId="2330FDE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除属于第86条规定的争议外，造价工程师在职权范围内的工作，发包人应予认可，但下列事件应事先取得发包人的专项批准：</w:t>
      </w:r>
    </w:p>
    <w:p w14:paraId="39746EF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（1）根据第63条规定使用暂列金额；</w:t>
      </w:r>
    </w:p>
    <w:p w14:paraId="0A4BE60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（2）根据第64条规定使用计日工；</w:t>
      </w:r>
    </w:p>
    <w:p w14:paraId="72858DC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（3）根据第65条规定使用暂估价；</w:t>
      </w:r>
    </w:p>
    <w:p w14:paraId="4C7E608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（4）根据第66条确定的提前竣工奖与误期赔偿费；</w:t>
      </w:r>
    </w:p>
    <w:p w14:paraId="699EA36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（5）根据第67条确定的工程优质费；</w:t>
      </w:r>
    </w:p>
    <w:p w14:paraId="7580B89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（6）根据第68.2款规定事件调整的合同价款；</w:t>
      </w:r>
    </w:p>
    <w:p w14:paraId="25AFDC3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（7）专用条款约定需要发包人批准的其他事项。</w:t>
      </w:r>
    </w:p>
    <w:p w14:paraId="3DBD69FD">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24.4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2EF6A3E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a:effectLst/>
                      </wps:spPr>
                      <wps:txbx>
                        <w:txbxContent>
                          <w:p w14:paraId="3811CFF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32E4ADA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4.2pt;width:86pt;z-index:251741184;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&#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vGN8nVAAAABwEAAA8AAAAAAAAAAQAgAAAAIgAAAGRy&#10;cy9kb3ducmV2LnhtbFBLAQIUABQAAAAIAIdO4kBvzfKJzwEAAJEDAAAOAAAAAAAAAAEAIAAAACQB&#10;AABkcnMvZTJvRG9jLnhtbFBLBQYAAAAABgAGAFkBAABlBQAAAAA=&#10;">
                <v:fill on="f" focussize="0,0"/>
                <v:stroke on="f"/>
                <v:imagedata o:title=""/>
                <o:lock v:ext="edit" aspectratio="f"/>
                <v:textbox>
                  <w:txbxContent>
                    <w:p w14:paraId="3811CFF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32E4ADA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造价工程师应按照合同约定时间向承包人提供实施合同工程的工程造价工作所需的核实、调整和通知等指令。</w:t>
      </w:r>
    </w:p>
    <w:p w14:paraId="2AF56E7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14:paraId="1C1BEF7E">
      <w:pPr>
        <w:tabs>
          <w:tab w:val="left" w:pos="1260"/>
        </w:tabs>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24.5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22487C7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a:effectLst/>
                      </wps:spPr>
                      <wps:txbx>
                        <w:txbxContent>
                          <w:p w14:paraId="505EF9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vert="horz" wrap="square" anchor="t" anchorCtr="0" upright="1"/>
                    </wps:wsp>
                  </a:graphicData>
                </a:graphic>
              </wp:anchor>
            </w:drawing>
          </mc:Choice>
          <mc:Fallback>
            <w:pict>
              <v:shape id="_x0000_s1026" o:spid="_x0000_s1026" o:spt="202" type="#_x0000_t202" style="position:absolute;left:0pt;margin-left:-9pt;margin-top:1.2pt;height:35.3pt;width:72pt;z-index:251742208;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qjXUXVAAAACAEAAA8AAAAAAAAAAQAgAAAAIgAAAGRy&#10;cy9kb3ducmV2LnhtbFBLAQIUABQAAAAIAIdO4kDXEpvyzwEAAJADAAAOAAAAAAAAAAEAIAAAACQB&#10;AABkcnMvZTJvRG9jLnhtbFBLBQYAAAAABgAGAFkBAABlBQAAAAA=&#10;">
                <v:fill on="f" focussize="0,0"/>
                <v:stroke on="f"/>
                <v:imagedata o:title=""/>
                <o:lock v:ext="edit" aspectratio="f"/>
                <v:textbox>
                  <w:txbxContent>
                    <w:p w14:paraId="505EF9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14:paraId="1AEF115E">
      <w:pPr>
        <w:tabs>
          <w:tab w:val="left" w:pos="1260"/>
        </w:tabs>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24.6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3A9B1B3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50F52A5C">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造价工程师职权委托</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yfpMtUAAAAHAQAADwAAAAAAAAABACAAAAAiAAAA&#10;ZHJzL2Rvd25yZXYueG1sUEsBAhQAFAAAAAgAh07iQF/wFy7RAQAAkAMAAA4AAAAAAAAAAQAgAAAA&#10;JAEAAGRycy9lMm9Eb2MueG1sUEsFBgAAAAAGAAYAWQEAAGcFAAAAAA==&#10;">
                <v:fill on="f" focussize="0,0"/>
                <v:stroke on="f"/>
                <v:imagedata o:title=""/>
                <o:lock v:ext="edit" aspectratio="f"/>
                <v:textbox>
                  <w:txbxContent>
                    <w:p w14:paraId="50F52A5C">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21.3款规定，任何此类任命或撤回均为无效。</w:t>
      </w:r>
    </w:p>
    <w:p w14:paraId="777270DB">
      <w:pPr>
        <w:tabs>
          <w:tab w:val="left" w:pos="1260"/>
        </w:tabs>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24.7</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5B64C0B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294600D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6.8pt;width:72pt;z-index:2517442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yfpMtUAAAAHAQAADwAAAAAAAAABACAAAAAiAAAA&#10;ZHJzL2Rvd25yZXYueG1sUEsBAhQAFAAAAAgAh07iQAGLa1jRAQAAkAMAAA4AAAAAAAAAAQAgAAAA&#10;JAEAAGRycy9lMm9Eb2MueG1sUEsFBgAAAAAGAAYAWQEAAGcFAAAAAA==&#10;">
                <v:fill on="f" focussize="0,0"/>
                <v:stroke on="f"/>
                <v:imagedata o:title=""/>
                <o:lock v:ext="edit" aspectratio="f"/>
                <v:textbox>
                  <w:txbxContent>
                    <w:p w14:paraId="294600D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造价工程师（含其代表）未能正确完成本合同约定的全部义务，或工作出现失误，导致费用的增加和（或）延误的工期，由发包人承担；给承包人造成损失的，发包人应予赔偿。</w:t>
      </w:r>
    </w:p>
    <w:p w14:paraId="58FFC9BE">
      <w:pPr>
        <w:tabs>
          <w:tab w:val="left" w:pos="540"/>
          <w:tab w:val="left" w:pos="720"/>
        </w:tabs>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6D65B1F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25  承包人代表</w:t>
      </w:r>
    </w:p>
    <w:p w14:paraId="4477D130">
      <w:pPr>
        <w:tabs>
          <w:tab w:val="left" w:pos="540"/>
          <w:tab w:val="left" w:pos="720"/>
        </w:tabs>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25.1                                 </w:t>
      </w:r>
    </w:p>
    <w:p w14:paraId="30998C0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a:effectLst/>
                      </wps:spPr>
                      <wps:txbx>
                        <w:txbxContent>
                          <w:p w14:paraId="1E285FA4">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承包人对其代表授权</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3pt;width:72pt;z-index:251745280;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XOqyNQAAAAHAQAADwAAAAAAAAABACAAAAAiAAAAZHJz&#10;L2Rvd25yZXYueG1sUEsBAhQAFAAAAAgAh07iQAYsf6PPAQAAkAMAAA4AAAAAAAAAAQAgAAAAIwEA&#10;AGRycy9lMm9Eb2MueG1sUEsFBgAAAAAGAAYAWQEAAGQFAAAAAA==&#10;">
                <v:fill on="f" focussize="0,0"/>
                <v:stroke on="f"/>
                <v:imagedata o:title=""/>
                <o:lock v:ext="edit" aspectratio="f"/>
                <v:textbox>
                  <w:txbxContent>
                    <w:p w14:paraId="1E285FA4">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承包人对其代表授权</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承包人应依据第21.2款规定在专用条款中写明承包人代表具体人选，同时在开工前将承包人代表任命书以书面形式通知发包人，授予其代表承包人履行合同规定职责所需的一切权力。</w:t>
      </w:r>
    </w:p>
    <w:p w14:paraId="3F69AA38">
      <w:pPr>
        <w:tabs>
          <w:tab w:val="left" w:pos="540"/>
          <w:tab w:val="left" w:pos="720"/>
          <w:tab w:val="left" w:pos="1260"/>
          <w:tab w:val="left" w:pos="1440"/>
        </w:tabs>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25.2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1191EF3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a:effectLst/>
                      </wps:spPr>
                      <wps:txbx>
                        <w:txbxContent>
                          <w:p w14:paraId="5EEC6C2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7639613C">
                            <w:pPr>
                              <w:spacing w:line="240" w:lineRule="exact"/>
                              <w:rPr>
                                <w:rFonts w:ascii="宋体" w:hAnsi="Times New Roman" w:eastAsia="宋体" w:cs="Times New Roman"/>
                                <w:sz w:val="18"/>
                                <w:szCs w:val="18"/>
                              </w:rPr>
                            </w:pPr>
                            <w:r>
                              <w:rPr>
                                <w:rFonts w:hint="eastAsia" w:ascii="楷体_GB2312" w:hAnsi="宋体" w:eastAsia="楷体_GB2312" w:cs="楷体_GB2312"/>
                                <w:b/>
                                <w:bCs/>
                                <w:color w:val="000000"/>
                                <w:sz w:val="18"/>
                                <w:szCs w:val="18"/>
                              </w:rPr>
                              <w:t>权</w:t>
                            </w:r>
                          </w:p>
                        </w:txbxContent>
                      </wps:txbx>
                      <wps:bodyPr vert="horz" wrap="square" anchor="t" anchorCtr="0" upright="1"/>
                    </wps:wsp>
                  </a:graphicData>
                </a:graphic>
              </wp:anchor>
            </w:drawing>
          </mc:Choice>
          <mc:Fallback>
            <w:pict>
              <v:shape id="_x0000_s1026" o:spid="_x0000_s1026" o:spt="202" type="#_x0000_t202" style="position:absolute;left:0pt;margin-left:-9pt;margin-top:0.6pt;height:31.2pt;width:81pt;z-index:251746304;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&#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J8EbVAAAACAEAAA8AAAAAAAAAAQAgAAAAIgAAAGRy&#10;cy9kb3ducmV2LnhtbFBLAQIUABQAAAAIAIdO4kBSfi2rzwEAAJEDAAAOAAAAAAAAAAEAIAAAACQB&#10;AABkcnMvZTJvRG9jLnhtbFBLBQYAAAAABgAGAFkBAABlBQAAAAA=&#10;">
                <v:fill on="f" focussize="0,0"/>
                <v:stroke on="f"/>
                <v:imagedata o:title=""/>
                <o:lock v:ext="edit" aspectratio="f"/>
                <v:textbox>
                  <w:txbxContent>
                    <w:p w14:paraId="5EEC6C2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7639613C">
                      <w:pPr>
                        <w:spacing w:line="240" w:lineRule="exact"/>
                        <w:rPr>
                          <w:rFonts w:ascii="宋体" w:hAnsi="Times New Roman" w:eastAsia="宋体" w:cs="Times New Roman"/>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承包人代表应代表承包人履行合同规定的职责、行使合同明文约定或必然隐含的权力，对承包人负责。承包人代表在承包人授予职权范围内的工作，承包人应予认可。</w:t>
      </w:r>
    </w:p>
    <w:p w14:paraId="6E8FCDFA">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25.3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4F418E8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a:effectLst/>
                      </wps:spPr>
                      <wps:txbx>
                        <w:txbxContent>
                          <w:p w14:paraId="0FA6395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8.4pt;width:72pt;z-index:251747328;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y7dFe1QAAAAcBAAAPAAAAAAAAAAEAIAAAACIAAABk&#10;cnMvZG93bnJldi54bWxQSwECFAAUAAAACACHTuJAbCL6f9ABAACQAwAADgAAAAAAAAABACAAAAAk&#10;AQAAZHJzL2Uyb0RvYy54bWxQSwUGAAAAAAYABgBZAQAAZgUAAAAA&#10;">
                <v:fill on="f" focussize="0,0"/>
                <v:stroke on="f"/>
                <v:imagedata o:title=""/>
                <o:lock v:ext="edit" aspectratio="f"/>
                <v:textbox>
                  <w:txbxContent>
                    <w:p w14:paraId="0FA6395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14:paraId="07847F0A">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25.4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00BB039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a:effectLst/>
                      </wps:spPr>
                      <wps:txbx>
                        <w:txbxContent>
                          <w:p w14:paraId="5051CD8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60pt;width:72pt;z-index:251748352;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a72VvUAAAACAEAAA8AAAAAAAAAAQAgAAAAIgAAAGRy&#10;cy9kb3ducmV2LnhtbFBLAQIUABQAAAAIAIdO4kAvCS8H0AEAAJADAAAOAAAAAAAAAAEAIAAAACMB&#10;AABkcnMvZTJvRG9jLnhtbFBLBQYAAAAABgAGAFkBAABlBQAAAAA=&#10;">
                <v:fill on="f" focussize="0,0"/>
                <v:stroke on="f"/>
                <v:imagedata o:title=""/>
                <o:lock v:ext="edit" aspectratio="f"/>
                <v:textbox>
                  <w:txbxContent>
                    <w:p w14:paraId="5051CD8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p>
    <w:p w14:paraId="48993FC8">
      <w:pPr>
        <w:widowControl w:val="0"/>
        <w:tabs>
          <w:tab w:val="left" w:pos="540"/>
        </w:tabs>
        <w:adjustRightInd w:val="0"/>
        <w:snapToGrid w:val="0"/>
        <w:spacing w:line="420" w:lineRule="exact"/>
        <w:ind w:right="-240"/>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78A1B126">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26  指定分包人</w:t>
      </w:r>
    </w:p>
    <w:p w14:paraId="78EAD054">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26.1 </w:t>
      </w:r>
    </w:p>
    <w:p w14:paraId="6F9F9DD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79D5D62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vert="horz" wrap="square" anchor="t" anchorCtr="0" upright="1"/>
                    </wps:wsp>
                  </a:graphicData>
                </a:graphic>
              </wp:anchor>
            </w:drawing>
          </mc:Choice>
          <mc:Fallback>
            <w:pict>
              <v:shape id="_x0000_s1026" o:spid="_x0000_s1026" o:spt="202" type="#_x0000_t202" style="position:absolute;left:0pt;margin-left:-9pt;margin-top:4.75pt;height:54.6pt;width:72pt;z-index:251749376;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ey6tdYAAAAJAQAADwAAAAAAAAABACAAAAAiAAAA&#10;ZHJzL2Rvd25yZXYueG1sUEsBAhQAFAAAAAgAh07iQNHGEQPQAQAAkAMAAA4AAAAAAAAAAQAgAAAA&#10;JQEAAGRycy9lMm9Eb2MueG1sUEsFBgAAAAAGAAYAWQEAAGcFAAAAAA==&#10;">
                <v:fill on="f" focussize="0,0"/>
                <v:stroke on="f"/>
                <v:imagedata o:title=""/>
                <o:lock v:ext="edit" aspectratio="f"/>
                <v:textbox>
                  <w:txbxContent>
                    <w:p w14:paraId="79D5D62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指定分包人是指发包人事先指定的从事下列工作之一的分包人：</w:t>
      </w:r>
    </w:p>
    <w:p w14:paraId="357C232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（1）根据专用条款的约定，发包人依法事先指定的实施、完成部分永久工程的分包人；</w:t>
      </w:r>
    </w:p>
    <w:p w14:paraId="4F6DAC3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（2）根据专用条款的约定，发包人选定的提供合同工程材料、工程设备和服务的分包人。</w:t>
      </w:r>
    </w:p>
    <w:p w14:paraId="60BA77C9">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26.2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5BBD628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a:effectLst/>
                      </wps:spPr>
                      <wps:txbx>
                        <w:txbxContent>
                          <w:p w14:paraId="0888265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9.4pt;width:81pt;z-index:251750400;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oDsBtQAAAAHAQAADwAAAAAAAAABACAAAAAiAAAAZHJz&#10;L2Rvd25yZXYueG1sUEsBAhQAFAAAAAgAh07iQKPZ437PAQAAkQMAAA4AAAAAAAAAAQAgAAAAIwEA&#10;AGRycy9lMm9Eb2MueG1sUEsFBgAAAAAGAAYAWQEAAGQFAAAAAA==&#10;">
                <v:fill on="f" focussize="0,0"/>
                <v:stroke on="f"/>
                <v:imagedata o:title=""/>
                <o:lock v:ext="edit" aspectratio="f"/>
                <v:textbox>
                  <w:txbxContent>
                    <w:p w14:paraId="0888265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指定分包人属于承包人的分包人，发包人不应要求承包人有义务接受承包人有理由反对的任何指定分包人。</w:t>
      </w:r>
    </w:p>
    <w:p w14:paraId="3865FDC6">
      <w:pPr>
        <w:spacing w:line="420" w:lineRule="exact"/>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a:effectLst/>
                      </wps:spPr>
                      <wps:txbx>
                        <w:txbxContent>
                          <w:p w14:paraId="4AF17C4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18.7pt;height:55.05pt;width:81pt;z-index:251751424;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vLBy7YAAAACgEAAA8AAAAAAAAAAQAgAAAAIgAA&#10;AGRycy9kb3ducmV2LnhtbFBLAQIUABQAAAAIAIdO4kBDTnTpzwEAAJEDAAAOAAAAAAAAAAEAIAAA&#10;ACcBAABkcnMvZTJvRG9jLnhtbFBLBQYAAAAABgAGAFkBAABoBQAAAAA=&#10;">
                <v:fill on="f" focussize="0,0"/>
                <v:stroke on="f"/>
                <v:imagedata o:title=""/>
                <o:lock v:ext="edit" aspectratio="f"/>
                <v:textbox>
                  <w:txbxContent>
                    <w:p w14:paraId="4AF17C4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26.3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06E3941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发包人应按照合同的约定向承包人支付指定分包人的分包工程配合费。指定分包工程款的结算与支付，按照第7.4款办理。</w:t>
      </w:r>
    </w:p>
    <w:p w14:paraId="3FB5B28F">
      <w:pPr>
        <w:spacing w:line="420" w:lineRule="exact"/>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a:effectLst/>
                      </wps:spPr>
                      <wps:txbx>
                        <w:txbxContent>
                          <w:p w14:paraId="5786918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7A9D523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657649F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2E30CD74">
                            <w:pPr>
                              <w:rPr>
                                <w:rFonts w:ascii="楷体_GB2312" w:hAnsi="宋体" w:eastAsia="楷体_GB2312" w:cs="Times New Roman"/>
                                <w:b/>
                                <w:bCs/>
                                <w:color w:val="000000"/>
                                <w:szCs w:val="21"/>
                              </w:rPr>
                            </w:pPr>
                          </w:p>
                          <w:p w14:paraId="35B1B725">
                            <w:pPr>
                              <w:rPr>
                                <w:rFonts w:ascii="Times New Roman" w:hAnsi="Times New Roman" w:eastAsia="宋体" w:cs="Times New Roman"/>
                                <w:szCs w:val="21"/>
                              </w:rPr>
                            </w:pPr>
                          </w:p>
                          <w:p w14:paraId="08E58740">
                            <w:pPr>
                              <w:rPr>
                                <w:rFonts w:ascii="Calibri" w:hAnsi="Calibri" w:eastAsia="宋体" w:cs="Times New Roman"/>
                                <w:szCs w:val="21"/>
                              </w:rPr>
                            </w:pPr>
                          </w:p>
                        </w:txbxContent>
                      </wps:txbx>
                      <wps:bodyPr vert="horz" wrap="square" anchor="t" anchorCtr="0" upright="1"/>
                    </wps:wsp>
                  </a:graphicData>
                </a:graphic>
              </wp:anchor>
            </w:drawing>
          </mc:Choice>
          <mc:Fallback>
            <w:pict>
              <v:shape id="_x0000_s1026" o:spid="_x0000_s1026" o:spt="202" type="#_x0000_t202" style="position:absolute;left:0pt;margin-left:-5.25pt;margin-top:15.7pt;height:62.35pt;width:89.25pt;z-index:251752448;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UyCL9cAAAAKAQAADwAAAAAAAAABACAAAAAi&#10;AAAAZHJzL2Rvd25yZXYueG1sUEsBAhQAFAAAAAgAh07iQAAXDRbSAQAAkQMAAA4AAAAAAAAAAQAg&#10;AAAAJgEAAGRycy9lMm9Eb2MueG1sUEsFBgAAAAAGAAYAWQEAAGoFAAAAAA==&#10;">
                <v:fill on="f" focussize="0,0"/>
                <v:stroke on="f"/>
                <v:imagedata o:title=""/>
                <o:lock v:ext="edit" aspectratio="f"/>
                <v:textbox>
                  <w:txbxContent>
                    <w:p w14:paraId="5786918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7A9D523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657649F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2E30CD74">
                      <w:pPr>
                        <w:rPr>
                          <w:rFonts w:ascii="楷体_GB2312" w:hAnsi="宋体" w:eastAsia="楷体_GB2312" w:cs="Times New Roman"/>
                          <w:b/>
                          <w:bCs/>
                          <w:color w:val="000000"/>
                          <w:szCs w:val="21"/>
                        </w:rPr>
                      </w:pPr>
                    </w:p>
                    <w:p w14:paraId="35B1B725">
                      <w:pPr>
                        <w:rPr>
                          <w:rFonts w:ascii="Times New Roman" w:hAnsi="Times New Roman" w:eastAsia="宋体" w:cs="Times New Roman"/>
                          <w:szCs w:val="21"/>
                        </w:rPr>
                      </w:pPr>
                    </w:p>
                    <w:p w14:paraId="08E58740">
                      <w:pPr>
                        <w:rPr>
                          <w:rFonts w:ascii="Calibri" w:hAnsi="Calibri" w:eastAsia="宋体" w:cs="Times New Roman"/>
                          <w:szCs w:val="21"/>
                        </w:rPr>
                      </w:pP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26.4</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52EC3FD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指定分包人应按照分包合同的约定对承包人负责。承包人有义务协助、配合指定分包人实施分包工程。</w:t>
      </w:r>
    </w:p>
    <w:p w14:paraId="575B4C3C">
      <w:pPr>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3025E89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27  承包人劳务</w:t>
      </w:r>
    </w:p>
    <w:p w14:paraId="0D1B3F36">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27.1   </w:t>
      </w:r>
    </w:p>
    <w:p w14:paraId="4346E3B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a:effectLst/>
                      </wps:spPr>
                      <wps:txbx>
                        <w:txbxContent>
                          <w:p w14:paraId="73BD60C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54.5pt;width:72pt;z-index:251753472;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&#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s6rC1QAAAAkBAAAPAAAAAAAAAAEAIAAAACIAAABk&#10;cnMvZG93bnJldi54bWxQSwECFAAUAAAACACHTuJAoD4fuNABAACQAwAADgAAAAAAAAABACAAAAAk&#10;AQAAZHJzL2Uyb0RvYy54bWxQSwUGAAAAAAYABgBZAQAAZgUAAAAA&#10;">
                <v:fill on="f" focussize="0,0"/>
                <v:stroke on="f"/>
                <v:imagedata o:title=""/>
                <o:lock v:ext="edit" aspectratio="f"/>
                <v:textbox>
                  <w:txbxContent>
                    <w:p w14:paraId="73BD60C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44CCE1D5">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27.2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r>
        <w:rPr>
          <w:rFonts w:hint="eastAsia" w:ascii="宋体" w:hAnsi="宋体" w:eastAsia="宋体" w:cs="宋体"/>
          <w:b/>
          <w:bCs/>
          <w:color w:val="000000" w:themeColor="text1"/>
          <w:sz w:val="22"/>
          <w:szCs w:val="22"/>
          <w:highlight w:val="none"/>
          <w14:textFill>
            <w14:solidFill>
              <w14:schemeClr w14:val="tx1"/>
            </w14:solidFill>
          </w14:textFill>
        </w:rPr>
        <w:t xml:space="preserve">   </w:t>
      </w:r>
    </w:p>
    <w:p w14:paraId="4479C99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7940905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31.2pt;width:72pt;z-index:251754496;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Wt2iW1QAAAAgBAAAPAAAAAAAAAAEAIAAAACIAAABk&#10;cnMvZG93bnJldi54bWxQSwECFAAUAAAACACHTuJAWWwfvdABAACQAwAADgAAAAAAAAABACAAAAAk&#10;AQAAZHJzL2Uyb0RvYy54bWxQSwUGAAAAAAYABgBZAQAAZgUAAAAA&#10;">
                <v:fill on="f" focussize="0,0"/>
                <v:stroke on="f"/>
                <v:imagedata o:title=""/>
                <o:lock v:ext="edit" aspectratio="f"/>
                <v:textbox>
                  <w:txbxContent>
                    <w:p w14:paraId="7940905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承包人除应雇佣投标文件中“主要人员一览表”中指明的人员外，也可以雇佣经监理工程师批准的其他人员，但不得从发包人或服务于发包人的人员中雇佣人员。</w:t>
      </w:r>
    </w:p>
    <w:p w14:paraId="4389FC34">
      <w:pPr>
        <w:tabs>
          <w:tab w:val="left" w:pos="1620"/>
        </w:tabs>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27.3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58075B5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1D4123E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vert="horz" wrap="square" anchor="t" anchorCtr="0" upright="1"/>
                    </wps:wsp>
                  </a:graphicData>
                </a:graphic>
              </wp:anchor>
            </w:drawing>
          </mc:Choice>
          <mc:Fallback>
            <w:pict>
              <v:shape id="_x0000_s1026" o:spid="_x0000_s1026" o:spt="202" type="#_x0000_t202" style="position:absolute;left:0pt;margin-left:-9pt;margin-top:4.7pt;height:39pt;width:72pt;z-index:251755520;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VgKKNUAAAAIAQAADwAAAAAAAAABACAAAAAiAAAAZHJz&#10;L2Rvd25yZXYueG1sUEsBAhQAFAAAAAgAh07iQGeaF+XOAQAAkAMAAA4AAAAAAAAAAQAgAAAAJAEA&#10;AGRycy9lMm9Eb2MueG1sUEsFBgAAAAAGAAYAWQEAAGQFAAAAAA==&#10;">
                <v:fill on="f" focussize="0,0"/>
                <v:stroke on="f"/>
                <v:imagedata o:title=""/>
                <o:lock v:ext="edit" aspectratio="f"/>
                <v:textbox>
                  <w:txbxContent>
                    <w:p w14:paraId="1D4123E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承包人应完善雇员的劳务注册手续，并与雇员订立劳动合同，明确双方的权利和义务。雇佣期间，承包人应做好下列工作：</w:t>
      </w:r>
    </w:p>
    <w:p w14:paraId="506F5D4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(1)负责为雇员提供必要的食宿及各种生活设施，采取合理的卫生、劳动保护和安全防护措施，保证雇员的健康和安全；</w:t>
      </w:r>
    </w:p>
    <w:p w14:paraId="1E53500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(2)保障雇员的合法权利和人身安全，及时采取有效措施抢救和治疗施工中受伤害的雇员；</w:t>
      </w:r>
    </w:p>
    <w:p w14:paraId="37A357E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(3)充分考虑和保障雇员的休息时间和法定节假日休假时间，尊重雇员的宗教信仰和风俗习惯；</w:t>
      </w:r>
    </w:p>
    <w:p w14:paraId="3148B08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(4)在施工现场主要出入口处设榜公布雇员工资发放时间和投诉电话，以及合同工程中标价格、进度款支付情况；</w:t>
      </w:r>
    </w:p>
    <w:p w14:paraId="2FECA89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(5)督促雇员和发包人现场人员应佩戴由合同双方当事人共同盖章、签发的工作证上岗；</w:t>
      </w:r>
    </w:p>
    <w:p w14:paraId="5E0E23E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(6)办理雇员的意外伤害等一切保险，处理雇员因工伤亡事故的善后事宜。</w:t>
      </w:r>
    </w:p>
    <w:p w14:paraId="71B823A9">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27.4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3749BB2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1255BDBE">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承包人特殊时间施工的批准</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54.6pt;width:72pt;z-index:251756544;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&#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5RFTPUAAAACAEAAA8AAAAAAAAAAQAgAAAAIgAAAGRy&#10;cy9kb3ducmV2LnhtbFBLAQIUABQAAAAIAIdO4kBxIYxA0AEAAJADAAAOAAAAAAAAAAEAIAAAACMB&#10;AABkcnMvZTJvRG9jLnhtbFBLBQYAAAAABgAGAFkBAABlBQAAAAA=&#10;">
                <v:fill on="f" focussize="0,0"/>
                <v:stroke on="f"/>
                <v:imagedata o:title=""/>
                <o:lock v:ext="edit" aspectratio="f"/>
                <v:textbox>
                  <w:txbxContent>
                    <w:p w14:paraId="1255BDBE">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承包人特殊时间施工的批准</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20EA6184">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27.5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47AB67E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a:effectLst/>
                      </wps:spPr>
                      <wps:txbx>
                        <w:txbxContent>
                          <w:p w14:paraId="6AB36A5B">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承包人向雇员支付劳务工资</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7.85pt;width:72pt;z-index:251757568;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2Nuey1QAAAAcBAAAPAAAAAAAAAAEAIAAAACIAAABk&#10;cnMvZG93bnJldi54bWxQSwECFAAUAAAACACHTuJAAX9dC9ABAACQAwAADgAAAAAAAAABACAAAAAk&#10;AQAAZHJzL2Uyb0RvYy54bWxQSwUGAAAAAAYABgBZAQAAZgUAAAAA&#10;">
                <v:fill on="f" focussize="0,0"/>
                <v:stroke on="f"/>
                <v:imagedata o:title=""/>
                <o:lock v:ext="edit" aspectratio="f"/>
                <v:textbox>
                  <w:txbxContent>
                    <w:p w14:paraId="6AB36A5B">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承包人向雇员支付劳务工资</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1AD2D15E">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27.6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4099E38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a:effectLst/>
                      </wps:spPr>
                      <wps:txbx>
                        <w:txbxContent>
                          <w:p w14:paraId="2186CE5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70.2pt;width:72pt;z-index:251758592;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KzjETUAAAACAEAAA8AAAAAAAAAAQAgAAAAIgAAAGRy&#10;cy9kb3ducmV2LnhtbFBLAQIUABQAAAAIAIdO4kCX3poi0AEAAJADAAAOAAAAAAAAAAEAIAAAACMB&#10;AABkcnMvZTJvRG9jLnhtbFBLBQYAAAAABgAGAFkBAABlBQAAAAA=&#10;">
                <v:fill on="f" focussize="0,0"/>
                <v:stroke on="f"/>
                <v:imagedata o:title=""/>
                <o:lock v:ext="edit" aspectratio="f"/>
                <v:textbox>
                  <w:txbxContent>
                    <w:p w14:paraId="2186CE5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承包人的雇员应是在行业或职业内具有相应资格、技能和经验的人员。承包人应向施工场地派遣足够数量的下列雇员：</w:t>
      </w:r>
    </w:p>
    <w:p w14:paraId="316080E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（1）具有相应资格的专业技工和合格的普工； </w:t>
      </w:r>
    </w:p>
    <w:p w14:paraId="7E669DA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（2）具有相应施工经验的技术人员；</w:t>
      </w:r>
    </w:p>
    <w:p w14:paraId="2303E39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（3）具有相应岗位资格的各级管理人员。</w:t>
      </w:r>
    </w:p>
    <w:p w14:paraId="77A43484">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27.7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EBABDD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a:effectLst/>
                      </wps:spPr>
                      <wps:txbx>
                        <w:txbxContent>
                          <w:p w14:paraId="4A6BF19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0.25pt;width:72pt;z-index:251759616;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m/ModQAAAAHAQAADwAAAAAAAAABACAAAAAiAAAAZHJz&#10;L2Rvd25yZXYueG1sUEsBAhQAFAAAAAgAh07iQA6n3ZDPAQAAkAMAAA4AAAAAAAAAAQAgAAAAIwEA&#10;AGRycy9lMm9Eb2MueG1sUEsFBgAAAAAGAAYAWQEAAGQFAAAAAA==&#10;">
                <v:fill on="f" focussize="0,0"/>
                <v:stroke on="f"/>
                <v:imagedata o:title=""/>
                <o:lock v:ext="edit" aspectratio="f"/>
                <v:textbox>
                  <w:txbxContent>
                    <w:p w14:paraId="4A6BF19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承包人安排在施工场地的雇员应保持相对稳定，但有下列行为的任何承包人雇员，监理工程师可要求承包人将其撤换：</w:t>
      </w:r>
    </w:p>
    <w:p w14:paraId="1A2C238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（1）经常行为不当，或工作漫不经心；</w:t>
      </w:r>
    </w:p>
    <w:p w14:paraId="3A0E560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（2）无能力履行义务或玩忽职守；</w:t>
      </w:r>
    </w:p>
    <w:p w14:paraId="0B698D0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（3）不遵守合同的约定；</w:t>
      </w:r>
    </w:p>
    <w:p w14:paraId="77897AF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（4）有损安全、健康和不利于环境保护的行为。</w:t>
      </w:r>
    </w:p>
    <w:p w14:paraId="46EC5F23">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27.8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096DA30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a:effectLst/>
                      </wps:spPr>
                      <wps:txbx>
                        <w:txbxContent>
                          <w:p w14:paraId="088D8844">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承包人对雇员的保护</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4.25pt;width:72pt;z-index:251760640;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S12O/VAAAABwEAAA8AAAAAAAAAAQAgAAAAIgAAAGRy&#10;cy9kb3ducmV2LnhtbFBLAQIUABQAAAAIAIdO4kBNeWG0zwEAAJIDAAAOAAAAAAAAAAEAIAAAACQB&#10;AABkcnMvZTJvRG9jLnhtbFBLBQYAAAAABgAGAFkBAABlBQAAAAA=&#10;">
                <v:fill on="f" focussize="0,0"/>
                <v:stroke on="f"/>
                <v:imagedata o:title=""/>
                <o:lock v:ext="edit" aspectratio="f"/>
                <v:textbox>
                  <w:txbxContent>
                    <w:p w14:paraId="088D8844">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承包人对雇员的保护</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承包人应自始至终采取各种合理的预防措施，防止雇员内部发生打斗和任何无序、非法的不良行为，以确保现场安定和保护现场及邻近人员的生命、财产安全。</w:t>
      </w:r>
    </w:p>
    <w:p w14:paraId="43BA74B4">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12CAF0D2">
      <w:pPr>
        <w:spacing w:line="420" w:lineRule="exact"/>
        <w:jc w:val="center"/>
        <w:outlineLvl w:val="1"/>
        <w:rPr>
          <w:rFonts w:ascii="方正小标宋_GBK" w:hAnsi="方正小标宋_GBK" w:eastAsia="方正小标宋_GBK" w:cs="方正小标宋_GBK"/>
          <w:b/>
          <w:bCs/>
          <w:color w:val="000000" w:themeColor="text1"/>
          <w:sz w:val="24"/>
          <w:szCs w:val="24"/>
          <w:highlight w:val="none"/>
          <w14:textFill>
            <w14:solidFill>
              <w14:schemeClr w14:val="tx1"/>
            </w14:solidFill>
          </w14:textFill>
        </w:rPr>
      </w:pPr>
      <w:bookmarkStart w:id="513" w:name="_Toc23085"/>
      <w:bookmarkStart w:id="514" w:name="_Toc27960"/>
      <w:bookmarkStart w:id="515" w:name="_Toc13788"/>
      <w:r>
        <w:rPr>
          <w:rFonts w:hint="eastAsia" w:ascii="方正小标宋_GBK" w:hAnsi="方正小标宋_GBK" w:eastAsia="方正小标宋_GBK" w:cs="方正小标宋_GBK"/>
          <w:b/>
          <w:bCs/>
          <w:color w:val="000000" w:themeColor="text1"/>
          <w:sz w:val="24"/>
          <w:szCs w:val="24"/>
          <w:highlight w:val="none"/>
          <w14:textFill>
            <w14:solidFill>
              <w14:schemeClr w14:val="tx1"/>
            </w14:solidFill>
          </w14:textFill>
        </w:rPr>
        <w:t>三、担保、保险与风险</w:t>
      </w:r>
      <w:bookmarkEnd w:id="513"/>
      <w:bookmarkEnd w:id="514"/>
      <w:bookmarkEnd w:id="515"/>
    </w:p>
    <w:p w14:paraId="727CF3C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28  工程担保</w:t>
      </w:r>
    </w:p>
    <w:p w14:paraId="015BE358">
      <w:pPr>
        <w:widowControl w:val="0"/>
        <w:tabs>
          <w:tab w:val="left" w:pos="1320"/>
        </w:tabs>
        <w:adjustRightInd w:val="0"/>
        <w:snapToGrid w:val="0"/>
        <w:spacing w:line="420" w:lineRule="exact"/>
        <w:ind w:right="-24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84E6E2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vert="horz" wrap="square" anchor="t" anchorCtr="0" upright="1"/>
                    </wps:wsp>
                  </a:graphicData>
                </a:graphic>
              </wp:anchor>
            </w:drawing>
          </mc:Choice>
          <mc:Fallback>
            <w:pict>
              <v:shape id="_x0000_s1026" o:spid="_x0000_s1026" o:spt="202" type="#_x0000_t202" style="position:absolute;left:0pt;margin-left:-9pt;margin-top:19.2pt;height:31.2pt;width:72pt;z-index:251761664;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4G5QTXAAAACgEAAA8AAAAAAAAAAQAgAAAAIgAA&#10;AGRycy9kb3ducmV2LnhtbFBLAQIUABQAAAAIAIdO4kAAyoEF0AEAAJIDAAAOAAAAAAAAAAEAIAAA&#10;ACYBAABkcnMvZTJvRG9jLnhtbFBLBQYAAAAABgAGAFkBAABoBQAAAAA=&#10;">
                <v:fill on="f" focussize="0,0"/>
                <v:stroke on="f"/>
                <v:imagedata o:title=""/>
                <o:lock v:ext="edit" aspectratio="f"/>
                <v:textbox>
                  <w:txbxContent>
                    <w:p w14:paraId="484E6E2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28.1       </w:t>
      </w:r>
    </w:p>
    <w:p w14:paraId="56794BE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为正确履行本合同，发包人应在招标文件中或在签订合同前明确履约担保的有关要求，承包人应按照合同约定时间向发包人提供履约担保。履约担保采用银行保函、担保公司担保或履约保证保险的形式，提供履约保函、担保公司担保、履约保证保险所发生的费用由承包人承担。</w:t>
      </w:r>
    </w:p>
    <w:p w14:paraId="0B2CF61E">
      <w:pPr>
        <w:widowControl w:val="0"/>
        <w:tabs>
          <w:tab w:val="left" w:pos="1320"/>
        </w:tabs>
        <w:adjustRightInd w:val="0"/>
        <w:snapToGrid w:val="0"/>
        <w:spacing w:line="420" w:lineRule="exact"/>
        <w:ind w:right="-24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a:effectLst/>
                      </wps:spPr>
                      <wps:txbx>
                        <w:txbxContent>
                          <w:p w14:paraId="4060E81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vert="horz" wrap="square" anchor="t" anchorCtr="0" upright="1"/>
                    </wps:wsp>
                  </a:graphicData>
                </a:graphic>
              </wp:anchor>
            </w:drawing>
          </mc:Choice>
          <mc:Fallback>
            <w:pict>
              <v:shape id="_x0000_s1026" o:spid="_x0000_s1026" o:spt="202" type="#_x0000_t202" style="position:absolute;left:0pt;margin-left:-9pt;margin-top:20.15pt;height:31.1pt;width:72pt;z-index:251762688;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R51I1wAAAAoBAAAPAAAAAAAAAAEAIAAAACIA&#10;AABkcnMvZG93bnJldi54bWxQSwECFAAUAAAACACHTuJAb1YLHNEBAACSAwAADgAAAAAAAAABACAA&#10;AAAmAQAAZHJzL2Uyb0RvYy54bWxQSwUGAAAAAAYABgBZAQAAaQUAAAAA&#10;">
                <v:fill on="f" focussize="0,0"/>
                <v:stroke on="f"/>
                <v:imagedata o:title=""/>
                <o:lock v:ext="edit" aspectratio="f"/>
                <v:textbox>
                  <w:txbxContent>
                    <w:p w14:paraId="4060E81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28.2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C0E603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履约担保的有效期，是从提供履约担保之日起至合同工程竣工验收合格之日止。发包人应在担保有效期满后的14 天内将此担保退还给承包人。</w:t>
      </w:r>
    </w:p>
    <w:p w14:paraId="28EC7B14">
      <w:pPr>
        <w:widowControl w:val="0"/>
        <w:tabs>
          <w:tab w:val="left" w:pos="1320"/>
        </w:tabs>
        <w:adjustRightInd w:val="0"/>
        <w:snapToGrid w:val="0"/>
        <w:spacing w:line="420" w:lineRule="exact"/>
        <w:ind w:right="-238"/>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24E19AD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vert="horz" wrap="square" anchor="t" anchorCtr="0" upright="1"/>
                    </wps:wsp>
                  </a:graphicData>
                </a:graphic>
              </wp:anchor>
            </w:drawing>
          </mc:Choice>
          <mc:Fallback>
            <w:pict>
              <v:shape id="_x0000_s1026" o:spid="_x0000_s1026" o:spt="202" type="#_x0000_t202" style="position:absolute;left:0pt;margin-left:-9pt;margin-top:19.6pt;height:39pt;width:72pt;z-index:251763712;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W7JD7YAAAACgEAAA8AAAAAAAAAAQAgAAAAIgAA&#10;AGRycy9kb3ducmV2LnhtbFBLAQIUABQAAAAIAIdO4kBXKUIkzwEAAJIDAAAOAAAAAAAAAAEAIAAA&#10;ACcBAABkcnMvZTJvRG9jLnhtbFBLBQYAAAAABgAGAFkBAABoBQAAAAA=&#10;">
                <v:fill on="f" focussize="0,0"/>
                <v:stroke on="f"/>
                <v:imagedata o:title=""/>
                <o:lock v:ext="edit" aspectratio="f"/>
                <v:textbox>
                  <w:txbxContent>
                    <w:p w14:paraId="24E19AD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28.3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B4A63B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58EA379D">
      <w:pPr>
        <w:widowControl w:val="0"/>
        <w:tabs>
          <w:tab w:val="left" w:pos="540"/>
          <w:tab w:val="left" w:pos="720"/>
        </w:tabs>
        <w:adjustRightInd w:val="0"/>
        <w:snapToGrid w:val="0"/>
        <w:spacing w:line="420" w:lineRule="exact"/>
        <w:ind w:right="-238"/>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a:effectLst/>
                      </wps:spPr>
                      <wps:txbx>
                        <w:txbxContent>
                          <w:p w14:paraId="23211C0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vert="horz" wrap="square" anchor="t" anchorCtr="0" upright="1"/>
                    </wps:wsp>
                  </a:graphicData>
                </a:graphic>
              </wp:anchor>
            </w:drawing>
          </mc:Choice>
          <mc:Fallback>
            <w:pict>
              <v:shape id="_x0000_s1026" o:spid="_x0000_s1026" o:spt="202" type="#_x0000_t202" style="position:absolute;left:0pt;margin-left:-9pt;margin-top:19.8pt;height:32.9pt;width:72pt;z-index:251764736;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E7+Y2AAAAAoBAAAPAAAAAAAAAAEAIAAAACIA&#10;AABkcnMvZG93bnJldi54bWxQSwECFAAUAAAACACHTuJA8WoyJNABAACSAwAADgAAAAAAAAABACAA&#10;AAAnAQAAZHJzL2Uyb0RvYy54bWxQSwUGAAAAAAYABgBZAQAAaQUAAAAA&#10;">
                <v:fill on="f" focussize="0,0"/>
                <v:stroke on="f"/>
                <v:imagedata o:title=""/>
                <o:lock v:ext="edit" aspectratio="f"/>
                <v:textbox>
                  <w:txbxContent>
                    <w:p w14:paraId="23211C0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28.4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BEF910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按照第28.1款的要求提交了履约担保，发包人应按照合同约定时间向承包人提交与履约担保等值的支付担保；发、承包人也可约定由发包人向承包人提交预付款等值的支付担保。支付担保采用银行保函、担保公司担保或支付保证保险的形式，提供支付保函、担保公司担保、支付保证保险所发生的费用由发包人承担。</w:t>
      </w:r>
    </w:p>
    <w:p w14:paraId="4584C204">
      <w:pPr>
        <w:widowControl w:val="0"/>
        <w:tabs>
          <w:tab w:val="left" w:pos="1320"/>
        </w:tabs>
        <w:adjustRightInd w:val="0"/>
        <w:snapToGrid w:val="0"/>
        <w:spacing w:line="420" w:lineRule="exact"/>
        <w:ind w:right="-238"/>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a:effectLst/>
                      </wps:spPr>
                      <wps:txbx>
                        <w:txbxContent>
                          <w:p w14:paraId="426ABB9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vert="horz" wrap="square" anchor="t" anchorCtr="0" upright="1"/>
                    </wps:wsp>
                  </a:graphicData>
                </a:graphic>
              </wp:anchor>
            </w:drawing>
          </mc:Choice>
          <mc:Fallback>
            <w:pict>
              <v:shape id="_x0000_s1026" o:spid="_x0000_s1026" o:spt="202" type="#_x0000_t202" style="position:absolute;left:0pt;margin-left:-9pt;margin-top:18.75pt;height:32.5pt;width:72pt;z-index:251765760;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48MnY2AAAAAoBAAAPAAAAAAAAAAEAIAAAACIA&#10;AABkcnMvZG93bnJldi54bWxQSwECFAAUAAAACACHTuJA4hNIndABAACSAwAADgAAAAAAAAABACAA&#10;AAAnAQAAZHJzL2Uyb0RvYy54bWxQSwUGAAAAAAYABgBZAQAAaQUAAAAA&#10;">
                <v:fill on="f" focussize="0,0"/>
                <v:stroke on="f"/>
                <v:imagedata o:title=""/>
                <o:lock v:ext="edit" aspectratio="f"/>
                <v:textbox>
                  <w:txbxContent>
                    <w:p w14:paraId="426ABB9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28.5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657EC8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支付担保的有效期，是从提供支付担保之日起至发包人根据本合同约定支付完除质量保证金以外的全部款项之日止。承包人应在担保有效期满后的14天内将此担保退还给发包人。</w:t>
      </w:r>
    </w:p>
    <w:p w14:paraId="7A9B6F7E">
      <w:pPr>
        <w:widowControl w:val="0"/>
        <w:tabs>
          <w:tab w:val="left" w:pos="1320"/>
        </w:tabs>
        <w:adjustRightInd w:val="0"/>
        <w:snapToGrid w:val="0"/>
        <w:spacing w:line="420" w:lineRule="exact"/>
        <w:ind w:right="-238"/>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3FE47ED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vert="horz" wrap="square" anchor="t" anchorCtr="0" upright="1"/>
                    </wps:wsp>
                  </a:graphicData>
                </a:graphic>
              </wp:anchor>
            </w:drawing>
          </mc:Choice>
          <mc:Fallback>
            <w:pict>
              <v:shape id="_x0000_s1026" o:spid="_x0000_s1026" o:spt="202" type="#_x0000_t202" style="position:absolute;left:0pt;margin-left:-9pt;margin-top:19.5pt;height:31.2pt;width:72pt;z-index:251766784;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KGkGLWAAAACgEAAA8AAAAAAAAAAQAgAAAAIgAA&#10;AGRycy9kb3ducmV2LnhtbFBLAQIUABQAAAAIAIdO4kCAwb9l0QEAAJIDAAAOAAAAAAAAAAEAIAAA&#10;ACUBAABkcnMvZTJvRG9jLnhtbFBLBQYAAAAABgAGAFkBAABoBQAAAAA=&#10;">
                <v:fill on="f" focussize="0,0"/>
                <v:stroke on="f"/>
                <v:imagedata o:title=""/>
                <o:lock v:ext="edit" aspectratio="f"/>
                <v:textbox>
                  <w:txbxContent>
                    <w:p w14:paraId="3FE47ED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28.6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E8F70B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55E98388">
      <w:pPr>
        <w:widowControl w:val="0"/>
        <w:tabs>
          <w:tab w:val="left" w:pos="1320"/>
        </w:tabs>
        <w:adjustRightInd w:val="0"/>
        <w:snapToGrid w:val="0"/>
        <w:spacing w:line="420" w:lineRule="exact"/>
        <w:ind w:right="-238"/>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a:effectLst/>
                      </wps:spPr>
                      <wps:txbx>
                        <w:txbxContent>
                          <w:p w14:paraId="1722703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vert="horz" wrap="square" anchor="t" anchorCtr="0" upright="1"/>
                    </wps:wsp>
                  </a:graphicData>
                </a:graphic>
              </wp:anchor>
            </w:drawing>
          </mc:Choice>
          <mc:Fallback>
            <w:pict>
              <v:shape id="_x0000_s1026" o:spid="_x0000_s1026" o:spt="202" type="#_x0000_t202" style="position:absolute;left:0pt;margin-left:-9pt;margin-top:19.15pt;height:33.3pt;width:72pt;z-index:251767808;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AE2KnXAAAACgEAAA8AAAAAAAAAAQAgAAAAIgAA&#10;AGRycy9kb3ducmV2LnhtbFBLAQIUABQAAAAIAIdO4kBZkPBj0AEAAJIDAAAOAAAAAAAAAAEAIAAA&#10;ACYBAABkcnMvZTJvRG9jLnhtbFBLBQYAAAAABgAGAFkBAABoBQAAAAA=&#10;">
                <v:fill on="f" focussize="0,0"/>
                <v:stroke on="f"/>
                <v:imagedata o:title=""/>
                <o:lock v:ext="edit" aspectratio="f"/>
                <v:textbox>
                  <w:txbxContent>
                    <w:p w14:paraId="1722703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28.7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A2CC2E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合同双方当事人均应确保合同工程担保有效期符合工期合理顺延的要求。若合同一方当事人未能保证延长担保有效期，另一方当事人可向其索赔担保的全部金额。</w:t>
      </w:r>
    </w:p>
    <w:p w14:paraId="71AADE37">
      <w:pPr>
        <w:widowControl w:val="0"/>
        <w:tabs>
          <w:tab w:val="left" w:pos="1320"/>
        </w:tabs>
        <w:adjustRightInd w:val="0"/>
        <w:snapToGrid w:val="0"/>
        <w:spacing w:line="420" w:lineRule="exact"/>
        <w:ind w:right="-238"/>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a:effectLst/>
                      </wps:spPr>
                      <wps:txbx>
                        <w:txbxContent>
                          <w:p w14:paraId="18DCE3D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wps:txbx>
                      <wps:bodyPr vert="horz" wrap="square" anchor="t" anchorCtr="0" upright="1"/>
                    </wps:wsp>
                  </a:graphicData>
                </a:graphic>
              </wp:anchor>
            </w:drawing>
          </mc:Choice>
          <mc:Fallback>
            <w:pict>
              <v:shape id="_x0000_s1026" o:spid="_x0000_s1026" o:spt="202" type="#_x0000_t202" style="position:absolute;left:0pt;margin-left:-9pt;margin-top:20.1pt;height:26.7pt;width:72pt;z-index:251768832;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xIfdXXAAAACQEAAA8AAAAAAAAAAQAgAAAAIgAA&#10;AGRycy9kb3ducmV2LnhtbFBLAQIUABQAAAAIAIdO4kCZIdSb0AEAAJIDAAAOAAAAAAAAAAEAIAAA&#10;ACYBAABkcnMvZTJvRG9jLnhtbFBLBQYAAAAABgAGAFkBAABoBQAAAAA=&#10;">
                <v:fill on="f" focussize="0,0"/>
                <v:stroke on="f"/>
                <v:imagedata o:title=""/>
                <o:lock v:ext="edit" aspectratio="f"/>
                <v:textbox>
                  <w:txbxContent>
                    <w:p w14:paraId="18DCE3D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28.8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180EEA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合同双方当事人在专用条款中约定担保内容、方式和责任等事项，并签订担保合同，作为本合同附件。</w:t>
      </w:r>
    </w:p>
    <w:p w14:paraId="44CE70F9">
      <w:pPr>
        <w:widowControl w:val="0"/>
        <w:adjustRightInd w:val="0"/>
        <w:snapToGrid w:val="0"/>
        <w:spacing w:line="420" w:lineRule="exact"/>
        <w:ind w:right="-240"/>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027A4E8E">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29  发包人风险</w:t>
      </w:r>
    </w:p>
    <w:p w14:paraId="101791E0">
      <w:pPr>
        <w:widowControl w:val="0"/>
        <w:adjustRightInd w:val="0"/>
        <w:snapToGrid w:val="0"/>
        <w:spacing w:line="420" w:lineRule="exact"/>
        <w:ind w:right="-24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D845C9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vert="horz" wrap="square" anchor="t" anchorCtr="0" upright="1"/>
                    </wps:wsp>
                  </a:graphicData>
                </a:graphic>
              </wp:anchor>
            </w:drawing>
          </mc:Choice>
          <mc:Fallback>
            <w:pict>
              <v:shape id="_x0000_s1026" o:spid="_x0000_s1026" o:spt="202" type="#_x0000_t202" style="position:absolute;left:0pt;margin-left:-9pt;margin-top:17.85pt;height:31.2pt;width:72pt;z-index:251769856;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haOr41wAAAAkBAAAPAAAAAAAAAAEAIAAAACIA&#10;AABkcnMvZG93bnJldi54bWxQSwECFAAUAAAACACHTuJALWAhfNEBAACSAwAADgAAAAAAAAABACAA&#10;AAAmAQAAZHJzL2Uyb0RvYy54bWxQSwUGAAAAAAYABgBZAQAAaQUAAAAA&#10;">
                <v:fill on="f" focussize="0,0"/>
                <v:stroke on="f"/>
                <v:imagedata o:title=""/>
                <o:lock v:ext="edit" aspectratio="f"/>
                <v:textbox>
                  <w:txbxContent>
                    <w:p w14:paraId="4D845C9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29.1     </w:t>
      </w:r>
    </w:p>
    <w:p w14:paraId="68CA379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发包人应承担本合同中规定应由发包人承担的风险。</w:t>
      </w:r>
    </w:p>
    <w:p w14:paraId="15DB9A8A">
      <w:pPr>
        <w:widowControl w:val="0"/>
        <w:adjustRightInd w:val="0"/>
        <w:snapToGrid w:val="0"/>
        <w:spacing w:line="420" w:lineRule="exact"/>
        <w:ind w:right="-24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29.2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05E1ED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a:effectLst/>
                      </wps:spPr>
                      <wps:txbx>
                        <w:txbxContent>
                          <w:p w14:paraId="7612B5C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wps:txbx>
                      <wps:bodyPr vert="horz" wrap="square" anchor="t" anchorCtr="0" upright="1"/>
                    </wps:wsp>
                  </a:graphicData>
                </a:graphic>
              </wp:anchor>
            </w:drawing>
          </mc:Choice>
          <mc:Fallback>
            <w:pict>
              <v:shape id="_x0000_s1026" o:spid="_x0000_s1026" o:spt="202" type="#_x0000_t202" style="position:absolute;left:0pt;margin-left:-9pt;margin-top:0.85pt;height:28.05pt;width:72pt;z-index:251770880;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UQVNjVAAAACAEAAA8AAAAAAAAAAQAgAAAAIgAAAGRy&#10;cy9kb3ducmV2LnhtbFBLAQIUABQAAAAIAIdO4kDyklnbzwEAAJIDAAAOAAAAAAAAAAEAIAAAACQB&#10;AABkcnMvZTJvRG9jLnhtbFBLBQYAAAAABgAGAFkBAABlBQAAAAA=&#10;">
                <v:fill on="f" focussize="0,0"/>
                <v:stroke on="f"/>
                <v:imagedata o:title=""/>
                <o:lock v:ext="edit" aspectratio="f"/>
                <v:textbox>
                  <w:txbxContent>
                    <w:p w14:paraId="7612B5C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自开工之日起至颁发工程接收证书之日止，发包人风险包括但不限于：</w:t>
      </w:r>
    </w:p>
    <w:p w14:paraId="16F7CE5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（1）由于永久工程本身或施工而不可避免造成的财产（除工程本身、材料和工程设备和施工设备外）损失或损坏；</w:t>
      </w:r>
    </w:p>
    <w:p w14:paraId="0D7CA5F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（2）由于发包人工作人员及其相关人员（除承包人外）的疏忽或违规造成的人员伤亡、财产损失或损坏；</w:t>
      </w:r>
    </w:p>
    <w:p w14:paraId="48A8BB4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（3）由于发包人提前使用或占用永久工程或其部分造成的损失或损坏；</w:t>
      </w:r>
    </w:p>
    <w:p w14:paraId="0B20A7B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（4）由于发包人提供或发包人负责的设计造成的对永久工程、材料和工程设备和施工设备的损失或损害；</w:t>
      </w:r>
    </w:p>
    <w:p w14:paraId="38DA2B4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（5）由于地质、邻近建筑物、古树名木和物价上涨等非承包人原因造成施工过程中费用的增加。</w:t>
      </w:r>
    </w:p>
    <w:p w14:paraId="01116B44">
      <w:pPr>
        <w:widowControl w:val="0"/>
        <w:adjustRightInd w:val="0"/>
        <w:snapToGrid w:val="0"/>
        <w:spacing w:line="420" w:lineRule="exact"/>
        <w:ind w:right="-240"/>
        <w:jc w:val="both"/>
        <w:rPr>
          <w:rFonts w:ascii="宋体" w:hAnsi="宋体" w:eastAsia="宋体" w:cs="宋体"/>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u w:val="single"/>
          <w:lang w:val="en-US" w:eastAsia="zh-CN" w:bidi="ar-SA"/>
          <w14:textFill>
            <w14:solidFill>
              <w14:schemeClr w14:val="tx1"/>
            </w14:solidFill>
          </w14:textFill>
        </w:rPr>
        <w:t xml:space="preserve">                                                                                               </w:t>
      </w:r>
    </w:p>
    <w:p w14:paraId="2951E72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30  承包人风险</w:t>
      </w:r>
    </w:p>
    <w:p w14:paraId="5E280DDE">
      <w:pPr>
        <w:widowControl w:val="0"/>
        <w:tabs>
          <w:tab w:val="left" w:pos="1320"/>
          <w:tab w:val="left" w:pos="144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a:effectLst/>
                      </wps:spPr>
                      <wps:txbx>
                        <w:txbxContent>
                          <w:p w14:paraId="05A0861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7C750C5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vert="horz" wrap="square" anchor="t" anchorCtr="0" upright="1"/>
                    </wps:wsp>
                  </a:graphicData>
                </a:graphic>
              </wp:anchor>
            </w:drawing>
          </mc:Choice>
          <mc:Fallback>
            <w:pict>
              <v:shape id="_x0000_s1026" o:spid="_x0000_s1026" o:spt="202" type="#_x0000_t202" style="position:absolute;left:0pt;margin-left:-10.5pt;margin-top:20.05pt;height:33.65pt;width:81pt;z-index:251771904;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KqyZ1gAAAAoBAAAPAAAAAAAAAAEAIAAAACIAAABk&#10;cnMvZG93bnJldi54bWxQSwECFAAUAAAACACHTuJAyVfpcs8BAACTAwAADgAAAAAAAAABACAAAAAl&#10;AQAAZHJzL2Uyb0RvYy54bWxQSwUGAAAAAAYABgBZAQAAZgUAAAAA&#10;">
                <v:fill on="f" focussize="0,0"/>
                <v:stroke on="f"/>
                <v:imagedata o:title=""/>
                <o:lock v:ext="edit" aspectratio="f"/>
                <v:textbox>
                  <w:txbxContent>
                    <w:p w14:paraId="05A0861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7C750C5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30.1      </w:t>
      </w:r>
    </w:p>
    <w:p w14:paraId="0663120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承包人应承担本合同中规定应由承包人承担的风险。</w:t>
      </w:r>
    </w:p>
    <w:p w14:paraId="1F6D5BF4">
      <w:pPr>
        <w:widowControl w:val="0"/>
        <w:tabs>
          <w:tab w:val="left" w:pos="1320"/>
          <w:tab w:val="left" w:pos="144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a:effectLst/>
                      </wps:spPr>
                      <wps:txbx>
                        <w:txbxContent>
                          <w:p w14:paraId="53E05E7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wps:txbx>
                      <wps:bodyPr vert="horz" wrap="square" anchor="t" anchorCtr="0" upright="1"/>
                    </wps:wsp>
                  </a:graphicData>
                </a:graphic>
              </wp:anchor>
            </w:drawing>
          </mc:Choice>
          <mc:Fallback>
            <w:pict>
              <v:shape id="_x0000_s1026" o:spid="_x0000_s1026" o:spt="202" type="#_x0000_t202" style="position:absolute;left:0pt;margin-left:-9pt;margin-top:20.65pt;height:24.25pt;width:72pt;z-index:251772928;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C+T5zXAAAACQEAAA8AAAAAAAAAAQAgAAAAIgAA&#10;AGRycy9kb3ducmV2LnhtbFBLAQIUABQAAAAIAIdO4kCUczwT0AEAAJIDAAAOAAAAAAAAAAEAIAAA&#10;ACYBAABkcnMvZTJvRG9jLnhtbFBLBQYAAAAABgAGAFkBAABoBQAAAAA=&#10;">
                <v:fill on="f" focussize="0,0"/>
                <v:stroke on="f"/>
                <v:imagedata o:title=""/>
                <o:lock v:ext="edit" aspectratio="f"/>
                <v:textbox>
                  <w:txbxContent>
                    <w:p w14:paraId="53E05E7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30.2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4E8A5AE">
      <w:pPr>
        <w:widowControl w:val="0"/>
        <w:tabs>
          <w:tab w:val="left" w:pos="1440"/>
        </w:tabs>
        <w:adjustRightInd w:val="0"/>
        <w:snapToGrid w:val="0"/>
        <w:spacing w:line="420" w:lineRule="exact"/>
        <w:ind w:left="1619" w:leftChars="771" w:firstLine="2"/>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自开工之日起直到颁发工程接收证书之日止，承包人风险为：除第29条和第31条以外的人员伤亡以及财产（包括但不限于合同工程、材料、工程设备和施工设备）的损失或损坏。</w:t>
      </w:r>
    </w:p>
    <w:p w14:paraId="7AF92498">
      <w:pPr>
        <w:widowControl w:val="0"/>
        <w:adjustRightInd w:val="0"/>
        <w:snapToGrid w:val="0"/>
        <w:spacing w:line="420" w:lineRule="exact"/>
        <w:ind w:right="-240"/>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5A8B129D">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31  不可抗力</w:t>
      </w:r>
    </w:p>
    <w:p w14:paraId="4730A6AD">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31.1      </w:t>
      </w:r>
    </w:p>
    <w:p w14:paraId="1265503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不可抗力是指合同当事人在签订合同时不可预见，在合同履行过程中不可避免且不能克服的自然灾害和社会性突发事件，如地震、海啸、瘟疫、骚乱、戒严、暴动、战争等。</w:t>
      </w:r>
    </w:p>
    <w:p w14:paraId="1646FB74">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31.2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127ABF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a:effectLst/>
                      </wps:spPr>
                      <wps:txbx>
                        <w:txbxContent>
                          <w:p w14:paraId="737C010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vert="horz" wrap="square" anchor="t" anchorCtr="0" upright="1"/>
                    </wps:wsp>
                  </a:graphicData>
                </a:graphic>
              </wp:anchor>
            </w:drawing>
          </mc:Choice>
          <mc:Fallback>
            <w:pict>
              <v:shape id="_x0000_s1026" o:spid="_x0000_s1026" o:spt="202" type="#_x0000_t202" style="position:absolute;left:0pt;margin-left:-9pt;margin-top:0.6pt;height:38.8pt;width:72pt;z-index:251773952;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&#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r7S/t1QAAAAgBAAAPAAAAAAAAAAEAIAAAACIAAABk&#10;cnMvZG93bnJldi54bWxQSwECFAAUAAAACACHTuJAnVuPBtABAACSAwAADgAAAAAAAAABACAAAAAk&#10;AQAAZHJzL2Uyb0RvYy54bWxQSwUGAAAAAAYABgBZAQAAZgUAAAAA&#10;">
                <v:fill on="f" focussize="0,0"/>
                <v:stroke on="f"/>
                <v:imagedata o:title=""/>
                <o:lock v:ext="edit" aspectratio="f"/>
                <v:textbox>
                  <w:txbxContent>
                    <w:p w14:paraId="737C010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14:paraId="11FBF9D8">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31.3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7A56EF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4EF014B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vert="horz" wrap="square" anchor="t" anchorCtr="0" upright="1"/>
                    </wps:wsp>
                  </a:graphicData>
                </a:graphic>
              </wp:anchor>
            </w:drawing>
          </mc:Choice>
          <mc:Fallback>
            <w:pict>
              <v:shape id="_x0000_s1026" o:spid="_x0000_s1026" o:spt="202" type="#_x0000_t202" style="position:absolute;left:0pt;margin-left:-9pt;margin-top:1.75pt;height:54.6pt;width:72pt;z-index:251774976;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LrpXXAAAACQEAAA8AAAAAAAAAAQAgAAAAIgAA&#10;AGRycy9kb3ducmV2LnhtbFBLAQIUABQAAAAIAIdO4kC0Jth60AEAAJIDAAAOAAAAAAAAAAEAIAAA&#10;ACYBAABkcnMvZTJvRG9jLnhtbFBLBQYAAAAABgAGAFkBAABoBQAAAAA=&#10;">
                <v:fill on="f" focussize="0,0"/>
                <v:stroke on="f"/>
                <v:imagedata o:title=""/>
                <o:lock v:ext="edit" aspectratio="f"/>
                <v:textbox>
                  <w:txbxContent>
                    <w:p w14:paraId="4EF014B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因不可抗力事件导致的费用，由合同双方当事人按照下列规定承担，并相应调整合同价款：</w:t>
      </w:r>
    </w:p>
    <w:p w14:paraId="533B149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（1）永久工程本身的损害、已运至施工场地的材料和工程设备的损害，以及因工程损害导致第三者人员伤亡和财产损失，由发包人承担；</w:t>
      </w:r>
    </w:p>
    <w:p w14:paraId="31A6078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（2）承包人施工设备和用于合同工程的周转材料损坏以及停工损失，由承包人承担；发包人提供的施工设备损坏，由发包人承担；</w:t>
      </w:r>
    </w:p>
    <w:p w14:paraId="7D68A21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（3）施工场地内的人员伤亡和本款第(1)点、第(2)点以外财产损失及其相关费用，由合同双方当事人各自承担；</w:t>
      </w:r>
    </w:p>
    <w:p w14:paraId="60180D8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（4）停工期间，承包人应监理工程师要求照管工程的费用，由发包人承担；</w:t>
      </w:r>
    </w:p>
    <w:p w14:paraId="4CC7CBA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（5）工程所需的清理、修复费用，由发包人承担。</w:t>
      </w:r>
    </w:p>
    <w:p w14:paraId="445D7864">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a:effectLst/>
                      </wps:spPr>
                      <wps:txbx>
                        <w:txbxContent>
                          <w:p w14:paraId="34ED2A2F">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不可抗力引起工期的处理</w:t>
                            </w:r>
                          </w:p>
                        </w:txbxContent>
                      </wps:txbx>
                      <wps:bodyPr vert="horz" wrap="square" anchor="t" anchorCtr="0" upright="1"/>
                    </wps:wsp>
                  </a:graphicData>
                </a:graphic>
              </wp:anchor>
            </w:drawing>
          </mc:Choice>
          <mc:Fallback>
            <w:pict>
              <v:shape id="_x0000_s1026"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OcIaHXAAAACgEAAA8AAAAAAAAAAQAgAAAAIgAA&#10;AGRycy9kb3ducmV2LnhtbFBLAQIUABQAAAAIAIdO4kAL/Lo40AEAAJIDAAAOAAAAAAAAAAEAIAAA&#10;ACYBAABkcnMvZTJvRG9jLnhtbFBLBQYAAAAABgAGAFkBAABoBQAAAAA=&#10;">
                <v:fill on="f" focussize="0,0"/>
                <v:stroke on="f"/>
                <v:imagedata o:title=""/>
                <o:lock v:ext="edit" aspectratio="f"/>
                <v:textbox>
                  <w:txbxContent>
                    <w:p w14:paraId="34ED2A2F">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31.4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4F1E37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因发生不可抗力事件导致工期延误的，工期相应顺延；不能按期竣工的，承包人无需为此支付任何误期赔偿费。发包人要求赶工的，承包人应采取赶工措施，赶工费用由发包人支付。</w:t>
      </w:r>
    </w:p>
    <w:p w14:paraId="79D2110A">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a:effectLst/>
                      </wps:spPr>
                      <wps:txbx>
                        <w:txbxContent>
                          <w:p w14:paraId="3EBA408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OcIaHXAAAACgEAAA8AAAAAAAAAAQAgAAAAIgAA&#10;AGRycy9kb3ducmV2LnhtbFBLAQIUABQAAAAIAIdO4kC9IeyJ0AEAAJIDAAAOAAAAAAAAAAEAIAAA&#10;ACYBAABkcnMvZTJvRG9jLnhtbFBLBQYAAAAABgAGAFkBAABoBQAAAAA=&#10;">
                <v:fill on="f" focussize="0,0"/>
                <v:stroke on="f"/>
                <v:imagedata o:title=""/>
                <o:lock v:ext="edit" aspectratio="f"/>
                <v:textbox>
                  <w:txbxContent>
                    <w:p w14:paraId="3EBA408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31.5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747801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合同任何一方当事人延迟履行合同后发生不可抗力事件的，不能免除另一方当事人因不可抗力造成损失的责任。</w:t>
      </w:r>
    </w:p>
    <w:p w14:paraId="6DE9479D">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a:effectLst/>
                      </wps:spPr>
                      <wps:txbx>
                        <w:txbxContent>
                          <w:p w14:paraId="08B5008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vert="horz" wrap="square" anchor="t" anchorCtr="0" upright="1"/>
                    </wps:wsp>
                  </a:graphicData>
                </a:graphic>
              </wp:anchor>
            </w:drawing>
          </mc:Choice>
          <mc:Fallback>
            <w:pict>
              <v:shape id="_x0000_s1026" o:spid="_x0000_s1026" o:spt="202" type="#_x0000_t202" style="position:absolute;left:0pt;margin-left:-9pt;margin-top:19.5pt;height:44.35pt;width:72pt;z-index:251778048;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OcIaHXAAAACgEAAA8AAAAAAAAAAQAgAAAAIgAA&#10;AGRycy9kb3ducmV2LnhtbFBLAQIUABQAAAAIAIdO4kAQlw5Q0AEAAJIDAAAOAAAAAAAAAAEAIAAA&#10;ACYBAABkcnMvZTJvRG9jLnhtbFBLBQYAAAAABgAGAFkBAABoBQAAAAA=&#10;">
                <v:fill on="f" focussize="0,0"/>
                <v:stroke on="f"/>
                <v:imagedata o:title=""/>
                <o:lock v:ext="edit" aspectratio="f"/>
                <v:textbox>
                  <w:txbxContent>
                    <w:p w14:paraId="08B5008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31.6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D5E0CA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不可抗力事件发生后，合同双方当事人应采取措施尽量避免和减少由此发生的损失。因合同任何一方当事人没有采取有效措施而导致损失扩大的，则损失扩大部分由其自身承担。</w:t>
      </w:r>
    </w:p>
    <w:p w14:paraId="68AE73D4">
      <w:pPr>
        <w:widowControl w:val="0"/>
        <w:adjustRightInd w:val="0"/>
        <w:snapToGrid w:val="0"/>
        <w:spacing w:line="420" w:lineRule="exact"/>
        <w:jc w:val="both"/>
        <w:rPr>
          <w:rFonts w:ascii="宋体" w:hAnsi="宋体" w:eastAsia="宋体" w:cs="宋体"/>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single"/>
          <w:lang w:val="en-US" w:eastAsia="zh-CN" w:bidi="ar-SA"/>
          <w14:textFill>
            <w14:solidFill>
              <w14:schemeClr w14:val="tx1"/>
            </w14:solidFill>
          </w14:textFill>
        </w:rPr>
        <w:t xml:space="preserve">        </w:t>
      </w:r>
    </w:p>
    <w:p w14:paraId="44686CB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32  保险</w:t>
      </w:r>
    </w:p>
    <w:p w14:paraId="63D3E0FB">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32.1      </w:t>
      </w:r>
    </w:p>
    <w:p w14:paraId="505EAF3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a:effectLst/>
                      </wps:spPr>
                      <wps:txbx>
                        <w:txbxContent>
                          <w:p w14:paraId="1BD5B43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11BA92E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vert="horz" wrap="square" anchor="t" anchorCtr="0" upright="1"/>
                    </wps:wsp>
                  </a:graphicData>
                </a:graphic>
              </wp:anchor>
            </w:drawing>
          </mc:Choice>
          <mc:Fallback>
            <w:pict>
              <v:shape id="_x0000_s1026" o:spid="_x0000_s1026" o:spt="202" type="#_x0000_t202" style="position:absolute;left:0pt;margin-left:-9pt;margin-top:0.6pt;height:31.2pt;width:81pt;z-index:251779072;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4yfBG1QAAAAgBAAAPAAAAAAAAAAEAIAAAACIAAABk&#10;cnMvZG93bnJldi54bWxQSwECFAAUAAAACACHTuJAyktgYNABAACTAwAADgAAAAAAAAABACAAAAAk&#10;AQAAZHJzL2Uyb0RvYy54bWxQSwUGAAAAAAYABgBZAQAAZgUAAAAA&#10;">
                <v:fill on="f" focussize="0,0"/>
                <v:stroke on="f"/>
                <v:imagedata o:title=""/>
                <o:lock v:ext="edit" aspectratio="f"/>
                <v:textbox>
                  <w:txbxContent>
                    <w:p w14:paraId="1BD5B43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11BA92E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发包人应按照下列规定办理保险，并支付保险费：</w:t>
      </w:r>
    </w:p>
    <w:p w14:paraId="5577226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（1）工程开工前，为合同工程办理建筑工程一切险（加保第三者责任险）、安装工程一切险；</w:t>
      </w:r>
    </w:p>
    <w:p w14:paraId="2E05769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（2）工程开工前，为施工场地内的自有人员办理工伤保险、意外伤害保险；</w:t>
      </w:r>
    </w:p>
    <w:p w14:paraId="2E65050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保险期从办理保险之日起至工程竣工验收合格之日止。</w:t>
      </w:r>
    </w:p>
    <w:p w14:paraId="16686BE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（3）工程开工前，为合同工程办理工程质量保险；并由保险公司对工程质量、施工安全进行综合担保，以及聘请专业的团队进行工程建设全过程风险、质量控制。</w:t>
      </w:r>
    </w:p>
    <w:p w14:paraId="41D2070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发包人可将其中部分事项委托给承包人办理，具体由合同双方当事人在专用条款中约定。除合同价款已包括外，由发包人承担所需保险费用，并向承包人支付合理利润。</w:t>
      </w:r>
    </w:p>
    <w:p w14:paraId="5A85632F">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32.2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A971D1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a:effectLst/>
                      </wps:spPr>
                      <wps:txbx>
                        <w:txbxContent>
                          <w:p w14:paraId="5B78C1D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31AF3E4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vert="horz" wrap="square" anchor="t" anchorCtr="0" upright="1"/>
                    </wps:wsp>
                  </a:graphicData>
                </a:graphic>
              </wp:anchor>
            </w:drawing>
          </mc:Choice>
          <mc:Fallback>
            <w:pict>
              <v:shape id="_x0000_s1026" o:spid="_x0000_s1026" o:spt="202" type="#_x0000_t202" style="position:absolute;left:0pt;margin-left:-9pt;margin-top:0.05pt;height:37.65pt;width:81pt;z-index:251780096;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6U7LFtQAAAAHAQAADwAAAAAAAAABACAAAAAiAAAAZHJz&#10;L2Rvd25yZXYueG1sUEsBAhQAFAAAAAgAh07iQOSN37XPAQAAkwMAAA4AAAAAAAAAAQAgAAAAIwEA&#10;AGRycy9lMm9Eb2MueG1sUEsFBgAAAAAGAAYAWQEAAGQFAAAAAA==&#10;">
                <v:fill on="f" focussize="0,0"/>
                <v:stroke on="f"/>
                <v:imagedata o:title=""/>
                <o:lock v:ext="edit" aspectratio="f"/>
                <v:textbox>
                  <w:txbxContent>
                    <w:p w14:paraId="5B78C1D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31AF3E4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承包人应按照下列规定办理保险，并支付保险费：</w:t>
      </w:r>
    </w:p>
    <w:p w14:paraId="595447D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工程开工前，为施工场地内自有人员（包括分包人在内）办理工伤保险、意外伤害保险（主要为从事危险作业的人员办理，如涉及安全风险系数较高的深基坑、高空作业等），以及安全生产责任险等法律法规明确要求应当由承包人办理的保险；</w:t>
      </w:r>
    </w:p>
    <w:p w14:paraId="3B498BC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(2)为施工场地内的自有施工设备、第32.1款第(1)点建筑工程一切险以外采购进场的材料和工程设备等办理保险。</w:t>
      </w:r>
    </w:p>
    <w:p w14:paraId="21D9F08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保险期从开工之日起至工程竣工验收合格之日止。</w:t>
      </w:r>
    </w:p>
    <w:p w14:paraId="26CC4B73">
      <w:pPr>
        <w:widowControl w:val="0"/>
        <w:tabs>
          <w:tab w:val="left" w:pos="1080"/>
        </w:tabs>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a:effectLst/>
                      </wps:spPr>
                      <wps:txbx>
                        <w:txbxContent>
                          <w:p w14:paraId="7F27AAB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vert="horz" wrap="square" anchor="t" anchorCtr="0" upright="1"/>
                    </wps:wsp>
                  </a:graphicData>
                </a:graphic>
              </wp:anchor>
            </w:drawing>
          </mc:Choice>
          <mc:Fallback>
            <w:pict>
              <v:shape id="_x0000_s1026" o:spid="_x0000_s1026" o:spt="202" type="#_x0000_t202" style="position:absolute;left:0pt;margin-left:-9pt;margin-top:22.6pt;height:42.6pt;width:72pt;z-index:251781120;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yRneNgAAAAKAQAADwAAAAAAAAABACAAAAAiAAAA&#10;ZHJzL2Rvd25yZXYueG1sUEsBAhQAFAAAAAgAh07iQCpyzMDOAQAAkgMAAA4AAAAAAAAAAQAgAAAA&#10;JwEAAGRycy9lMm9Eb2MueG1sUEsFBgAAAAAGAAYAWQEAAGcFAAAAAA==&#10;">
                <v:fill on="f" focussize="0,0"/>
                <v:stroke on="f"/>
                <v:imagedata o:title=""/>
                <o:lock v:ext="edit" aspectratio="f"/>
                <v:textbox>
                  <w:txbxContent>
                    <w:p w14:paraId="7F27AAB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32.3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1A3975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合同一方当事人应按照本合同要求向另一方当事人提供有效的投保保险单和保险凭证。</w:t>
      </w:r>
    </w:p>
    <w:p w14:paraId="763FB543">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73EC3530">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未按规定投保的补救</w:t>
                            </w:r>
                          </w:p>
                        </w:txbxContent>
                      </wps:txbx>
                      <wps:bodyPr vert="horz" wrap="square" anchor="t" anchorCtr="0" upright="1"/>
                    </wps:wsp>
                  </a:graphicData>
                </a:graphic>
              </wp:anchor>
            </w:drawing>
          </mc:Choice>
          <mc:Fallback>
            <w:pict>
              <v:shape id="_x0000_s1026" o:spid="_x0000_s1026" o:spt="202" type="#_x0000_t202" style="position:absolute;left:0pt;margin-left:-9pt;margin-top:18.65pt;height:31.2pt;width:72pt;z-index:251782144;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wokOLXAAAACQEAAA8AAAAAAAAAAQAgAAAAIgAA&#10;AGRycy9kb3ducmV2LnhtbFBLAQIUABQAAAAIAIdO4kCHt4yP0AEAAJIDAAAOAAAAAAAAAAEAIAAA&#10;ACYBAABkcnMvZTJvRG9jLnhtbFBLBQYAAAAABgAGAFkBAABoBQAAAAA=&#10;">
                <v:fill on="f" focussize="0,0"/>
                <v:stroke on="f"/>
                <v:imagedata o:title=""/>
                <o:lock v:ext="edit" aspectratio="f"/>
                <v:textbox>
                  <w:txbxContent>
                    <w:p w14:paraId="73EC3530">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32.4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6F88C2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合同双方当事人应遵守本条规定办理有关保险事项。如果未按规定投保的，应按下列规定补偿：</w:t>
      </w:r>
    </w:p>
    <w:p w14:paraId="666857A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(1)由于负有投保义务的合同一方当事人未按合同约定办理保险，或未能使保险持续有效的，则另一方当事人可代为办理，所需费用由对方当事人承担；</w:t>
      </w:r>
    </w:p>
    <w:p w14:paraId="19827D5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(2)由于负有投保义务的合同一方当事人未按合同约定办理某项保险，导致受益人未能得到保险人的赔偿，则该项保险金应由负有投保义务的一方当事人支付。</w:t>
      </w:r>
    </w:p>
    <w:p w14:paraId="72FF8AB9">
      <w:pPr>
        <w:widowControl w:val="0"/>
        <w:adjustRightInd w:val="0"/>
        <w:snapToGrid w:val="0"/>
        <w:spacing w:line="420" w:lineRule="exact"/>
        <w:jc w:val="both"/>
        <w:rPr>
          <w:rFonts w:ascii="宋体" w:hAnsi="宋体" w:eastAsia="宋体" w:cs="宋体"/>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a:effectLst/>
                      </wps:spPr>
                      <wps:txbx>
                        <w:txbxContent>
                          <w:p w14:paraId="5292083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23pt;height:42.6pt;width:72pt;z-index:251783168;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GPKUX1wAAAAoBAAAPAAAAAAAAAAEAIAAAACIA&#10;AABkcnMvZG93bnJldi54bWxQSwECFAAUAAAACACHTuJAMRl4qNEBAACSAwAADgAAAAAAAAABACAA&#10;AAAmAQAAZHJzL2Uyb0RvYy54bWxQSwUGAAAAAAYABgBZAQAAaQUAAAAA&#10;">
                <v:fill on="f" focussize="0,0"/>
                <v:stroke on="f"/>
                <v:imagedata o:title=""/>
                <o:lock v:ext="edit" aspectratio="f"/>
                <v:textbox>
                  <w:txbxContent>
                    <w:p w14:paraId="5292083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32.5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36236BB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当合同工程发生保险事故时,被保险人应及时通知保险人，并提供有关资料。合同双方当事人有责任采取合理有效措施防止或减少损失，并应相互协助做好向保险人的报告和理赔工作。</w:t>
      </w:r>
    </w:p>
    <w:p w14:paraId="3E0E4B3B">
      <w:pPr>
        <w:widowControl w:val="0"/>
        <w:tabs>
          <w:tab w:val="left" w:pos="1320"/>
          <w:tab w:val="left" w:pos="1620"/>
        </w:tabs>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32.6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C2D394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a:effectLst/>
                      </wps:spPr>
                      <wps:txbx>
                        <w:txbxContent>
                          <w:p w14:paraId="652E351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3.5pt;width:72pt;z-index:251784192;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fRAJ+1AAAAAcBAAAPAAAAAAAAAAEAIAAAACIAAABk&#10;cnMvZG93bnJldi54bWxQSwECFAAUAAAACACHTuJAUcNPXtEBAACSAwAADgAAAAAAAAABACAAAAAj&#10;AQAAZHJzL2Uyb0RvYy54bWxQSwUGAAAAAAYABgBZAQAAZgUAAAAA&#10;">
                <v:fill on="f" focussize="0,0"/>
                <v:stroke on="f"/>
                <v:imagedata o:title=""/>
                <o:lock v:ext="edit" aspectratio="f"/>
                <v:textbox>
                  <w:txbxContent>
                    <w:p w14:paraId="652E351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当合同工程的性质、规模或计划发生变更时，被保险人应及时通知保险人，并在合同履行期间按照本条规定保证足够的保险额，由此造成的费用由责任方承担。</w:t>
      </w:r>
    </w:p>
    <w:p w14:paraId="3F3CDCFB">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32.7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A58BEB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85216"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a:effectLst/>
                      </wps:spPr>
                      <wps:txbx>
                        <w:txbxContent>
                          <w:p w14:paraId="32CA70E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vert="horz" wrap="square" anchor="t" anchorCtr="0" upright="1"/>
                    </wps:wsp>
                  </a:graphicData>
                </a:graphic>
              </wp:anchor>
            </w:drawing>
          </mc:Choice>
          <mc:Fallback>
            <w:pict>
              <v:shape id="_x0000_s1026" o:spid="_x0000_s1026" o:spt="202" type="#_x0000_t202" style="position:absolute;left:0pt;margin-left:-5.25pt;margin-top:1.1pt;height:33.5pt;width:72pt;z-index:251785216;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T9TUdUAAAAIAQAADwAAAAAAAAABACAAAAAiAAAA&#10;ZHJzL2Rvd25yZXYueG1sUEsBAhQAFAAAAAgAh07iQBWN7O/RAQAAkgMAAA4AAAAAAAAAAQAgAAAA&#10;JAEAAGRycy9lMm9Eb2MueG1sUEsFBgAAAAAGAAYAWQEAAGcFAAAAAA==&#10;">
                <v:fill on="f" focussize="0,0"/>
                <v:stroke on="f"/>
                <v:imagedata o:title=""/>
                <o:lock v:ext="edit" aspectratio="f"/>
                <v:textbox>
                  <w:txbxContent>
                    <w:p w14:paraId="32CA70E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从保险人收到的因合同工程本身损失或损坏的保险金,应专项用于修复合同工程的损失或损坏，或作为对未能修复合同工程这些损失或损坏的补偿。</w:t>
      </w:r>
    </w:p>
    <w:p w14:paraId="5ADA04BE">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a:effectLst/>
                      </wps:spPr>
                      <wps:txbx>
                        <w:txbxContent>
                          <w:p w14:paraId="48946EC7">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约定投保事项</w:t>
                            </w:r>
                          </w:p>
                        </w:txbxContent>
                      </wps:txbx>
                      <wps:bodyPr vert="horz" wrap="square" anchor="t" anchorCtr="0" upright="1"/>
                    </wps:wsp>
                  </a:graphicData>
                </a:graphic>
              </wp:anchor>
            </w:drawing>
          </mc:Choice>
          <mc:Fallback>
            <w:pict>
              <v:shape id="_x0000_s1026" o:spid="_x0000_s1026" o:spt="202" type="#_x0000_t202" style="position:absolute;left:0pt;margin-left:-9pt;margin-top:17.9pt;height:32.05pt;width:72pt;z-index:251786240;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dw8uNYAAAAJAQAADwAAAAAAAAABACAAAAAiAAAA&#10;ZHJzL2Rvd25yZXYueG1sUEsBAhQAFAAAAAgAh07iQIslfB3QAQAAkgMAAA4AAAAAAAAAAQAgAAAA&#10;JQEAAGRycy9lMm9Eb2MueG1sUEsFBgAAAAAGAAYAWQEAAGcFAAAAAA==&#10;">
                <v:fill on="f" focussize="0,0"/>
                <v:stroke on="f"/>
                <v:imagedata o:title=""/>
                <o:lock v:ext="edit" aspectratio="f"/>
                <v:textbox>
                  <w:txbxContent>
                    <w:p w14:paraId="48946EC7">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32.8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7ED802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具体投保内容、保险金、保险期限及相关责任等事项，合同双方当事人应在专用条款中约定。</w:t>
      </w:r>
    </w:p>
    <w:p w14:paraId="7254FBC0">
      <w:pPr>
        <w:widowControl w:val="0"/>
        <w:adjustRightInd w:val="0"/>
        <w:snapToGrid w:val="0"/>
        <w:spacing w:line="420" w:lineRule="exact"/>
        <w:ind w:right="-238"/>
        <w:jc w:val="both"/>
        <w:outlineLvl w:val="1"/>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29E6C0C3">
      <w:pPr>
        <w:spacing w:line="420" w:lineRule="exact"/>
        <w:jc w:val="center"/>
        <w:outlineLvl w:val="1"/>
        <w:rPr>
          <w:rFonts w:ascii="方正小标宋_GBK" w:hAnsi="方正小标宋_GBK" w:eastAsia="方正小标宋_GBK" w:cs="方正小标宋_GBK"/>
          <w:b/>
          <w:bCs/>
          <w:color w:val="000000" w:themeColor="text1"/>
          <w:sz w:val="24"/>
          <w:szCs w:val="24"/>
          <w:highlight w:val="none"/>
          <w14:textFill>
            <w14:solidFill>
              <w14:schemeClr w14:val="tx1"/>
            </w14:solidFill>
          </w14:textFill>
        </w:rPr>
      </w:pPr>
      <w:bookmarkStart w:id="516" w:name="_Toc2014"/>
      <w:bookmarkStart w:id="517" w:name="_Toc24859"/>
      <w:bookmarkStart w:id="518" w:name="_Toc25248"/>
      <w:r>
        <w:rPr>
          <w:rFonts w:hint="eastAsia" w:ascii="方正小标宋_GBK" w:hAnsi="方正小标宋_GBK" w:eastAsia="方正小标宋_GBK" w:cs="方正小标宋_GBK"/>
          <w:b/>
          <w:bCs/>
          <w:color w:val="000000" w:themeColor="text1"/>
          <w:sz w:val="24"/>
          <w:szCs w:val="24"/>
          <w:highlight w:val="none"/>
          <w14:textFill>
            <w14:solidFill>
              <w14:schemeClr w14:val="tx1"/>
            </w14:solidFill>
          </w14:textFill>
        </w:rPr>
        <w:t>四、工  期</w:t>
      </w:r>
      <w:bookmarkEnd w:id="516"/>
      <w:bookmarkEnd w:id="517"/>
      <w:bookmarkEnd w:id="518"/>
    </w:p>
    <w:p w14:paraId="44302A3D">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33  进度计划和报告</w:t>
      </w:r>
    </w:p>
    <w:p w14:paraId="6020F29D">
      <w:pPr>
        <w:widowControl w:val="0"/>
        <w:tabs>
          <w:tab w:val="left" w:pos="16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a:effectLst/>
                      </wps:spPr>
                      <wps:txbx>
                        <w:txbxContent>
                          <w:p w14:paraId="79DC6328">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wps:txbx>
                      <wps:bodyPr vert="horz" wrap="square" anchor="t" anchorCtr="0" upright="1"/>
                    </wps:wsp>
                  </a:graphicData>
                </a:graphic>
              </wp:anchor>
            </w:drawing>
          </mc:Choice>
          <mc:Fallback>
            <w:pict>
              <v:shape id="_x0000_s1026" o:spid="_x0000_s1026" o:spt="202" type="#_x0000_t202" style="position:absolute;left:0pt;margin-left:-9pt;margin-top:22.35pt;height:32.5pt;width:72pt;z-index:251787264;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3cbg72AAAAAoBAAAPAAAAAAAAAAEAIAAAACIA&#10;AABkcnMvZG93bnJldi54bWxQSwECFAAUAAAACACHTuJA07MTptABAACSAwAADgAAAAAAAAABACAA&#10;AAAnAQAAZHJzL2Uyb0RvYy54bWxQSwUGAAAAAAYABgBZAQAAaQUAAAAA&#10;">
                <v:fill on="f" focussize="0,0"/>
                <v:stroke on="f"/>
                <v:imagedata o:title=""/>
                <o:lock v:ext="edit" aspectratio="f"/>
                <v:textbox>
                  <w:txbxContent>
                    <w:p w14:paraId="79DC6328">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33.1      </w:t>
      </w:r>
    </w:p>
    <w:p w14:paraId="300FB7C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在签订本合同后的31天内，向监理工程师提交一式两份施工组织设计和合同工程进度计划，向发包人提交一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4A467EEE">
      <w:pPr>
        <w:widowControl w:val="0"/>
        <w:tabs>
          <w:tab w:val="left" w:pos="1620"/>
        </w:tabs>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a:effectLst/>
                      </wps:spPr>
                      <wps:txbx>
                        <w:txbxContent>
                          <w:p w14:paraId="5ADD9FE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vert="horz" wrap="square" anchor="t" anchorCtr="0" upright="1"/>
                    </wps:wsp>
                  </a:graphicData>
                </a:graphic>
              </wp:anchor>
            </w:drawing>
          </mc:Choice>
          <mc:Fallback>
            <w:pict>
              <v:shape id="_x0000_s1026" o:spid="_x0000_s1026" o:spt="202" type="#_x0000_t202" style="position:absolute;left:0pt;margin-left:-9pt;margin-top:22.15pt;height:37.15pt;width:72pt;z-index:251788288;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B+0eNcAAAAKAQAADwAAAAAAAAABACAAAAAiAAAA&#10;ZHJzL2Rvd25yZXYueG1sUEsBAhQAFAAAAAgAh07iQNEPN/fPAQAAkgMAAA4AAAAAAAAAAQAgAAAA&#10;JgEAAGRycy9lMm9Eb2MueG1sUEsFBgAAAAAGAAYAWQEAAGcFAAAAAA==&#10;">
                <v:fill on="f" focussize="0,0"/>
                <v:stroke on="f"/>
                <v:imagedata o:title=""/>
                <o:lock v:ext="edit" aspectratio="f"/>
                <v:textbox>
                  <w:txbxContent>
                    <w:p w14:paraId="5ADD9FE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33.2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7A6365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承包人应按照经监理工程师确认并由其报发包人批准的进度计划组织施工，接受监理工程师对工程进度的监督和检查。</w:t>
      </w:r>
    </w:p>
    <w:p w14:paraId="7322D7C3">
      <w:pPr>
        <w:widowControl w:val="0"/>
        <w:tabs>
          <w:tab w:val="left" w:pos="1620"/>
        </w:tabs>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a:effectLst/>
                      </wps:spPr>
                      <wps:txbx>
                        <w:txbxContent>
                          <w:p w14:paraId="29D8F95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vert="horz" wrap="square" anchor="t" anchorCtr="0" upright="1"/>
                    </wps:wsp>
                  </a:graphicData>
                </a:graphic>
              </wp:anchor>
            </w:drawing>
          </mc:Choice>
          <mc:Fallback>
            <w:pict>
              <v:shape id="_x0000_s1026" o:spid="_x0000_s1026" o:spt="202" type="#_x0000_t202" style="position:absolute;left:0pt;margin-left:-9pt;margin-top:20.9pt;height:43.75pt;width:72pt;z-index:251789312;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Lm4CNcAAAAKAQAADwAAAAAAAAABACAAAAAiAAAA&#10;ZHJzL2Rvd25yZXYueG1sUEsBAhQAFAAAAAgAh07iQA6Uf4/PAQAAkgMAAA4AAAAAAAAAAQAgAAAA&#10;JgEAAGRycy9lMm9Eb2MueG1sUEsFBgAAAAAGAAYAWQEAAGcFAAAAAA==&#10;">
                <v:fill on="f" focussize="0,0"/>
                <v:stroke on="f"/>
                <v:imagedata o:title=""/>
                <o:lock v:ext="edit" aspectratio="f"/>
                <v:textbox>
                  <w:txbxContent>
                    <w:p w14:paraId="29D8F95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33.3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272B01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除专用条款另有约定外，承包人应编制每月施工进度报告，同时每季度对进度计划修订一次，并在每月或季结束后的7天内向监理工程师提交上述报告和修订计划一式两份。月施工进度报告的内容至少应包括：</w:t>
      </w:r>
    </w:p>
    <w:p w14:paraId="3578FF3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（1）施工、安装、试验以及其他发包人工作等进展情况的图表和说明；</w:t>
      </w:r>
    </w:p>
    <w:p w14:paraId="0B82FEB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（2）材料、设备、货物的采购和制造商名称、地点以及进入现场情况；</w:t>
      </w:r>
    </w:p>
    <w:p w14:paraId="4B990CA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（3）索赔情况和安全统计；</w:t>
      </w:r>
    </w:p>
    <w:p w14:paraId="5E619A4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（4）实际进度与计划进度的对比，以及为消除延误正在或准备采取的措施。</w:t>
      </w:r>
    </w:p>
    <w:p w14:paraId="545ED625">
      <w:pPr>
        <w:widowControl w:val="0"/>
        <w:tabs>
          <w:tab w:val="left" w:pos="1620"/>
        </w:tabs>
        <w:adjustRightInd w:val="0"/>
        <w:snapToGrid w:val="0"/>
        <w:spacing w:line="420" w:lineRule="exact"/>
        <w:jc w:val="both"/>
        <w:rPr>
          <w:rFonts w:ascii="宋体" w:hAnsi="宋体" w:eastAsia="宋体" w:cs="宋体"/>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a:effectLst/>
                      </wps:spPr>
                      <wps:txbx>
                        <w:txbxContent>
                          <w:p w14:paraId="665A221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vert="horz" wrap="square" anchor="t" anchorCtr="0" upright="1"/>
                    </wps:wsp>
                  </a:graphicData>
                </a:graphic>
              </wp:anchor>
            </w:drawing>
          </mc:Choice>
          <mc:Fallback>
            <w:pict>
              <v:shape id="_x0000_s1026" o:spid="_x0000_s1026" o:spt="202" type="#_x0000_t202" style="position:absolute;left:0pt;margin-left:-9pt;margin-top:19.2pt;height:50.75pt;width:72pt;z-index:251790336;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HppVDYAAAACgEAAA8AAAAAAAAAAQAgAAAAIgAA&#10;AGRycy9kb3ducmV2LnhtbFBLAQIUABQAAAAIAIdO4kA1x6fjzwEAAJIDAAAOAAAAAAAAAAEAIAAA&#10;ACcBAABkcnMvZTJvRG9jLnhtbFBLBQYAAAAABgAGAFkBAABoBQAAAAA=&#10;">
                <v:fill on="f" focussize="0,0"/>
                <v:stroke on="f"/>
                <v:imagedata o:title=""/>
                <o:lock v:ext="edit" aspectratio="f"/>
                <v:textbox>
                  <w:txbxContent>
                    <w:p w14:paraId="665A221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33.4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06E8277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14:paraId="4C51D6E8">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3EE38A0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34  开工</w:t>
      </w:r>
    </w:p>
    <w:p w14:paraId="3E97B9F5">
      <w:pPr>
        <w:widowControl w:val="0"/>
        <w:tabs>
          <w:tab w:val="left" w:pos="1320"/>
        </w:tabs>
        <w:adjustRightInd w:val="0"/>
        <w:snapToGrid w:val="0"/>
        <w:spacing w:line="420" w:lineRule="exact"/>
        <w:ind w:right="3"/>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a:effectLst/>
                      </wps:spPr>
                      <wps:txbx>
                        <w:txbxContent>
                          <w:p w14:paraId="7ABACF4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wps:txbx>
                      <wps:bodyPr vert="horz" wrap="square" anchor="t" anchorCtr="0" upright="1"/>
                    </wps:wsp>
                  </a:graphicData>
                </a:graphic>
              </wp:anchor>
            </w:drawing>
          </mc:Choice>
          <mc:Fallback>
            <w:pict>
              <v:shape id="_x0000_s1026" o:spid="_x0000_s1026" o:spt="202" type="#_x0000_t202" style="position:absolute;left:0pt;margin-left:-9pt;margin-top:19.45pt;height:24.45pt;width:63pt;z-index:251791360;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fiVgNUAAAAJAQAADwAAAAAAAAABACAAAAAiAAAAZHJz&#10;L2Rvd25yZXYueG1sUEsBAhQAFAAAAAgAh07iQEZITXzOAQAAkgMAAA4AAAAAAAAAAQAgAAAAJAEA&#10;AGRycy9lMm9Eb2MueG1sUEsFBgAAAAAGAAYAWQEAAGQFAAAAAA==&#10;">
                <v:fill on="f" focussize="0,0"/>
                <v:stroke on="f"/>
                <v:imagedata o:title=""/>
                <o:lock v:ext="edit" aspectratio="f"/>
                <v:textbox>
                  <w:txbxContent>
                    <w:p w14:paraId="7ABACF4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34.1    </w:t>
      </w:r>
    </w:p>
    <w:p w14:paraId="34BAA98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工程开工必须具备法律规定的开工条件，并已经领取了施工许可证。</w:t>
      </w:r>
    </w:p>
    <w:p w14:paraId="08093AD7">
      <w:pPr>
        <w:widowControl w:val="0"/>
        <w:tabs>
          <w:tab w:val="left" w:pos="1320"/>
        </w:tabs>
        <w:adjustRightInd w:val="0"/>
        <w:snapToGrid w:val="0"/>
        <w:spacing w:line="420" w:lineRule="exact"/>
        <w:ind w:right="3"/>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21F3C12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wps:txbx>
                      <wps:bodyPr vert="horz" wrap="square" anchor="t" anchorCtr="0" upright="1"/>
                    </wps:wsp>
                  </a:graphicData>
                </a:graphic>
              </wp:anchor>
            </w:drawing>
          </mc:Choice>
          <mc:Fallback>
            <w:pict>
              <v:shape id="_x0000_s1026" o:spid="_x0000_s1026" o:spt="202" type="#_x0000_t202" style="position:absolute;left:0pt;margin-left:-9pt;margin-top:19.1pt;height:23.4pt;width:63pt;z-index:251792384;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4WbpX1gAAAAkBAAAPAAAAAAAAAAEAIAAAACIAAABk&#10;cnMvZG93bnJldi54bWxQSwECFAAUAAAACACHTuJAoNZMys8BAACSAwAADgAAAAAAAAABACAAAAAl&#10;AQAAZHJzL2Uyb0RvYy54bWxQSwUGAAAAAAYABgBZAQAAZgUAAAAA&#10;">
                <v:fill on="f" focussize="0,0"/>
                <v:stroke on="f"/>
                <v:imagedata o:title=""/>
                <o:lock v:ext="edit" aspectratio="f"/>
                <v:textbox>
                  <w:txbxContent>
                    <w:p w14:paraId="21F3C12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34.2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506DFD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14:paraId="66A8E7C7">
      <w:pPr>
        <w:widowControl w:val="0"/>
        <w:tabs>
          <w:tab w:val="left" w:pos="1320"/>
        </w:tabs>
        <w:adjustRightInd w:val="0"/>
        <w:snapToGrid w:val="0"/>
        <w:spacing w:line="420" w:lineRule="exact"/>
        <w:ind w:right="3"/>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684714B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21.25pt;height:46.8pt;width:72pt;z-index:251793408;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egpODYAAAACgEAAA8AAAAAAAAAAQAgAAAA&#10;IgAAAGRycy9kb3ducmV2LnhtbFBLAQIUABQAAAAIAIdO4kDk3wrN0gEAAJIDAAAOAAAAAAAAAAEA&#10;IAAAACcBAABkcnMvZTJvRG9jLnhtbFBLBQYAAAAABgAGAFkBAABrBQAAAAA=&#10;">
                <v:fill on="f" focussize="0,0"/>
                <v:stroke on="f"/>
                <v:imagedata o:title=""/>
                <o:lock v:ext="edit" aspectratio="f"/>
                <v:textbox>
                  <w:txbxContent>
                    <w:p w14:paraId="684714B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34.3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CF9BE7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未能按照时开工，应在接到开工令后立即以书面形式向监理工程师提出延期开工的要求并说明理由。监理工程师应当在接到延期开工申请后的48小时内书面予以答复，否则视为同意。由此造成的损失和延误的工期由承包人承担。</w:t>
      </w:r>
    </w:p>
    <w:p w14:paraId="4F0288D2">
      <w:pPr>
        <w:widowControl w:val="0"/>
        <w:tabs>
          <w:tab w:val="left" w:pos="1320"/>
        </w:tabs>
        <w:adjustRightInd w:val="0"/>
        <w:snapToGrid w:val="0"/>
        <w:spacing w:line="420" w:lineRule="exact"/>
        <w:ind w:right="3"/>
        <w:jc w:val="both"/>
        <w:rPr>
          <w:rFonts w:ascii="宋体" w:hAnsi="宋体" w:eastAsia="宋体" w:cs="宋体"/>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a:effectLst/>
                      </wps:spPr>
                      <wps:txbx>
                        <w:txbxContent>
                          <w:p w14:paraId="3562979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8.7pt;height:44.75pt;width:72pt;z-index:251794432;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Qd2RLXAAAACgEAAA8AAAAAAAAAAQAgAAAAIgAA&#10;AGRycy9kb3ducmV2LnhtbFBLAQIUABQAAAAIAIdO4kCY2PeO0AEAAJIDAAAOAAAAAAAAAAEAIAAA&#10;ACYBAABkcnMvZTJvRG9jLnhtbFBLBQYAAAAABgAGAFkBAABoBQAAAAA=&#10;">
                <v:fill on="f" focussize="0,0"/>
                <v:stroke on="f"/>
                <v:imagedata o:title=""/>
                <o:lock v:ext="edit" aspectratio="f"/>
                <v:textbox>
                  <w:txbxContent>
                    <w:p w14:paraId="3562979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34.4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034E294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因发包人的原因不能在第34.2款规定的时间内发出开工令的，监理工程师应至少提前7天以书面形式通知承包人推迟开工。由此造成的损失由发包人承担，开工日期相应顺延。监理工程师未能提前7天通知承包人推迟开工的，由此造成损失的扩大由发包人承担。</w:t>
      </w:r>
    </w:p>
    <w:p w14:paraId="14676EED">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      </w:t>
      </w:r>
    </w:p>
    <w:p w14:paraId="1738D9A1">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35  暂停施工和复工</w:t>
      </w:r>
    </w:p>
    <w:p w14:paraId="670EA28C">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a:effectLst/>
                      </wps:spPr>
                      <wps:txbx>
                        <w:txbxContent>
                          <w:p w14:paraId="3F508FD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vert="horz" wrap="square" anchor="t" anchorCtr="0" upright="1"/>
                    </wps:wsp>
                  </a:graphicData>
                </a:graphic>
              </wp:anchor>
            </w:drawing>
          </mc:Choice>
          <mc:Fallback>
            <w:pict>
              <v:shape id="_x0000_s1026" o:spid="_x0000_s1026" o:spt="202" type="#_x0000_t202" style="position:absolute;left:0pt;margin-left:-9pt;margin-top:20.6pt;height:39.15pt;width:72pt;z-index:251795456;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bVN6NcAAAAKAQAADwAAAAAAAAABACAAAAAiAAAA&#10;ZHJzL2Rvd25yZXYueG1sUEsBAhQAFAAAAAgAh07iQGhViQjPAQAAkgMAAA4AAAAAAAAAAQAgAAAA&#10;JgEAAGRycy9lMm9Eb2MueG1sUEsFBgAAAAAGAAYAWQEAAGcFAAAAAA==&#10;">
                <v:fill on="f" focussize="0,0"/>
                <v:stroke on="f"/>
                <v:imagedata o:title=""/>
                <o:lock v:ext="edit" aspectratio="f"/>
                <v:textbox>
                  <w:txbxContent>
                    <w:p w14:paraId="3F508FD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35.1      </w:t>
      </w:r>
    </w:p>
    <w:p w14:paraId="31D0347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14:paraId="0C12141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因发包人的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视为承包人的暂停施工报告被认可。</w:t>
      </w:r>
    </w:p>
    <w:p w14:paraId="463F640D">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35.2</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      </w:t>
      </w:r>
    </w:p>
    <w:p w14:paraId="091DF5D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a:effectLst/>
                      </wps:spPr>
                      <wps:txbx>
                        <w:txbxContent>
                          <w:p w14:paraId="1DE2DE2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1.6pt;height:39.15pt;width:72pt;z-index:251796480;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&#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xNzy01QAAAAgBAAAPAAAAAAAAAAEAIAAAACIAAABk&#10;cnMvZG93bnJldi54bWxQSwECFAAUAAAACACHTuJAxeNr0dABAACSAwAADgAAAAAAAAABACAAAAAk&#10;AQAAZHJzL2Uyb0RvYy54bWxQSwUGAAAAAAYABgBZAQAAZgUAAAAA&#10;">
                <v:fill on="f" focussize="0,0"/>
                <v:stroke on="f"/>
                <v:imagedata o:title=""/>
                <o:lock v:ext="edit" aspectratio="f"/>
                <v:textbox>
                  <w:txbxContent>
                    <w:p w14:paraId="1DE2DE2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可自行复工，监理工程师应予认可。</w:t>
      </w:r>
    </w:p>
    <w:p w14:paraId="40B92BA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承包人无故拖延或拒绝复工的，由此增加的费用和（或）延误的工期由承包人承担；因发包人的原因无法按时复工的，承包人有权要求发包人增加发生的费用和（或）顺延工期，并支付合理利润。</w:t>
      </w:r>
    </w:p>
    <w:p w14:paraId="6803A075">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731E1879">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19.25pt;height:62.4pt;width:72pt;z-index:251797504;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cJ2d9cAAAAKAQAADwAAAAAAAAABACAAAAAi&#10;AAAAZHJzL2Rvd25yZXYueG1sUEsBAhQAFAAAAAgAh07iQCsz1lnSAQAAkgMAAA4AAAAAAAAAAQAg&#10;AAAAJgEAAGRycy9lMm9Eb2MueG1sUEsFBgAAAAAGAAYAWQEAAGoFAAAAAA==&#10;">
                <v:fill on="f" focussize="0,0"/>
                <v:stroke on="f"/>
                <v:imagedata o:title=""/>
                <o:lock v:ext="edit" aspectratio="f"/>
                <v:textbox>
                  <w:txbxContent>
                    <w:p w14:paraId="731E1879">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35.3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C39805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非承包人的原因造成暂停施工持续56天以上时，承包人可向监理工程师提交复工报审表要求复工；监理工程师应在收到复工报审表后的28天内准许复工。如果在上述期限内监理工程师未予准许，则承包人可以作如下选择：</w:t>
      </w:r>
    </w:p>
    <w:p w14:paraId="6D8E1CF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（1）如果此项停工仅影响合同工程的一部分时，则根据第56.2款规定及时提出工程变更，取消该部分工程，并书面通知发包人，抄送监理工程师和造价工程师；</w:t>
      </w:r>
    </w:p>
    <w:p w14:paraId="6BAC5D0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（2）如果此项停工影响整个合同工程时，则根据第87.4款规定解除合同。</w:t>
      </w:r>
    </w:p>
    <w:p w14:paraId="67A84AC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（3）因承包人的原因引起暂停施工持续56天以上，承包人不采取有效的复工措施，造成工期延误的，发包人可根据第87.3款规定解除合同。</w:t>
      </w:r>
    </w:p>
    <w:p w14:paraId="26D4798F">
      <w:pPr>
        <w:widowControl w:val="0"/>
        <w:tabs>
          <w:tab w:val="left" w:pos="216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35.4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5C8D50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7B0516E9">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05pt;height:62.4pt;width:72pt;z-index:251798528;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dqHS9QAAAAIAQAADwAAAAAAAAABACAAAAAiAAAA&#10;ZHJzL2Rvd25yZXYueG1sUEsBAhQAFAAAAAgAh07iQIaFNIDSAQAAkgMAAA4AAAAAAAAAAQAgAAAA&#10;IwEAAGRycy9lMm9Eb2MueG1sUEsFBgAAAAAGAAYAWQEAAGcFAAAAAA==&#10;">
                <v:fill on="f" focussize="0,0"/>
                <v:stroke on="f"/>
                <v:imagedata o:title=""/>
                <o:lock v:ext="edit" aspectratio="f"/>
                <v:textbox>
                  <w:txbxContent>
                    <w:p w14:paraId="7B0516E9">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因发包人的原因造成暂停施工且引起工期延误的，承包人有权要求发包人增加由此发生的费用和（或）顺延工期，并支付合理利润。</w:t>
      </w:r>
    </w:p>
    <w:p w14:paraId="1424692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（1）因承包人下列原因造成的暂停施工，增加的费用和（或）延误的工期由承包人承担：</w:t>
      </w:r>
    </w:p>
    <w:p w14:paraId="1B926C7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（2）工作失误或违约造成的；</w:t>
      </w:r>
    </w:p>
    <w:p w14:paraId="3B7AB16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（3）为合同工程合理施工和安全保障所必需的；</w:t>
      </w:r>
    </w:p>
    <w:p w14:paraId="594A0FD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（4）施工现场气候条件（除不可抗力停工外）导致的；</w:t>
      </w:r>
    </w:p>
    <w:p w14:paraId="6712DA6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（5）擅自停工的；</w:t>
      </w:r>
    </w:p>
    <w:p w14:paraId="32D0E80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（6）专用条款约定的其他原因。</w:t>
      </w:r>
    </w:p>
    <w:p w14:paraId="162A803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因不可抗力因素造成暂停施工的，按照第31条规定处理。</w:t>
      </w:r>
    </w:p>
    <w:p w14:paraId="695D82DB">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35.5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B2ED5B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799552"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1C1D0798">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vert="horz" wrap="square" anchor="t" anchorCtr="0" upright="1"/>
                    </wps:wsp>
                  </a:graphicData>
                </a:graphic>
              </wp:anchor>
            </w:drawing>
          </mc:Choice>
          <mc:Fallback>
            <w:pict>
              <v:shape id="_x0000_s1026" o:spid="_x0000_s1026" o:spt="202" type="#_x0000_t202" style="position:absolute;left:0pt;margin-left:-5.25pt;margin-top:0.5pt;height:54.6pt;width:72pt;z-index:251799552;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LVLN7UAAAACQEAAA8AAAAAAAAAAQAgAAAAIgAAAGRy&#10;cy9kb3ducmV2LnhtbFBLAQIUABQAAAAIAIdO4kAoJx1Y0AEAAJIDAAAOAAAAAAAAAAEAIAAAACMB&#10;AABkcnMvZTJvRG9jLnhtbFBLBQYAAAAABgAGAFkBAABlBQAAAAA=&#10;">
                <v:fill on="f" focussize="0,0"/>
                <v:stroke on="f"/>
                <v:imagedata o:title=""/>
                <o:lock v:ext="edit" aspectratio="f"/>
                <v:textbox>
                  <w:txbxContent>
                    <w:p w14:paraId="1C1D0798">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发包人未按照合同约定支付工程进度款，经催告后在28天内仍未支付的，承包人可以暂停施工，直至收到包括第78.2款规定的应付利息在内的所欠全部款项。由此造成的暂停施工，视为是因发包人的原因引起的，并按照第35.4款规定处理。</w:t>
      </w:r>
    </w:p>
    <w:p w14:paraId="3E1EE1F4">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35.6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FD485E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16F78EB8">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vert="horz" wrap="square" anchor="t" anchorCtr="0" upright="1"/>
                    </wps:wsp>
                  </a:graphicData>
                </a:graphic>
              </wp:anchor>
            </w:drawing>
          </mc:Choice>
          <mc:Fallback>
            <w:pict>
              <v:shape id="_x0000_s1026" o:spid="_x0000_s1026" o:spt="202" type="#_x0000_t202" style="position:absolute;left:0pt;margin-left:-9pt;margin-top:0.05pt;height:31.2pt;width:72pt;z-index:251800576;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BvS3TAAAABwEAAA8AAAAAAAAAAQAgAAAAIgAAAGRy&#10;cy9kb3ducmV2LnhtbFBLAQIUABQAAAAIAIdO4kBJIJJe0QEAAJIDAAAOAAAAAAAAAAEAIAAAACIB&#10;AABkcnMvZTJvRG9jLnhtbFBLBQYAAAAABgAGAFkBAABlBQAAAAA=&#10;">
                <v:fill on="f" focussize="0,0"/>
                <v:stroke on="f"/>
                <v:imagedata o:title=""/>
                <o:lock v:ext="edit" aspectratio="f"/>
                <v:textbox>
                  <w:txbxContent>
                    <w:p w14:paraId="16F78EB8">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暂停施工结束后，承包人和监理工程师应对受暂停施工影响的工程、材料和工程设备进行检查。承包人负责修复在暂停期间发生的任何变质、缺陷或损坏，因而发生的费用和造成的损失按照第35.4款规定处理。</w:t>
      </w:r>
    </w:p>
    <w:p w14:paraId="106795AA">
      <w:pPr>
        <w:widowControl w:val="0"/>
        <w:adjustRightInd w:val="0"/>
        <w:snapToGrid w:val="0"/>
        <w:spacing w:line="420" w:lineRule="exact"/>
        <w:jc w:val="both"/>
        <w:outlineLvl w:val="2"/>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36  工期和工期延误</w:t>
      </w:r>
    </w:p>
    <w:p w14:paraId="26A7BA60">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36.1     </w:t>
      </w:r>
    </w:p>
    <w:p w14:paraId="54154F3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合同工程的工期，由合同双方当事人根据广东省建设工程工期定额等有关规定，结合合同工程拟实施的施工组织设计或施工方案等情况，科学合理地编制工期，并在合同中约定。</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a:effectLst/>
                      </wps:spPr>
                      <wps:txbx>
                        <w:txbxContent>
                          <w:p w14:paraId="556CB43A">
                            <w:pPr>
                              <w:rPr>
                                <w:rFonts w:ascii="Calibri" w:hAnsi="Calibri" w:eastAsia="宋体" w:cs="Times New Roman"/>
                                <w:szCs w:val="21"/>
                              </w:rPr>
                            </w:pPr>
                          </w:p>
                        </w:txbxContent>
                      </wps:txbx>
                      <wps:bodyPr vert="horz" wrap="square" anchor="t" anchorCtr="0" upright="1"/>
                    </wps:wsp>
                  </a:graphicData>
                </a:graphic>
              </wp:anchor>
            </w:drawing>
          </mc:Choice>
          <mc:Fallback>
            <w:pict>
              <v:shape id="_x0000_s1026" o:spid="_x0000_s1026" o:spt="202" type="#_x0000_t202" style="position:absolute;left:0pt;margin-left:-9pt;margin-top:31pt;height:26.45pt;width:77pt;z-index:251801600;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X/eiNcAAAAKAQAADwAAAAAAAAABACAAAAAiAAAA&#10;ZHJzL2Rvd25yZXYueG1sUEsBAhQAFAAAAAgAh07iQBigI1HPAQAAkgMAAA4AAAAAAAAAAQAgAAAA&#10;JgEAAGRycy9lMm9Eb2MueG1sUEsFBgAAAAAGAAYAWQEAAGcFAAAAAA==&#10;">
                <v:fill on="f" focussize="0,0"/>
                <v:stroke on="f"/>
                <v:imagedata o:title=""/>
                <o:lock v:ext="edit" aspectratio="f"/>
                <v:textbox>
                  <w:txbxContent>
                    <w:p w14:paraId="556CB43A">
                      <w:pPr>
                        <w:rPr>
                          <w:rFonts w:ascii="Calibri" w:hAnsi="Calibri" w:eastAsia="宋体" w:cs="Times New Roman"/>
                          <w:szCs w:val="21"/>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a:effectLst/>
                      </wps:spPr>
                      <wps:txbx>
                        <w:txbxContent>
                          <w:p w14:paraId="325FCE9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wps:txbx>
                      <wps:bodyPr vert="horz" wrap="square" anchor="t" anchorCtr="0" upright="1"/>
                    </wps:wsp>
                  </a:graphicData>
                </a:graphic>
              </wp:anchor>
            </w:drawing>
          </mc:Choice>
          <mc:Fallback>
            <w:pict>
              <v:shape id="_x0000_s1026"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cgpiDVAAAACAEAAA8AAAAAAAAAAQAgAAAAIgAAAGRy&#10;cy9kb3ducmV2LnhtbFBLAQIUABQAAAAIAIdO4kDbK+nKzwEAAJIDAAAOAAAAAAAAAAEAIAAAACQB&#10;AABkcnMvZTJvRG9jLnhtbFBLBQYAAAAABgAGAFkBAABlBQAAAAA=&#10;">
                <v:fill on="f" focussize="0,0"/>
                <v:stroke on="f"/>
                <v:imagedata o:title=""/>
                <o:lock v:ext="edit" aspectratio="f"/>
                <v:textbox>
                  <w:txbxContent>
                    <w:p w14:paraId="325FCE9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如合同工期与广东省建设工程工期定额规定不一致的，需说明与省工期定额规定不一致的原因，并制定保障措施，确保质量、施工安全。</w:t>
      </w:r>
    </w:p>
    <w:p w14:paraId="34554398">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36.2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46C86F7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a:effectLst/>
                      </wps:spPr>
                      <wps:txbx>
                        <w:txbxContent>
                          <w:p w14:paraId="1C8675F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2.5pt;height:36.2pt;width:63pt;z-index:251803648;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IKYg1QAAAAgBAAAPAAAAAAAAAAEAIAAAACIAAABk&#10;cnMvZG93bnJldi54bWxQSwECFAAUAAAACACHTuJAbfa/e9ABAACSAwAADgAAAAAAAAABACAAAAAk&#10;AQAAZHJzL2Uyb0RvYy54bWxQSwUGAAAAAAYABgBZAQAAZgUAAAAA&#10;">
                <v:fill on="f" focussize="0,0"/>
                <v:stroke on="f"/>
                <v:imagedata o:title=""/>
                <o:lock v:ext="edit" aspectratio="f"/>
                <v:textbox>
                  <w:txbxContent>
                    <w:p w14:paraId="1C8675F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合同双方当事人应在专用条款中约定合同工程的工期，工期从开工日期开始计算。合同中包括有多个单位工程的，应在专用条款中约定各单位工程的工期。</w:t>
      </w:r>
    </w:p>
    <w:p w14:paraId="4C878452">
      <w:pPr>
        <w:widowControl w:val="0"/>
        <w:adjustRightInd w:val="0"/>
        <w:snapToGrid w:val="0"/>
        <w:spacing w:line="420" w:lineRule="exact"/>
        <w:ind w:right="-2"/>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36.3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F81B03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a:effectLst/>
                      </wps:spPr>
                      <wps:txbx>
                        <w:txbxContent>
                          <w:p w14:paraId="2655184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wps:txbx>
                      <wps:bodyPr vert="horz" wrap="square" anchor="t" anchorCtr="0" upright="1"/>
                    </wps:wsp>
                  </a:graphicData>
                </a:graphic>
              </wp:anchor>
            </w:drawing>
          </mc:Choice>
          <mc:Fallback>
            <w:pict>
              <v:shape id="_x0000_s1026" o:spid="_x0000_s1026" o:spt="202" type="#_x0000_t202" style="position:absolute;left:0pt;margin-left:-9pt;margin-top:1.3pt;height:20.6pt;width:63pt;z-index:251804672;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nHbgjVAAAACAEAAA8AAAAAAAAAAQAgAAAAIgAAAGRy&#10;cy9kb3ducmV2LnhtbFBLAQIUABQAAAAIAIdO4kBINJeozwEAAJIDAAAOAAAAAAAAAAEAIAAAACQB&#10;AABkcnMvZTJvRG9jLnhtbFBLBQYAAAAABgAGAFkBAABlBQAAAAA=&#10;">
                <v:fill on="f" focussize="0,0"/>
                <v:stroke on="f"/>
                <v:imagedata o:title=""/>
                <o:lock v:ext="edit" aspectratio="f"/>
                <v:textbox>
                  <w:txbxContent>
                    <w:p w14:paraId="2655184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14:paraId="43972E3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 发包人未能按照专用条款的约定提供施工设计图纸及其它开工条件；</w:t>
      </w:r>
    </w:p>
    <w:p w14:paraId="3660ADF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（2）发包人未能按照专用条款约定的时间支付工程预付款、绿色施工安全防护费和进度款；</w:t>
      </w:r>
    </w:p>
    <w:p w14:paraId="0BAE0BB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 发包人代表或施工现场发包人雇用的其他人员造成的人为因素；</w:t>
      </w:r>
    </w:p>
    <w:p w14:paraId="4F9F0CD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 监理工程师未按照合同约定及时提供所需指令、回复等；</w:t>
      </w:r>
    </w:p>
    <w:p w14:paraId="5D833E9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 工程变更（含增加合同工作内容、改变合同的任何一项工作等）；</w:t>
      </w:r>
    </w:p>
    <w:p w14:paraId="5BA460A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 工程量增加；</w:t>
      </w:r>
    </w:p>
    <w:p w14:paraId="6BEBC0E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 一周内非承包人原因停水、停电、停气造成停工累计超过8小时；</w:t>
      </w:r>
    </w:p>
    <w:p w14:paraId="06571AE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 不可抗力；</w:t>
      </w:r>
    </w:p>
    <w:p w14:paraId="761B7F2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 发包人风险事件；</w:t>
      </w:r>
    </w:p>
    <w:p w14:paraId="314C7A9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（10）因发包人的原因导致的暂停施工；</w:t>
      </w:r>
    </w:p>
    <w:p w14:paraId="171B937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（11）非承包人失误、违约，以及监理工程师同意的工期顺延。</w:t>
      </w:r>
    </w:p>
    <w:p w14:paraId="28520C1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（12）发包人造成工期延误的其他原因。</w:t>
      </w:r>
    </w:p>
    <w:p w14:paraId="0B24B7C5">
      <w:pPr>
        <w:widowControl w:val="0"/>
        <w:adjustRightInd w:val="0"/>
        <w:snapToGrid w:val="0"/>
        <w:spacing w:line="420" w:lineRule="exact"/>
        <w:ind w:right="-2"/>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36.4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7E18D54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249A2669">
                            <w:pPr>
                              <w:spacing w:line="22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提交工期顺延报告</w:t>
                            </w:r>
                          </w:p>
                        </w:txbxContent>
                      </wps:txbx>
                      <wps:bodyPr vert="horz" wrap="square" anchor="t" anchorCtr="0" upright="1"/>
                    </wps:wsp>
                  </a:graphicData>
                </a:graphic>
              </wp:anchor>
            </w:drawing>
          </mc:Choice>
          <mc:Fallback>
            <w:pict>
              <v:shape id="_x0000_s1026" o:spid="_x0000_s1026" o:spt="202" type="#_x0000_t202" style="position:absolute;left:0pt;margin-left:-9pt;margin-top:4.9pt;height:31.2pt;width:72pt;z-index:251805696;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a5bma1QAAAAgBAAAPAAAAAAAAAAEAIAAAACIAAABk&#10;cnMvZG93bnJldi54bWxQSwECFAAUAAAACACHTuJA1FdgwtABAACSAwAADgAAAAAAAAABACAAAAAk&#10;AQAAZHJzL2Uyb0RvYy54bWxQSwUGAAAAAAYABgBZAQAAZgUAAAAA&#10;">
                <v:fill on="f" focussize="0,0"/>
                <v:stroke on="f"/>
                <v:imagedata o:title=""/>
                <o:lock v:ext="edit" aspectratio="f"/>
                <v:textbox>
                  <w:txbxContent>
                    <w:p w14:paraId="249A2669">
                      <w:pPr>
                        <w:spacing w:line="22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当第36.3款所述事件首次发生后，承包人应在14天内向监理工程师发出工期顺延意向书，并抄送发包人。承包人应在发出工期顺延意向书后的14天内，向监理工程师提交工期顺延报告和有关详细资料。</w:t>
      </w:r>
    </w:p>
    <w:p w14:paraId="5071BC83">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36.5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3F4C65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121F142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3.7pt;height:31.2pt;width:72pt;z-index:251806720;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&#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P3JBq1QAAAAgBAAAPAAAAAAAAAAEAIAAAACIAAABk&#10;cnMvZG93bnJldi54bWxQSwECFAAUAAAACACHTuJAeeGCG9ABAACSAwAADgAAAAAAAAABACAAAAAk&#10;AQAAZHJzL2Uyb0RvYy54bWxQSwUGAAAAAAYABgBZAQAAZgUAAAAA&#10;">
                <v:fill on="f" focussize="0,0"/>
                <v:stroke on="f"/>
                <v:imagedata o:title=""/>
                <o:lock v:ext="edit" aspectratio="f"/>
                <v:textbox>
                  <w:txbxContent>
                    <w:p w14:paraId="121F142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如果工期顺延事件持续发生时，承包人应每隔7天向监理工程师发出工期顺延意向书，并在工期顺延事件终结后的14天内，向监理工程师提交最终工期顺延报告和详细资料。</w:t>
      </w:r>
    </w:p>
    <w:p w14:paraId="090E3405">
      <w:pPr>
        <w:widowControl w:val="0"/>
        <w:adjustRightInd w:val="0"/>
        <w:snapToGrid w:val="0"/>
        <w:spacing w:line="420" w:lineRule="exact"/>
        <w:ind w:right="-2"/>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36.6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814B3D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a:effectLst/>
                      </wps:spPr>
                      <wps:txbx>
                        <w:txbxContent>
                          <w:p w14:paraId="5EFD12E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pdDx9YAAAAIAQAADwAAAAAAAAABACAAAAAiAAAA&#10;ZHJzL2Rvd25yZXYueG1sUEsBAhQAFAAAAAgAh07iQGyVgSjQAQAAkgMAAA4AAAAAAAAAAQAgAAAA&#10;JQEAAGRycy9lMm9Eb2MueG1sUEsFBgAAAAAGAAYAWQEAAGcFAAAAAA==&#10;">
                <v:fill on="f" focussize="0,0"/>
                <v:stroke on="f"/>
                <v:imagedata o:title=""/>
                <o:lock v:ext="edit" aspectratio="f"/>
                <v:textbox>
                  <w:txbxContent>
                    <w:p w14:paraId="5EFD12E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如果承包人未能在第36.4款和第36.5款（发生时）规定的时间内提交（最终）工期顺延报告和详细资料，则视为该事件不影响施工进度或承包人放弃顺延工期的权利。 </w:t>
      </w:r>
    </w:p>
    <w:p w14:paraId="5B976B71">
      <w:pPr>
        <w:widowControl w:val="0"/>
        <w:adjustRightInd w:val="0"/>
        <w:snapToGrid w:val="0"/>
        <w:spacing w:line="420" w:lineRule="exact"/>
        <w:ind w:right="-2"/>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36.7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B13CCD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a:effectLst/>
                      </wps:spPr>
                      <wps:txbx>
                        <w:txbxContent>
                          <w:p w14:paraId="2B6BB12F">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工期顺延的核实与确定</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38.1pt;width:72pt;z-index:251808768;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pdDx9YAAAAIAQAADwAAAAAAAAABACAAAAAiAAAA&#10;ZHJzL2Rvd25yZXYueG1sUEsBAhQAFAAAAAgAh07iQMEjY/HQAQAAkgMAAA4AAAAAAAAAAQAgAAAA&#10;JQEAAGRycy9lMm9Eb2MueG1sUEsFBgAAAAAGAAYAWQEAAGcFAAAAAA==&#10;">
                <v:fill on="f" focussize="0,0"/>
                <v:stroke on="f"/>
                <v:imagedata o:title=""/>
                <o:lock v:ext="edit" aspectratio="f"/>
                <v:textbox>
                  <w:txbxContent>
                    <w:p w14:paraId="2B6BB12F">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14:paraId="25395AD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如果监理工程师在收到上述报告和资料后的28天内未予核实也未对承包人作出进一步要求，则视为监理工程师已认可承包人上述报告中提出的顺延工期天数。</w:t>
      </w:r>
    </w:p>
    <w:p w14:paraId="2BEF7A8F">
      <w:pPr>
        <w:widowControl w:val="0"/>
        <w:adjustRightInd w:val="0"/>
        <w:snapToGrid w:val="0"/>
        <w:spacing w:line="420" w:lineRule="exact"/>
        <w:ind w:left="1491" w:leftChars="1" w:hanging="1489" w:hangingChars="674"/>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36.8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BBB91F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a:effectLst/>
                      </wps:spPr>
                      <wps:txbx>
                        <w:txbxContent>
                          <w:p w14:paraId="7833724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46.75pt;width:72pt;z-index:251809792;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7io4r9YAAAAJAQAADwAAAAAAAAABACAAAAAiAAAA&#10;ZHJzL2Rvd25yZXYueG1sUEsBAhQAFAAAAAgAh07iQJ7yCpPQAQAAkgMAAA4AAAAAAAAAAQAgAAAA&#10;JQEAAGRycy9lMm9Eb2MueG1sUEsFBgAAAAAGAAYAWQEAAGcFAAAAAA==&#10;">
                <v:fill on="f" focussize="0,0"/>
                <v:stroke on="f"/>
                <v:imagedata o:title=""/>
                <o:lock v:ext="edit" aspectratio="f"/>
                <v:textbox>
                  <w:txbxContent>
                    <w:p w14:paraId="7833724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承包人未能按照合同进度计划完成工作，或因承包人的原因造成工期延误，发包人可按照本条规定的时限和第66.2款规定要求承包人支付该支付期的误期赔偿费。</w:t>
      </w:r>
    </w:p>
    <w:p w14:paraId="30042532">
      <w:pPr>
        <w:spacing w:line="420" w:lineRule="exact"/>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36.9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370AB39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76032"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408" name="文本框 149"/>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a:effectLst/>
                      </wps:spPr>
                      <wps:txbx>
                        <w:txbxContent>
                          <w:p w14:paraId="1F19DBCB">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vert="horz" wrap="square" anchor="t" anchorCtr="0" upright="1"/>
                    </wps:wsp>
                  </a:graphicData>
                </a:graphic>
              </wp:anchor>
            </w:drawing>
          </mc:Choice>
          <mc:Fallback>
            <w:pict>
              <v:shape id="文本框 149" o:spid="_x0000_s1026" o:spt="202" type="#_x0000_t202" style="position:absolute;left:0pt;margin-left:-5.1pt;margin-top:5.15pt;height:35.75pt;width:72.7pt;z-index:252076032;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rYro9UAAAAJAQAADwAAAAAAAAABACAAAAAiAAAA&#10;ZHJzL2Rvd25yZXYueG1sUEsBAhQAFAAAAAgAh07iQL2he/3RAQAAkgMAAA4AAAAAAAAAAQAgAAAA&#10;JAEAAGRycy9lMm9Eb2MueG1sUEsFBgAAAAAGAAYAWQEAAGcFAAAAAA==&#10;">
                <v:fill on="f" focussize="0,0"/>
                <v:stroke on="f"/>
                <v:imagedata o:title=""/>
                <o:lock v:ext="edit" aspectratio="f"/>
                <v:textbox>
                  <w:txbxContent>
                    <w:p w14:paraId="1F19DBCB">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14:paraId="66817265">
      <w:pPr>
        <w:widowControl w:val="0"/>
        <w:tabs>
          <w:tab w:val="left" w:pos="540"/>
        </w:tabs>
        <w:adjustRightInd w:val="0"/>
        <w:snapToGrid w:val="0"/>
        <w:spacing w:before="240" w:beforeLines="100"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2B67228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37  加快进度</w:t>
      </w:r>
    </w:p>
    <w:p w14:paraId="6C1D8FBC">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149" name="文本框 150"/>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a:effectLst/>
                      </wps:spPr>
                      <wps:txbx>
                        <w:txbxContent>
                          <w:p w14:paraId="7CA56E0B">
                            <w:pPr>
                              <w:rPr>
                                <w:rFonts w:ascii="宋体" w:hAnsi="Calibri" w:eastAsia="宋体" w:cs="Times New Roman"/>
                                <w:sz w:val="18"/>
                                <w:szCs w:val="18"/>
                              </w:rPr>
                            </w:pPr>
                            <w:r>
                              <w:rPr>
                                <w:rFonts w:hint="eastAsia" w:ascii="楷体_GB2312" w:hAnsi="宋体" w:eastAsia="楷体_GB2312" w:cs="楷体_GB2312"/>
                                <w:b/>
                                <w:bCs/>
                                <w:color w:val="000000"/>
                                <w:sz w:val="18"/>
                                <w:szCs w:val="18"/>
                              </w:rPr>
                              <w:t>承包人原因加快进度的要求</w:t>
                            </w:r>
                          </w:p>
                        </w:txbxContent>
                      </wps:txbx>
                      <wps:bodyPr vert="horz" wrap="square" anchor="t" anchorCtr="0" upright="1"/>
                    </wps:wsp>
                  </a:graphicData>
                </a:graphic>
              </wp:anchor>
            </w:drawing>
          </mc:Choice>
          <mc:Fallback>
            <w:pict>
              <v:shape id="文本框 150" o:spid="_x0000_s1026" o:spt="202" type="#_x0000_t202" style="position:absolute;left:0pt;margin-left:-9pt;margin-top:12.65pt;height:42.55pt;width:72pt;z-index:251810816;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4NFGDXAAAACgEAAA8AAAAAAAAAAQAgAAAAIgAA&#10;AGRycy9kb3ducmV2LnhtbFBLAQIUABQAAAAIAIdO4kAO/bdM0AEAAJIDAAAOAAAAAAAAAAEAIAAA&#10;ACYBAABkcnMvZTJvRG9jLnhtbFBLBQYAAAAABgAGAFkBAABoBQAAAAA=&#10;">
                <v:fill on="f" focussize="0,0"/>
                <v:stroke on="f"/>
                <v:imagedata o:title=""/>
                <o:lock v:ext="edit" aspectratio="f"/>
                <v:textbox>
                  <w:txbxContent>
                    <w:p w14:paraId="7CA56E0B">
                      <w:pPr>
                        <w:rPr>
                          <w:rFonts w:ascii="宋体" w:hAnsi="Calibri" w:eastAsia="宋体" w:cs="Times New Roman"/>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37.1     </w:t>
      </w:r>
    </w:p>
    <w:p w14:paraId="7EA1190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在非发包人延误工期的情况下，如果监理工程师书面指出承包人实施合同工程或其任何部分的进度过慢，迟于进度计划或不能按期竣工，则承包人应按照第33.4款规定采取改进措施，加快工程进度。</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br w:type="textWrapping"/>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 </w:t>
      </w:r>
    </w:p>
    <w:p w14:paraId="37D8C98D">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150" name="文本框 151"/>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a:effectLst/>
                      </wps:spPr>
                      <wps:txbx>
                        <w:txbxContent>
                          <w:p w14:paraId="709F5D5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vert="horz" wrap="square" anchor="t" anchorCtr="0" upright="1"/>
                    </wps:wsp>
                  </a:graphicData>
                </a:graphic>
              </wp:anchor>
            </w:drawing>
          </mc:Choice>
          <mc:Fallback>
            <w:pict>
              <v:shape id="文本框 151" o:spid="_x0000_s1026" o:spt="202" type="#_x0000_t202" style="position:absolute;left:0pt;margin-left:-9pt;margin-top:21.9pt;height:38.95pt;width:72pt;z-index:251811840;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Wfa7zXAAAACgEAAA8AAAAAAAAAAQAgAAAAIgAA&#10;AGRycy9kb3ducmV2LnhtbFBLAQIUABQAAAAIAIdO4kDs1A0o0AEAAJIDAAAOAAAAAAAAAAEAIAAA&#10;ACYBAABkcnMvZTJvRG9jLnhtbFBLBQYAAAAABgAGAFkBAABoBQAAAAA=&#10;">
                <v:fill on="f" focussize="0,0"/>
                <v:stroke on="f"/>
                <v:imagedata o:title=""/>
                <o:lock v:ext="edit" aspectratio="f"/>
                <v:textbox>
                  <w:txbxContent>
                    <w:p w14:paraId="709F5D5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37.2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E6DEE4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14:paraId="60B2087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（1）加快进度拟采取的措施；</w:t>
      </w:r>
    </w:p>
    <w:p w14:paraId="7368358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（2）加快进度后的进度计划,以及与原计划的对比；</w:t>
      </w:r>
    </w:p>
    <w:p w14:paraId="2219107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（3）加快进度所需的合同价款增加额（含第66.1款规定的提前竣工奖）。该增加额按照第72.2款、第72.3款和第72.5款规定计算。</w:t>
      </w:r>
    </w:p>
    <w:p w14:paraId="1AFA1C6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发包人应在接到建议书后的7天内予以答复。如果发包人接受了该建议书，则监理工程师应以书面形式发出变更指令，相应调整工期；造价工程师应核实并相应调整合同价款。</w:t>
      </w:r>
    </w:p>
    <w:p w14:paraId="5BB630EB">
      <w:pPr>
        <w:widowControl w:val="0"/>
        <w:adjustRightInd w:val="0"/>
        <w:snapToGrid w:val="0"/>
        <w:spacing w:line="420" w:lineRule="exact"/>
        <w:ind w:right="-240"/>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3B83ED86">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38  竣工日期</w:t>
      </w:r>
    </w:p>
    <w:p w14:paraId="020F3008">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12864"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151" name="文本框 152"/>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14:paraId="7E613A8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vert="horz" wrap="square" anchor="t" anchorCtr="0" upright="1"/>
                    </wps:wsp>
                  </a:graphicData>
                </a:graphic>
              </wp:anchor>
            </w:drawing>
          </mc:Choice>
          <mc:Fallback>
            <w:pict>
              <v:shape id="文本框 152" o:spid="_x0000_s1026" o:spt="202" type="#_x0000_t202" style="position:absolute;left:0pt;margin-left:-10.5pt;margin-top:10.7pt;height:31.2pt;width:77pt;z-index:251812864;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o4dVfXAAAACQEAAA8AAAAAAAAAAQAgAAAA&#10;IgAAAGRycy9kb3ducmV2LnhtbFBLAQIUABQAAAAIAIdO4kAxZw1j0wEAAJIDAAAOAAAAAAAAAAEA&#10;IAAAACYBAABkcnMvZTJvRG9jLnhtbFBLBQYAAAAABgAGAFkBAABrBQAAAAA=&#10;">
                <v:fill on="f" focussize="0,0"/>
                <v:stroke on="f"/>
                <v:imagedata o:title=""/>
                <o:lock v:ext="edit" aspectratio="f"/>
                <v:textbox>
                  <w:txbxContent>
                    <w:p w14:paraId="7E613A8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38.1   </w:t>
      </w:r>
    </w:p>
    <w:p w14:paraId="49B715A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合同双方当事人应在协议书和专用条款中约定合同工程的计划竣工日期。</w:t>
      </w:r>
    </w:p>
    <w:p w14:paraId="513AB3FF">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38.2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E71531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2" name="文本框 153"/>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14:paraId="19DA347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vert="horz" wrap="square" anchor="t" anchorCtr="0" upright="1"/>
                    </wps:wsp>
                  </a:graphicData>
                </a:graphic>
              </wp:anchor>
            </w:drawing>
          </mc:Choice>
          <mc:Fallback>
            <w:pict>
              <v:shape id="文本框 153" o:spid="_x0000_s1026" o:spt="202" type="#_x0000_t202" style="position:absolute;left:0pt;margin-left:-9pt;margin-top:0.45pt;height:31.2pt;width:77pt;z-index:251813888;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JmhxtUAAAAHAQAADwAAAAAAAAABACAAAAAi&#10;AAAAZHJzL2Rvd25yZXYueG1sUEsBAhQAFAAAAAgAh07iQBP18OrUAQAAkgMAAA4AAAAAAAAAAQAg&#10;AAAAJAEAAGRycy9lMm9Eb2MueG1sUEsFBgAAAAAGAAYAWQEAAGoFAAAAAA==&#10;">
                <v:fill on="f" focussize="0,0"/>
                <v:stroke on="f"/>
                <v:imagedata o:title=""/>
                <o:lock v:ext="edit" aspectratio="f"/>
                <v:textbox>
                  <w:txbxContent>
                    <w:p w14:paraId="19DA347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除发生不可抗力事件致使发包人不能按时竣工验收外，实际竣工日期按照下列情况分别确定：</w:t>
      </w:r>
    </w:p>
    <w:p w14:paraId="50BDB2E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（1）工程经竣工验收合格的，以承包人提交竣工验收申请报告之日为实际竣工日期；</w:t>
      </w:r>
    </w:p>
    <w:p w14:paraId="17C7FC3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（2）承包人已按照第57.2款规定提交竣工验收申请报告，但发包人未按照第58.3款规定完成合同工程验收的，以承包人提交竣工验收申请报告之日为实际竣工日期；</w:t>
      </w:r>
    </w:p>
    <w:p w14:paraId="510E21E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（3）工程未经竣工验收，发包人擅自使用的，以转移占有工程之日为实际竣工日期。</w:t>
      </w:r>
    </w:p>
    <w:p w14:paraId="0B477918">
      <w:pPr>
        <w:widowControl w:val="0"/>
        <w:adjustRightInd w:val="0"/>
        <w:snapToGrid w:val="0"/>
        <w:spacing w:line="420" w:lineRule="exact"/>
        <w:ind w:left="1491" w:leftChars="1" w:hanging="1489" w:hangingChars="674"/>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38.3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15F0C6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153" name="文本框 154"/>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a:effectLst/>
                      </wps:spPr>
                      <wps:txbx>
                        <w:txbxContent>
                          <w:p w14:paraId="0B6D00D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vert="horz" wrap="square" anchor="t" anchorCtr="0" upright="1"/>
                    </wps:wsp>
                  </a:graphicData>
                </a:graphic>
              </wp:anchor>
            </w:drawing>
          </mc:Choice>
          <mc:Fallback>
            <w:pict>
              <v:shape id="文本框 154" o:spid="_x0000_s1026" o:spt="202" type="#_x0000_t202" style="position:absolute;left:0pt;margin-left:-9pt;margin-top:3.75pt;height:35.9pt;width:72pt;z-index:251814912;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EM3K1QAAAAgBAAAPAAAAAAAAAAEAIAAAACIA&#10;AABkcnMvZG93bnJldi54bWxQSwECFAAUAAAACACHTuJAlQZcxdMBAACSAwAADgAAAAAAAAABACAA&#10;AAAkAQAAZHJzL2Uyb0RvYy54bWxQSwUGAAAAAAYABgBZAQAAaQUAAAAA&#10;">
                <v:fill on="f" focussize="0,0"/>
                <v:stroke on="f"/>
                <v:imagedata o:title=""/>
                <o:lock v:ext="edit" aspectratio="f"/>
                <v:textbox>
                  <w:txbxContent>
                    <w:p w14:paraId="0B6D00D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因发包人的原因导致实际竣工日期迟于计划竣工日期的，发包人应承担由此增加的费用和（或）延误的工期，并向承包人支付合理利润。</w:t>
      </w:r>
    </w:p>
    <w:p w14:paraId="0973B15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因承包人的原因导致实际竣工日期迟于计划竣工日期的，承包人应按照第40条规定赔偿发包人由此造成的损失，并向发包人支付误期赔偿费。</w:t>
      </w:r>
    </w:p>
    <w:p w14:paraId="37C739DF">
      <w:pPr>
        <w:spacing w:line="420" w:lineRule="exact"/>
        <w:rPr>
          <w:rFonts w:ascii="宋体" w:hAnsi="宋体" w:eastAsia="宋体" w:cs="宋体"/>
          <w:caps/>
          <w:color w:val="000000" w:themeColor="text1"/>
          <w:sz w:val="22"/>
          <w:szCs w:val="22"/>
          <w:highlight w:val="none"/>
          <w:u w:val="single"/>
          <w14:textFill>
            <w14:solidFill>
              <w14:schemeClr w14:val="tx1"/>
            </w14:solidFill>
          </w14:textFill>
        </w:rPr>
      </w:pPr>
      <w:r>
        <w:rPr>
          <w:rFonts w:hint="eastAsia" w:ascii="宋体" w:hAnsi="宋体" w:eastAsia="宋体" w:cs="宋体"/>
          <w:b/>
          <w:bCs/>
          <w:caps/>
          <w:color w:val="000000" w:themeColor="text1"/>
          <w:sz w:val="22"/>
          <w:szCs w:val="22"/>
          <w:highlight w:val="none"/>
          <w:u w:val="single"/>
          <w14:textFill>
            <w14:solidFill>
              <w14:schemeClr w14:val="tx1"/>
            </w14:solidFill>
          </w14:textFill>
        </w:rPr>
        <w:t xml:space="preserve">                                                                                    </w:t>
      </w:r>
      <w:r>
        <w:rPr>
          <w:rFonts w:hint="eastAsia" w:ascii="宋体" w:hAnsi="宋体" w:eastAsia="宋体" w:cs="宋体"/>
          <w:caps/>
          <w:color w:val="000000" w:themeColor="text1"/>
          <w:sz w:val="22"/>
          <w:szCs w:val="22"/>
          <w:highlight w:val="none"/>
          <w:u w:val="single"/>
          <w14:textFill>
            <w14:solidFill>
              <w14:schemeClr w14:val="tx1"/>
            </w14:solidFill>
          </w14:textFill>
        </w:rPr>
        <w:t xml:space="preserve">         </w:t>
      </w:r>
    </w:p>
    <w:p w14:paraId="222BCBE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39  提前竣工</w:t>
      </w:r>
    </w:p>
    <w:p w14:paraId="3519A914">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39.1   </w:t>
      </w:r>
    </w:p>
    <w:p w14:paraId="5528665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154" name="文本框 15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14:paraId="6D976F6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vert="horz" wrap="square" anchor="t" anchorCtr="0" upright="1"/>
                    </wps:wsp>
                  </a:graphicData>
                </a:graphic>
              </wp:anchor>
            </w:drawing>
          </mc:Choice>
          <mc:Fallback>
            <w:pict>
              <v:shape id="文本框 155" o:spid="_x0000_s1026" o:spt="202" type="#_x0000_t202" style="position:absolute;left:0pt;margin-left:-5.25pt;margin-top:2.4pt;height:31.2pt;width:77pt;z-index:251815936;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HT+P1QAAAAgBAAAPAAAAAAAAAAEAIAAAACIA&#10;AABkcnMvZG93bnJldi54bWxQSwECFAAUAAAACACHTuJAPkgsU9MBAACSAwAADgAAAAAAAAABACAA&#10;AAAkAQAAZHJzL2Uyb0RvYy54bWxQSwUGAAAAAAYABgBZAQAAaQUAAAAA&#10;">
                <v:fill on="f" focussize="0,0"/>
                <v:stroke on="f"/>
                <v:imagedata o:title=""/>
                <o:lock v:ext="edit" aspectratio="f"/>
                <v:textbox>
                  <w:txbxContent>
                    <w:p w14:paraId="6D976F6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发包人要求承包人提前竣工，或承包人按照第37.2款规定提交提前竣工建议书为发包人接受的，监理工程师应与承包人商定采取加快工程进度的措施，并修订合同工程进度计划。</w:t>
      </w:r>
    </w:p>
    <w:p w14:paraId="1E9C08CA">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39.2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BA6BD7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5" name="文本框 15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14:paraId="0762957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vert="horz" wrap="square" anchor="t" anchorCtr="0" upright="1"/>
                    </wps:wsp>
                  </a:graphicData>
                </a:graphic>
              </wp:anchor>
            </w:drawing>
          </mc:Choice>
          <mc:Fallback>
            <w:pict>
              <v:shape id="文本框 156" o:spid="_x0000_s1026" o:spt="202" type="#_x0000_t202" style="position:absolute;left:0pt;margin-left:-9pt;margin-top:0.45pt;height:31.2pt;width:77pt;z-index:251816960;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AmaHG1QAAAAcBAAAPAAAAAAAAAAEAIAAAACIA&#10;AABkcnMvZG93bnJldi54bWxQSwECFAAUAAAACACHTuJAB7FlstMBAACSAwAADgAAAAAAAAABACAA&#10;AAAkAQAAZHJzL2Uyb0RvYy54bWxQSwUGAAAAAAYABgBZAQAAaQUAAAAA&#10;">
                <v:fill on="f" focussize="0,0"/>
                <v:stroke on="f"/>
                <v:imagedata o:title=""/>
                <o:lock v:ext="edit" aspectratio="f"/>
                <v:textbox>
                  <w:txbxContent>
                    <w:p w14:paraId="0762957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提前竣工天数按照第38.2款规定确定的计划竣工天数减去实际竣工天数计算，其公式为：</w:t>
      </w:r>
    </w:p>
    <w:p w14:paraId="461303E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提前竣工天数=计划竣工天数 — 实际竣工天数</w:t>
      </w:r>
    </w:p>
    <w:p w14:paraId="7CCECE6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合同工程提前竣工，发包人应承担承包人由此增加的费用，并按照第66.1款规定向承包人支付提前竣工奖。</w:t>
      </w:r>
    </w:p>
    <w:p w14:paraId="227193C1">
      <w:pPr>
        <w:widowControl w:val="0"/>
        <w:tabs>
          <w:tab w:val="left" w:pos="540"/>
        </w:tabs>
        <w:adjustRightInd w:val="0"/>
        <w:snapToGrid w:val="0"/>
        <w:spacing w:before="240" w:beforeLines="100" w:line="420" w:lineRule="exact"/>
        <w:jc w:val="both"/>
        <w:rPr>
          <w:rFonts w:ascii="宋体" w:hAnsi="宋体" w:eastAsia="宋体" w:cs="宋体"/>
          <w:b/>
          <w:bCs/>
          <w:cap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aps/>
          <w:color w:val="000000" w:themeColor="text1"/>
          <w:kern w:val="2"/>
          <w:sz w:val="22"/>
          <w:szCs w:val="22"/>
          <w:highlight w:val="none"/>
          <w:u w:val="single"/>
          <w:lang w:val="en-US" w:eastAsia="zh-CN" w:bidi="ar-SA"/>
          <w14:textFill>
            <w14:solidFill>
              <w14:schemeClr w14:val="tx1"/>
            </w14:solidFill>
          </w14:textFill>
        </w:rPr>
        <w:t xml:space="preserve">                                                                                </w:t>
      </w:r>
    </w:p>
    <w:p w14:paraId="4D2C73BC">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40  误期赔偿</w:t>
      </w:r>
    </w:p>
    <w:p w14:paraId="7F3CCFA6">
      <w:pPr>
        <w:spacing w:line="420" w:lineRule="exact"/>
        <w:rPr>
          <w:rFonts w:ascii="宋体" w:hAnsi="宋体" w:eastAsia="宋体" w:cs="宋体"/>
          <w:b/>
          <w:bCs/>
          <w:cap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40.1</w:t>
      </w:r>
    </w:p>
    <w:p w14:paraId="3ACE1EC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17984"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156" name="文本框 157"/>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a:effectLst/>
                      </wps:spPr>
                      <wps:txbx>
                        <w:txbxContent>
                          <w:p w14:paraId="70E563C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wps:txbx>
                      <wps:bodyPr vert="horz" wrap="square" anchor="t" anchorCtr="0" upright="1"/>
                    </wps:wsp>
                  </a:graphicData>
                </a:graphic>
              </wp:anchor>
            </w:drawing>
          </mc:Choice>
          <mc:Fallback>
            <w:pict>
              <v:shape id="文本框 157" o:spid="_x0000_s1026" o:spt="202" type="#_x0000_t202" style="position:absolute;left:0pt;margin-left:-10.5pt;margin-top:8.2pt;height:25.85pt;width:77pt;z-index:251817984;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dbURHWAAAACQEAAA8AAAAAAAAAAQAgAAAAIgAA&#10;AGRycy9kb3ducmV2LnhtbFBLAQIUABQAAAAIAIdO4kBsyW7B0QEAAJIDAAAOAAAAAAAAAAEAIAAA&#10;ACUBAABkcnMvZTJvRG9jLnhtbFBLBQYAAAAABgAGAFkBAABoBQAAAAA=&#10;">
                <v:fill on="f" focussize="0,0"/>
                <v:stroke on="f"/>
                <v:imagedata o:title=""/>
                <o:lock v:ext="edit" aspectratio="f"/>
                <v:textbox>
                  <w:txbxContent>
                    <w:p w14:paraId="70E563C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承包人未按照第33.4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14:paraId="4325CE6A">
      <w:pPr>
        <w:spacing w:line="420" w:lineRule="exact"/>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40.2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F28BC7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157" name="文本框 158"/>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a:effectLst/>
                      </wps:spPr>
                      <wps:txbx>
                        <w:txbxContent>
                          <w:p w14:paraId="46803BC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7AA06E9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wps:txbx>
                      <wps:bodyPr vert="horz" wrap="square" anchor="t" anchorCtr="0" upright="1"/>
                    </wps:wsp>
                  </a:graphicData>
                </a:graphic>
              </wp:anchor>
            </w:drawing>
          </mc:Choice>
          <mc:Fallback>
            <w:pict>
              <v:shape id="文本框 158" o:spid="_x0000_s1026" o:spt="202" type="#_x0000_t202" style="position:absolute;left:0pt;margin-left:-9pt;margin-top:2.5pt;height:62.35pt;width:84.35pt;z-index:251819008;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5n7idYAAAAJAQAADwAAAAAAAAABACAAAAAiAAAA&#10;ZHJzL2Rvd25yZXYueG1sUEsBAhQAFAAAAAgAh07iQN+fALjQAQAAkwMAAA4AAAAAAAAAAQAgAAAA&#10;JQEAAGRycy9lMm9Eb2MueG1sUEsFBgAAAAAGAAYAWQEAAGcFAAAAAA==&#10;">
                <v:fill on="f" focussize="0,0"/>
                <v:stroke on="f"/>
                <v:imagedata o:title=""/>
                <o:lock v:ext="edit" aspectratio="f"/>
                <v:textbox>
                  <w:txbxContent>
                    <w:p w14:paraId="46803BC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7AA06E9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误期（实际延误天数）按照实际施工天数减去计划施工天数计算，其公式为：</w:t>
      </w:r>
    </w:p>
    <w:p w14:paraId="0BDC8F8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实际延误天数＝实际施工天数 － 计划施工天数</w:t>
      </w:r>
    </w:p>
    <w:p w14:paraId="03F02EE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合同工程发生误期，承包人应赔偿发包人由此造成的损失，并按照第66.2款规定向发包人支付误期赔偿费。</w:t>
      </w:r>
    </w:p>
    <w:p w14:paraId="0F000CAE">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34ADE7B5">
      <w:pPr>
        <w:spacing w:line="420" w:lineRule="exact"/>
        <w:jc w:val="center"/>
        <w:outlineLvl w:val="1"/>
        <w:rPr>
          <w:rFonts w:ascii="方正小标宋_GBK" w:hAnsi="方正小标宋_GBK" w:eastAsia="方正小标宋_GBK" w:cs="方正小标宋_GBK"/>
          <w:b/>
          <w:bCs/>
          <w:color w:val="000000" w:themeColor="text1"/>
          <w:sz w:val="24"/>
          <w:szCs w:val="24"/>
          <w:highlight w:val="none"/>
          <w14:textFill>
            <w14:solidFill>
              <w14:schemeClr w14:val="tx1"/>
            </w14:solidFill>
          </w14:textFill>
        </w:rPr>
      </w:pPr>
      <w:bookmarkStart w:id="519" w:name="_Toc10383"/>
      <w:bookmarkStart w:id="520" w:name="_Toc7870"/>
      <w:bookmarkStart w:id="521" w:name="_Toc20459"/>
      <w:r>
        <w:rPr>
          <w:rFonts w:hint="eastAsia" w:ascii="方正小标宋_GBK" w:hAnsi="方正小标宋_GBK" w:eastAsia="方正小标宋_GBK" w:cs="方正小标宋_GBK"/>
          <w:b/>
          <w:bCs/>
          <w:color w:val="000000" w:themeColor="text1"/>
          <w:sz w:val="24"/>
          <w:szCs w:val="24"/>
          <w:highlight w:val="none"/>
          <w14:textFill>
            <w14:solidFill>
              <w14:schemeClr w14:val="tx1"/>
            </w14:solidFill>
          </w14:textFill>
        </w:rPr>
        <w:t>五、质量与安全</w:t>
      </w:r>
      <w:bookmarkEnd w:id="519"/>
      <w:bookmarkEnd w:id="520"/>
      <w:bookmarkEnd w:id="521"/>
    </w:p>
    <w:p w14:paraId="432F42B1">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★41  质量与安全管理</w:t>
      </w:r>
    </w:p>
    <w:p w14:paraId="429D6A85">
      <w:pPr>
        <w:tabs>
          <w:tab w:val="left" w:pos="780"/>
        </w:tabs>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41.1 </w:t>
      </w:r>
      <w:r>
        <w:rPr>
          <w:rFonts w:hint="eastAsia" w:ascii="宋体" w:hAnsi="宋体" w:eastAsia="宋体" w:cs="宋体"/>
          <w:b/>
          <w:bCs/>
          <w:color w:val="000000" w:themeColor="text1"/>
          <w:sz w:val="22"/>
          <w:szCs w:val="22"/>
          <w:highlight w:val="none"/>
          <w14:textFill>
            <w14:solidFill>
              <w14:schemeClr w14:val="tx1"/>
            </w14:solidFill>
          </w14:textFill>
        </w:rPr>
        <w:tab/>
      </w:r>
    </w:p>
    <w:p w14:paraId="39B2869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158" name="文本框 159"/>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a:effectLst/>
                      </wps:spPr>
                      <wps:txbx>
                        <w:txbxContent>
                          <w:p w14:paraId="6BFD1D5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vert="horz" wrap="square" anchor="t" anchorCtr="0" upright="1"/>
                    </wps:wsp>
                  </a:graphicData>
                </a:graphic>
              </wp:anchor>
            </w:drawing>
          </mc:Choice>
          <mc:Fallback>
            <w:pict>
              <v:shape id="文本框 159" o:spid="_x0000_s1026" o:spt="202" type="#_x0000_t202" style="position:absolute;left:0pt;margin-left:-9pt;margin-top:-0.5pt;height:41.45pt;width:72pt;z-index:251820032;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7WfNPdUAAAAJAQAADwAAAAAAAAABACAAAAAiAAAA&#10;ZHJzL2Rvd25yZXYueG1sUEsBAhQAFAAAAAgAh07iQDdp4XDRAQAAkgMAAA4AAAAAAAAAAQAgAAAA&#10;JAEAAGRycy9lMm9Eb2MueG1sUEsFBgAAAAAGAAYAWQEAAGcFAAAAAA==&#10;">
                <v:fill on="f" focussize="0,0"/>
                <v:stroke on="f"/>
                <v:imagedata o:title=""/>
                <o:lock v:ext="edit" aspectratio="f"/>
                <v:textbox>
                  <w:txbxContent>
                    <w:p w14:paraId="6BFD1D5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7F212B96">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41.2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B4E5D4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159" name="文本框 160"/>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a:effectLst/>
                      </wps:spPr>
                      <wps:txbx>
                        <w:txbxContent>
                          <w:p w14:paraId="6A7045E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vert="horz" wrap="square" anchor="t" anchorCtr="0" upright="1"/>
                    </wps:wsp>
                  </a:graphicData>
                </a:graphic>
              </wp:anchor>
            </w:drawing>
          </mc:Choice>
          <mc:Fallback>
            <w:pict>
              <v:shape id="文本框 160" o:spid="_x0000_s1026" o:spt="202" type="#_x0000_t202" style="position:absolute;left:0pt;margin-left:-9pt;margin-top:2.8pt;height:32.3pt;width:72pt;z-index:251821056;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S7iW9UAAAAIAQAADwAAAAAAAAABACAAAAAiAAAA&#10;ZHJzL2Rvd25yZXYueG1sUEsBAhQAFAAAAAgAh07iQGs/5UzRAQAAkgMAAA4AAAAAAAAAAQAgAAAA&#10;JAEAAGRycy9lMm9Eb2MueG1sUEsFBgAAAAAGAAYAWQEAAGcFAAAAAA==&#10;">
                <v:fill on="f" focussize="0,0"/>
                <v:stroke on="f"/>
                <v:imagedata o:title=""/>
                <o:lock v:ext="edit" aspectratio="f"/>
                <v:textbox>
                  <w:txbxContent>
                    <w:p w14:paraId="6A7045E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14:paraId="53735A5D">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160" name="文本框 16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wps:spPr>
                      <wps:txbx>
                        <w:txbxContent>
                          <w:p w14:paraId="1D5EC48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wps:txbx>
                      <wps:bodyPr vert="horz" wrap="square" anchor="t" anchorCtr="0" upright="1"/>
                    </wps:wsp>
                  </a:graphicData>
                </a:graphic>
              </wp:anchor>
            </w:drawing>
          </mc:Choice>
          <mc:Fallback>
            <w:pict>
              <v:shape id="文本框 161" o:spid="_x0000_s1026" o:spt="202" type="#_x0000_t202" style="position:absolute;left:0pt;margin-left:-9pt;margin-top:21.85pt;height:27pt;width:72pt;z-index:251822080;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5Azu9cAAAAJAQAADwAAAAAAAAABACAAAAAiAAAA&#10;ZHJzL2Rvd25yZXYueG1sUEsBAhQAFAAAAAgAh07iQMKpyLHPAQAAkgMAAA4AAAAAAAAAAQAgAAAA&#10;JgEAAGRycy9lMm9Eb2MueG1sUEsFBgAAAAAGAAYAWQEAAGcFAAAAAA==&#10;">
                <v:fill on="f" focussize="0,0"/>
                <v:stroke on="f"/>
                <v:imagedata o:title=""/>
                <o:lock v:ext="edit" aspectratio="f"/>
                <v:textbox>
                  <w:txbxContent>
                    <w:p w14:paraId="1D5EC48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41.3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B1C6D5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0A0A2B94">
      <w:pPr>
        <w:widowControl w:val="0"/>
        <w:adjustRightInd w:val="0"/>
        <w:snapToGrid w:val="0"/>
        <w:spacing w:line="420" w:lineRule="exact"/>
        <w:ind w:firstLine="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23104"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161" name="文本框 162"/>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a:effectLst/>
                      </wps:spPr>
                      <wps:txbx>
                        <w:txbxContent>
                          <w:p w14:paraId="61732A6E">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vert="horz" wrap="square" anchor="t" anchorCtr="0" upright="1"/>
                    </wps:wsp>
                  </a:graphicData>
                </a:graphic>
              </wp:anchor>
            </w:drawing>
          </mc:Choice>
          <mc:Fallback>
            <w:pict>
              <v:shape id="文本框 162" o:spid="_x0000_s1026" o:spt="202" type="#_x0000_t202" style="position:absolute;left:0pt;margin-left:-9.1pt;margin-top:22pt;height:30.7pt;width:72pt;z-index:251823104;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3dhBL1gAAAAoBAAAPAAAAAAAAAAEAIAAAACIA&#10;AABkcnMvZG93bnJldi54bWxQSwECFAAUAAAACACHTuJA1fjnBdIBAACSAwAADgAAAAAAAAABACAA&#10;AAAlAQAAZHJzL2Uyb0RvYy54bWxQSwUGAAAAAAYABgBZAQAAaQUAAAAA&#10;">
                <v:fill on="f" focussize="0,0"/>
                <v:stroke on="f"/>
                <v:imagedata o:title=""/>
                <o:lock v:ext="edit" aspectratio="f"/>
                <v:textbox>
                  <w:txbxContent>
                    <w:p w14:paraId="61732A6E">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41.4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0232123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14:paraId="647E525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因承包人原因造成工程质量未达到合同约定标准的，发包人有权要求承包人返工直至工程质量达到合同约定的标准为止，并由承包人承担由此增加的费用和延误工期的责任。</w:t>
      </w:r>
    </w:p>
    <w:p w14:paraId="21F0431C">
      <w:pPr>
        <w:widowControl w:val="0"/>
        <w:adjustRightInd w:val="0"/>
        <w:snapToGrid w:val="0"/>
        <w:spacing w:line="420" w:lineRule="exact"/>
        <w:ind w:firstLine="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41.5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1238023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162" name="文本框 16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4B5DA4B3">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wps:txbx>
                      <wps:bodyPr vert="horz" wrap="square" anchor="t" anchorCtr="0" upright="1"/>
                    </wps:wsp>
                  </a:graphicData>
                </a:graphic>
              </wp:anchor>
            </w:drawing>
          </mc:Choice>
          <mc:Fallback>
            <w:pict>
              <v:shape id="文本框 163" o:spid="_x0000_s1026" o:spt="202" type="#_x0000_t202" style="position:absolute;left:0pt;margin-left:-9pt;margin-top:1.1pt;height:46.8pt;width:72pt;z-index:251824128;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W2NDS1QAAAAgBAAAPAAAAAAAAAAEAIAAAACIA&#10;AABkcnMvZG93bnJldi54bWxQSwECFAAUAAAACACHTuJAgriKttMBAACSAwAADgAAAAAAAAABACAA&#10;AAAkAQAAZHJzL2Uyb0RvYy54bWxQSwUGAAAAAAYABgBZAQAAaQUAAAAA&#10;">
                <v:fill on="f" focussize="0,0"/>
                <v:stroke on="f"/>
                <v:imagedata o:title=""/>
                <o:lock v:ext="edit" aspectratio="f"/>
                <v:textbox>
                  <w:txbxContent>
                    <w:p w14:paraId="4B5DA4B3">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因发包人原因造成工程质量未达到合同约定标准的，由发包人承担由此增加的费用和延误工期的责任，增加的费用按本合同相关条款以及投标报价或预算的计价原则计算。</w:t>
      </w:r>
    </w:p>
    <w:p w14:paraId="57313819">
      <w:pPr>
        <w:autoSpaceDE w:val="0"/>
        <w:autoSpaceDN w:val="0"/>
        <w:adjustRightInd w:val="0"/>
        <w:spacing w:line="420" w:lineRule="exact"/>
        <w:jc w:val="left"/>
        <w:rPr>
          <w:rFonts w:ascii="宋体" w:hAnsi="宋体" w:eastAsia="宋体" w:cs="宋体"/>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41.6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1FC302C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163" name="文本框 16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6D75ACC0">
                            <w:pPr>
                              <w:rPr>
                                <w:rFonts w:ascii="Calibri" w:hAnsi="Calibri" w:eastAsia="宋体" w:cs="Times New Roman"/>
                                <w:color w:val="FF0000"/>
                                <w:szCs w:val="21"/>
                              </w:rPr>
                            </w:pPr>
                            <w:r>
                              <w:rPr>
                                <w:rFonts w:hint="eastAsia" w:ascii="楷体_GB2312" w:hAnsi="宋体" w:eastAsia="楷体_GB2312" w:cs="楷体_GB2312"/>
                                <w:b/>
                                <w:bCs/>
                                <w:sz w:val="18"/>
                                <w:szCs w:val="18"/>
                              </w:rPr>
                              <w:t>监理人的质量检查和检验</w:t>
                            </w:r>
                          </w:p>
                        </w:txbxContent>
                      </wps:txbx>
                      <wps:bodyPr vert="horz" wrap="square" anchor="t" anchorCtr="0" upright="1"/>
                    </wps:wsp>
                  </a:graphicData>
                </a:graphic>
              </wp:anchor>
            </w:drawing>
          </mc:Choice>
          <mc:Fallback>
            <w:pict>
              <v:shape id="文本框 164" o:spid="_x0000_s1026" o:spt="202" type="#_x0000_t202" style="position:absolute;left:0pt;margin-left:-9pt;margin-top:1.3pt;height:39pt;width:63pt;z-index:251825152;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OJGxBNQAAAAIAQAADwAAAAAAAAABACAAAAAiAAAAZHJz&#10;L2Rvd25yZXYueG1sUEsBAhQAFAAAAAgAh07iQORYDA3PAQAAkgMAAA4AAAAAAAAAAQAgAAAAIwEA&#10;AGRycy9lMm9Eb2MueG1sUEsFBgAAAAAGAAYAWQEAAGQFAAAAAA==&#10;">
                <v:fill on="f" focussize="0,0"/>
                <v:stroke on="f"/>
                <v:imagedata o:title=""/>
                <o:lock v:ext="edit" aspectratio="f"/>
                <v:textbox>
                  <w:txbxContent>
                    <w:p w14:paraId="6D75ACC0">
                      <w:pPr>
                        <w:rPr>
                          <w:rFonts w:ascii="Calibri" w:hAnsi="Calibri" w:eastAsia="宋体" w:cs="Times New Roman"/>
                          <w:color w:val="FF0000"/>
                          <w:szCs w:val="21"/>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BD72830">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5606E051">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★42  质量标准</w:t>
      </w:r>
    </w:p>
    <w:p w14:paraId="6557AADD">
      <w:pPr>
        <w:adjustRightInd w:val="0"/>
        <w:snapToGrid w:val="0"/>
        <w:spacing w:line="420" w:lineRule="exact"/>
        <w:jc w:val="lef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42.1 </w:t>
      </w:r>
    </w:p>
    <w:p w14:paraId="7D96E13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164" name="文本框 16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a:effectLst/>
                      </wps:spPr>
                      <wps:txbx>
                        <w:txbxContent>
                          <w:p w14:paraId="3FE447B6">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vert="horz" wrap="square" anchor="t" anchorCtr="0" upright="1"/>
                    </wps:wsp>
                  </a:graphicData>
                </a:graphic>
              </wp:anchor>
            </w:drawing>
          </mc:Choice>
          <mc:Fallback>
            <w:pict>
              <v:shape id="文本框 165" o:spid="_x0000_s1026" o:spt="202" type="#_x0000_t202" style="position:absolute;left:0pt;margin-left:-9pt;margin-top:0.65pt;height:30.7pt;width:72pt;z-index:251826176;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CMD/PVAAAACAEAAA8AAAAAAAAAAQAgAAAAIgAA&#10;AGRycy9kb3ducmV2LnhtbFBLAQIUABQAAAAIAIdO4kDa18Y10gEAAJIDAAAOAAAAAAAAAAEAIAAA&#10;ACQBAABkcnMvZTJvRG9jLnhtbFBLBQYAAAAABgAGAFkBAABoBQAAAAA=&#10;">
                <v:fill on="f" focussize="0,0"/>
                <v:stroke on="f"/>
                <v:imagedata o:title=""/>
                <o:lock v:ext="edit" aspectratio="f"/>
                <v:textbox>
                  <w:txbxContent>
                    <w:p w14:paraId="3FE447B6">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合同双方当事人应在专用条款中约定工程质量标准，但不得低于国家或行业的强制性标准。工程质量应当达到专用条款约定的质量标准。</w:t>
      </w:r>
    </w:p>
    <w:p w14:paraId="7FEDE9D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工程质量验收，按照合同约定的标准执行；合同没有约定的，按照国家或行业的质量验收标准执行。</w:t>
      </w:r>
    </w:p>
    <w:p w14:paraId="557FE646">
      <w:pPr>
        <w:adjustRightInd w:val="0"/>
        <w:snapToGrid w:val="0"/>
        <w:spacing w:line="420" w:lineRule="exact"/>
        <w:jc w:val="lef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165" name="文本框 166"/>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a:effectLst/>
                      </wps:spPr>
                      <wps:txbx>
                        <w:txbxContent>
                          <w:p w14:paraId="06895FE5">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vert="horz" wrap="square" anchor="t" anchorCtr="0" upright="1"/>
                    </wps:wsp>
                  </a:graphicData>
                </a:graphic>
              </wp:anchor>
            </w:drawing>
          </mc:Choice>
          <mc:Fallback>
            <w:pict>
              <v:shape id="文本框 166" o:spid="_x0000_s1026" o:spt="202" type="#_x0000_t202" style="position:absolute;left:0pt;margin-left:-9pt;margin-top:20.2pt;height:37.15pt;width:77pt;z-index:251827200;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n1YIv1wAAAAoBAAAPAAAAAAAAAAEAIAAAACIA&#10;AABkcnMvZG93bnJldi54bWxQSwECFAAUAAAACACHTuJAGPSxUdEBAACSAwAADgAAAAAAAAABACAA&#10;AAAmAQAAZHJzL2Uyb0RvYy54bWxQSwUGAAAAAAYABgBZAQAAaQUAAAAA&#10;">
                <v:fill on="f" focussize="0,0"/>
                <v:stroke on="f"/>
                <v:imagedata o:title=""/>
                <o:lock v:ext="edit" aspectratio="f"/>
                <v:textbox>
                  <w:txbxContent>
                    <w:p w14:paraId="06895FE5">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42.2</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447FF0E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承包人对合同工程的质量向发包人负责，其职责包括但不限于下列内容：</w:t>
      </w:r>
    </w:p>
    <w:p w14:paraId="6ABA081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（1）编制施工技术方案，确定施工技术措施；</w:t>
      </w:r>
    </w:p>
    <w:p w14:paraId="3AB28F0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（2）提供和组织足够的工程技术人员，检查和控制工程施工质量；</w:t>
      </w:r>
    </w:p>
    <w:p w14:paraId="33535C6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（3）控制施工所用的材料和工程设备，使其符合标准与规范、设计要求及合同约定的标准；</w:t>
      </w:r>
    </w:p>
    <w:p w14:paraId="4BC7B18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（4）负责合同工程施工中出现质量问题或竣工验收不合格的返修工作；</w:t>
      </w:r>
    </w:p>
    <w:p w14:paraId="37866E1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（5）参加合同工程的所有验收工作，包括隐蔽验收、中间验收；参加竣工验收，组织分包人参加工程验收工作；</w:t>
      </w:r>
    </w:p>
    <w:p w14:paraId="2714E97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（6）承担质量保修期的工程保修责任；</w:t>
      </w:r>
    </w:p>
    <w:p w14:paraId="2AD44BA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（7）承担其他工程质量责任。</w:t>
      </w:r>
    </w:p>
    <w:p w14:paraId="0AA59318">
      <w:pPr>
        <w:adjustRightInd w:val="0"/>
        <w:snapToGrid w:val="0"/>
        <w:spacing w:line="420" w:lineRule="exact"/>
        <w:jc w:val="lef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166" name="文本框 167"/>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a:effectLst/>
                      </wps:spPr>
                      <wps:txbx>
                        <w:txbxContent>
                          <w:p w14:paraId="20521CA7">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wps:txbx>
                      <wps:bodyPr vert="horz" wrap="square" anchor="t" anchorCtr="0" upright="1"/>
                    </wps:wsp>
                  </a:graphicData>
                </a:graphic>
              </wp:anchor>
            </w:drawing>
          </mc:Choice>
          <mc:Fallback>
            <w:pict>
              <v:shape id="文本框 167" o:spid="_x0000_s1026" o:spt="202" type="#_x0000_t202" style="position:absolute;left:0pt;margin-left:-9pt;margin-top:22.95pt;height:19.35pt;width:81pt;z-index:251828224;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LMCsPWAAAACQEAAA8AAAAAAAAAAQAgAAAAIgAA&#10;AGRycy9kb3ducmV2LnhtbFBLAQIUABQAAAAIAIdO4kDF0D4Z0QEAAJMDAAAOAAAAAAAAAAEAIAAA&#10;ACUBAABkcnMvZTJvRG9jLnhtbFBLBQYAAAAABgAGAFkBAABoBQAAAAA=&#10;">
                <v:fill on="f" focussize="0,0"/>
                <v:stroke on="f"/>
                <v:imagedata o:title=""/>
                <o:lock v:ext="edit" aspectratio="f"/>
                <v:textbox>
                  <w:txbxContent>
                    <w:p w14:paraId="20521CA7">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42.3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1324F5D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承包人应建立健全完善的质量保证体系。</w:t>
      </w:r>
    </w:p>
    <w:p w14:paraId="17E565F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（1）承包人应向发包人和监理人提交工程质量保证体系及措施文件，建立完善的质量检查制度，并提交相应的工程质量文件。对于发包人和监理人违反法律规定和合同约定的错误指示，承包人有权拒绝实施。</w:t>
      </w:r>
    </w:p>
    <w:p w14:paraId="55BC364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14:paraId="24979F94">
      <w:pPr>
        <w:adjustRightInd w:val="0"/>
        <w:snapToGrid w:val="0"/>
        <w:spacing w:line="420" w:lineRule="exact"/>
        <w:jc w:val="lef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167" name="文本框 168"/>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a:effectLst/>
                      </wps:spPr>
                      <wps:txbx>
                        <w:txbxContent>
                          <w:p w14:paraId="5D44BCD8">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vert="horz" wrap="square" anchor="t" anchorCtr="0" upright="1"/>
                    </wps:wsp>
                  </a:graphicData>
                </a:graphic>
              </wp:anchor>
            </w:drawing>
          </mc:Choice>
          <mc:Fallback>
            <w:pict>
              <v:shape id="文本框 168" o:spid="_x0000_s1026" o:spt="202" type="#_x0000_t202" style="position:absolute;left:0pt;margin-left:-9pt;margin-top:21.75pt;height:35.4pt;width:76.2pt;z-index:251829248;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BiSrL2AAAAAoBAAAPAAAAAAAAAAEAIAAA&#10;ACIAAABkcnMvZG93bnJldi54bWxQSwECFAAUAAAACACHTuJApdHOC9MBAACSAwAADgAAAAAAAAAB&#10;ACAAAAAnAQAAZHJzL2Uyb0RvYy54bWxQSwUGAAAAAAYABgBZAQAAbAUAAAAA&#10;">
                <v:fill on="f" focussize="0,0"/>
                <v:stroke on="f"/>
                <v:imagedata o:title=""/>
                <o:lock v:ext="edit" aspectratio="f"/>
                <v:textbox>
                  <w:txbxContent>
                    <w:p w14:paraId="5D44BCD8">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42.4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49392EC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合同双方当事人对工程质量有争议的，按照第86.4款规定调解或认定，所需的费用及由此造成的损失，由责任方承担。双方均有责任的，由双方根据其责任划分分别承担。</w:t>
      </w:r>
    </w:p>
    <w:p w14:paraId="57D20FFF">
      <w:pPr>
        <w:tabs>
          <w:tab w:val="left" w:pos="1620"/>
        </w:tabs>
        <w:adjustRightInd w:val="0"/>
        <w:snapToGrid w:val="0"/>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5370B081">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★43  工程质量创优</w:t>
      </w:r>
    </w:p>
    <w:p w14:paraId="17E22020">
      <w:pPr>
        <w:spacing w:line="420" w:lineRule="exact"/>
        <w:rPr>
          <w:rFonts w:ascii="宋体" w:hAnsi="宋体" w:eastAsia="宋体" w:cs="宋体"/>
          <w:b/>
          <w:bCs/>
          <w:caps/>
          <w:color w:val="000000" w:themeColor="text1"/>
          <w:sz w:val="22"/>
          <w:szCs w:val="22"/>
          <w:highlight w:val="none"/>
          <w14:textFill>
            <w14:solidFill>
              <w14:schemeClr w14:val="tx1"/>
            </w14:solidFill>
          </w14:textFill>
        </w:rPr>
      </w:pPr>
      <w:r>
        <w:rPr>
          <w:rFonts w:hint="eastAsia" w:ascii="宋体" w:hAnsi="宋体" w:eastAsia="宋体" w:cs="宋体"/>
          <w:b/>
          <w:bCs/>
          <w:caps/>
          <w:color w:val="000000" w:themeColor="text1"/>
          <w:sz w:val="22"/>
          <w:szCs w:val="22"/>
          <w:highlight w:val="none"/>
          <w14:textFill>
            <w14:solidFill>
              <w14:schemeClr w14:val="tx1"/>
            </w14:solidFill>
          </w14:textFill>
        </w:rPr>
        <w:t>43.1</w:t>
      </w:r>
    </w:p>
    <w:p w14:paraId="282D2A6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168" name="文本框 16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61855045">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vert="horz" wrap="square" anchor="t" anchorCtr="0" upright="1"/>
                    </wps:wsp>
                  </a:graphicData>
                </a:graphic>
              </wp:anchor>
            </w:drawing>
          </mc:Choice>
          <mc:Fallback>
            <w:pict>
              <v:shape id="文本框 169" o:spid="_x0000_s1026" o:spt="202" type="#_x0000_t202" style="position:absolute;left:0pt;margin-left:-9pt;margin-top:3pt;height:39pt;width:72pt;z-index:251830272;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fhA++1QAAAAgBAAAPAAAAAAAAAAEAIAAAACIAAABk&#10;cnMvZG93bnJldi54bWxQSwECFAAUAAAACACHTuJAznmHtdABAACSAwAADgAAAAAAAAABACAAAAAk&#10;AQAAZHJzL2Uyb0RvYy54bWxQSwUGAAAAAAYABgBZAQAAZgUAAAAA&#10;">
                <v:fill on="f" focussize="0,0"/>
                <v:stroke on="f"/>
                <v:imagedata o:title=""/>
                <o:lock v:ext="edit" aspectratio="f"/>
                <v:textbox>
                  <w:txbxContent>
                    <w:p w14:paraId="61855045">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发包人应配合承包人加强合同工程质量与施工安全管理，鼓励承包人实施合同工程质量创优。对于合同工程质量标准高于国家规定或合同约定的质量验收合格标准的，应按照第67条规定向承包人支付工程优质费。</w:t>
      </w:r>
    </w:p>
    <w:p w14:paraId="274AB8AB">
      <w:pPr>
        <w:spacing w:line="420" w:lineRule="exact"/>
        <w:rPr>
          <w:rFonts w:ascii="宋体" w:hAnsi="宋体" w:eastAsia="宋体" w:cs="宋体"/>
          <w:b/>
          <w:bCs/>
          <w:cap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43.2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2D50157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169" name="文本框 17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057833AF">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vert="horz" wrap="square" anchor="t" anchorCtr="0" upright="1"/>
                    </wps:wsp>
                  </a:graphicData>
                </a:graphic>
              </wp:anchor>
            </w:drawing>
          </mc:Choice>
          <mc:Fallback>
            <w:pict>
              <v:shape id="文本框 170" o:spid="_x0000_s1026" o:spt="202" type="#_x0000_t202" style="position:absolute;left:0pt;margin-left:-9pt;margin-top:13.45pt;height:39pt;width:72pt;z-index:251831296;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Bw183XAAAACgEAAA8AAAAAAAAAAQAgAAAAIgAA&#10;AGRycy9kb3ducmV2LnhtbFBLAQIUABQAAAAIAIdO4kA6j2X10AEAAJIDAAAOAAAAAAAAAAEAIAAA&#10;ACYBAABkcnMvZTJvRG9jLnhtbFBLBQYAAAAABgAGAFkBAABoBQAAAAA=&#10;">
                <v:fill on="f" focussize="0,0"/>
                <v:stroke on="f"/>
                <v:imagedata o:title=""/>
                <o:lock v:ext="edit" aspectratio="f"/>
                <v:textbox>
                  <w:txbxContent>
                    <w:p w14:paraId="057833AF">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承包人应采取有效措施确保合同工程质量与施工安全，在保证工程质量、施工安全达到国家或行业的强制性标准的前提下，提高工程质量与施工安全管理水平，争取合同工程质量创优。</w:t>
      </w:r>
    </w:p>
    <w:p w14:paraId="623A1BEA">
      <w:pPr>
        <w:tabs>
          <w:tab w:val="left" w:pos="1620"/>
        </w:tabs>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aps/>
          <w:color w:val="000000" w:themeColor="text1"/>
          <w:sz w:val="22"/>
          <w:szCs w:val="22"/>
          <w:highlight w:val="none"/>
          <w:u w:val="single"/>
          <w14:textFill>
            <w14:solidFill>
              <w14:schemeClr w14:val="tx1"/>
            </w14:solidFill>
          </w14:textFill>
        </w:rPr>
        <w:t xml:space="preserve">                                                                                             </w:t>
      </w:r>
    </w:p>
    <w:p w14:paraId="36568896">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44  工程的照管</w:t>
      </w:r>
    </w:p>
    <w:p w14:paraId="6ABC519B">
      <w:pPr>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170" name="文本框 171"/>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a:effectLst/>
                      </wps:spPr>
                      <wps:txbx>
                        <w:txbxContent>
                          <w:p w14:paraId="63983BBF">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wps:txbx>
                      <wps:bodyPr vert="horz" wrap="square" anchor="t" anchorCtr="0" upright="1"/>
                    </wps:wsp>
                  </a:graphicData>
                </a:graphic>
              </wp:anchor>
            </w:drawing>
          </mc:Choice>
          <mc:Fallback>
            <w:pict>
              <v:shape id="文本框 171" o:spid="_x0000_s1026" o:spt="202" type="#_x0000_t202" style="position:absolute;left:0pt;margin-left:-9pt;margin-top:20.8pt;height:20.2pt;width:63pt;z-index:251832320;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&#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4KDE1QAAAAkBAAAPAAAAAAAAAAEAIAAAACIAAABk&#10;cnMvZG93bnJldi54bWxQSwECFAAUAAAACACHTuJAEdkDgtABAACSAwAADgAAAAAAAAABACAAAAAk&#10;AQAAZHJzL2Uyb0RvYy54bWxQSwUGAAAAAAYABgBZAQAAZgUAAAAA&#10;">
                <v:fill on="f" focussize="0,0"/>
                <v:stroke on="f"/>
                <v:imagedata o:title=""/>
                <o:lock v:ext="edit" aspectratio="f"/>
                <v:textbox>
                  <w:txbxContent>
                    <w:p w14:paraId="63983BBF">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44.1  </w:t>
      </w:r>
    </w:p>
    <w:p w14:paraId="467DFF4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从开工之日起，承包人应全面负责照管合同工程及运至现场将用于和安装在合同工程中的材料和工程设备，直到合同双方当事人确认工程移交之日止。此后，工程的照管即转由发包人负责。</w:t>
      </w:r>
    </w:p>
    <w:p w14:paraId="0815492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14:paraId="50CB34A2">
      <w:pPr>
        <w:adjustRightInd w:val="0"/>
        <w:snapToGrid w:val="0"/>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171" name="文本框 172"/>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a:effectLst/>
                      </wps:spPr>
                      <wps:txbx>
                        <w:txbxContent>
                          <w:p w14:paraId="4CC762D9">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vert="horz" wrap="square" anchor="t" anchorCtr="0" upright="1"/>
                    </wps:wsp>
                  </a:graphicData>
                </a:graphic>
              </wp:anchor>
            </w:drawing>
          </mc:Choice>
          <mc:Fallback>
            <w:pict>
              <v:shape id="文本框 172" o:spid="_x0000_s1026" o:spt="202" type="#_x0000_t202" style="position:absolute;left:0pt;margin-left:-9pt;margin-top:21.8pt;height:56.55pt;width:72pt;z-index:251833344;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GysXNgAAAAKAQAADwAAAAAAAAABACAAAAAi&#10;AAAAZHJzL2Rvd25yZXYueG1sUEsBAhQAFAAAAAgAh07iQBpM2J/RAQAAkgMAAA4AAAAAAAAAAQAg&#10;AAAAJwEAAGRycy9lMm9Eb2MueG1sUEsFBgAAAAAGAAYAWQEAAGoFAAAAAA==&#10;">
                <v:fill on="f" focussize="0,0"/>
                <v:stroke on="f"/>
                <v:imagedata o:title=""/>
                <o:lock v:ext="edit" aspectratio="f"/>
                <v:textbox>
                  <w:txbxContent>
                    <w:p w14:paraId="4CC762D9">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44.2</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698EF45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承包人在负责工程照管期间，如因自身原因造成合同工程或其任何部分，以及材料和工程设备或临时工程的损坏，承包人应自费修复上述损坏，保证合同工程质量达到合同约定的标准。</w:t>
      </w:r>
    </w:p>
    <w:p w14:paraId="4B84C814">
      <w:pPr>
        <w:adjustRightInd w:val="0"/>
        <w:snapToGrid w:val="0"/>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51340264">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★45  绿色施工安全防护</w:t>
      </w:r>
    </w:p>
    <w:p w14:paraId="28C7F2E4">
      <w:pPr>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172" name="文本框 173"/>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a:effectLst/>
                      </wps:spPr>
                      <wps:txbx>
                        <w:txbxContent>
                          <w:p w14:paraId="0C4F69ED">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wps:txbx>
                      <wps:bodyPr vert="horz" wrap="square" anchor="t" anchorCtr="0" upright="1"/>
                    </wps:wsp>
                  </a:graphicData>
                </a:graphic>
              </wp:anchor>
            </w:drawing>
          </mc:Choice>
          <mc:Fallback>
            <w:pict>
              <v:shape id="文本框 173" o:spid="_x0000_s1026" o:spt="202" type="#_x0000_t202" style="position:absolute;left:0pt;margin-left:-9pt;margin-top:17.6pt;height:54.25pt;width:77pt;z-index:251834368;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a+0RPYAAAACgEAAA8AAAAAAAAAAQAgAAAA&#10;IgAAAGRycy9kb3ducmV2LnhtbFBLAQIUABQAAAAIAIdO4kDJuLO80gEAAJIDAAAOAAAAAAAAAAEA&#10;IAAAACcBAABkcnMvZTJvRG9jLnhtbFBLBQYAAAAABgAGAFkBAABrBQAAAAA=&#10;">
                <v:fill on="f" focussize="0,0"/>
                <v:stroke on="f"/>
                <v:imagedata o:title=""/>
                <o:lock v:ext="edit" aspectratio="f"/>
                <v:textbox>
                  <w:txbxContent>
                    <w:p w14:paraId="0C4F69ED">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45.1 </w:t>
      </w:r>
      <w:r>
        <w:rPr>
          <w:rFonts w:hint="eastAsia" w:ascii="宋体" w:hAnsi="宋体" w:eastAsia="宋体" w:cs="宋体"/>
          <w:b/>
          <w:bCs/>
          <w:color w:val="000000" w:themeColor="text1"/>
          <w:sz w:val="22"/>
          <w:szCs w:val="22"/>
          <w:highlight w:val="none"/>
          <w14:textFill>
            <w14:solidFill>
              <w14:schemeClr w14:val="tx1"/>
            </w14:solidFill>
          </w14:textFill>
        </w:rPr>
        <w:tab/>
      </w:r>
    </w:p>
    <w:p w14:paraId="6F2670D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065FFD6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在施工过程中，如遇到突发的地质变动、事先未知的地下施工障碍等影响施工安全的紧急情况，承包人应及时报告监理人和发包人，发包人应当及时下令停工并报政府有关行政管理部门采取应急措施。</w:t>
      </w:r>
    </w:p>
    <w:p w14:paraId="053F89C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发包人应组织承包人和有关单位进行安全检查，授权监理工程师按合同约定的绿色施工安全防护内容监督、检查承包人实施绿色施工安全防护，并按照第 80 条规定及时向承包人支付绿色施工安全防护费。</w:t>
      </w:r>
    </w:p>
    <w:p w14:paraId="43396E2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0DEDA05F">
      <w:pPr>
        <w:adjustRightInd w:val="0"/>
        <w:snapToGrid w:val="0"/>
        <w:spacing w:line="420" w:lineRule="exact"/>
        <w:ind w:left="1539" w:hanging="1539" w:hangingChars="697"/>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45.2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96E9112">
      <w:pPr>
        <w:adjustRightInd w:val="0"/>
        <w:snapToGrid w:val="0"/>
        <w:spacing w:line="420" w:lineRule="exact"/>
        <w:ind w:left="1539" w:hanging="1539" w:hangingChars="697"/>
        <w:rPr>
          <w:rFonts w:ascii="宋体" w:hAnsi="宋体" w:eastAsia="宋体" w:cs="宋体"/>
          <w:b/>
          <w:bCs/>
          <w:color w:val="000000" w:themeColor="text1"/>
          <w:sz w:val="22"/>
          <w:szCs w:val="22"/>
          <w:highlight w:val="none"/>
          <w14:textFill>
            <w14:solidFill>
              <w14:schemeClr w14:val="tx1"/>
            </w14:solidFill>
          </w14:textFill>
        </w:rPr>
      </w:pPr>
    </w:p>
    <w:p w14:paraId="09571CF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房屋建筑和市政基础设施工程应按国家、省、市住房城乡建设主管部门发布的有关用工实名制、工人工资支付分账管理办法、规定等文件要求实施用工实名制、工人工资支付分账。</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83200"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415" name="文本框 174"/>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a:effectLst/>
                      </wps:spPr>
                      <wps:txbx>
                        <w:txbxContent>
                          <w:p w14:paraId="35E0CFE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vert="horz" wrap="square" anchor="t" anchorCtr="0" upright="1"/>
                    </wps:wsp>
                  </a:graphicData>
                </a:graphic>
              </wp:anchor>
            </w:drawing>
          </mc:Choice>
          <mc:Fallback>
            <w:pict>
              <v:shape id="文本框 174" o:spid="_x0000_s1026" o:spt="202" type="#_x0000_t202" style="position:absolute;left:0pt;margin-left:-9pt;margin-top:0.1pt;height:47.8pt;width:77pt;z-index:252083200;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9ogsNUAAAAHAQAADwAAAAAAAAABACAAAAAi&#10;AAAAZHJzL2Rvd25yZXYueG1sUEsBAhQAFAAAAAgAh07iQOiHXsbUAQAAkgMAAA4AAAAAAAAAAQAg&#10;AAAAJAEAAGRycy9lMm9Eb2MueG1sUEsFBgAAAAAGAAYAWQEAAGoFAAAAAA==&#10;">
                <v:fill on="f" focussize="0,0"/>
                <v:stroke on="f"/>
                <v:imagedata o:title=""/>
                <o:lock v:ext="edit" aspectratio="f"/>
                <v:textbox>
                  <w:txbxContent>
                    <w:p w14:paraId="35E0CFE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14:paraId="7E4D7FC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建设单位负责协调、监督项目各参建单位按规定落实实名管理，在工程安全文明措施费中明确列支实名管理所需的费用；负责监督施工总承包单位的工人工资支付情况，协调建设项目的工人工资支付事宜。</w:t>
      </w:r>
    </w:p>
    <w:p w14:paraId="2AEC86F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建筑施工实名制以建设项目为管理单位。施工总承包企业对实名制管理负总责；专业承包企业和劳务分包企业按照合同约定，对本企业施工范围的实名制管理负责。建设单位、施工总承包企业、专业承包企业和劳务分包企业存在违反有关文件规定情形的，需承担相应的责任。</w:t>
      </w:r>
    </w:p>
    <w:p w14:paraId="3A0AA4A0">
      <w:pPr>
        <w:adjustRightInd w:val="0"/>
        <w:snapToGrid w:val="0"/>
        <w:spacing w:line="420" w:lineRule="exact"/>
        <w:ind w:left="1539" w:hanging="1539" w:hangingChars="697"/>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45.3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4F3373D9">
      <w:pPr>
        <w:adjustRightInd w:val="0"/>
        <w:snapToGrid w:val="0"/>
        <w:spacing w:line="420" w:lineRule="exact"/>
        <w:ind w:left="1539" w:hanging="1539" w:hangingChars="697"/>
        <w:rPr>
          <w:rFonts w:ascii="宋体" w:hAnsi="宋体" w:eastAsia="宋体" w:cs="宋体"/>
          <w:b/>
          <w:bCs/>
          <w:color w:val="000000" w:themeColor="text1"/>
          <w:sz w:val="22"/>
          <w:szCs w:val="22"/>
          <w:highlight w:val="none"/>
          <w14:textFill>
            <w14:solidFill>
              <w14:schemeClr w14:val="tx1"/>
            </w14:solidFill>
          </w14:textFill>
        </w:rPr>
      </w:pPr>
    </w:p>
    <w:p w14:paraId="4F75652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173" name="文本框 17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14:paraId="36A152A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wps:txbx>
                      <wps:bodyPr vert="horz" wrap="square" anchor="t" anchorCtr="0" upright="1"/>
                    </wps:wsp>
                  </a:graphicData>
                </a:graphic>
              </wp:anchor>
            </w:drawing>
          </mc:Choice>
          <mc:Fallback>
            <w:pict>
              <v:shape id="文本框 175" o:spid="_x0000_s1026" o:spt="202" type="#_x0000_t202" style="position:absolute;left:0pt;margin-left:-9pt;margin-top:0.1pt;height:31.2pt;width:77pt;z-index:251835392;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zlDInUAAAABwEAAA8AAAAAAAAAAQAgAAAAIgAA&#10;AGRycy9kb3ducmV2LnhtbFBLAQIUABQAAAAIAIdO4kBPSbfs0wEAAJIDAAAOAAAAAAAAAAEAIAAA&#10;ACMBAABkcnMvZTJvRG9jLnhtbFBLBQYAAAAABgAGAFkBAABoBQAAAAA=&#10;">
                <v:fill on="f" focussize="0,0"/>
                <v:stroke on="f"/>
                <v:imagedata o:title=""/>
                <o:lock v:ext="edit" aspectratio="f"/>
                <v:textbox>
                  <w:txbxContent>
                    <w:p w14:paraId="36A152A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在合同工程实施、完成及保修期间，发包人承担下列责任：</w:t>
      </w:r>
    </w:p>
    <w:p w14:paraId="68561E3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（1）发包人应配合承包人做好绿色施工安全防护工作，定期对其现场机构雇佣的全部人员进行绿色施工安全防护教育和培训。</w:t>
      </w:r>
    </w:p>
    <w:p w14:paraId="5FE6917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（2）发包人应对其现场机构雇佣的全部人员的安全事故承担责任，但由于承包人原因造成发包人人员安全事故的，应由承包人承担责任。</w:t>
      </w:r>
    </w:p>
    <w:p w14:paraId="7FE5FD2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（3）发包人有下列行为之一或由于发包人原因造成安全事故的，由发包人承担责任，由此增加的费用和延误的工期由发包人承担。</w:t>
      </w:r>
    </w:p>
    <w:p w14:paraId="12F9A7E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1）要求承包人违反绿色施工安全防护操作规程施工的；</w:t>
      </w:r>
    </w:p>
    <w:p w14:paraId="7FDE493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2）对承包人提出不符合国家、省有关安绿色施工安全防护全文明施工法律和强制性标准规定要求的；</w:t>
      </w:r>
    </w:p>
    <w:p w14:paraId="4446C48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3）明示或暗示承包人购买、租赁、使用不符合安全施工要求的安全防护用具、机械设备、施工机具及配件、消防设施和器材的。</w:t>
      </w:r>
    </w:p>
    <w:p w14:paraId="2F7D49A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（4）发包人应负责赔偿下列情形造成的第三者人身伤亡和财产损失。</w:t>
      </w:r>
    </w:p>
    <w:p w14:paraId="13904F1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1）工程或工程的任何部分对土地的占用所造成的第三者财产损失；</w:t>
      </w:r>
    </w:p>
    <w:p w14:paraId="55A345C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2）由于发包人原因在施工场地及其毗邻造成的第三者人身伤亡和财产损失。</w:t>
      </w:r>
    </w:p>
    <w:p w14:paraId="6B8110A4">
      <w:pPr>
        <w:adjustRightInd w:val="0"/>
        <w:snapToGrid w:val="0"/>
        <w:spacing w:line="420" w:lineRule="exact"/>
        <w:rPr>
          <w:rFonts w:ascii="宋体" w:hAnsi="宋体" w:eastAsia="宋体" w:cs="宋体"/>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45.4 </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7E64BCFD">
      <w:pPr>
        <w:adjustRightInd w:val="0"/>
        <w:snapToGrid w:val="0"/>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174" name="文本框 176"/>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a:effectLst/>
                      </wps:spPr>
                      <wps:txbx>
                        <w:txbxContent>
                          <w:p w14:paraId="1962F13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wps:txbx>
                      <wps:bodyPr vert="horz" wrap="square" anchor="t" anchorCtr="0" upright="1"/>
                    </wps:wsp>
                  </a:graphicData>
                </a:graphic>
              </wp:anchor>
            </w:drawing>
          </mc:Choice>
          <mc:Fallback>
            <w:pict>
              <v:shape id="文本框 176" o:spid="_x0000_s1026" o:spt="202" type="#_x0000_t202" style="position:absolute;left:0pt;margin-left:-9pt;margin-top:15.6pt;height:44.65pt;width:81pt;z-index:251836416;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FmwW2AAAAAoBAAAPAAAAAAAAAAEAIAAAACIA&#10;AABkcnMvZG93bnJldi54bWxQSwECFAAUAAAACACHTuJAbFdKh9ABAACTAwAADgAAAAAAAAABACAA&#10;AAAnAQAAZHJzL2Uyb0RvYy54bWxQSwUGAAAAAAYABgBZAQAAaQUAAAAA&#10;">
                <v:fill on="f" focussize="0,0"/>
                <v:stroke on="f"/>
                <v:imagedata o:title=""/>
                <o:lock v:ext="edit" aspectratio="f"/>
                <v:textbox>
                  <w:txbxContent>
                    <w:p w14:paraId="1962F13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14:paraId="0FF9AFE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在合同工程实施、完成及保修期间，承包人承担下列责任：</w:t>
      </w:r>
    </w:p>
    <w:p w14:paraId="534E120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（1）承包人应严格按照国家、省、市有关绿色施工安全防护的标准、内容与规范制定绿色施工安全防护操作规程，配备必要的安全生产和劳动保护设施，加强对承包人人员的施工安全教育和培训。</w:t>
      </w:r>
    </w:p>
    <w:p w14:paraId="29EE632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（2）承包人应对合同工程的绿色施工安全防护负责，采取有效的安全措施消除安全事故隐患，并接受和配合依法实施的监督检查。</w:t>
      </w:r>
    </w:p>
    <w:p w14:paraId="5A8B1D2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4DB09D6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（4）承包人应按监理工程师的指令制定应对灾害的紧急预案，并按预案做好安全检查，配置必要的救助物资和器材，切实保护好有关人员的人身和财产安全。</w:t>
      </w:r>
    </w:p>
    <w:p w14:paraId="7EF7237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（5）承包人违反本条规定或由于承包人原因造成安全事故的，由承包人承担责任，由此增加的费用和延误的工期由承包人承担。</w:t>
      </w:r>
    </w:p>
    <w:p w14:paraId="33990F4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（6）承包人应对其履行合同所雇佣的全部人员，包括分包人人员的安全事故承担责任，但由于发包人原因造成承包人人员安全事故的，应由发包人承担责任。</w:t>
      </w:r>
    </w:p>
    <w:p w14:paraId="2867FC1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（7）由于承包人原因在施工场地内及其毗邻造成的第三者人身伤亡和财产损失，由承包人负责赔偿。</w:t>
      </w:r>
    </w:p>
    <w:p w14:paraId="173EA28E">
      <w:pPr>
        <w:adjustRightInd w:val="0"/>
        <w:snapToGrid w:val="0"/>
        <w:spacing w:line="420" w:lineRule="exact"/>
        <w:rPr>
          <w:rFonts w:ascii="宋体" w:hAnsi="宋体" w:eastAsia="宋体" w:cs="宋体"/>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45.5 </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75B9223D">
      <w:pPr>
        <w:adjustRightInd w:val="0"/>
        <w:snapToGrid w:val="0"/>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175" name="文本框 177"/>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a:effectLst/>
                      </wps:spPr>
                      <wps:txbx>
                        <w:txbxContent>
                          <w:p w14:paraId="4883CF7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vert="horz" wrap="square" anchor="t" anchorCtr="0" upright="1"/>
                    </wps:wsp>
                  </a:graphicData>
                </a:graphic>
              </wp:anchor>
            </w:drawing>
          </mc:Choice>
          <mc:Fallback>
            <w:pict>
              <v:shape id="文本框 177" o:spid="_x0000_s1026" o:spt="202" type="#_x0000_t202" style="position:absolute;left:0pt;margin-left:-9pt;margin-top:17.3pt;height:37.75pt;width:75.15pt;z-index:251837440;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8bHsGtcAAAAKAQAADwAAAAAAAAABACAAAAAi&#10;AAAAZHJzL2Rvd25yZXYueG1sUEsBAhQAFAAAAAgAh07iQBoW/cLSAQAAkgMAAA4AAAAAAAAAAQAg&#10;AAAAJgEAAGRycy9lMm9Eb2MueG1sUEsFBgAAAAAGAAYAWQEAAGoFAAAAAA==&#10;">
                <v:fill on="f" focussize="0,0"/>
                <v:stroke on="f"/>
                <v:imagedata o:title=""/>
                <o:lock v:ext="edit" aspectratio="f"/>
                <v:textbox>
                  <w:txbxContent>
                    <w:p w14:paraId="4883CF7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14:paraId="70133C5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14:paraId="71BB4BF2">
      <w:pPr>
        <w:adjustRightInd w:val="0"/>
        <w:snapToGrid w:val="0"/>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45.6</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6FB5449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38464"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176" name="文本框 178"/>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a:effectLst/>
                      </wps:spPr>
                      <wps:txbx>
                        <w:txbxContent>
                          <w:p w14:paraId="37ED70D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wps:txbx>
                      <wps:bodyPr vert="horz" wrap="square" anchor="t" anchorCtr="0" upright="1"/>
                    </wps:wsp>
                  </a:graphicData>
                </a:graphic>
              </wp:anchor>
            </w:drawing>
          </mc:Choice>
          <mc:Fallback>
            <w:pict>
              <v:shape id="文本框 178" o:spid="_x0000_s1026" o:spt="202" type="#_x0000_t202" style="position:absolute;left:0pt;margin-left:-6.6pt;margin-top:0.9pt;height:56.7pt;width:63pt;z-index:251838464;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2BGNHUAAAACQEAAA8AAAAAAAAAAQAgAAAAIgAAAGRy&#10;cy9kb3ducmV2LnhtbFBLAQIUABQAAAAIAIdO4kCST3Kw0AEAAJIDAAAOAAAAAAAAAAEAIAAAACMB&#10;AABkcnMvZTJvRG9jLnhtbFBLBQYAAAAABgAGAFkBAABlBQAAAAA=&#10;">
                <v:fill on="f" focussize="0,0"/>
                <v:stroke on="f"/>
                <v:imagedata o:title=""/>
                <o:lock v:ext="edit" aspectratio="f"/>
                <v:textbox>
                  <w:txbxContent>
                    <w:p w14:paraId="37ED70D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合同双方当事人不仅应协助现场治安管理机构或联防组织维护施工场地的社会治安，而且应做好包括有关人员现场生活、居住场所在内的施工场地内的治安保卫工作。</w:t>
      </w:r>
    </w:p>
    <w:p w14:paraId="27A9FC2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5A0E750A">
      <w:pPr>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45.7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2951AF2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39488"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177" name="文本框 179"/>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a:effectLst/>
                      </wps:spPr>
                      <wps:txbx>
                        <w:txbxContent>
                          <w:p w14:paraId="2228936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vert="horz" wrap="square" anchor="t" anchorCtr="0" upright="1"/>
                    </wps:wsp>
                  </a:graphicData>
                </a:graphic>
              </wp:anchor>
            </w:drawing>
          </mc:Choice>
          <mc:Fallback>
            <w:pict>
              <v:shape id="文本框 179" o:spid="_x0000_s1026" o:spt="202" type="#_x0000_t202" style="position:absolute;left:0pt;margin-left:-5.8pt;margin-top:1.25pt;height:51.25pt;width:68.8pt;z-index:251839488;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vwBm/WAAAACQEAAA8AAAAAAAAAAQAgAAAAIgAA&#10;AGRycy9kb3ducmV2LnhtbFBLAQIUABQAAAAIAIdO4kD5db0o0QEAAJIDAAAOAAAAAAAAAAEAIAAA&#10;ACUBAABkcnMvZTJvRG9jLnhtbFBLBQYAAAAABgAGAFkBAABoBQAAAAA=&#10;">
                <v:fill on="f" focussize="0,0"/>
                <v:stroke on="f"/>
                <v:imagedata o:title=""/>
                <o:lock v:ext="edit" aspectratio="f"/>
                <v:textbox>
                  <w:txbxContent>
                    <w:p w14:paraId="2228936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遵守国家有关环境保护、卫生监督的法律，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14:paraId="7CA0CABA">
      <w:pPr>
        <w:adjustRightInd w:val="0"/>
        <w:snapToGrid w:val="0"/>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45.8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79213D4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4051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178" name="文本框 180"/>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a:effectLst/>
                      </wps:spPr>
                      <wps:txbx>
                        <w:txbxContent>
                          <w:p w14:paraId="17304271">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wps:txbx>
                      <wps:bodyPr vert="horz" wrap="square" anchor="t" anchorCtr="0" upright="1"/>
                    </wps:wsp>
                  </a:graphicData>
                </a:graphic>
              </wp:anchor>
            </w:drawing>
          </mc:Choice>
          <mc:Fallback>
            <w:pict>
              <v:shape id="文本框 180" o:spid="_x0000_s1026" o:spt="202" type="#_x0000_t202" style="position:absolute;left:0pt;margin-left:0pt;margin-top:1.35pt;height:46.8pt;width:68.8pt;z-index:25184051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7enTDUAAAABQEAAA8AAAAAAAAAAQAgAAAAIgAAAGRy&#10;cy9kb3ducmV2LnhtbFBLAQIUABQAAAAIAIdO4kBvpVVW0AEAAJIDAAAOAAAAAAAAAAEAIAAAACMB&#10;AABkcnMvZTJvRG9jLnhtbFBLBQYAAAAABgAGAFkBAABlBQAAAAA=&#10;">
                <v:fill on="f" focussize="0,0"/>
                <v:stroke on="f"/>
                <v:imagedata o:title=""/>
                <o:lock v:ext="edit" aspectratio="f"/>
                <v:textbox>
                  <w:txbxContent>
                    <w:p w14:paraId="17304271">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发包人应配合承包人加强绿色施工安全防护管理，鼓励承包人实施省、市级或其它级别文明工地。对于工程获得省、市级或其它级别文明工地的，应按照第80条规定向承包人支付文明工地增加费。</w:t>
      </w:r>
    </w:p>
    <w:p w14:paraId="1C84B8ED">
      <w:pPr>
        <w:adjustRightInd w:val="0"/>
        <w:snapToGrid w:val="0"/>
        <w:spacing w:line="420" w:lineRule="exact"/>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45.9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2F026F8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77056"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09" name="文本框 181"/>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a:effectLst/>
                      </wps:spPr>
                      <wps:txbx>
                        <w:txbxContent>
                          <w:p w14:paraId="726D0D23">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wps:txbx>
                      <wps:bodyPr vert="horz" wrap="square" anchor="t" anchorCtr="0" upright="1"/>
                    </wps:wsp>
                  </a:graphicData>
                </a:graphic>
              </wp:anchor>
            </w:drawing>
          </mc:Choice>
          <mc:Fallback>
            <w:pict>
              <v:shape id="文本框 181" o:spid="_x0000_s1026" o:spt="202" type="#_x0000_t202" style="position:absolute;left:0pt;margin-left:0pt;margin-top:1.35pt;height:46.8pt;width:68.8pt;z-index:252077056;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t6dMNQAAAAFAQAADwAAAAAAAAABACAAAAAiAAAA&#10;ZHJzL2Rvd25yZXYueG1sUEsBAhQAFAAAAAgAh07iQGesEUDSAQAAkgMAAA4AAAAAAAAAAQAgAAAA&#10;IwEAAGRycy9lMm9Eb2MueG1sUEsFBgAAAAAGAAYAWQEAAGcFAAAAAA==&#10;">
                <v:fill on="f" focussize="0,0"/>
                <v:stroke on="f"/>
                <v:imagedata o:title=""/>
                <o:lock v:ext="edit" aspectratio="f"/>
                <v:textbox>
                  <w:txbxContent>
                    <w:p w14:paraId="726D0D23">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50FF7BB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承包人在动力设备、输电线路、地下管道、密封防震车间、易燃易爆地段以及临街交通要道附近施工时，施工开始前应向发包人和监理人提出安全防护措施，经发包人认可后实施。 </w:t>
      </w:r>
    </w:p>
    <w:p w14:paraId="466A30F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实施爆破作业，在放射、毒害性环境中施工（含储存、运输、使用）及使用毒害性、腐蚀性物品施工时，承包人应在施工前7天以书面通知发包人和监理人，并报送相应的安全防护措施，经发包人认可后实施。</w:t>
      </w:r>
    </w:p>
    <w:p w14:paraId="1D119C7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需单独编制危险性较大分部分项专项工程施工方案的，及要求进行专家论证的超过一定规模的危险性较大的分部分项工程，承包人应及时编制和组织论证。</w:t>
      </w:r>
    </w:p>
    <w:p w14:paraId="28EC6C47">
      <w:pPr>
        <w:adjustRightInd w:val="0"/>
        <w:snapToGrid w:val="0"/>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4C8838E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46  测量放线</w:t>
      </w:r>
    </w:p>
    <w:p w14:paraId="2E991005">
      <w:pPr>
        <w:widowControl w:val="0"/>
        <w:tabs>
          <w:tab w:val="left" w:pos="1202"/>
        </w:tabs>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179" name="文本框 182"/>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a:effectLst/>
                      </wps:spPr>
                      <wps:txbx>
                        <w:txbxContent>
                          <w:p w14:paraId="2AEDB61E">
                            <w:pPr>
                              <w:rPr>
                                <w:rFonts w:ascii="宋体" w:hAnsi="Calibri" w:eastAsia="宋体" w:cs="Times New Roman"/>
                                <w:sz w:val="18"/>
                                <w:szCs w:val="18"/>
                              </w:rPr>
                            </w:pPr>
                            <w:r>
                              <w:rPr>
                                <w:rFonts w:hint="eastAsia" w:ascii="楷体_GB2312" w:hAnsi="宋体" w:eastAsia="楷体_GB2312" w:cs="楷体_GB2312"/>
                                <w:b/>
                                <w:bCs/>
                                <w:color w:val="000000"/>
                                <w:sz w:val="18"/>
                                <w:szCs w:val="18"/>
                              </w:rPr>
                              <w:t>测设施工控制网</w:t>
                            </w:r>
                          </w:p>
                        </w:txbxContent>
                      </wps:txbx>
                      <wps:bodyPr vert="horz" wrap="square" anchor="t" anchorCtr="0" upright="1"/>
                    </wps:wsp>
                  </a:graphicData>
                </a:graphic>
              </wp:anchor>
            </w:drawing>
          </mc:Choice>
          <mc:Fallback>
            <w:pict>
              <v:shape id="文本框 182" o:spid="_x0000_s1026" o:spt="202" type="#_x0000_t202" style="position:absolute;left:0pt;margin-left:-9pt;margin-top:22.55pt;height:43pt;width:72pt;z-index:251841536;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Xret51wAAAAoBAAAPAAAAAAAAAAEAIAAAACIA&#10;AABkcnMvZG93bnJldi54bWxQSwECFAAUAAAACACHTuJAxqCQCdEBAACSAwAADgAAAAAAAAABACAA&#10;AAAmAQAAZHJzL2Uyb0RvYy54bWxQSwUGAAAAAAYABgBZAQAAaQUAAAAA&#10;">
                <v:fill on="f" focussize="0,0"/>
                <v:stroke on="f"/>
                <v:imagedata o:title=""/>
                <o:lock v:ext="edit" aspectratio="f"/>
                <v:textbox>
                  <w:txbxContent>
                    <w:p w14:paraId="2AEDB61E">
                      <w:pPr>
                        <w:rPr>
                          <w:rFonts w:ascii="宋体" w:hAnsi="Calibri" w:eastAsia="宋体" w:cs="Times New Roman"/>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46.1</w:t>
      </w:r>
    </w:p>
    <w:p w14:paraId="1DF306C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7F52B43E">
      <w:pPr>
        <w:adjustRightInd w:val="0"/>
        <w:snapToGrid w:val="0"/>
        <w:spacing w:line="420" w:lineRule="exact"/>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46.2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7E3876F7">
      <w:pPr>
        <w:adjustRightInd w:val="0"/>
        <w:snapToGrid w:val="0"/>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180" name="文本框 183"/>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a:effectLst/>
                      </wps:spPr>
                      <wps:txbx>
                        <w:txbxContent>
                          <w:p w14:paraId="7F683284">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vert="horz" wrap="square" anchor="t" anchorCtr="0" upright="1"/>
                    </wps:wsp>
                  </a:graphicData>
                </a:graphic>
              </wp:anchor>
            </w:drawing>
          </mc:Choice>
          <mc:Fallback>
            <w:pict>
              <v:shape id="文本框 183" o:spid="_x0000_s1026" o:spt="202" type="#_x0000_t202" style="position:absolute;left:0pt;margin-left:-9pt;margin-top:16.9pt;height:53.35pt;width:72pt;z-index:251842560;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ak0tp1wAAAAoBAAAPAAAAAAAAAAEAIAAAACIA&#10;AABkcnMvZG93bnJldi54bWxQSwECFAAUAAAACACHTuJAPQEevtEBAACSAwAADgAAAAAAAAABACAA&#10;AAAmAQAAZHJzL2Uyb0RvYy54bWxQSwUGAAAAAAYABgBZAQAAaQUAAAAA&#10;">
                <v:fill on="f" focussize="0,0"/>
                <v:stroke on="f"/>
                <v:imagedata o:title=""/>
                <o:lock v:ext="edit" aspectratio="f"/>
                <v:textbox>
                  <w:txbxContent>
                    <w:p w14:paraId="7F683284">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14:paraId="5C58273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承包人应负责施工控制网点的管理。施工控制网点丢失或损坏的，承包人应及时修复。承包人应承担施工控制网点的管理与修复费用，并在工程竣工后将施工控制网点移交发包人。</w:t>
      </w:r>
    </w:p>
    <w:p w14:paraId="14D6048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监理工程师需要使用施工控制网的，承包人应提供必要的协助，发包人无需为此支付任何费用。</w:t>
      </w:r>
    </w:p>
    <w:p w14:paraId="0C81543E">
      <w:pPr>
        <w:adjustRightInd w:val="0"/>
        <w:snapToGrid w:val="0"/>
        <w:spacing w:line="420" w:lineRule="exact"/>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46.3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139546A2">
      <w:pPr>
        <w:adjustRightInd w:val="0"/>
        <w:snapToGrid w:val="0"/>
        <w:spacing w:line="420" w:lineRule="exact"/>
        <w:rPr>
          <w:rFonts w:ascii="宋体" w:hAnsi="宋体" w:eastAsia="宋体" w:cs="宋体"/>
          <w:color w:val="000000" w:themeColor="text1"/>
          <w:sz w:val="22"/>
          <w:szCs w:val="22"/>
          <w:highlight w:val="none"/>
          <w14:textFill>
            <w14:solidFill>
              <w14:schemeClr w14:val="tx1"/>
            </w14:solidFill>
          </w14:textFill>
        </w:rPr>
      </w:pPr>
    </w:p>
    <w:p w14:paraId="3373357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181" name="文本框 184"/>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a:effectLst/>
                      </wps:spPr>
                      <wps:txbx>
                        <w:txbxContent>
                          <w:p w14:paraId="424DC1BF">
                            <w:pPr>
                              <w:spacing w:line="200" w:lineRule="exact"/>
                              <w:rPr>
                                <w:rFonts w:ascii="Calibri" w:hAnsi="Calibri" w:eastAsia="宋体" w:cs="Times New Roman"/>
                                <w:sz w:val="18"/>
                                <w:szCs w:val="18"/>
                              </w:rPr>
                            </w:pPr>
                            <w:r>
                              <w:rPr>
                                <w:rFonts w:hint="eastAsia" w:ascii="楷体_GB2312" w:hAnsi="宋体" w:eastAsia="楷体_GB2312" w:cs="楷体_GB2312"/>
                                <w:b/>
                                <w:bCs/>
                                <w:color w:val="000000"/>
                                <w:sz w:val="18"/>
                                <w:szCs w:val="18"/>
                              </w:rPr>
                              <w:t>承包人测量放线的责任</w:t>
                            </w:r>
                          </w:p>
                        </w:txbxContent>
                      </wps:txbx>
                      <wps:bodyPr vert="horz" wrap="square" anchor="t" anchorCtr="0" upright="1"/>
                    </wps:wsp>
                  </a:graphicData>
                </a:graphic>
              </wp:anchor>
            </w:drawing>
          </mc:Choice>
          <mc:Fallback>
            <w:pict>
              <v:shape id="文本框 184" o:spid="_x0000_s1026" o:spt="202" type="#_x0000_t202" style="position:absolute;left:0pt;margin-left:-9pt;margin-top:-0.5pt;height:42.6pt;width:72pt;z-index:251843584;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iywvNUAAAAJAQAADwAAAAAAAAABACAAAAAiAAAA&#10;ZHJzL2Rvd25yZXYueG1sUEsBAhQAFAAAAAgAh07iQD19hrvRAQAAkgMAAA4AAAAAAAAAAQAgAAAA&#10;JAEAAGRycy9lMm9Eb2MueG1sUEsFBgAAAAAGAAYAWQEAAGcFAAAAAA==&#10;">
                <v:fill on="f" focussize="0,0"/>
                <v:stroke on="f"/>
                <v:imagedata o:title=""/>
                <o:lock v:ext="edit" aspectratio="f"/>
                <v:textbox>
                  <w:txbxContent>
                    <w:p w14:paraId="424DC1BF">
                      <w:pPr>
                        <w:spacing w:line="200" w:lineRule="exact"/>
                        <w:rPr>
                          <w:rFonts w:ascii="Calibri" w:hAnsi="Calibri" w:eastAsia="宋体" w:cs="Times New Roman"/>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4C41236F">
      <w:pPr>
        <w:widowControl w:val="0"/>
        <w:tabs>
          <w:tab w:val="left" w:pos="720"/>
          <w:tab w:val="left" w:pos="1080"/>
        </w:tabs>
        <w:adjustRightInd w:val="0"/>
        <w:snapToGrid w:val="0"/>
        <w:spacing w:line="420" w:lineRule="exact"/>
        <w:ind w:firstLine="0"/>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46.4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6CD7FEA">
      <w:pPr>
        <w:spacing w:line="420" w:lineRule="exact"/>
        <w:rPr>
          <w:rFonts w:ascii="宋体" w:hAnsi="宋体" w:eastAsia="宋体" w:cs="宋体"/>
          <w:color w:val="000000" w:themeColor="text1"/>
          <w:sz w:val="22"/>
          <w:szCs w:val="22"/>
          <w:highlight w:val="none"/>
          <w14:textFill>
            <w14:solidFill>
              <w14:schemeClr w14:val="tx1"/>
            </w14:solidFill>
          </w14:textFill>
        </w:rPr>
      </w:pPr>
    </w:p>
    <w:p w14:paraId="7041F08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44608"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182" name="文本框 185"/>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a:effectLst/>
                      </wps:spPr>
                      <wps:txbx>
                        <w:txbxContent>
                          <w:p w14:paraId="18125772">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wps:txbx>
                      <wps:bodyPr vert="horz" wrap="square" anchor="t" anchorCtr="0" upright="1"/>
                    </wps:wsp>
                  </a:graphicData>
                </a:graphic>
              </wp:anchor>
            </w:drawing>
          </mc:Choice>
          <mc:Fallback>
            <w:pict>
              <v:shape id="文本框 185" o:spid="_x0000_s1026" o:spt="202" type="#_x0000_t202" style="position:absolute;left:0pt;margin-left:-5.25pt;margin-top:0.65pt;height:29.6pt;width:72pt;z-index:251844608;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7LALNMAAAAIAQAADwAAAAAAAAABACAAAAAiAAAA&#10;ZHJzL2Rvd25yZXYueG1sUEsBAhQAFAAAAAgAh07iQI0eCVzTAQAAkgMAAA4AAAAAAAAAAQAgAAAA&#10;IgEAAGRycy9lMm9Eb2MueG1sUEsFBgAAAAAGAAYAWQEAAGcFAAAAAA==&#10;">
                <v:fill on="f" focussize="0,0"/>
                <v:stroke on="f"/>
                <v:imagedata o:title=""/>
                <o:lock v:ext="edit" aspectratio="f"/>
                <v:textbox>
                  <w:txbxContent>
                    <w:p w14:paraId="18125772">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4D9C440E">
      <w:pPr>
        <w:widowControl w:val="0"/>
        <w:tabs>
          <w:tab w:val="left" w:pos="720"/>
          <w:tab w:val="left" w:pos="1080"/>
        </w:tabs>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46.5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183" name="文本框 18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a:effectLst/>
                      </wps:spPr>
                      <wps:txbx>
                        <w:txbxContent>
                          <w:p w14:paraId="5DAA52C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vert="horz" wrap="square" anchor="t" anchorCtr="0" upright="1"/>
                    </wps:wsp>
                  </a:graphicData>
                </a:graphic>
              </wp:anchor>
            </w:drawing>
          </mc:Choice>
          <mc:Fallback>
            <w:pict>
              <v:shape id="文本框 186" o:spid="_x0000_s1026" o:spt="202" type="#_x0000_t202" style="position:absolute;left:0pt;margin-left:-9pt;margin-top:21.9pt;height:35.3pt;width:72pt;z-index:251845632;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EupT9cAAAAKAQAADwAAAAAAAAABACAAAAAi&#10;AAAAZHJzL2Rvd25yZXYueG1sUEsBAhQAFAAAAAgAh07iQOpxDdPSAQAAkgMAAA4AAAAAAAAAAQAg&#10;AAAAJgEAAGRycy9lMm9Eb2MueG1sUEsFBgAAAAAGAAYAWQEAAGoFAAAAAA==&#10;">
                <v:fill on="f" focussize="0,0"/>
                <v:stroke on="f"/>
                <v:imagedata o:title=""/>
                <o:lock v:ext="edit" aspectratio="f"/>
                <v:textbox>
                  <w:txbxContent>
                    <w:p w14:paraId="5DAA52C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222994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1789135C">
      <w:pPr>
        <w:widowControl w:val="0"/>
        <w:tabs>
          <w:tab w:val="left" w:pos="2070"/>
        </w:tabs>
        <w:adjustRightInd w:val="0"/>
        <w:snapToGrid w:val="0"/>
        <w:spacing w:line="420" w:lineRule="exact"/>
        <w:ind w:firstLine="0"/>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45CD0024">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47  钻孔与勘探性开挖</w:t>
      </w:r>
    </w:p>
    <w:p w14:paraId="67293284">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184" name="文本框 187"/>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a:effectLst/>
                      </wps:spPr>
                      <wps:txbx>
                        <w:txbxContent>
                          <w:p w14:paraId="512ED36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vert="horz" wrap="square" anchor="t" anchorCtr="0" upright="1"/>
                    </wps:wsp>
                  </a:graphicData>
                </a:graphic>
              </wp:anchor>
            </w:drawing>
          </mc:Choice>
          <mc:Fallback>
            <w:pict>
              <v:shape id="文本框 187" o:spid="_x0000_s1026" o:spt="202" type="#_x0000_t202" style="position:absolute;left:0pt;margin-left:-10.5pt;margin-top:22.45pt;height:51.05pt;width:72pt;z-index:251846656;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YtmqtcAAAAKAQAADwAAAAAAAAABACAAAAAi&#10;AAAAZHJzL2Rvd25yZXYueG1sUEsBAhQAFAAAAAgAh07iQPkrA9nSAQAAkgMAAA4AAAAAAAAAAQAg&#10;AAAAJgEAAGRycy9lMm9Eb2MueG1sUEsFBgAAAAAGAAYAWQEAAGoFAAAAAA==&#10;">
                <v:fill on="f" focussize="0,0"/>
                <v:stroke on="f"/>
                <v:imagedata o:title=""/>
                <o:lock v:ext="edit" aspectratio="f"/>
                <v:textbox>
                  <w:txbxContent>
                    <w:p w14:paraId="512ED36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47.1</w:t>
      </w:r>
    </w:p>
    <w:p w14:paraId="727928E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在施工过程中，如果需要承包人进行钻孔或勘探性开挖（含疏浚工作在内）工作的，监理工程师应就此项工作按照第56条规定书面发出专项指令。承包人在接到监理工程师指令后，应及时实施相关工作。</w:t>
      </w:r>
    </w:p>
    <w:p w14:paraId="07293DEC">
      <w:pPr>
        <w:widowControl w:val="0"/>
        <w:tabs>
          <w:tab w:val="left" w:pos="720"/>
          <w:tab w:val="left" w:pos="1080"/>
        </w:tabs>
        <w:adjustRightInd w:val="0"/>
        <w:snapToGrid w:val="0"/>
        <w:spacing w:line="420" w:lineRule="exact"/>
        <w:ind w:firstLine="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47680"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185" name="文本框 188"/>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a:effectLst/>
                      </wps:spPr>
                      <wps:txbx>
                        <w:txbxContent>
                          <w:p w14:paraId="2C476CC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1866D513">
                            <w:pPr>
                              <w:spacing w:line="200" w:lineRule="exact"/>
                              <w:rPr>
                                <w:rFonts w:ascii="Times New Roman" w:hAnsi="Times New Roman" w:eastAsia="宋体" w:cs="Times New Roman"/>
                                <w:sz w:val="18"/>
                                <w:szCs w:val="18"/>
                              </w:rPr>
                            </w:pPr>
                          </w:p>
                        </w:txbxContent>
                      </wps:txbx>
                      <wps:bodyPr vert="horz" wrap="square" anchor="t" anchorCtr="0" upright="1"/>
                    </wps:wsp>
                  </a:graphicData>
                </a:graphic>
              </wp:anchor>
            </w:drawing>
          </mc:Choice>
          <mc:Fallback>
            <w:pict>
              <v:shape id="文本框 188" o:spid="_x0000_s1026" o:spt="202" type="#_x0000_t202" style="position:absolute;left:0pt;margin-left:-10.5pt;margin-top:15.7pt;height:55.05pt;width:72pt;z-index:251847680;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QzzG1wAAAAoBAAAPAAAAAAAAAAEAIAAAACIA&#10;AABkcnMvZG93bnJldi54bWxQSwECFAAUAAAACACHTuJA8oCpetEBAACSAwAADgAAAAAAAAABACAA&#10;AAAmAQAAZHJzL2Uyb0RvYy54bWxQSwUGAAAAAAYABgBZAQAAaQUAAAAA&#10;">
                <v:fill on="f" focussize="0,0"/>
                <v:stroke on="f"/>
                <v:imagedata o:title=""/>
                <o:lock v:ext="edit" aspectratio="f"/>
                <v:textbox>
                  <w:txbxContent>
                    <w:p w14:paraId="2C476CC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1866D513">
                      <w:pPr>
                        <w:spacing w:line="200" w:lineRule="exact"/>
                        <w:rPr>
                          <w:rFonts w:ascii="Times New Roman" w:hAnsi="Times New Roman" w:eastAsia="宋体" w:cs="Times New Roman"/>
                          <w:sz w:val="18"/>
                          <w:szCs w:val="18"/>
                        </w:rPr>
                      </w:pP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47.2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11079D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除工程量清单中已列有此类工作的支付项目和额度外，此项工作所发生的一切费用，经造价工程师核实后，由合同双方当事人按照第72条规定办理。</w:t>
      </w:r>
    </w:p>
    <w:p w14:paraId="1567BB26">
      <w:pPr>
        <w:widowControl w:val="0"/>
        <w:tabs>
          <w:tab w:val="left" w:pos="540"/>
        </w:tabs>
        <w:adjustRightInd w:val="0"/>
        <w:snapToGrid w:val="0"/>
        <w:spacing w:before="240" w:beforeLines="100"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63A3068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48  发包人供应材料和工程设备</w:t>
      </w:r>
    </w:p>
    <w:p w14:paraId="2A8B8B85">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186" name="文本框 189"/>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a:effectLst/>
                      </wps:spPr>
                      <wps:txbx>
                        <w:txbxContent>
                          <w:p w14:paraId="6DCA56D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vert="horz" wrap="square" anchor="t" anchorCtr="0" upright="1"/>
                    </wps:wsp>
                  </a:graphicData>
                </a:graphic>
              </wp:anchor>
            </w:drawing>
          </mc:Choice>
          <mc:Fallback>
            <w:pict>
              <v:shape id="文本框 189" o:spid="_x0000_s1026" o:spt="202" type="#_x0000_t202" style="position:absolute;left:0pt;margin-left:-9pt;margin-top:21.95pt;height:40.55pt;width:72pt;z-index:251848704;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46Eg41wAAAAoBAAAPAAAAAAAAAAEAIAAAACIA&#10;AABkcnMvZG93bnJldi54bWxQSwECFAAUAAAACACHTuJA8T/GL9EBAACSAwAADgAAAAAAAAABACAA&#10;AAAmAQAAZHJzL2Uyb0RvYy54bWxQSwUGAAAAAAYABgBZAQAAaQUAAAAA&#10;">
                <v:fill on="f" focussize="0,0"/>
                <v:stroke on="f"/>
                <v:imagedata o:title=""/>
                <o:lock v:ext="edit" aspectratio="f"/>
                <v:textbox>
                  <w:txbxContent>
                    <w:p w14:paraId="6DCA56D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48.1</w:t>
      </w:r>
    </w:p>
    <w:p w14:paraId="37385BF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14:paraId="6C55C8C5">
      <w:pPr>
        <w:widowControl w:val="0"/>
        <w:adjustRightInd w:val="0"/>
        <w:snapToGrid w:val="0"/>
        <w:spacing w:line="420" w:lineRule="exact"/>
        <w:ind w:firstLine="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48.2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08DC5B2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49728"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187" name="文本框 190"/>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a:effectLst/>
                      </wps:spPr>
                      <wps:txbx>
                        <w:txbxContent>
                          <w:p w14:paraId="249DCA0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vert="horz" wrap="square" anchor="t" anchorCtr="0" upright="1"/>
                    </wps:wsp>
                  </a:graphicData>
                </a:graphic>
              </wp:anchor>
            </w:drawing>
          </mc:Choice>
          <mc:Fallback>
            <w:pict>
              <v:shape id="文本框 190" o:spid="_x0000_s1026" o:spt="202" type="#_x0000_t202" style="position:absolute;left:0pt;margin-left:-5.25pt;margin-top:3.75pt;height:40.55pt;width:72pt;z-index:251849728;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GeAvNUAAAAIAQAADwAAAAAAAAABACAAAAAiAAAA&#10;ZHJzL2Rvd25yZXYueG1sUEsBAhQAFAAAAAgAh07iQAXJJG/RAQAAkgMAAA4AAAAAAAAAAQAgAAAA&#10;JAEAAGRycy9lMm9Eb2MueG1sUEsFBgAAAAAGAAYAWQEAAGcFAAAAAA==&#10;">
                <v:fill on="f" focussize="0,0"/>
                <v:stroke on="f"/>
                <v:imagedata o:title=""/>
                <o:lock v:ext="edit" aspectratio="f"/>
                <v:textbox>
                  <w:txbxContent>
                    <w:p w14:paraId="249DCA0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14:paraId="0C62D4E5">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48.3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0A6A91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188" name="文本框 191"/>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a:effectLst/>
                      </wps:spPr>
                      <wps:txbx>
                        <w:txbxContent>
                          <w:p w14:paraId="3CBBEAF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vert="horz" wrap="square" anchor="t" anchorCtr="0" upright="1"/>
                    </wps:wsp>
                  </a:graphicData>
                </a:graphic>
              </wp:anchor>
            </w:drawing>
          </mc:Choice>
          <mc:Fallback>
            <w:pict>
              <v:shape id="文本框 191" o:spid="_x0000_s1026" o:spt="202" type="#_x0000_t202" style="position:absolute;left:0pt;margin-left:-9pt;margin-top:0.2pt;height:35.65pt;width:76.2pt;z-index:251850752;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PNd8XVAAAABwEAAA8AAAAAAAAAAQAgAAAAIgAA&#10;AGRycy9kb3ducmV2LnhtbFBLAQIUABQAAAAIAIdO4kBn4Cuw0gEAAJIDAAAOAAAAAAAAAAEAIAAA&#10;ACQBAABkcnMvZTJvRG9jLnhtbFBLBQYAAAAABgAGAFkBAABoBQAAAAA=&#10;">
                <v:fill on="f" focussize="0,0"/>
                <v:stroke on="f"/>
                <v:imagedata o:title=""/>
                <o:lock v:ext="edit" aspectratio="f"/>
                <v:textbox>
                  <w:txbxContent>
                    <w:p w14:paraId="3CBBEAF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14:paraId="78BD32CA">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48.4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907C43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189" name="文本框 192"/>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a:effectLst/>
                      </wps:spPr>
                      <wps:txbx>
                        <w:txbxContent>
                          <w:p w14:paraId="1F2A39CD">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vert="horz" wrap="square" anchor="t" anchorCtr="0" upright="1"/>
                    </wps:wsp>
                  </a:graphicData>
                </a:graphic>
              </wp:anchor>
            </w:drawing>
          </mc:Choice>
          <mc:Fallback>
            <w:pict>
              <v:shape id="文本框 192" o:spid="_x0000_s1026" o:spt="202" type="#_x0000_t202" style="position:absolute;left:0pt;margin-left:-9pt;margin-top:0.7pt;height:80.25pt;width:72pt;z-index:251851776;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nwNh9UAAAAJAQAADwAAAAAAAAABACAAAAAiAAAA&#10;ZHJzL2Rvd25yZXYueG1sUEsBAhQAFAAAAAgAh07iQN+Pf7HRAQAAkwMAAA4AAAAAAAAAAQAgAAAA&#10;JAEAAGRycy9lMm9Eb2MueG1sUEsFBgAAAAAGAAYAWQEAAGcFAAAAAA==&#10;">
                <v:fill on="f" focussize="0,0"/>
                <v:stroke on="f"/>
                <v:imagedata o:title=""/>
                <o:lock v:ext="edit" aspectratio="f"/>
                <v:textbox>
                  <w:txbxContent>
                    <w:p w14:paraId="1F2A39CD">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6CC7F688">
      <w:pPr>
        <w:widowControl w:val="0"/>
        <w:adjustRightInd w:val="0"/>
        <w:snapToGrid w:val="0"/>
        <w:spacing w:line="420" w:lineRule="exact"/>
        <w:ind w:firstLine="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48.5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1337CCA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190" name="文本框 19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456B36E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vert="horz" wrap="square" anchor="t" anchorCtr="0" upright="1"/>
                    </wps:wsp>
                  </a:graphicData>
                </a:graphic>
              </wp:anchor>
            </w:drawing>
          </mc:Choice>
          <mc:Fallback>
            <w:pict>
              <v:shape id="文本框 193" o:spid="_x0000_s1026" o:spt="202" type="#_x0000_t202" style="position:absolute;left:0pt;margin-left:-9pt;margin-top:0.7pt;height:46.8pt;width:72pt;z-index:251852800;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w3QSNQAAAAIAQAADwAAAAAAAAABACAAAAAiAAAA&#10;ZHJzL2Rvd25yZXYueG1sUEsBAhQAFAAAAAgAh07iQPnd607SAQAAkgMAAA4AAAAAAAAAAQAgAAAA&#10;IwEAAGRycy9lMm9Eb2MueG1sUEsFBgAAAAAGAAYAWQEAAGcFAAAAAA==&#10;">
                <v:fill on="f" focussize="0,0"/>
                <v:stroke on="f"/>
                <v:imagedata o:title=""/>
                <o:lock v:ext="edit" aspectratio="f"/>
                <v:textbox>
                  <w:txbxContent>
                    <w:p w14:paraId="456B36E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14:paraId="0AE09E22">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48.6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913DEE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191" name="文本框 194"/>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a:effectLst/>
                      </wps:spPr>
                      <wps:txbx>
                        <w:txbxContent>
                          <w:p w14:paraId="1CB4ECBD">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vert="horz" wrap="square" anchor="t" anchorCtr="0" upright="1"/>
                    </wps:wsp>
                  </a:graphicData>
                </a:graphic>
              </wp:anchor>
            </w:drawing>
          </mc:Choice>
          <mc:Fallback>
            <w:pict>
              <v:shape id="文本框 194" o:spid="_x0000_s1026" o:spt="202" type="#_x0000_t202" style="position:absolute;left:0pt;margin-left:-9pt;margin-top:1.45pt;height:71.55pt;width:72pt;z-index:251853824;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KojI9UAAAAJAQAADwAAAAAAAAABACAAAAAiAAAA&#10;ZHJzL2Rvd25yZXYueG1sUEsBAhQAFAAAAAgAh07iQDHkr2DRAQAAkgMAAA4AAAAAAAAAAQAgAAAA&#10;JAEAAGRycy9lMm9Eb2MueG1sUEsFBgAAAAAGAAYAWQEAAGcFAAAAAA==&#10;">
                <v:fill on="f" focussize="0,0"/>
                <v:stroke on="f"/>
                <v:imagedata o:title=""/>
                <o:lock v:ext="edit" aspectratio="f"/>
                <v:textbox>
                  <w:txbxContent>
                    <w:p w14:paraId="1CB4ECBD">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发包人供应的材料和工程设备与一览表不符时，发包人应按照下列规定承担相应责任：</w:t>
      </w:r>
    </w:p>
    <w:p w14:paraId="7560986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（1）材料和工程设备的单价与一览表不符，由发包人承担所有价差；</w:t>
      </w:r>
    </w:p>
    <w:p w14:paraId="3241644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（2）材料和工程设备的品种、规格、型号、质量标准与一览表不符，承包人可以拒绝接受保管，由发包人运出施工场地并重新采购；</w:t>
      </w:r>
    </w:p>
    <w:p w14:paraId="6F7E397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（3）材料和工程设备的品种、规格、型号、质量标准与一览表不符，经发包人同意，承包人可代为调剂替换，由发包人承担相应费用；</w:t>
      </w:r>
    </w:p>
    <w:p w14:paraId="7D67879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（4）交货地点与一览表不符，除合同双方当事人协商确定外，由发包人重新运至一览表指定地点，并承担由此增加的费用和（或）延误的工期；</w:t>
      </w:r>
    </w:p>
    <w:p w14:paraId="146AF70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（5）供应数量少于一览表约定的数量时，由发包人补齐；多于一览表约定的数量时，发包人应将多出的部分运出施工场地；</w:t>
      </w:r>
    </w:p>
    <w:p w14:paraId="2F5B143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（6）交货时间早于一览表约定计划和第48.2款交货日期，由发包人承担由此发生的保管费；交货时间迟于一览表约定计划和第48.2款交货日期，由发包人承担由此增加的费用和（或）延误的工期。</w:t>
      </w:r>
    </w:p>
    <w:p w14:paraId="25B8EDEB">
      <w:pPr>
        <w:widowControl w:val="0"/>
        <w:tabs>
          <w:tab w:val="left" w:pos="2160"/>
        </w:tabs>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48.7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89CC96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192" name="文本框 195"/>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a:effectLst/>
                      </wps:spPr>
                      <wps:txbx>
                        <w:txbxContent>
                          <w:p w14:paraId="46B3C31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vert="horz" wrap="square" anchor="t" anchorCtr="0" upright="1"/>
                    </wps:wsp>
                  </a:graphicData>
                </a:graphic>
              </wp:anchor>
            </w:drawing>
          </mc:Choice>
          <mc:Fallback>
            <w:pict>
              <v:shape id="文本框 195" o:spid="_x0000_s1026" o:spt="202" type="#_x0000_t202" style="position:absolute;left:0pt;margin-left:-9pt;margin-top:1.35pt;height:48.15pt;width:72pt;z-index:251854848;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p0Z6XVAAAACAEAAA8AAAAAAAAAAQAgAAAAIgAA&#10;AGRycy9kb3ducmV2LnhtbFBLAQIUABQAAAAIAIdO4kBgUPsJ0gEAAJIDAAAOAAAAAAAAAAEAIAAA&#10;ACQBAABkcnMvZTJvRG9jLnhtbFBLBQYAAAAABgAGAFkBAABoBQAAAAA=&#10;">
                <v:fill on="f" focussize="0,0"/>
                <v:stroke on="f"/>
                <v:imagedata o:title=""/>
                <o:lock v:ext="edit" aspectratio="f"/>
                <v:textbox>
                  <w:txbxContent>
                    <w:p w14:paraId="46B3C31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09069F92">
      <w:pPr>
        <w:widowControl w:val="0"/>
        <w:adjustRightInd w:val="0"/>
        <w:snapToGrid w:val="0"/>
        <w:spacing w:before="120" w:beforeLines="50"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48.8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37BE84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193" name="文本框 19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14:paraId="0C0C6D9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wps:txbx>
                      <wps:bodyPr vert="horz" wrap="square" anchor="t" anchorCtr="0" upright="1"/>
                    </wps:wsp>
                  </a:graphicData>
                </a:graphic>
              </wp:anchor>
            </w:drawing>
          </mc:Choice>
          <mc:Fallback>
            <w:pict>
              <v:shape id="文本框 196" o:spid="_x0000_s1026" o:spt="202" type="#_x0000_t202" style="position:absolute;left:0pt;margin-left:-9pt;margin-top:0.6pt;height:23.4pt;width:81pt;z-index:251855872;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5Ymg3UAAAACAEAAA8AAAAAAAAAAQAgAAAAIgAA&#10;AGRycy9kb3ducmV2LnhtbFBLAQIUABQAAAAIAIdO4kBtxMuL0wEAAJMDAAAOAAAAAAAAAAEAIAAA&#10;ACMBAABkcnMvZTJvRG9jLnhtbFBLBQYAAAAABgAGAFkBAABoBQAAAAA=&#10;">
                <v:fill on="f" focussize="0,0"/>
                <v:stroke on="f"/>
                <v:imagedata o:title=""/>
                <o:lock v:ext="edit" aspectratio="f"/>
                <v:textbox>
                  <w:txbxContent>
                    <w:p w14:paraId="0C0C6D9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14:paraId="1ABF0DC6">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713748D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49  承包人采购材料和工程设备</w:t>
      </w:r>
    </w:p>
    <w:p w14:paraId="7820AA82">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49.1 </w:t>
      </w:r>
    </w:p>
    <w:p w14:paraId="4B34483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4" name="文本框 197"/>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a:effectLst/>
                      </wps:spPr>
                      <wps:txbx>
                        <w:txbxContent>
                          <w:p w14:paraId="72A6B6E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vert="horz" wrap="square" anchor="t" anchorCtr="0" upright="1"/>
                    </wps:wsp>
                  </a:graphicData>
                </a:graphic>
              </wp:anchor>
            </w:drawing>
          </mc:Choice>
          <mc:Fallback>
            <w:pict>
              <v:shape id="文本框 197"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P+/tXWAAAACAEAAA8AAAAAAAAAAQAgAAAAIgAA&#10;AGRycy9kb3ducmV2LnhtbFBLAQIUABQAAAAIAIdO4kCyvga30QEAAJIDAAAOAAAAAAAAAAEAIAAA&#10;ACUBAABkcnMvZTJvRG9jLnhtbFBLBQYAAAAABgAGAFkBAABoBQAAAAA=&#10;">
                <v:fill on="f" focussize="0,0"/>
                <v:stroke on="f"/>
                <v:imagedata o:title=""/>
                <o:lock v:ext="edit" aspectratio="f"/>
                <v:textbox>
                  <w:txbxContent>
                    <w:p w14:paraId="72A6B6E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63F86BF8">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49.2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AE3288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5" name="文本框 198"/>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a:effectLst/>
                      </wps:spPr>
                      <wps:txbx>
                        <w:txbxContent>
                          <w:p w14:paraId="4782A5BE">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vert="horz" wrap="square" anchor="t" anchorCtr="0" upright="1"/>
                    </wps:wsp>
                  </a:graphicData>
                </a:graphic>
              </wp:anchor>
            </w:drawing>
          </mc:Choice>
          <mc:Fallback>
            <w:pict>
              <v:shape id="文本框 198" o:spid="_x0000_s1026" o:spt="202" type="#_x0000_t202" style="position:absolute;left:0pt;margin-left:-9pt;margin-top:1.35pt;height:38.3pt;width:72pt;z-index:251857920;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j/v7V1gAAAAgBAAAPAAAAAAAAAAEAIAAAACIA&#10;AABkcnMvZG93bnJldi54bWxQSwECFAAUAAAACACHTuJA8+a0xdIBAACSAwAADgAAAAAAAAABACAA&#10;AAAlAQAAZHJzL2Uyb0RvYy54bWxQSwUGAAAAAAYABgBZAQAAaQUAAAAA&#10;">
                <v:fill on="f" focussize="0,0"/>
                <v:stroke on="f"/>
                <v:imagedata o:title=""/>
                <o:lock v:ext="edit" aspectratio="f"/>
                <v:textbox>
                  <w:txbxContent>
                    <w:p w14:paraId="4782A5BE">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14:paraId="576E79B9">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49.3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70F57F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196" name="文本框 199"/>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1C9FF6C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vert="horz" wrap="square" anchor="t" anchorCtr="0" upright="1"/>
                    </wps:wsp>
                  </a:graphicData>
                </a:graphic>
              </wp:anchor>
            </w:drawing>
          </mc:Choice>
          <mc:Fallback>
            <w:pict>
              <v:shape id="文本框 199" o:spid="_x0000_s1026" o:spt="202" type="#_x0000_t202" style="position:absolute;left:0pt;margin-left:-9pt;margin-top:0.1pt;height:62.4pt;width:72pt;z-index:251858944;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kPCqtQAAAAIAQAADwAAAAAAAAABACAAAAAiAAAA&#10;ZHJzL2Rvd25yZXYueG1sUEsBAhQAFAAAAAgAh07iQFX7eCHSAQAAkgMAAA4AAAAAAAAAAQAgAAAA&#10;IwEAAGRycy9lMm9Eb2MueG1sUEsFBgAAAAAGAAYAWQEAAGcFAAAAAA==&#10;">
                <v:fill on="f" focussize="0,0"/>
                <v:stroke on="f"/>
                <v:imagedata o:title=""/>
                <o:lock v:ext="edit" aspectratio="f"/>
                <v:textbox>
                  <w:txbxContent>
                    <w:p w14:paraId="1C9FF6C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021A6AB3">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49.4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621BE7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197" name="文本框 20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359E434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vert="horz" wrap="square" anchor="t" anchorCtr="0" upright="1"/>
                    </wps:wsp>
                  </a:graphicData>
                </a:graphic>
              </wp:anchor>
            </w:drawing>
          </mc:Choice>
          <mc:Fallback>
            <w:pict>
              <v:shape id="文本框 200" o:spid="_x0000_s1026" o:spt="202" type="#_x0000_t202" style="position:absolute;left:0pt;margin-left:-9pt;margin-top:-0.4pt;height:62.4pt;width:72pt;z-index:251859968;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uL1AAAAAkBAAAPAAAAAAAAAAEAIAAAACIAAABk&#10;cnMvZG93bnJldi54bWxQSwECFAAUAAAACACHTuJABc/6gNEBAACSAwAADgAAAAAAAAABACAAAAAj&#10;AQAAZHJzL2Uyb0RvYy54bWxQSwUGAAAAAAYABgBZAQAAZgUAAAAA&#10;">
                <v:fill on="f" focussize="0,0"/>
                <v:stroke on="f"/>
                <v:imagedata o:title=""/>
                <o:lock v:ext="edit" aspectratio="f"/>
                <v:textbox>
                  <w:txbxContent>
                    <w:p w14:paraId="359E434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11A4A357">
      <w:pPr>
        <w:widowControl w:val="0"/>
        <w:adjustRightInd w:val="0"/>
        <w:snapToGrid w:val="0"/>
        <w:spacing w:line="420" w:lineRule="exact"/>
        <w:ind w:firstLine="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198" name="文本框 201"/>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a:effectLst/>
                      </wps:spPr>
                      <wps:txbx>
                        <w:txbxContent>
                          <w:p w14:paraId="55F81C8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vert="horz" wrap="square" anchor="t" anchorCtr="0" upright="1"/>
                    </wps:wsp>
                  </a:graphicData>
                </a:graphic>
              </wp:anchor>
            </w:drawing>
          </mc:Choice>
          <mc:Fallback>
            <w:pict>
              <v:shape id="文本框 201" o:spid="_x0000_s1026" o:spt="202" type="#_x0000_t202" style="position:absolute;left:0pt;margin-left:-9pt;margin-top:19.1pt;height:34.8pt;width:72pt;z-index:251860992;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93mNR1wAAAAoBAAAPAAAAAAAAAAEAIAAAACIA&#10;AABkcnMvZG93bnJldi54bWxQSwECFAAUAAAACACHTuJA0/0W69EBAACSAwAADgAAAAAAAAABACAA&#10;AAAmAQAAZHJzL2Uyb0RvYy54bWxQSwUGAAAAAAYABgBZAQAAaQUAAAAA&#10;">
                <v:fill on="f" focussize="0,0"/>
                <v:stroke on="f"/>
                <v:imagedata o:title=""/>
                <o:lock v:ext="edit" aspectratio="f"/>
                <v:textbox>
                  <w:txbxContent>
                    <w:p w14:paraId="55F81C8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49.5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125911D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承包人不执行监理工程师依据第49.3款和第49.4款规定发出的指令,则发包人可自行或委托第三方执行该指令，由此发生的费用由承包人承担。该笔款项经造价工程师核实后，由发包人从应付或将付给或将付给承包人的工程款中扣除。</w:t>
      </w:r>
    </w:p>
    <w:p w14:paraId="66B2A365">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49.6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4861BE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199" name="文本框 202"/>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a:effectLst/>
                      </wps:spPr>
                      <wps:txbx>
                        <w:txbxContent>
                          <w:p w14:paraId="08C56AF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vert="horz" wrap="square" anchor="t" anchorCtr="0" upright="1"/>
                    </wps:wsp>
                  </a:graphicData>
                </a:graphic>
              </wp:anchor>
            </w:drawing>
          </mc:Choice>
          <mc:Fallback>
            <w:pict>
              <v:shape id="文本框 202" o:spid="_x0000_s1026" o:spt="202" type="#_x0000_t202" style="position:absolute;left:0pt;margin-left:-9pt;margin-top:3.6pt;height:32.35pt;width:72pt;z-index:251862016;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&#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f+s3bUAAAACAEAAA8AAAAAAAAAAQAgAAAAIgAAAGRy&#10;cy9kb3ducmV2LnhtbFBLAQIUABQAAAAIAIdO4kBHu0yq0AEAAJIDAAAOAAAAAAAAAAEAIAAAACMB&#10;AABkcnMvZTJvRG9jLnhtbFBLBQYAAAAABgAGAFkBAABlBQAAAAA=&#10;">
                <v:fill on="f" focussize="0,0"/>
                <v:stroke on="f"/>
                <v:imagedata o:title=""/>
                <o:lock v:ext="edit" aspectratio="f"/>
                <v:textbox>
                  <w:txbxContent>
                    <w:p w14:paraId="08C56AF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5B9240AE">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49.7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8A706A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200" name="文本框 203"/>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a:effectLst/>
                      </wps:spPr>
                      <wps:txbx>
                        <w:txbxContent>
                          <w:p w14:paraId="1598FD15">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vert="horz" wrap="square" anchor="t" anchorCtr="0" upright="1"/>
                    </wps:wsp>
                  </a:graphicData>
                </a:graphic>
              </wp:anchor>
            </w:drawing>
          </mc:Choice>
          <mc:Fallback>
            <w:pict>
              <v:shape id="文本框 203" o:spid="_x0000_s1026" o:spt="202" type="#_x0000_t202" style="position:absolute;left:0pt;margin-left:-9pt;margin-top:2.4pt;height:64.5pt;width:72pt;z-index:251863040;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9s9z1gAAAAkBAAAPAAAAAAAAAAEAIAAAACIA&#10;AABkcnMvZG93bnJldi54bWxQSwECFAAUAAAACACHTuJAJdMS/tIBAACSAwAADgAAAAAAAAABACAA&#10;AAAlAQAAZHJzL2Uyb0RvYy54bWxQSwUGAAAAAAYABgBZAQAAaQUAAAAA&#10;">
                <v:fill on="f" focussize="0,0"/>
                <v:stroke on="f"/>
                <v:imagedata o:title=""/>
                <o:lock v:ext="edit" aspectratio="f"/>
                <v:textbox>
                  <w:txbxContent>
                    <w:p w14:paraId="1598FD15">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330798EA">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01" name="文本框 204"/>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a:effectLst/>
                      </wps:spPr>
                      <wps:txbx>
                        <w:txbxContent>
                          <w:p w14:paraId="17EFF3F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vert="horz" wrap="square" anchor="t" anchorCtr="0" upright="1"/>
                    </wps:wsp>
                  </a:graphicData>
                </a:graphic>
              </wp:anchor>
            </w:drawing>
          </mc:Choice>
          <mc:Fallback>
            <w:pict>
              <v:shape id="文本框 204" o:spid="_x0000_s1026" o:spt="202" type="#_x0000_t202" style="position:absolute;left:0pt;margin-left:-9pt;margin-top:16.3pt;height:56.05pt;width:72pt;z-index:251864064;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5Q/rbXAAAACgEAAA8AAAAAAAAAAQAgAAAAIgAA&#10;AGRycy9kb3ducmV2LnhtbFBLAQIUABQAAAAIAIdO4kA3tO1i0AEAAJIDAAAOAAAAAAAAAAEAIAAA&#10;ACYBAABkcnMvZTJvRG9jLnhtbFBLBQYAAAAABgAGAFkBAABoBQAAAAA=&#10;">
                <v:fill on="f" focussize="0,0"/>
                <v:stroke on="f"/>
                <v:imagedata o:title=""/>
                <o:lock v:ext="edit" aspectratio="f"/>
                <v:textbox>
                  <w:txbxContent>
                    <w:p w14:paraId="17EFF3F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49.8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998F53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承包人采购材料和工程设备的，除专用条款另有约定外，发包人不得指定生产厂家或供应商。</w:t>
      </w:r>
    </w:p>
    <w:p w14:paraId="2EBA27F5">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61C5E99B">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50  材料和工程设备的检验试验</w:t>
      </w:r>
    </w:p>
    <w:p w14:paraId="2B91D5BB">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50.1</w:t>
      </w:r>
    </w:p>
    <w:p w14:paraId="0C875BF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02" name="文本框 205"/>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a:effectLst/>
                      </wps:spPr>
                      <wps:txbx>
                        <w:txbxContent>
                          <w:p w14:paraId="7E32F84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vert="horz" wrap="square" anchor="t" anchorCtr="0" upright="1"/>
                    </wps:wsp>
                  </a:graphicData>
                </a:graphic>
              </wp:anchor>
            </w:drawing>
          </mc:Choice>
          <mc:Fallback>
            <w:pict>
              <v:shape id="文本框 205" o:spid="_x0000_s1026" o:spt="202" type="#_x0000_t202" style="position:absolute;left:0pt;margin-left:-9pt;margin-top:0.05pt;height:39.85pt;width:72pt;z-index:251865088;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kk+t9QAAAAHAQAADwAAAAAAAAABACAAAAAiAAAA&#10;ZHJzL2Rvd25yZXYueG1sUEsBAhQAFAAAAAgAh07iQPgxrSnSAQAAkgMAAA4AAAAAAAAAAQAgAAAA&#10;IwEAAGRycy9lMm9Eb2MueG1sUEsFBgAAAAAGAAYAWQEAAGcFAAAAAA==&#10;">
                <v:fill on="f" focussize="0,0"/>
                <v:stroke on="f"/>
                <v:imagedata o:title=""/>
                <o:lock v:ext="edit" aspectratio="f"/>
                <v:textbox>
                  <w:txbxContent>
                    <w:p w14:paraId="7E32F84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监理工程师及其委派的代表可进入施工场地、材料和工程设备的制造、加工或制配车间等场所参加材料和工程设备等产品的检验试验。承包人应为他们进入上述场所及开展相关工作提供便利和协助。</w:t>
      </w:r>
    </w:p>
    <w:p w14:paraId="6D041CB1">
      <w:pPr>
        <w:widowControl w:val="0"/>
        <w:tabs>
          <w:tab w:val="left" w:pos="360"/>
          <w:tab w:val="left" w:pos="720"/>
        </w:tabs>
        <w:adjustRightInd w:val="0"/>
        <w:snapToGrid w:val="0"/>
        <w:spacing w:line="420" w:lineRule="exact"/>
        <w:ind w:firstLine="0"/>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50.2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1C16A7A">
      <w:pPr>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203" name="文本框 206"/>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a:effectLst/>
                      </wps:spPr>
                      <wps:txbx>
                        <w:txbxContent>
                          <w:p w14:paraId="2B1ED7F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vert="horz" wrap="square" anchor="t" anchorCtr="0" upright="1"/>
                    </wps:wsp>
                  </a:graphicData>
                </a:graphic>
              </wp:anchor>
            </w:drawing>
          </mc:Choice>
          <mc:Fallback>
            <w:pict>
              <v:shape id="文本框 206" o:spid="_x0000_s1026" o:spt="202" type="#_x0000_t202" style="position:absolute;left:0pt;margin-left:-9pt;margin-top:12.15pt;height:45.1pt;width:72pt;z-index:251866112;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9m5N02AAAAAoBAAAPAAAAAAAAAAEAIAAA&#10;ACIAAABkcnMvZG93bnJldi54bWxQSwECFAAUAAAACACHTuJA2PX/t9MBAACSAwAADgAAAAAAAAAB&#10;ACAAAAAnAQAAZHJzL2Uyb0RvYy54bWxQSwUGAAAAAAYABgBZAQAAbAUAAAAA&#10;">
                <v:fill on="f" focussize="0,0"/>
                <v:stroke on="f"/>
                <v:imagedata o:title=""/>
                <o:lock v:ext="edit" aspectratio="f"/>
                <v:textbox>
                  <w:txbxContent>
                    <w:p w14:paraId="2B1ED7F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14:paraId="61A3FF9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材料和工程设备等产品的检验试验，包括见证取样和不见证取样两种情形：</w:t>
      </w:r>
    </w:p>
    <w:p w14:paraId="3448309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标准与规范、涉及结构安全有要求或合同有约定进行见证取样检验试验的材料和工程设备等产品，承包人应在取样前至少提前24小时通知监理工程师参加，并在监理工程师的见证下现场取样，同时送至具有相应资质等级的质量检测机构进行检验试验。</w:t>
      </w:r>
    </w:p>
    <w:p w14:paraId="0260D2B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6D3B295F">
      <w:pPr>
        <w:widowControl w:val="0"/>
        <w:adjustRightInd w:val="0"/>
        <w:snapToGrid w:val="0"/>
        <w:spacing w:line="420" w:lineRule="exact"/>
        <w:ind w:left="1484" w:leftChars="1" w:hanging="1482" w:hangingChars="671"/>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50.3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343DDC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67136"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04" name="文本框 207"/>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a:effectLst/>
                      </wps:spPr>
                      <wps:txbx>
                        <w:txbxContent>
                          <w:p w14:paraId="7334B9D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vert="horz" wrap="square" anchor="t" anchorCtr="0" upright="1"/>
                    </wps:wsp>
                  </a:graphicData>
                </a:graphic>
              </wp:anchor>
            </w:drawing>
          </mc:Choice>
          <mc:Fallback>
            <w:pict>
              <v:shape id="文本框 207" o:spid="_x0000_s1026" o:spt="202" type="#_x0000_t202" style="position:absolute;left:0pt;margin-left:-5.25pt;margin-top:0.9pt;height:43.9pt;width:72pt;z-index:251867136;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4fpbDUAAAACAEAAA8AAAAAAAAAAQAgAAAAIgAA&#10;AGRycy9kb3ducmV2LnhtbFBLAQIUABQAAAAIAIdO4kB3c/nE0wEAAJIDAAAOAAAAAAAAAAEAIAAA&#10;ACMBAABkcnMvZTJvRG9jLnhtbFBLBQYAAAAABgAGAFkBAABoBQAAAAA=&#10;">
                <v:fill on="f" focussize="0,0"/>
                <v:stroke on="f"/>
                <v:imagedata o:title=""/>
                <o:lock v:ext="edit" aspectratio="f"/>
                <v:textbox>
                  <w:txbxContent>
                    <w:p w14:paraId="7334B9D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材料和工程设备等产品检验试验合格的，可在合同工程中使用。材料和工程设备等产品检验试验不合格的，禁止在合同工程中使用，并及时清出施工场地。</w:t>
      </w:r>
    </w:p>
    <w:p w14:paraId="630106CD">
      <w:pPr>
        <w:widowControl w:val="0"/>
        <w:tabs>
          <w:tab w:val="left" w:pos="540"/>
        </w:tabs>
        <w:adjustRightInd w:val="0"/>
        <w:snapToGrid w:val="0"/>
        <w:spacing w:line="420" w:lineRule="exact"/>
        <w:ind w:firstLine="0"/>
        <w:jc w:val="both"/>
        <w:rPr>
          <w:rFonts w:ascii="宋体" w:hAnsi="宋体" w:eastAsia="宋体" w:cs="宋体"/>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50.4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03EEA7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05" name="文本框 208"/>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a:effectLst/>
                      </wps:spPr>
                      <wps:txbx>
                        <w:txbxContent>
                          <w:p w14:paraId="587B8A8D">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vert="horz" wrap="square" anchor="t" anchorCtr="0" upright="1"/>
                    </wps:wsp>
                  </a:graphicData>
                </a:graphic>
              </wp:anchor>
            </w:drawing>
          </mc:Choice>
          <mc:Fallback>
            <w:pict>
              <v:shape id="文本框 208" o:spid="_x0000_s1026" o:spt="202" type="#_x0000_t202" style="position:absolute;left:0pt;margin-left:-9pt;margin-top:1.2pt;height:43.75pt;width:72pt;z-index:251868160;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xEegNUAAAAIAQAADwAAAAAAAAABACAAAAAiAAAA&#10;ZHJzL2Rvd25yZXYueG1sUEsBAhQAFAAAAAgAh07iQIwzC7HRAQAAkgMAAA4AAAAAAAAAAQAgAAAA&#10;JAEAAGRycy9lMm9Eb2MueG1sUEsFBgAAAAAGAAYAWQEAAGcFAAAAAA==&#10;">
                <v:fill on="f" focussize="0,0"/>
                <v:stroke on="f"/>
                <v:imagedata o:title=""/>
                <o:lock v:ext="edit" aspectratio="f"/>
                <v:textbox>
                  <w:txbxContent>
                    <w:p w14:paraId="587B8A8D">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除合同价款已包括外，材料和工程设备等产品的检验试验费，按照实际发生的费用计算。</w:t>
      </w:r>
    </w:p>
    <w:p w14:paraId="4E12E14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（1）现场使用前材料和工程设备等产品的检验试验，发包人供应的，检验试验费由发包人承担；承包人采购的，检验试验费由承包人承担。</w:t>
      </w:r>
    </w:p>
    <w:p w14:paraId="28BD2D3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（2）施工过程中材料和工程设备等产品的检验试验，合格的，检验试验费由发包人承担。不合格的，发包人供应的，检验试验费由发包人承担；承包人采购的，检验试验费由承包人承担。</w:t>
      </w:r>
    </w:p>
    <w:p w14:paraId="43B69B78">
      <w:pPr>
        <w:widowControl w:val="0"/>
        <w:tabs>
          <w:tab w:val="left" w:pos="1620"/>
          <w:tab w:val="left" w:pos="1980"/>
          <w:tab w:val="left" w:pos="2520"/>
          <w:tab w:val="left" w:pos="2700"/>
        </w:tabs>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50.5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975E27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06" name="文本框 20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19C7181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vert="horz" wrap="square" anchor="t" anchorCtr="0" upright="1"/>
                    </wps:wsp>
                  </a:graphicData>
                </a:graphic>
              </wp:anchor>
            </w:drawing>
          </mc:Choice>
          <mc:Fallback>
            <w:pict>
              <v:shape id="文本框 209" o:spid="_x0000_s1026" o:spt="202" type="#_x0000_t202" style="position:absolute;left:0pt;margin-left:-9pt;margin-top:0.65pt;height:31.2pt;width:72pt;z-index:251869184;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a3aJbVAAAACAEAAA8AAAAAAAAAAQAgAAAAIgAA&#10;AGRycy9kb3ducmV2LnhtbFBLAQIUABQAAAAIAIdO4kCnnkeY0gEAAJIDAAAOAAAAAAAAAAEAIAAA&#10;ACQBAABkcnMvZTJvRG9jLnhtbFBLBQYAAAAABgAGAFkBAABoBQAAAAA=&#10;">
                <v:fill on="f" focussize="0,0"/>
                <v:stroke on="f"/>
                <v:imagedata o:title=""/>
                <o:lock v:ext="edit" aspectratio="f"/>
                <v:textbox>
                  <w:txbxContent>
                    <w:p w14:paraId="19C7181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监理工程师对承包人自行检验试验结果有疑问的，或重新查验检验试验结果的，可要求承包人共同对材料和工程设备等产品再次检验试验。</w:t>
      </w:r>
    </w:p>
    <w:p w14:paraId="3140545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（1）合格的，再次检验试验费和（或）延误的工期由发包人承担，并向承包人支付合理利润。</w:t>
      </w:r>
    </w:p>
    <w:p w14:paraId="0819B68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（2）不合格的，发包人供应的，再次检验试验费和（或）延误的工期由发包人承担，并向承包人支付合理利润；承包人采购的，再次检验试验费和（或）延误的工期由承包人承担。</w:t>
      </w:r>
    </w:p>
    <w:p w14:paraId="0358AD6D">
      <w:pPr>
        <w:widowControl w:val="0"/>
        <w:tabs>
          <w:tab w:val="left" w:pos="540"/>
        </w:tabs>
        <w:adjustRightInd w:val="0"/>
        <w:snapToGrid w:val="0"/>
        <w:spacing w:line="420" w:lineRule="exact"/>
        <w:ind w:firstLine="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50.6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07" name="文本框 210"/>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a:effectLst/>
                      </wps:spPr>
                      <wps:txbx>
                        <w:txbxContent>
                          <w:p w14:paraId="3DAB91F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vert="horz" wrap="square" anchor="t" anchorCtr="0" upright="1"/>
                    </wps:wsp>
                  </a:graphicData>
                </a:graphic>
              </wp:anchor>
            </w:drawing>
          </mc:Choice>
          <mc:Fallback>
            <w:pict>
              <v:shape id="文本框 210" o:spid="_x0000_s1026" o:spt="202" type="#_x0000_t202" style="position:absolute;left:0pt;margin-left:-9pt;margin-top:19.3pt;height:54.35pt;width:72pt;z-index:251870208;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Rc+h9gAAAAKAQAADwAAAAAAAAABACAAAAAi&#10;AAAAZHJzL2Rvd25yZXYueG1sUEsBAhQAFAAAAAgAh07iQE5ZmazRAQAAkgMAAA4AAAAAAAAAAQAg&#10;AAAAJwEAAGRycy9lMm9Eb2MueG1sUEsFBgAAAAAGAAYAWQEAAGoFAAAAAA==&#10;">
                <v:fill on="f" focussize="0,0"/>
                <v:stroke on="f"/>
                <v:imagedata o:title=""/>
                <o:lock v:ext="edit" aspectratio="f"/>
                <v:textbox>
                  <w:txbxContent>
                    <w:p w14:paraId="3DAB91F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16B3C8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合同双方当事人对材料和工程设备等产品质量有争议的，所需的检验试验费由责任方承担。双方均有责任的，由双方根据其责任划分分别承担。</w:t>
      </w:r>
    </w:p>
    <w:p w14:paraId="083EEDF8">
      <w:pPr>
        <w:widowControl w:val="0"/>
        <w:adjustRightInd w:val="0"/>
        <w:snapToGrid w:val="0"/>
        <w:spacing w:line="420" w:lineRule="exact"/>
        <w:ind w:firstLine="0"/>
        <w:jc w:val="both"/>
        <w:rPr>
          <w:rFonts w:ascii="宋体" w:hAnsi="宋体" w:eastAsia="宋体" w:cs="宋体"/>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single"/>
          <w:lang w:val="en-US" w:eastAsia="zh-CN" w:bidi="ar-SA"/>
          <w14:textFill>
            <w14:solidFill>
              <w14:schemeClr w14:val="tx1"/>
            </w14:solidFill>
          </w14:textFill>
        </w:rPr>
        <w:t xml:space="preserve">           </w:t>
      </w:r>
    </w:p>
    <w:p w14:paraId="53D3D50B">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51  施工设备和临时设施</w:t>
      </w:r>
    </w:p>
    <w:p w14:paraId="19B8C5BC">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51.1 </w:t>
      </w:r>
    </w:p>
    <w:p w14:paraId="6AF4857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71232"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208" name="文本框 211"/>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a:effectLst/>
                      </wps:spPr>
                      <wps:txbx>
                        <w:txbxContent>
                          <w:p w14:paraId="04920A9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vert="horz" wrap="square" anchor="t" anchorCtr="0" upright="1"/>
                    </wps:wsp>
                  </a:graphicData>
                </a:graphic>
              </wp:anchor>
            </w:drawing>
          </mc:Choice>
          <mc:Fallback>
            <w:pict>
              <v:shape id="文本框 211" o:spid="_x0000_s1026" o:spt="202" type="#_x0000_t202" style="position:absolute;left:0pt;margin-left:-5.8pt;margin-top:0.45pt;height:59.3pt;width:77.8pt;z-index:251871232;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q1usc1QAAAAgBAAAPAAAAAAAAAAEAIAAAACIA&#10;AABkcnMvZG93bnJldi54bWxQSwECFAAUAAAACACHTuJArvtiYNMBAACSAwAADgAAAAAAAAABACAA&#10;AAAkAQAAZHJzL2Uyb0RvYy54bWxQSwUGAAAAAAYABgBZAQAAaQUAAAAA&#10;">
                <v:fill on="f" focussize="0,0"/>
                <v:stroke on="f"/>
                <v:imagedata o:title=""/>
                <o:lock v:ext="edit" aspectratio="f"/>
                <v:textbox>
                  <w:txbxContent>
                    <w:p w14:paraId="04920A9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承包人应按合同工程进度计划的要求，及时配置施工设备和修建临时设施。除专用条款另有约定外，承包人应自行承担修建临时设施的费用。需要临时占地的，发包人应办理其申请手续并承担相应费用。</w:t>
      </w:r>
    </w:p>
    <w:p w14:paraId="08662D5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进入施工场地的承包人施工设备，需经监理工程师核查后才能投入使用。承包人更换合同约定自身施工设备的，应经监理工程师同意并由其报发包人批准后方可实施。</w:t>
      </w:r>
    </w:p>
    <w:p w14:paraId="392AFBE5">
      <w:pPr>
        <w:widowControl w:val="0"/>
        <w:tabs>
          <w:tab w:val="left" w:pos="540"/>
        </w:tabs>
        <w:adjustRightInd w:val="0"/>
        <w:snapToGrid w:val="0"/>
        <w:spacing w:line="420" w:lineRule="exact"/>
        <w:ind w:firstLine="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72256"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209" name="文本框 212"/>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a:effectLst/>
                      </wps:spPr>
                      <wps:txbx>
                        <w:txbxContent>
                          <w:p w14:paraId="40623C6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362B0DC0">
                            <w:pPr>
                              <w:spacing w:line="240" w:lineRule="exact"/>
                              <w:rPr>
                                <w:rFonts w:ascii="Times New Roman" w:hAnsi="Times New Roman" w:eastAsia="宋体" w:cs="Times New Roman"/>
                                <w:sz w:val="18"/>
                                <w:szCs w:val="18"/>
                              </w:rPr>
                            </w:pPr>
                          </w:p>
                        </w:txbxContent>
                      </wps:txbx>
                      <wps:bodyPr vert="horz" wrap="square" anchor="t" anchorCtr="0" upright="1"/>
                    </wps:wsp>
                  </a:graphicData>
                </a:graphic>
              </wp:anchor>
            </w:drawing>
          </mc:Choice>
          <mc:Fallback>
            <w:pict>
              <v:shape id="文本框 212" o:spid="_x0000_s1026" o:spt="202" type="#_x0000_t202" style="position:absolute;left:0pt;margin-left:-5.25pt;margin-top:17pt;height:54pt;width:68.8pt;z-index:251872256;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JPsD3XAAAACgEAAA8AAAAAAAAAAQAgAAAA&#10;IgAAAGRycy9kb3ducmV2LnhtbFBLAQIUABQAAAAIAIdO4kAsjg0T0wEAAJIDAAAOAAAAAAAAAAEA&#10;IAAAACYBAABkcnMvZTJvRG9jLnhtbFBLBQYAAAAABgAGAFkBAABrBQAAAAA=&#10;">
                <v:fill on="f" focussize="0,0"/>
                <v:stroke on="f"/>
                <v:imagedata o:title=""/>
                <o:lock v:ext="edit" aspectratio="f"/>
                <v:textbox>
                  <w:txbxContent>
                    <w:p w14:paraId="40623C6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362B0DC0">
                      <w:pPr>
                        <w:spacing w:line="240" w:lineRule="exact"/>
                        <w:rPr>
                          <w:rFonts w:ascii="Times New Roman" w:hAnsi="Times New Roman" w:eastAsia="宋体" w:cs="Times New Roman"/>
                          <w:sz w:val="18"/>
                          <w:szCs w:val="18"/>
                        </w:rPr>
                      </w:pP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51.2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5F6E1B4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如果发包人提供施工设备或临时设施的，合同双方当事人应在专用条款中约定施工设备或临时设施的品种、规格、型号和提供的时间、地点等内容。</w:t>
      </w:r>
    </w:p>
    <w:p w14:paraId="3DD50799">
      <w:pPr>
        <w:widowControl w:val="0"/>
        <w:tabs>
          <w:tab w:val="left" w:pos="540"/>
        </w:tabs>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51.3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48C535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73280"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0" name="文本框 213"/>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a:effectLst/>
                      </wps:spPr>
                      <wps:txbx>
                        <w:txbxContent>
                          <w:p w14:paraId="64E23A0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vert="horz" wrap="square" anchor="t" anchorCtr="0" upright="1"/>
                    </wps:wsp>
                  </a:graphicData>
                </a:graphic>
              </wp:anchor>
            </w:drawing>
          </mc:Choice>
          <mc:Fallback>
            <w:pict>
              <v:shape id="文本框 213" o:spid="_x0000_s1026" o:spt="202" type="#_x0000_t202" style="position:absolute;left:0pt;margin-left:-5.8pt;margin-top:0.7pt;height:51.95pt;width:68.8pt;z-index:251873280;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mFIAdUAAAAJAQAADwAAAAAAAAABACAAAAAiAAAA&#10;ZHJzL2Rvd25yZXYueG1sUEsBAhQAFAAAAAgAh07iQLFcp3XRAQAAkgMAAA4AAAAAAAAAAQAgAAAA&#10;JAEAAGRycy9lMm9Eb2MueG1sUEsFBgAAAAAGAAYAWQEAAGcFAAAAAA==&#10;">
                <v:fill on="f" focussize="0,0"/>
                <v:stroke on="f"/>
                <v:imagedata o:title=""/>
                <o:lock v:ext="edit" aspectratio="f"/>
                <v:textbox>
                  <w:txbxContent>
                    <w:p w14:paraId="64E23A0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如果承包人使用的施工设备不能满足合同工程进度计划和（或）质量要求的，监理工程师有权要求承包人增加或更换施工设备，承包人应及时增加或更换，由此增加的费用和（或）延误的工期由承包人承担。</w:t>
      </w:r>
    </w:p>
    <w:p w14:paraId="10BDFABA">
      <w:pPr>
        <w:widowControl w:val="0"/>
        <w:tabs>
          <w:tab w:val="left" w:pos="540"/>
        </w:tabs>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51.4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F95AD2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运至施工现场的施工设备和在施工现场修建的临时设施，均应视为专门用于实施合同工程。除经监理工程师同意并由其报发包人批准，承包人可根据合同工程进度计划撤走闲置的施工设备</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11" name="文本框 214"/>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a:effectLst/>
                      </wps:spPr>
                      <wps:txbx>
                        <w:txbxContent>
                          <w:p w14:paraId="00C2831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vert="horz" wrap="square" anchor="t" anchorCtr="0" upright="1"/>
                    </wps:wsp>
                  </a:graphicData>
                </a:graphic>
              </wp:anchor>
            </w:drawing>
          </mc:Choice>
          <mc:Fallback>
            <w:pict>
              <v:shape id="文本框 214" o:spid="_x0000_s1026" o:spt="202" type="#_x0000_t202" style="position:absolute;left:0pt;margin-left:-9pt;margin-top:3.65pt;height:51.9pt;width:72pt;z-index:251874304;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jqlI1QAAAAkBAAAPAAAAAAAAAAEAIAAAACIA&#10;AABkcnMvZG93bnJldi54bWxQSwECFAAUAAAACACHTuJAs1Fw+9MBAACSAwAADgAAAAAAAAABACAA&#10;AAAkAQAAZHJzL2Uyb0RvYy54bWxQSwUGAAAAAAYABgBZAQAAaQUAAAAA&#10;">
                <v:fill on="f" focussize="0,0"/>
                <v:stroke on="f"/>
                <v:imagedata o:title=""/>
                <o:lock v:ext="edit" aspectratio="f"/>
                <v:textbox>
                  <w:txbxContent>
                    <w:p w14:paraId="00C2831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外，承包人不得将上述施工设备和临时设施中的任何部分运出施工场地或挪作他用。</w:t>
      </w:r>
    </w:p>
    <w:p w14:paraId="0952AE6B">
      <w:pPr>
        <w:widowControl w:val="0"/>
        <w:tabs>
          <w:tab w:val="left" w:pos="540"/>
        </w:tabs>
        <w:adjustRightInd w:val="0"/>
        <w:snapToGrid w:val="0"/>
        <w:spacing w:before="240" w:beforeLines="100"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63EBC075">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★52  工程质量检查</w:t>
      </w:r>
    </w:p>
    <w:p w14:paraId="17D4952E">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52.1 </w:t>
      </w:r>
    </w:p>
    <w:p w14:paraId="25639EF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212" name="文本框 215"/>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a:effectLst/>
                      </wps:spPr>
                      <wps:txbx>
                        <w:txbxContent>
                          <w:p w14:paraId="7ACF4B2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658A967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720094A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wps:txbx>
                      <wps:bodyPr vert="horz" wrap="square" anchor="t" anchorCtr="0" upright="1"/>
                    </wps:wsp>
                  </a:graphicData>
                </a:graphic>
              </wp:anchor>
            </w:drawing>
          </mc:Choice>
          <mc:Fallback>
            <w:pict>
              <v:shape id="文本框 215" o:spid="_x0000_s1026" o:spt="202" type="#_x0000_t202" style="position:absolute;left:0pt;margin-left:-5.8pt;margin-top:0.45pt;height:41.15pt;width:77.8pt;z-index:251875328;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m76VHVAAAABwEAAA8AAAAAAAAAAQAgAAAAIgAA&#10;AGRycy9kb3ducmV2LnhtbFBLAQIUABQAAAAIAIdO4kA+hh6w0gEAAJIDAAAOAAAAAAAAAAEAIAAA&#10;ACQBAABkcnMvZTJvRG9jLnhtbFBLBQYAAAAABgAGAFkBAABoBQAAAAA=&#10;">
                <v:fill on="f" focussize="0,0"/>
                <v:stroke on="f"/>
                <v:imagedata o:title=""/>
                <o:lock v:ext="edit" aspectratio="f"/>
                <v:textbox>
                  <w:txbxContent>
                    <w:p w14:paraId="7ACF4B2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658A967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720094A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14:paraId="6C9DC110">
      <w:pPr>
        <w:widowControl w:val="0"/>
        <w:tabs>
          <w:tab w:val="left" w:pos="540"/>
        </w:tabs>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52.2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976AAD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213" name="文本框 216"/>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a:effectLst/>
                      </wps:spPr>
                      <wps:txbx>
                        <w:txbxContent>
                          <w:p w14:paraId="7F3B68AE">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wps:txbx>
                      <wps:bodyPr vert="horz" wrap="square" anchor="t" anchorCtr="0" upright="1"/>
                    </wps:wsp>
                  </a:graphicData>
                </a:graphic>
              </wp:anchor>
            </w:drawing>
          </mc:Choice>
          <mc:Fallback>
            <w:pict>
              <v:shape id="文本框 216" o:spid="_x0000_s1026" o:spt="202" type="#_x0000_t202" style="position:absolute;left:0pt;margin-left:-5.8pt;margin-top:0.7pt;height:35.3pt;width:68.8pt;z-index:251876352;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alqT1QAAAAgBAAAPAAAAAAAAAAEAIAAAACIA&#10;AABkcnMvZG93bnJldi54bWxQSwECFAAUAAAACACHTuJAwV7fAdMBAACSAwAADgAAAAAAAAABACAA&#10;AAAkAQAAZHJzL2Uyb0RvYy54bWxQSwUGAAAAAAYABgBZAQAAaQUAAAAA&#10;">
                <v:fill on="f" focussize="0,0"/>
                <v:stroke on="f"/>
                <v:imagedata o:title=""/>
                <o:lock v:ext="edit" aspectratio="f"/>
                <v:textbox>
                  <w:txbxContent>
                    <w:p w14:paraId="7F3B68AE">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2A65FE51">
      <w:pPr>
        <w:widowControl w:val="0"/>
        <w:tabs>
          <w:tab w:val="left" w:pos="540"/>
        </w:tabs>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52.3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B34D60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7737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4" name="文本框 217"/>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a:effectLst/>
                      </wps:spPr>
                      <wps:txbx>
                        <w:txbxContent>
                          <w:p w14:paraId="4912080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vert="horz" wrap="square" anchor="t" anchorCtr="0" upright="1"/>
                    </wps:wsp>
                  </a:graphicData>
                </a:graphic>
              </wp:anchor>
            </w:drawing>
          </mc:Choice>
          <mc:Fallback>
            <w:pict>
              <v:shape id="文本框 217" o:spid="_x0000_s1026" o:spt="202" type="#_x0000_t202" style="position:absolute;left:0pt;margin-left:-5.8pt;margin-top:0.7pt;height:51.95pt;width:68.8pt;z-index:25187737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phSAHVAAAACQEAAA8AAAAAAAAAAQAgAAAAIgAA&#10;AGRycy9kb3ducmV2LnhtbFBLAQIUABQAAAAIAIdO4kCHis+k0gEAAJIDAAAOAAAAAAAAAAEAIAAA&#10;ACQBAABkcnMvZTJvRG9jLnhtbFBLBQYAAAAABgAGAFkBAABoBQAAAAA=&#10;">
                <v:fill on="f" focussize="0,0"/>
                <v:stroke on="f"/>
                <v:imagedata o:title=""/>
                <o:lock v:ext="edit" aspectratio="f"/>
                <v:textbox>
                  <w:txbxContent>
                    <w:p w14:paraId="4912080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60245A7B">
      <w:pPr>
        <w:widowControl w:val="0"/>
        <w:tabs>
          <w:tab w:val="left" w:pos="540"/>
        </w:tabs>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52.4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99DF1E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5" name="文本框 218"/>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a:effectLst/>
                      </wps:spPr>
                      <wps:txbx>
                        <w:txbxContent>
                          <w:p w14:paraId="420CB8E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vert="horz" wrap="square" anchor="t" anchorCtr="0" upright="1"/>
                    </wps:wsp>
                  </a:graphicData>
                </a:graphic>
              </wp:anchor>
            </w:drawing>
          </mc:Choice>
          <mc:Fallback>
            <w:pict>
              <v:shape id="文本框 218"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xoYQdQAAAAIAQAADwAAAAAAAAABACAAAAAiAAAAZHJz&#10;L2Rvd25yZXYueG1sUEsBAhQAFAAAAAgAh07iQBydN1fPAQAAkgMAAA4AAAAAAAAAAQAgAAAAIwEA&#10;AGRycy9lMm9Eb2MueG1sUEsFBgAAAAAGAAYAWQEAAGQFAAAAAA==&#10;">
                <v:fill on="f" focussize="0,0"/>
                <v:stroke on="f"/>
                <v:imagedata o:title=""/>
                <o:lock v:ext="edit" aspectratio="f"/>
                <v:textbox>
                  <w:txbxContent>
                    <w:p w14:paraId="420CB8E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监理工程师对合同工程质量的检查，不得影响承包人的正常施工。如影响施工正常进行，承包人应向发包人、监理工程师发出书面改正通知；监理工程师应及时予以改正，否则承包人有权提出并得到补偿。</w:t>
      </w:r>
    </w:p>
    <w:p w14:paraId="6BF855C5">
      <w:pPr>
        <w:widowControl w:val="0"/>
        <w:tabs>
          <w:tab w:val="left" w:pos="540"/>
        </w:tabs>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52.5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ED2A73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6" name="文本框 21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a:effectLst/>
                      </wps:spPr>
                      <wps:txbx>
                        <w:txbxContent>
                          <w:p w14:paraId="42A838A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wps:txbx>
                      <wps:bodyPr vert="horz" wrap="square" anchor="t" anchorCtr="0" upright="1"/>
                    </wps:wsp>
                  </a:graphicData>
                </a:graphic>
              </wp:anchor>
            </w:drawing>
          </mc:Choice>
          <mc:Fallback>
            <w:pict>
              <v:shape id="文本框 219" o:spid="_x0000_s1026" o:spt="202" type="#_x0000_t202" style="position:absolute;left:0pt;margin-left:-9pt;margin-top:3.65pt;height:34.65pt;width:72pt;z-index:251879424;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8aGEHUAAAACAEAAA8AAAAAAAAAAQAgAAAAIgAAAGRy&#10;cy9kb3ducmV2LnhtbFBLAQIUABQAAAAIAIdO4kA+D8re0AEAAJIDAAAOAAAAAAAAAAEAIAAAACMB&#10;AABkcnMvZTJvRG9jLnhtbFBLBQYAAAAABgAGAFkBAABlBQAAAAA=&#10;">
                <v:fill on="f" focussize="0,0"/>
                <v:stroke on="f"/>
                <v:imagedata o:title=""/>
                <o:lock v:ext="edit" aspectratio="f"/>
                <v:textbox>
                  <w:txbxContent>
                    <w:p w14:paraId="42A838A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01569DE4">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188941FC">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★53  隐蔽工程和中间验收</w:t>
      </w:r>
    </w:p>
    <w:p w14:paraId="078E95F2">
      <w:pPr>
        <w:widowControl w:val="0"/>
        <w:tabs>
          <w:tab w:val="left" w:pos="1320"/>
        </w:tabs>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53.1</w:t>
      </w:r>
    </w:p>
    <w:p w14:paraId="542ED9F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80448"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217" name="文本框 220"/>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a:effectLst/>
                      </wps:spPr>
                      <wps:txbx>
                        <w:txbxContent>
                          <w:p w14:paraId="4A070C0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vert="horz" wrap="square" anchor="t" anchorCtr="0" upright="1"/>
                    </wps:wsp>
                  </a:graphicData>
                </a:graphic>
              </wp:anchor>
            </w:drawing>
          </mc:Choice>
          <mc:Fallback>
            <w:pict>
              <v:shape id="文本框 220" o:spid="_x0000_s1026" o:spt="202" type="#_x0000_t202" style="position:absolute;left:0pt;margin-left:-5.8pt;margin-top:1.4pt;height:35.8pt;width:68.8pt;z-index:251880448;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qLIDs1AAAAAgBAAAPAAAAAAAAAAEAIAAAACIAAABk&#10;cnMvZG93bnJldi54bWxQSwECFAAUAAAACACHTuJAiXBhaNEBAACSAwAADgAAAAAAAAABACAAAAAj&#10;AQAAZHJzL2Uyb0RvYy54bWxQSwUGAAAAAAYABgBZAQAAZgUAAAAA&#10;">
                <v:fill on="f" focussize="0,0"/>
                <v:stroke on="f"/>
                <v:imagedata o:title=""/>
                <o:lock v:ext="edit" aspectratio="f"/>
                <v:textbox>
                  <w:txbxContent>
                    <w:p w14:paraId="4A070C0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没有经监理工程师验收同意，任何工程均不得覆盖或隐蔽。隐蔽工程覆盖前或中间验收部位具备专用条款约定的验收条件时，承包人应进行自检，并在隐蔽或中间验收前48小时向监理工程师提出隐蔽工程或中间验收申请，通知监理工程师验收。通知的内容包括工程隐蔽或中间验收的内容、时间、地点，以及自检记录和必要的验收资料。承包人应准备验收记录，并提供必要的资料和协助。</w:t>
      </w:r>
    </w:p>
    <w:p w14:paraId="1B98A1BC">
      <w:pPr>
        <w:widowControl w:val="0"/>
        <w:tabs>
          <w:tab w:val="left" w:pos="720"/>
        </w:tabs>
        <w:adjustRightInd w:val="0"/>
        <w:snapToGrid w:val="0"/>
        <w:spacing w:line="420" w:lineRule="exact"/>
        <w:ind w:firstLine="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53.2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5EFC7F2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218" name="文本框 221"/>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a:effectLst/>
                      </wps:spPr>
                      <wps:txbx>
                        <w:txbxContent>
                          <w:p w14:paraId="3F98E75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vert="horz" wrap="square" anchor="t" anchorCtr="0" upright="1"/>
                    </wps:wsp>
                  </a:graphicData>
                </a:graphic>
              </wp:anchor>
            </w:drawing>
          </mc:Choice>
          <mc:Fallback>
            <w:pict>
              <v:shape id="文本框 221" o:spid="_x0000_s1026" o:spt="202" type="#_x0000_t202" style="position:absolute;left:0pt;margin-left:-9pt;margin-top:4.1pt;height:36.75pt;width:72pt;z-index:251881472;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6jT0bVAAAACAEAAA8AAAAAAAAAAQAgAAAAIgAA&#10;AGRycy9kb3ducmV2LnhtbFBLAQIUABQAAAAIAIdO4kBl78wp0gEAAJIDAAAOAAAAAAAAAAEAIAAA&#10;ACQBAABkcnMvZTJvRG9jLnhtbFBLBQYAAAAABgAGAFkBAABoBQAAAAA=&#10;">
                <v:fill on="f" focussize="0,0"/>
                <v:stroke on="f"/>
                <v:imagedata o:title=""/>
                <o:lock v:ext="edit" aspectratio="f"/>
                <v:textbox>
                  <w:txbxContent>
                    <w:p w14:paraId="3F98E75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监理工程师不能按时参加验收，应至少提前24小时发出延期验收指令并书面说明理由，延期不得超过48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54.1款规定重新验收。</w:t>
      </w:r>
    </w:p>
    <w:p w14:paraId="68170777">
      <w:pPr>
        <w:widowControl w:val="0"/>
        <w:tabs>
          <w:tab w:val="left" w:pos="720"/>
        </w:tabs>
        <w:adjustRightInd w:val="0"/>
        <w:snapToGrid w:val="0"/>
        <w:spacing w:line="420" w:lineRule="exact"/>
        <w:ind w:firstLine="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53.3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6C06AC2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219" name="文本框 222"/>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a:effectLst/>
                      </wps:spPr>
                      <wps:txbx>
                        <w:txbxContent>
                          <w:p w14:paraId="6102BE5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vert="horz" wrap="square" anchor="t" anchorCtr="0" upright="1"/>
                    </wps:wsp>
                  </a:graphicData>
                </a:graphic>
              </wp:anchor>
            </w:drawing>
          </mc:Choice>
          <mc:Fallback>
            <w:pict>
              <v:shape id="文本框 222" o:spid="_x0000_s1026" o:spt="202" type="#_x0000_t202" style="position:absolute;left:0pt;margin-left:-9pt;margin-top:0.3pt;height:37.5pt;width:72pt;z-index:251882496;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JBxazUAAAABwEAAA8AAAAAAAAAAQAgAAAAIgAA&#10;AGRycy9kb3ducmV2LnhtbFBLAQIUABQAAAAIAIdO4kA8A2H30wEAAJIDAAAOAAAAAAAAAAEAIAAA&#10;ACMBAABkcnMvZTJvRG9jLnhtbFBLBQYAAAAABgAGAFkBAABoBQAAAAA=&#10;">
                <v:fill on="f" focussize="0,0"/>
                <v:stroke on="f"/>
                <v:imagedata o:title=""/>
                <o:lock v:ext="edit" aspectratio="f"/>
                <v:textbox>
                  <w:txbxContent>
                    <w:p w14:paraId="6102BE5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验收合格的，监理工程师应在验收记录上签字，并形成验收文件，承包人可进行隐蔽或继续施工。验收合格24小时后，监理工程师仍不在验收记录上签字，视为监理工程师已认可验收记录。</w:t>
      </w:r>
    </w:p>
    <w:p w14:paraId="615C8CE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验收不合格的，承包人应按照监理工程师的指令修改后重新验收，由此增加的费用和（或）延误的工期由承包人承担。</w:t>
      </w:r>
    </w:p>
    <w:p w14:paraId="026945BB">
      <w:pPr>
        <w:widowControl w:val="0"/>
        <w:tabs>
          <w:tab w:val="left" w:pos="540"/>
        </w:tabs>
        <w:adjustRightInd w:val="0"/>
        <w:snapToGrid w:val="0"/>
        <w:spacing w:line="420" w:lineRule="exact"/>
        <w:ind w:firstLine="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20" name="文本框 22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697F1D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vert="horz" wrap="square" anchor="t" anchorCtr="0" upright="1"/>
                    </wps:wsp>
                  </a:graphicData>
                </a:graphic>
              </wp:anchor>
            </w:drawing>
          </mc:Choice>
          <mc:Fallback>
            <w:pict>
              <v:shape id="文本框 223"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giystcAAAAKAQAADwAAAAAAAAABACAAAAAi&#10;AAAAZHJzL2Rvd25yZXYueG1sUEsBAhQAFAAAAAgAh07iQHX/bTjSAQAAkgMAAA4AAAAAAAAAAQAg&#10;AAAAJgEAAGRycy9lMm9Eb2MueG1sUEsFBgAAAAAGAAYAWQEAAGoFAAAAAA==&#10;">
                <v:fill on="f" focussize="0,0"/>
                <v:stroke on="f"/>
                <v:imagedata o:title=""/>
                <o:lock v:ext="edit" aspectratio="f"/>
                <v:textbox>
                  <w:txbxContent>
                    <w:p w14:paraId="4697F1D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53.4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405E522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如监理工程师有指令，承包人应对隐蔽工程进行拍摄或照相，保证监理工程师能充分检查和测量隐蔽的工程。</w:t>
      </w:r>
    </w:p>
    <w:p w14:paraId="3A14C74E">
      <w:pPr>
        <w:widowControl w:val="0"/>
        <w:tabs>
          <w:tab w:val="left" w:pos="540"/>
        </w:tabs>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21" name="文本框 22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2050C0EC">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承包人私自隐蔽</w:t>
                            </w:r>
                          </w:p>
                        </w:txbxContent>
                      </wps:txbx>
                      <wps:bodyPr vert="horz" wrap="square" anchor="t" anchorCtr="0" upright="1"/>
                    </wps:wsp>
                  </a:graphicData>
                </a:graphic>
              </wp:anchor>
            </w:drawing>
          </mc:Choice>
          <mc:Fallback>
            <w:pict>
              <v:shape id="文本框 224" o:spid="_x0000_s1026" o:spt="202" type="#_x0000_t202" style="position:absolute;left:0pt;margin-left:-9pt;margin-top:19.3pt;height:31.2pt;width:72pt;z-index:251884544;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IIsrLXAAAACgEAAA8AAAAAAAAAAQAgAAAA&#10;IgAAAGRycy9kb3ducmV2LnhtbFBLAQIUABQAAAAIAIdO4kBkmXKo0wEAAJIDAAAOAAAAAAAAAAEA&#10;IAAAACYBAABkcnMvZTJvRG9jLnhtbFBLBQYAAAAABgAGAFkBAABrBQAAAAA=&#10;">
                <v:fill on="f" focussize="0,0"/>
                <v:stroke on="f"/>
                <v:imagedata o:title=""/>
                <o:lock v:ext="edit" aspectratio="f"/>
                <v:textbox>
                  <w:txbxContent>
                    <w:p w14:paraId="2050C0EC">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53.5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296CB6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承包人未通知监理工程师到场验收，私自将隐蔽工程覆盖的，监理工程师有权指令承包人进行钻孔探测或剥露验收，由此增加的费用和（或）延误的工期由承包人承担。</w:t>
      </w:r>
    </w:p>
    <w:p w14:paraId="302D2C77">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528F8438">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★54  重新验收和额外检查检验</w:t>
      </w:r>
    </w:p>
    <w:p w14:paraId="5817CABF">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222" name="文本框 225"/>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a:effectLst/>
                      </wps:spPr>
                      <wps:txbx>
                        <w:txbxContent>
                          <w:p w14:paraId="6B5A9C1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wps:txbx>
                      <wps:bodyPr vert="horz" wrap="square" anchor="t" anchorCtr="0" upright="1"/>
                    </wps:wsp>
                  </a:graphicData>
                </a:graphic>
              </wp:anchor>
            </w:drawing>
          </mc:Choice>
          <mc:Fallback>
            <w:pict>
              <v:shape id="文本框 225" o:spid="_x0000_s1026" o:spt="202" type="#_x0000_t202" style="position:absolute;left:0pt;margin-left:-9pt;margin-top:19.4pt;height:22.5pt;width:63pt;z-index:251885568;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ccIW9UAAAAJAQAADwAAAAAAAAABACAAAAAiAAAA&#10;ZHJzL2Rvd25yZXYueG1sUEsBAhQAFAAAAAgAh07iQIdkhp3RAQAAkgMAAA4AAAAAAAAAAQAgAAAA&#10;JAEAAGRycy9lMm9Eb2MueG1sUEsFBgAAAAAGAAYAWQEAAGcFAAAAAA==&#10;">
                <v:fill on="f" focussize="0,0"/>
                <v:stroke on="f"/>
                <v:imagedata o:title=""/>
                <o:lock v:ext="edit" aspectratio="f"/>
                <v:textbox>
                  <w:txbxContent>
                    <w:p w14:paraId="6B5A9C1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54.1</w:t>
      </w:r>
    </w:p>
    <w:p w14:paraId="017C179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081944DE">
      <w:pPr>
        <w:widowControl w:val="0"/>
        <w:tabs>
          <w:tab w:val="left" w:pos="540"/>
          <w:tab w:val="left" w:pos="720"/>
        </w:tabs>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54.2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4E8852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223" name="文本框 226"/>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a:effectLst/>
                      </wps:spPr>
                      <wps:txbx>
                        <w:txbxContent>
                          <w:p w14:paraId="537B0F8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wps:txbx>
                      <wps:bodyPr vert="horz" wrap="square" anchor="t" anchorCtr="0" upright="1"/>
                    </wps:wsp>
                  </a:graphicData>
                </a:graphic>
              </wp:anchor>
            </w:drawing>
          </mc:Choice>
          <mc:Fallback>
            <w:pict>
              <v:shape id="文本框 226" o:spid="_x0000_s1026" o:spt="202" type="#_x0000_t202" style="position:absolute;left:0pt;margin-left:-9pt;margin-top:0.6pt;height:49.4pt;width:76.4pt;z-index:251886592;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xgWidUAAAAJAQAADwAAAAAAAAABACAAAAAiAAAA&#10;ZHJzL2Rvd25yZXYueG1sUEsBAhQAFAAAAAgAh07iQL5xzkLRAQAAkgMAAA4AAAAAAAAAAQAgAAAA&#10;JAEAAGRycy9lMm9Eb2MueG1sUEsFBgAAAAAGAAYAWQEAAGcFAAAAAA==&#10;">
                <v:fill on="f" focussize="0,0"/>
                <v:stroke on="f"/>
                <v:imagedata o:title=""/>
                <o:lock v:ext="edit" aspectratio="f"/>
                <v:textbox>
                  <w:txbxContent>
                    <w:p w14:paraId="537B0F8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当监理工程师指令承包人进行合同中没有约定的检查检验，以核实合同工程某一部位或某种材料和工程设备等产品是否有缺陷时，承包人应按照要求进行检查检验。存在缺陷的，分别按照第50.5款、第52.3款规定处理；没有缺陷的，检查检验的费用和（或）延误的工期由发包人承担，并向承包人支付合理利润。</w:t>
      </w:r>
    </w:p>
    <w:p w14:paraId="18CA78D1">
      <w:pPr>
        <w:adjustRightInd w:val="0"/>
        <w:snapToGrid w:val="0"/>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276EF1F1">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55  工程试车</w:t>
      </w:r>
    </w:p>
    <w:p w14:paraId="4F0227FF">
      <w:pPr>
        <w:adjustRightInd w:val="0"/>
        <w:snapToGrid w:val="0"/>
        <w:spacing w:line="420" w:lineRule="exact"/>
        <w:ind w:left="-2" w:leftChars="-1" w:firstLine="1"/>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55.1 </w:t>
      </w:r>
    </w:p>
    <w:p w14:paraId="3A9F1E6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224" name="文本框 227"/>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7004883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wps:txbx>
                      <wps:bodyPr vert="horz" wrap="square" anchor="t" anchorCtr="0" upright="1"/>
                    </wps:wsp>
                  </a:graphicData>
                </a:graphic>
              </wp:anchor>
            </w:drawing>
          </mc:Choice>
          <mc:Fallback>
            <w:pict>
              <v:shape id="文本框 227" o:spid="_x0000_s1026" o:spt="202" type="#_x0000_t202" style="position:absolute;left:0pt;margin-left:-9pt;margin-top:1.3pt;height:23.4pt;width:63pt;z-index:251887616;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8Heyv9QAAAAIAQAADwAAAAAAAAABACAAAAAiAAAA&#10;ZHJzL2Rvd25yZXYueG1sUEsBAhQAFAAAAAgAh07iQId1ewTSAQAAkgMAAA4AAAAAAAAAAQAgAAAA&#10;IwEAAGRycy9lMm9Eb2MueG1sUEsFBgAAAAAGAAYAWQEAAGcFAAAAAA==&#10;">
                <v:fill on="f" focussize="0,0"/>
                <v:stroke on="f"/>
                <v:imagedata o:title=""/>
                <o:lock v:ext="edit" aspectratio="f"/>
                <v:textbox>
                  <w:txbxContent>
                    <w:p w14:paraId="7004883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按照合同约定需要试车的，试车的内容应与承包人承包的安装范围相一致。</w:t>
      </w:r>
    </w:p>
    <w:p w14:paraId="6F2C2701">
      <w:pPr>
        <w:tabs>
          <w:tab w:val="left" w:pos="540"/>
        </w:tabs>
        <w:adjustRightInd w:val="0"/>
        <w:snapToGrid w:val="0"/>
        <w:spacing w:line="420" w:lineRule="exact"/>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55.2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29F143A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225" name="文本框 228"/>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a:effectLst/>
                      </wps:spPr>
                      <wps:txbx>
                        <w:txbxContent>
                          <w:p w14:paraId="56630DFB">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vert="horz" wrap="square" anchor="t" anchorCtr="0" upright="1"/>
                    </wps:wsp>
                  </a:graphicData>
                </a:graphic>
              </wp:anchor>
            </w:drawing>
          </mc:Choice>
          <mc:Fallback>
            <w:pict>
              <v:shape id="文本框 228" o:spid="_x0000_s1026" o:spt="202" type="#_x0000_t202" style="position:absolute;left:0pt;margin-left:-9pt;margin-top:0.25pt;height:36.95pt;width:72pt;z-index:251888640;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bB/bZ1AAAAAcBAAAPAAAAAAAAAAEAIAAAACIAAABk&#10;cnMvZG93bnJldi54bWxQSwECFAAUAAAACACHTuJA5v3I8tEBAACSAwAADgAAAAAAAAABACAAAAAj&#10;AQAAZHJzL2Uyb0RvYy54bWxQSwUGAAAAAAYABgBZAQAAZgUAAAAA&#10;">
                <v:fill on="f" focussize="0,0"/>
                <v:stroke on="f"/>
                <v:imagedata o:title=""/>
                <o:lock v:ext="edit" aspectratio="f"/>
                <v:textbox>
                  <w:txbxContent>
                    <w:p w14:paraId="56630DFB">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设备安装工程具备单机无负荷试车条件时，承包人应组织试车，并在试车前48小时以书面形式通知监理工程师。通知包括试车内容、时间和地点。承包人应自行准备试车记录，发包人应为承包人试车提供便利和协助。</w:t>
      </w:r>
    </w:p>
    <w:p w14:paraId="09197B3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监理工程师不能按时参加试车的，应在开始试车前至少提前24小时发出延期试车指令并书面说明理由，延期不能超过48小时。监理工程师未发出延期试车指令也未能按时参加试车的，承包人可自行试车，并认为试车是经监理工程师同意下完成的。试车完成后，承包人应立即向监理工程师提交试车记录，监理工程师应予认可。</w:t>
      </w:r>
    </w:p>
    <w:p w14:paraId="23DD9BA4">
      <w:pPr>
        <w:adjustRightInd w:val="0"/>
        <w:snapToGrid w:val="0"/>
        <w:spacing w:line="420" w:lineRule="exact"/>
        <w:rPr>
          <w:rFonts w:ascii="宋体" w:hAnsi="宋体" w:eastAsia="宋体" w:cs="宋体"/>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55.3 </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16935F3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226" name="文本框 229"/>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a:effectLst/>
                      </wps:spPr>
                      <wps:txbx>
                        <w:txbxContent>
                          <w:p w14:paraId="2898C229">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vert="horz" wrap="square" anchor="t" anchorCtr="0" upright="1"/>
                    </wps:wsp>
                  </a:graphicData>
                </a:graphic>
              </wp:anchor>
            </w:drawing>
          </mc:Choice>
          <mc:Fallback>
            <w:pict>
              <v:shape id="文本框 229" o:spid="_x0000_s1026" o:spt="202" type="#_x0000_t202" style="position:absolute;left:0pt;margin-left:-5.8pt;margin-top:0.05pt;height:37.15pt;width:68.8pt;z-index:251889664;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oCzoPUAAAABwEAAA8AAAAAAAAAAQAgAAAAIgAA&#10;AGRycy9kb3ducmV2LnhtbFBLAQIUABQAAAAIAIdO4kBNHhqm0wEAAJIDAAAOAAAAAAAAAAEAIAAA&#10;ACMBAABkcnMvZTJvRG9jLnhtbFBLBQYAAAAABgAGAFkBAABoBQAAAAA=&#10;">
                <v:fill on="f" focussize="0,0"/>
                <v:stroke on="f"/>
                <v:imagedata o:title=""/>
                <o:lock v:ext="edit" aspectratio="f"/>
                <v:textbox>
                  <w:txbxContent>
                    <w:p w14:paraId="2898C229">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单机试车合格，监理工程师应在试车记录上签字，承包人可继续施工或申请办理竣工验收手续。单机试车合格24小时后，监理工程师仍不在试车记录上签字的，视为监理工程师已认可试车记录。</w:t>
      </w:r>
    </w:p>
    <w:p w14:paraId="1F34D787">
      <w:pPr>
        <w:adjustRightInd w:val="0"/>
        <w:snapToGrid w:val="0"/>
        <w:spacing w:line="420" w:lineRule="exact"/>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55.4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CE4CE7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90688"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227" name="文本框 230"/>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a:effectLst/>
                      </wps:spPr>
                      <wps:txbx>
                        <w:txbxContent>
                          <w:p w14:paraId="1FB1E4F3">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vert="horz" wrap="square" anchor="t" anchorCtr="0" upright="1"/>
                    </wps:wsp>
                  </a:graphicData>
                </a:graphic>
              </wp:anchor>
            </w:drawing>
          </mc:Choice>
          <mc:Fallback>
            <w:pict>
              <v:shape id="文本框 230" o:spid="_x0000_s1026" o:spt="202" type="#_x0000_t202" style="position:absolute;left:0pt;margin-left:-5.8pt;margin-top:0.9pt;height:38.8pt;width:68.8pt;z-index:251890688;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&#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nFbAA1QAAAAgBAAAPAAAAAAAAAAEAIAAAACIAAABk&#10;cnMvZG93bnJldi54bWxQSwECFAAUAAAACACHTuJApyqb5NABAACSAwAADgAAAAAAAAABACAAAAAk&#10;AQAAZHJzL2Uyb0RvYy54bWxQSwUGAAAAAAYABgBZAQAAZgUAAAAA&#10;">
                <v:fill on="f" focussize="0,0"/>
                <v:stroke on="f"/>
                <v:imagedata o:title=""/>
                <o:lock v:ext="edit" aspectratio="f"/>
                <v:textbox>
                  <w:txbxContent>
                    <w:p w14:paraId="1FB1E4F3">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设备安装工程具备联动无负荷试车条件时，发包人应组织试车，并在试车前48小时以书面形式通知承包人。通知包括试车内容、时间、地点和对承包人的要求，承包人应按照要求做好准备工作。试车合格，合同双方当事人均应在试车记录上签字。</w:t>
      </w:r>
    </w:p>
    <w:p w14:paraId="163742D1">
      <w:pPr>
        <w:adjustRightInd w:val="0"/>
        <w:snapToGrid w:val="0"/>
        <w:spacing w:line="420" w:lineRule="exact"/>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55.5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FB0FDA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228" name="文本框 231"/>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a:effectLst/>
                      </wps:spPr>
                      <wps:txbx>
                        <w:txbxContent>
                          <w:p w14:paraId="7ED3C323">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wps:txbx>
                      <wps:bodyPr vert="horz" wrap="square" anchor="t" anchorCtr="0" upright="1"/>
                    </wps:wsp>
                  </a:graphicData>
                </a:graphic>
              </wp:anchor>
            </w:drawing>
          </mc:Choice>
          <mc:Fallback>
            <w:pict>
              <v:shape id="文本框 231" o:spid="_x0000_s1026" o:spt="202" type="#_x0000_t202" style="position:absolute;left:0pt;margin-left:-9pt;margin-top:-0.5pt;height:33.7pt;width:69.6pt;z-index:251891712;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h84dYAAAAJAQAADwAAAAAAAAABACAAAAAi&#10;AAAAZHJzL2Rvd25yZXYueG1sUEsBAhQAFAAAAAgAh07iQB+L77XTAQAAkgMAAA4AAAAAAAAAAQAg&#10;AAAAJQEAAGRycy9lMm9Eb2MueG1sUEsFBgAAAAAGAAYAWQEAAGoFAAAAAA==&#10;">
                <v:fill on="f" focussize="0,0"/>
                <v:stroke on="f"/>
                <v:imagedata o:title=""/>
                <o:lock v:ext="edit" aspectratio="f"/>
                <v:textbox>
                  <w:txbxContent>
                    <w:p w14:paraId="7ED3C323">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试车费用，除已含在合同价款外，由发包人承担。试车达不到验收要求的，按照下列规定处理： </w:t>
      </w:r>
    </w:p>
    <w:p w14:paraId="3FEB4A0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（1）由于设计原因试车达不到验收要求，发包人应要求设计人修改设计，承包人按照修改后的设计重新安装。发包人承担修改设计、拆除及重新安装的全部费用和延误的工期。</w:t>
      </w:r>
    </w:p>
    <w:p w14:paraId="66F58F5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60B1AEF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（3）由于承包人施工原因试车达不到验收要求，承包人应按照监理工程师要求重新安装和试车，并承担拆除、重新安装和重新试车的费用和延误的工期。</w:t>
      </w:r>
    </w:p>
    <w:p w14:paraId="4D4FCBE7">
      <w:pPr>
        <w:adjustRightInd w:val="0"/>
        <w:snapToGrid w:val="0"/>
        <w:spacing w:line="420" w:lineRule="exact"/>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55.6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7172378D">
      <w:pPr>
        <w:adjustRightInd w:val="0"/>
        <w:snapToGrid w:val="0"/>
        <w:spacing w:line="420" w:lineRule="exact"/>
        <w:rPr>
          <w:rFonts w:ascii="宋体" w:hAnsi="宋体" w:eastAsia="宋体" w:cs="宋体"/>
          <w:b/>
          <w:bCs/>
          <w:color w:val="000000" w:themeColor="text1"/>
          <w:sz w:val="22"/>
          <w:szCs w:val="22"/>
          <w:highlight w:val="none"/>
          <w:u w:val="dotted"/>
          <w14:textFill>
            <w14:solidFill>
              <w14:schemeClr w14:val="tx1"/>
            </w14:solidFill>
          </w14:textFill>
        </w:rPr>
      </w:pPr>
    </w:p>
    <w:p w14:paraId="25C84E0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229" name="文本框 23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6E34939E">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投料试车</w:t>
                            </w:r>
                          </w:p>
                        </w:txbxContent>
                      </wps:txbx>
                      <wps:bodyPr vert="horz" wrap="square" anchor="t" anchorCtr="0" upright="1"/>
                    </wps:wsp>
                  </a:graphicData>
                </a:graphic>
              </wp:anchor>
            </w:drawing>
          </mc:Choice>
          <mc:Fallback>
            <w:pict>
              <v:shape id="文本框 232" o:spid="_x0000_s1026" o:spt="202" type="#_x0000_t202" style="position:absolute;left:0pt;margin-left:-9pt;margin-top:0.8pt;height:23.4pt;width:63pt;z-index:251892736;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nO0gNQAAAAIAQAADwAAAAAAAAABACAAAAAiAAAA&#10;ZHJzL2Rvd25yZXYueG1sUEsBAhQAFAAAAAgAh07iQGj/UezSAQAAkgMAAA4AAAAAAAAAAQAgAAAA&#10;IwEAAGRycy9lMm9Eb2MueG1sUEsFBgAAAAAGAAYAWQEAAGcFAAAAAA==&#10;">
                <v:fill on="f" focussize="0,0"/>
                <v:stroke on="f"/>
                <v:imagedata o:title=""/>
                <o:lock v:ext="edit" aspectratio="f"/>
                <v:textbox>
                  <w:txbxContent>
                    <w:p w14:paraId="6E34939E">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投料试车</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投料试车应在永久工程竣工验收后，由发包人负责。如果发包人要求在永久工程竣工验收前进行试车或需要承包人配合时，应事先取得承包人同意，并另行签订补充协议。</w:t>
      </w:r>
    </w:p>
    <w:p w14:paraId="361BC729">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4CF29ECB">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★56  工程变更</w:t>
      </w:r>
    </w:p>
    <w:p w14:paraId="170F226C">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56.1</w:t>
      </w:r>
    </w:p>
    <w:p w14:paraId="7CED604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230" name="文本框 233"/>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14:paraId="6811234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wps:txbx>
                      <wps:bodyPr vert="horz" wrap="square" anchor="t" anchorCtr="0" upright="1"/>
                    </wps:wsp>
                  </a:graphicData>
                </a:graphic>
              </wp:anchor>
            </w:drawing>
          </mc:Choice>
          <mc:Fallback>
            <w:pict>
              <v:shape id="文本框 233" o:spid="_x0000_s1026" o:spt="202" type="#_x0000_t202" style="position:absolute;left:0pt;margin-left:-9pt;margin-top:0.1pt;height:23.4pt;width:81pt;z-index:251893760;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&#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rMkyrTAAAABwEAAA8AAAAAAAAAAQAgAAAAIgAAAGRy&#10;cy9kb3ducmV2LnhtbFBLAQIUABQAAAAIAIdO4kC5OdR50QEAAJMDAAAOAAAAAAAAAAEAIAAAACIB&#10;AABkcnMvZTJvRG9jLnhtbFBLBQYAAAAABgAGAFkBAABlBQAAAAA=&#10;">
                <v:fill on="f" focussize="0,0"/>
                <v:stroke on="f"/>
                <v:imagedata o:title=""/>
                <o:lock v:ext="edit" aspectratio="f"/>
                <v:textbox>
                  <w:txbxContent>
                    <w:p w14:paraId="6811234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合同履行期间，经发包人批准，监理工程师可按照第56.3款约定的变更程序向承包人发出变更指令，承包人应按照合同约定实施变更工作。</w:t>
      </w:r>
    </w:p>
    <w:p w14:paraId="1857C19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没有经发包人批准也没有监理工程师的工程变更指令，承包人应按照合同约定施工，无权对合同工程作出任何变更。</w:t>
      </w:r>
    </w:p>
    <w:p w14:paraId="4467B05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工程量偏差不属于工程变更，该项工程量增减不需要任何指令。</w:t>
      </w:r>
    </w:p>
    <w:p w14:paraId="2D1F5428">
      <w:pPr>
        <w:widowControl w:val="0"/>
        <w:adjustRightInd w:val="0"/>
        <w:snapToGrid w:val="0"/>
        <w:spacing w:line="420" w:lineRule="exact"/>
        <w:jc w:val="both"/>
        <w:rPr>
          <w:rFonts w:ascii="宋体" w:hAnsi="宋体" w:eastAsia="宋体" w:cs="宋体"/>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56.2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48EE44D9">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p>
    <w:p w14:paraId="3EE0A42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231" name="文本框 23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1CC30A1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wps:txbx>
                      <wps:bodyPr vert="horz" wrap="square" anchor="t" anchorCtr="0" upright="1"/>
                    </wps:wsp>
                  </a:graphicData>
                </a:graphic>
              </wp:anchor>
            </w:drawing>
          </mc:Choice>
          <mc:Fallback>
            <w:pict>
              <v:shape id="文本框 234" o:spid="_x0000_s1026" o:spt="202" type="#_x0000_t202" style="position:absolute;left:0pt;margin-left:-9pt;margin-top:5.5pt;height:31.2pt;width:72pt;z-index:251894784;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Ppe1dYAAAAJAQAADwAAAAAAAAABACAAAAAi&#10;AAAAZHJzL2Rvd25yZXYueG1sUEsBAhQAFAAAAAgAh07iQIekzADTAQAAkgMAAA4AAAAAAAAAAQAg&#10;AAAAJQEAAGRycy9lMm9Eb2MueG1sUEsFBgAAAAAGAAYAWQEAAGoFAAAAAA==&#10;">
                <v:fill on="f" focussize="0,0"/>
                <v:stroke on="f"/>
                <v:imagedata o:title=""/>
                <o:lock v:ext="edit" aspectratio="f"/>
                <v:textbox>
                  <w:txbxContent>
                    <w:p w14:paraId="1CC30A1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合同履行期间，发包人可对合同工程或其任何部分的形式、质量或数量作出变更。发生下列情形之一，应按照本条规定进行变更。</w:t>
      </w:r>
    </w:p>
    <w:p w14:paraId="697434C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 改变合同工程中任何工程数量；</w:t>
      </w:r>
    </w:p>
    <w:p w14:paraId="58F1385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(2) 删减任何工作，但删减的工作不能转由发包人或其他人实施；   </w:t>
      </w:r>
    </w:p>
    <w:p w14:paraId="7F1FE78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 改变任何工作内容的性质、质量或其他特征；</w:t>
      </w:r>
    </w:p>
    <w:p w14:paraId="7834C84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 改变工程任何部分的标高、基线、位置和(或)尺寸；</w:t>
      </w:r>
    </w:p>
    <w:p w14:paraId="1708234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 为完成永久工程所必须的任何额外工作；</w:t>
      </w:r>
    </w:p>
    <w:p w14:paraId="7133A87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但对合同工程工期、质量标准等实质性变更的，应在作出变更前，与承包人签订补充协议书，作为本合同的补充文件。</w:t>
      </w:r>
    </w:p>
    <w:p w14:paraId="0CB82277">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56.3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AE4EE8E">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p>
    <w:p w14:paraId="4B725A8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232" name="文本框 235"/>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a:effectLst/>
                      </wps:spPr>
                      <wps:txbx>
                        <w:txbxContent>
                          <w:p w14:paraId="19A5910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wps:txbx>
                      <wps:bodyPr vert="horz" wrap="square" anchor="t" anchorCtr="0" upright="1"/>
                    </wps:wsp>
                  </a:graphicData>
                </a:graphic>
              </wp:anchor>
            </w:drawing>
          </mc:Choice>
          <mc:Fallback>
            <w:pict>
              <v:shape id="文本框 235" o:spid="_x0000_s1026" o:spt="202" type="#_x0000_t202" style="position:absolute;left:0pt;margin-left:-9pt;margin-top:1.25pt;height:43.85pt;width:72pt;z-index:251895808;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UMP/Y1QAAAAgBAAAPAAAAAAAAAAEAIAAAACIA&#10;AABkcnMvZG93bnJldi54bWxQSwECFAAUAAAACACHTuJAKRLUvNMBAACSAwAADgAAAAAAAAABACAA&#10;AAAkAQAAZHJzL2Uyb0RvYy54bWxQSwUGAAAAAAYABgBZAQAAaQUAAAAA&#10;">
                <v:fill on="f" focussize="0,0"/>
                <v:stroke on="f"/>
                <v:imagedata o:title=""/>
                <o:lock v:ext="edit" aspectratio="f"/>
                <v:textbox>
                  <w:txbxContent>
                    <w:p w14:paraId="19A5910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合同工程发生变更，合同双方当事人以及监理工程师、造价工程师应遵循下列程序实施工程变更的相关工作。</w:t>
      </w:r>
    </w:p>
    <w:p w14:paraId="41211FC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(1)合同工程可能发生或发生工程变更时，监理工程师或承包人可依据下列情况及时提出。</w:t>
      </w:r>
    </w:p>
    <w:p w14:paraId="3BD6A26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14:paraId="0D5E94A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2）合同工程发生第56.2款所列情形的，监理工程师应至少提前14天以书面形式向承包人发出变更指令，并提供变更的施工设计图纸及其说明等资料。</w:t>
      </w:r>
    </w:p>
    <w:p w14:paraId="741BD33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14:paraId="568C81E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4）若承包人收到监理工程师的变更意向书后认为难以实施此项变更的，应立即通知监理工程师，说明原因并附详细依据。监理工程师与合同双方当事人协商后确定撤销、改变或不改变原变更意向书。</w:t>
      </w:r>
    </w:p>
    <w:p w14:paraId="6FE3AB9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14:paraId="26CB731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变更工作影响工期的，承包人应提出调整工期的要求。发包人认为有必要时，可要求承包人提交提前或者延长工期的施工进度计划或相应施工措施等资料。</w:t>
      </w:r>
    </w:p>
    <w:p w14:paraId="35FE952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14:paraId="5E11C2E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(4)承包人应在发包人确定工程变更报告后的7天内，按照监理工程师发出的变更指令及时组织实施变更工作。否则，由此引起的损失和（或）延误的工期由承包人承担。</w:t>
      </w:r>
    </w:p>
    <w:p w14:paraId="00E8F025">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56.4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1026B2A">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p>
    <w:p w14:paraId="3000212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233" name="文本框 236"/>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a:effectLst/>
                      </wps:spPr>
                      <wps:txbx>
                        <w:txbxContent>
                          <w:p w14:paraId="59B73B1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vert="horz" wrap="square" anchor="t" anchorCtr="0" upright="1"/>
                    </wps:wsp>
                  </a:graphicData>
                </a:graphic>
              </wp:anchor>
            </w:drawing>
          </mc:Choice>
          <mc:Fallback>
            <w:pict>
              <v:shape id="文本框 236" o:spid="_x0000_s1026" o:spt="202" type="#_x0000_t202" style="position:absolute;left:0pt;margin-left:-9pt;margin-top:0.6pt;height:32.45pt;width:72pt;z-index:251896832;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7hOtdQAAAAIAQAADwAAAAAAAAABACAAAAAiAAAA&#10;ZHJzL2Rvd25yZXYueG1sUEsBAhQAFAAAAAgAh07iQHfsNHTSAQAAkgMAAA4AAAAAAAAAAQAgAAAA&#10;IwEAAGRycy9lMm9Eb2MueG1sUEsFBgAAAAAGAAYAWQEAAGcFAAAAAA==&#10;">
                <v:fill on="f" focussize="0,0"/>
                <v:stroke on="f"/>
                <v:imagedata o:title=""/>
                <o:lock v:ext="edit" aspectratio="f"/>
                <v:textbox>
                  <w:txbxContent>
                    <w:p w14:paraId="59B73B1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14:paraId="1F664FF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发包人采纳承包人的建议，给发包人带来降低合同价款、缩短工期或提交工程经济效益等利益的，发包人应按照国家有关规定并在专用条款中约定的计算方法予以奖励。</w:t>
      </w:r>
    </w:p>
    <w:p w14:paraId="127FA7F0">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56.5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BC8E9F0">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p>
    <w:p w14:paraId="651BCA6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234" name="文本框 237"/>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a:effectLst/>
                      </wps:spPr>
                      <wps:txbx>
                        <w:txbxContent>
                          <w:p w14:paraId="18395F7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vert="horz" wrap="square" anchor="t" anchorCtr="0" upright="1"/>
                    </wps:wsp>
                  </a:graphicData>
                </a:graphic>
              </wp:anchor>
            </w:drawing>
          </mc:Choice>
          <mc:Fallback>
            <w:pict>
              <v:shape id="文本框 237" o:spid="_x0000_s1026" o:spt="202" type="#_x0000_t202" style="position:absolute;left:0pt;margin-left:-9pt;margin-top:1.2pt;height:46.3pt;width:72pt;z-index:251897856;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&#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zKxEtUAAAAIAQAADwAAAAAAAAABACAAAAAiAAAA&#10;ZHJzL2Rvd25yZXYueG1sUEsBAhQAFAAAAAgAh07iQIoZYu/RAQAAkgMAAA4AAAAAAAAAAQAgAAAA&#10;JAEAAGRycy9lMm9Eb2MueG1sUEsFBgAAAAAGAAYAWQEAAGcFAAAAAA==&#10;">
                <v:fill on="f" focussize="0,0"/>
                <v:stroke on="f"/>
                <v:imagedata o:title=""/>
                <o:lock v:ext="edit" aspectratio="f"/>
                <v:textbox>
                  <w:txbxContent>
                    <w:p w14:paraId="18395F7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工程变更不应使合同作废或无效。工程变更应按照第72条规定确定变更的工程款；影响工期的，工期应相应调整。但由于下列原因引起的变更，承包人无权要求任何额外或附加的费用，工期不予顺延：</w:t>
      </w:r>
    </w:p>
    <w:p w14:paraId="791E5AF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（1）为了便于组织施工而采取的技术措施变更或临时工程变更；</w:t>
      </w:r>
    </w:p>
    <w:p w14:paraId="70BFE3A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（2）为了施工安全、避免干扰等原因而采取的技术措施变更或临时工</w:t>
      </w:r>
    </w:p>
    <w:p w14:paraId="22D41B3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程变更；</w:t>
      </w:r>
    </w:p>
    <w:p w14:paraId="026D3D6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（3）因承包人违约、过错或承包人引起的其他变更。</w:t>
      </w:r>
    </w:p>
    <w:p w14:paraId="6E792B08">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4F0BF514">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57  竣工验收条件</w:t>
      </w:r>
    </w:p>
    <w:p w14:paraId="2D7B9987">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57.1</w:t>
      </w:r>
    </w:p>
    <w:p w14:paraId="309FBE8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5" name="文本框 238"/>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a:effectLst/>
                      </wps:spPr>
                      <wps:txbx>
                        <w:txbxContent>
                          <w:p w14:paraId="238F1B8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wps:txbx>
                      <wps:bodyPr vert="horz" wrap="square" anchor="t" anchorCtr="0" upright="1"/>
                    </wps:wsp>
                  </a:graphicData>
                </a:graphic>
              </wp:anchor>
            </w:drawing>
          </mc:Choice>
          <mc:Fallback>
            <w:pict>
              <v:shape id="文本框 238"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o6HlN1QAAAAgBAAAPAAAAAAAAAAEAIAAAACIA&#10;AABkcnMvZG93bnJldi54bWxQSwECFAAUAAAACACHTuJAlauk7NMBAACSAwAADgAAAAAAAAABACAA&#10;AAAkAQAAZHJzL2Uyb0RvYy54bWxQSwUGAAAAAAYABgBZAQAAaQUAAAAA&#10;">
                <v:fill on="f" focussize="0,0"/>
                <v:stroke on="f"/>
                <v:imagedata o:title=""/>
                <o:lock v:ext="edit" aspectratio="f"/>
                <v:textbox>
                  <w:txbxContent>
                    <w:p w14:paraId="238F1B8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承包人实施、完成合同工程的全部工作内容，经自检评定并符合下列条件的，则认为合同工程已具备竣工验收条件。</w:t>
      </w:r>
    </w:p>
    <w:p w14:paraId="03C19AF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(1）除监理工程师同意列入缺陷责任期内完成的尾工（甩项）工程和缺陷修补工作外，包括合同约定的试验、检验和验收等工作在内的合同范围内全部工作均已完成，并符合施工设计图纸和合同约定的要求；</w:t>
      </w:r>
    </w:p>
    <w:p w14:paraId="798EB23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(2）已按照合同约定的内容和份数备齐了符合国家或行业、省要求的竣工资料（质量控制资料、竣工结算文件等）；</w:t>
      </w:r>
    </w:p>
    <w:p w14:paraId="2D50C72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(3）已按照监理工程师的指令编制了在缺陷责任期内完成的尾工（甩项）工程和缺陷修补工作清单，以及相应的实施计划；</w:t>
      </w:r>
    </w:p>
    <w:p w14:paraId="74503EC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(4）监理工程师要求在竣工验收前应完成的其他工作：</w:t>
      </w:r>
    </w:p>
    <w:p w14:paraId="1773B37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(5）监理工程师要求提交的竣工验收资料清单。</w:t>
      </w:r>
    </w:p>
    <w:p w14:paraId="5EEFEE4F">
      <w:pPr>
        <w:widowControl w:val="0"/>
        <w:adjustRightInd w:val="0"/>
        <w:snapToGrid w:val="0"/>
        <w:spacing w:line="420" w:lineRule="exact"/>
        <w:ind w:firstLine="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57.2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253CAD4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6" name="文本框 23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a:effectLst/>
                      </wps:spPr>
                      <wps:txbx>
                        <w:txbxContent>
                          <w:p w14:paraId="1D6F6845">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提交竣工验收申请报告</w:t>
                            </w:r>
                          </w:p>
                        </w:txbxContent>
                      </wps:txbx>
                      <wps:bodyPr vert="horz" wrap="square" anchor="t" anchorCtr="0" upright="1"/>
                    </wps:wsp>
                  </a:graphicData>
                </a:graphic>
              </wp:anchor>
            </w:drawing>
          </mc:Choice>
          <mc:Fallback>
            <w:pict>
              <v:shape id="文本框 239" o:spid="_x0000_s1026" o:spt="202" type="#_x0000_t202" style="position:absolute;left:0pt;margin-left:-9pt;margin-top:1pt;height:33.3pt;width:72pt;z-index:251899904;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o6HlN1QAAAAgBAAAPAAAAAAAAAAEAIAAAACIA&#10;AABkcnMvZG93bnJldi54bWxQSwECFAAUAAAACACHTuJAtzlZZdMBAACSAwAADgAAAAAAAAABACAA&#10;AAAkAQAAZHJzL2Uyb0RvYy54bWxQSwUGAAAAAAYABgBZAQAAaQUAAAAA&#10;">
                <v:fill on="f" focussize="0,0"/>
                <v:stroke on="f"/>
                <v:imagedata o:title=""/>
                <o:lock v:ext="edit" aspectratio="f"/>
                <v:textbox>
                  <w:txbxContent>
                    <w:p w14:paraId="1D6F6845">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认为合同工程具备竣工验收条件的，应按照国家或行业、省规定的工程竣工验收技术资料格式和要求，及时向发包人提交竣工验收申请报告和符合要求的完整竣工资料，合同双方当事人应按照第58条规定进行验收。</w:t>
      </w:r>
    </w:p>
    <w:p w14:paraId="6523B030">
      <w:pPr>
        <w:widowControl w:val="0"/>
        <w:adjustRightInd w:val="0"/>
        <w:snapToGrid w:val="0"/>
        <w:spacing w:line="420" w:lineRule="exact"/>
        <w:ind w:firstLine="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57.3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559FD8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237" name="文本框 240"/>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a:effectLst/>
                      </wps:spPr>
                      <wps:txbx>
                        <w:txbxContent>
                          <w:p w14:paraId="77555D7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vert="horz" wrap="square" anchor="t" anchorCtr="0" upright="1"/>
                    </wps:wsp>
                  </a:graphicData>
                </a:graphic>
              </wp:anchor>
            </w:drawing>
          </mc:Choice>
          <mc:Fallback>
            <w:pict>
              <v:shape id="文本框 240" o:spid="_x0000_s1026" o:spt="202" type="#_x0000_t202" style="position:absolute;left:0pt;margin-left:-9pt;margin-top:3.05pt;height:32.05pt;width:68.8pt;z-index:251900928;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wfxE3VAAAACAEAAA8AAAAAAAAAAQAgAAAAIgAA&#10;AGRycy9kb3ducmV2LnhtbFBLAQIUABQAAAAIAIdO4kBslicO0gEAAJIDAAAOAAAAAAAAAAEAIAAA&#10;ACQBAABkcnMvZTJvRG9jLnhtbFBLBQYAAAAABgAGAFkBAABoBQAAAAA=&#10;">
                <v:fill on="f" focussize="0,0"/>
                <v:stroke on="f"/>
                <v:imagedata o:title=""/>
                <o:lock v:ext="edit" aspectratio="f"/>
                <v:textbox>
                  <w:txbxContent>
                    <w:p w14:paraId="77555D7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如果承包人不按照规定提交竣工资料或提交的资料不符合要求，则认为合同工程尚未具备竣工验收条件。</w:t>
      </w:r>
    </w:p>
    <w:p w14:paraId="3D529FA4">
      <w:pPr>
        <w:adjustRightInd w:val="0"/>
        <w:snapToGrid w:val="0"/>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2D6C94FC">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58  竣工验收</w:t>
      </w:r>
    </w:p>
    <w:p w14:paraId="7168567D">
      <w:pPr>
        <w:tabs>
          <w:tab w:val="left" w:pos="1620"/>
        </w:tabs>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w:t>
      </w: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8" name="文本框 241"/>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a:effectLst/>
                      </wps:spPr>
                      <wps:txbx>
                        <w:txbxContent>
                          <w:p w14:paraId="026C2D0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wps:txbx>
                      <wps:bodyPr vert="horz" wrap="square" anchor="t" anchorCtr="0" upright="1"/>
                    </wps:wsp>
                  </a:graphicData>
                </a:graphic>
              </wp:anchor>
            </w:drawing>
          </mc:Choice>
          <mc:Fallback>
            <w:pict>
              <v:shape id="文本框 241"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eyRCNYAAAAKAQAADwAAAAAAAAABACAAAAAi&#10;AAAAZHJzL2Rvd25yZXYueG1sUEsBAhQAFAAAAAgAh07iQBL1BOnTAQAAkgMAAA4AAAAAAAAAAQAg&#10;AAAAJQEAAGRycy9lMm9Eb2MueG1sUEsFBgAAAAAGAAYAWQEAAGoFAAAAAA==&#10;">
                <v:fill on="f" focussize="0,0"/>
                <v:stroke on="f"/>
                <v:imagedata o:title=""/>
                <o:lock v:ext="edit" aspectratio="f"/>
                <v:textbox>
                  <w:txbxContent>
                    <w:p w14:paraId="026C2D0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58.1</w:t>
      </w:r>
    </w:p>
    <w:p w14:paraId="103A919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合同双方当事人应在专用条款中约定合同工程竣工验收标准，但约定的竣工验收标准应符合国家或行业、省的有关规定。</w:t>
      </w:r>
    </w:p>
    <w:p w14:paraId="75F023A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合同工程需要进行国家验收的，竣工验收是国家验收的一部分。</w:t>
      </w:r>
    </w:p>
    <w:p w14:paraId="30BD8B4D">
      <w:pPr>
        <w:tabs>
          <w:tab w:val="left" w:pos="1620"/>
        </w:tabs>
        <w:adjustRightInd w:val="0"/>
        <w:snapToGrid w:val="0"/>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9" name="文本框 242"/>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a:effectLst/>
                      </wps:spPr>
                      <wps:txbx>
                        <w:txbxContent>
                          <w:p w14:paraId="04BE04A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vert="horz" wrap="square" anchor="t" anchorCtr="0" upright="1"/>
                    </wps:wsp>
                  </a:graphicData>
                </a:graphic>
              </wp:anchor>
            </w:drawing>
          </mc:Choice>
          <mc:Fallback>
            <w:pict>
              <v:shape id="文本框 242"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eyRCNYAAAAKAQAADwAAAAAAAAABACAAAAAi&#10;AAAAZHJzL2Rvd25yZXYueG1sUEsBAhQAFAAAAAgAh07iQCsMTQjTAQAAkgMAAA4AAAAAAAAAAQAg&#10;AAAAJQEAAGRycy9lMm9Eb2MueG1sUEsFBgAAAAAGAAYAWQEAAGoFAAAAAA==&#10;">
                <v:fill on="f" focussize="0,0"/>
                <v:stroke on="f"/>
                <v:imagedata o:title=""/>
                <o:lock v:ext="edit" aspectratio="f"/>
                <v:textbox>
                  <w:txbxContent>
                    <w:p w14:paraId="04BE04A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58.2</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6A353D7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发包人收到承包人按照第57.2 款规定提交的竣工验收申请报告后，应及时通知监理工程师核查合同工程是否具备竣工验收条件。</w:t>
      </w:r>
    </w:p>
    <w:p w14:paraId="1CDE1C6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经核查未具备竣工验收条件的，监理工程师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14:paraId="7CBDB26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(2）经核查已具备竣工验收条件的，监理工程师应在收到竣工验收申请报告后的14天内书面提请发包人组织合同工程验收。</w:t>
      </w:r>
    </w:p>
    <w:p w14:paraId="0FEB75AA">
      <w:pPr>
        <w:tabs>
          <w:tab w:val="left" w:pos="1620"/>
        </w:tabs>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40" name="文本框 243"/>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a:effectLst/>
                      </wps:spPr>
                      <wps:txbx>
                        <w:txbxContent>
                          <w:p w14:paraId="1D11307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vert="horz" wrap="square" anchor="t" anchorCtr="0" upright="1"/>
                    </wps:wsp>
                  </a:graphicData>
                </a:graphic>
              </wp:anchor>
            </w:drawing>
          </mc:Choice>
          <mc:Fallback>
            <w:pict>
              <v:shape id="文本框 243" o:spid="_x0000_s1026" o:spt="202" type="#_x0000_t202" style="position:absolute;left:0pt;margin-left:-9pt;margin-top:20.3pt;height:32.1pt;width:68.8pt;z-index:25190400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eyRCNYAAAAKAQAADwAAAAAAAAABACAAAAAi&#10;AAAAZHJzL2Rvd25yZXYueG1sUEsBAhQAFAAAAAgAh07iQK7vSR7TAQAAkgMAAA4AAAAAAAAAAQAg&#10;AAAAJQEAAGRycy9lMm9Eb2MueG1sUEsFBgAAAAAGAAYAWQEAAGoFAAAAAA==&#10;">
                <v:fill on="f" focussize="0,0"/>
                <v:stroke on="f"/>
                <v:imagedata o:title=""/>
                <o:lock v:ext="edit" aspectratio="f"/>
                <v:textbox>
                  <w:txbxContent>
                    <w:p w14:paraId="1D11307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58.3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DC991C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经监理工程师按照第58.2 款规定核查合同工程已具备竣工验收条件的，发包人应在收到监理工程师书面提请后的28天内，根据合同约定的竣工验收标准和施工设计图纸等文件，按照第19.5款规定组织参加验收各方完成合同工程验收，并在竣工验收后14天内予以确认或提出修改意见。</w:t>
      </w:r>
    </w:p>
    <w:p w14:paraId="79756FF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竣工验收完成后，承包人应及时向发包人提交竣工验收记录。竣工验收合格的，发包人及参加验收各方应及时在竣工验收记录上签字，并由监理工程师会同参加验收各方形成合同工程竣工验收报告。</w:t>
      </w:r>
    </w:p>
    <w:p w14:paraId="250A4DF8">
      <w:pPr>
        <w:adjustRightInd w:val="0"/>
        <w:snapToGrid w:val="0"/>
        <w:spacing w:line="420" w:lineRule="exact"/>
        <w:ind w:left="1491" w:leftChars="1" w:hanging="1489" w:hangingChars="674"/>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58.4</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5B61E4D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241" name="文本框 244"/>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a:effectLst/>
                      </wps:spPr>
                      <wps:txbx>
                        <w:txbxContent>
                          <w:p w14:paraId="23B791F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vert="horz" wrap="square" anchor="t" anchorCtr="0" upright="1"/>
                    </wps:wsp>
                  </a:graphicData>
                </a:graphic>
              </wp:anchor>
            </w:drawing>
          </mc:Choice>
          <mc:Fallback>
            <w:pict>
              <v:shape id="文本框 244" o:spid="_x0000_s1026" o:spt="202" type="#_x0000_t202" style="position:absolute;left:0pt;margin-left:-9pt;margin-top:1.55pt;height:35.55pt;width:68.8pt;z-index:251905024;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tYrt1gAAAAgBAAAPAAAAAAAAAAEAIAAAACIA&#10;AABkcnMvZG93bnJldi54bWxQSwECFAAUAAAACACHTuJABDzq8tIBAACSAwAADgAAAAAAAAABACAA&#10;AAAlAQAAZHJzL2Uyb0RvYy54bWxQSwUGAAAAAAYABgBZAQAAaQUAAAAA&#10;">
                <v:fill on="f" focussize="0,0"/>
                <v:stroke on="f"/>
                <v:imagedata o:title=""/>
                <o:lock v:ext="edit" aspectratio="f"/>
                <v:textbox>
                  <w:txbxContent>
                    <w:p w14:paraId="23B791F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发包人未按照第58.3款规定完成合同工程验收，或验收后14天内未予确认也未提出修改意见，视为承包人提交的竣工验收申请报告已被认可。</w:t>
      </w:r>
    </w:p>
    <w:p w14:paraId="5CBCF4B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竣工验收申请报告被认可，则表明已完成合同工程，视为竣工验收合格，但由于不可抗力事件致使发包人不能完成验收的除外。</w:t>
      </w:r>
    </w:p>
    <w:p w14:paraId="70C5FF2D">
      <w:pPr>
        <w:tabs>
          <w:tab w:val="left" w:pos="1620"/>
        </w:tabs>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58.5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5A54EC4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242" name="文本框 2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2AD66EB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vert="horz" wrap="square" anchor="t" anchorCtr="0" upright="1"/>
                    </wps:wsp>
                  </a:graphicData>
                </a:graphic>
              </wp:anchor>
            </w:drawing>
          </mc:Choice>
          <mc:Fallback>
            <w:pict>
              <v:shape id="文本框 245" o:spid="_x0000_s1026" o:spt="202" type="#_x0000_t202" style="position:absolute;left:0pt;margin-left:-9pt;margin-top:1.55pt;height:31.2pt;width:72pt;z-index:251906048;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ar/k3VAAAACAEAAA8AAAAAAAAAAQAgAAAAIgAA&#10;AGRycy9kb3ducmV2LnhtbFBLAQIUABQAAAAIAIdO4kCOi+lk0gEAAJIDAAAOAAAAAAAAAAEAIAAA&#10;ACQBAABkcnMvZTJvRG9jLnhtbFBLBQYAAAAABgAGAFkBAABoBQAAAAA=&#10;">
                <v:fill on="f" focussize="0,0"/>
                <v:stroke on="f"/>
                <v:imagedata o:title=""/>
                <o:lock v:ext="edit" aspectratio="f"/>
                <v:textbox>
                  <w:txbxContent>
                    <w:p w14:paraId="2AD66EB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发包人未按照第58.3款规定完成合同工程验收，从收到监理工程师书面提请后的第29天起承担合同工程照管责任和其他一切意外责任。</w:t>
      </w:r>
    </w:p>
    <w:p w14:paraId="63DE0193">
      <w:pPr>
        <w:tabs>
          <w:tab w:val="left" w:pos="1620"/>
        </w:tabs>
        <w:adjustRightInd w:val="0"/>
        <w:snapToGrid w:val="0"/>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58.6</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30555B6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竣工</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3" name="文本框 246"/>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a:effectLst/>
                      </wps:spPr>
                      <wps:txbx>
                        <w:txbxContent>
                          <w:p w14:paraId="1820BE0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wps:txbx>
                      <wps:bodyPr vert="horz" wrap="square" anchor="t" anchorCtr="0" upright="1"/>
                    </wps:wsp>
                  </a:graphicData>
                </a:graphic>
              </wp:anchor>
            </w:drawing>
          </mc:Choice>
          <mc:Fallback>
            <w:pict>
              <v:shape id="文本框 246"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4CQv9QAAAAHAQAADwAAAAAAAAABACAAAAAiAAAA&#10;ZHJzL2Rvd25yZXYueG1sUEsBAhQAFAAAAAgAh07iQEkcwAXSAQAAkgMAAA4AAAAAAAAAAQAgAAAA&#10;IwEAAGRycy9lMm9Eb2MueG1sUEsFBgAAAAAGAAYAWQEAAGcFAAAAAA==&#10;">
                <v:fill on="f" focussize="0,0"/>
                <v:stroke on="f"/>
                <v:imagedata o:title=""/>
                <o:lock v:ext="edit" aspectratio="f"/>
                <v:textbox>
                  <w:txbxContent>
                    <w:p w14:paraId="1820BE0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验收合格的，发包人应接收工程，并在收到承包人提交的竣工验收申请报告后的56天内向承包人颁发工程接收证书。</w:t>
      </w:r>
    </w:p>
    <w:p w14:paraId="008EE5E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竣工验收后，发包人同意接收工程但提出限期整修和完善要求的，发包人应缓发工程接收证书。承包人整修和完善工作完成后，监理工程师核查达到要求的，发包人应向承包人颁发工程接收证书。</w:t>
      </w:r>
    </w:p>
    <w:p w14:paraId="501268D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2998B3D7">
      <w:pPr>
        <w:tabs>
          <w:tab w:val="left" w:pos="1620"/>
        </w:tabs>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58.7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3B23F00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4" name="文本框 247"/>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a:effectLst/>
                      </wps:spPr>
                      <wps:txbx>
                        <w:txbxContent>
                          <w:p w14:paraId="03AD9E43">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竣工日期的写明</w:t>
                            </w:r>
                          </w:p>
                        </w:txbxContent>
                      </wps:txbx>
                      <wps:bodyPr vert="horz" wrap="square" anchor="t" anchorCtr="0" upright="1"/>
                    </wps:wsp>
                  </a:graphicData>
                </a:graphic>
              </wp:anchor>
            </w:drawing>
          </mc:Choice>
          <mc:Fallback>
            <w:pict>
              <v:shape id="文本框 247" o:spid="_x0000_s1026" o:spt="202" type="#_x0000_t202" style="position:absolute;left:0pt;margin-left:-9pt;margin-top:0.35pt;height:31.15pt;width:72pt;z-index:251908096;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4CQv9QAAAAHAQAADwAAAAAAAAABACAAAAAiAAAA&#10;ZHJzL2Rvd25yZXYueG1sUEsBAhQAFAAAAAgAh07iQHXHAyzSAQAAkgMAAA4AAAAAAAAAAQAgAAAA&#10;IwEAAGRycy9lMm9Eb2MueG1sUEsFBgAAAAAGAAYAWQEAAGcFAAAAAA==&#10;">
                <v:fill on="f" focussize="0,0"/>
                <v:stroke on="f"/>
                <v:imagedata o:title=""/>
                <o:lock v:ext="edit" aspectratio="f"/>
                <v:textbox>
                  <w:txbxContent>
                    <w:p w14:paraId="03AD9E43">
                      <w:pPr>
                        <w:spacing w:line="240" w:lineRule="exact"/>
                        <w:rPr>
                          <w:rFonts w:ascii="宋体" w:hAnsi="Calibri" w:eastAsia="宋体" w:cs="Times New Roman"/>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竣工验收合格的合同工程，发包人应按照第38.2款规定在工程接收证书上写明合同工程的实际竣工日期。</w:t>
      </w:r>
    </w:p>
    <w:p w14:paraId="1516521E">
      <w:pPr>
        <w:tabs>
          <w:tab w:val="left" w:pos="1620"/>
        </w:tabs>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58.8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2CDF75C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245" name="文本框 248"/>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a:effectLst/>
                      </wps:spPr>
                      <wps:txbx>
                        <w:txbxContent>
                          <w:p w14:paraId="33015B4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vert="horz" wrap="square" anchor="t" anchorCtr="0" upright="1"/>
                    </wps:wsp>
                  </a:graphicData>
                </a:graphic>
              </wp:anchor>
            </w:drawing>
          </mc:Choice>
          <mc:Fallback>
            <w:pict>
              <v:shape id="文本框 248" o:spid="_x0000_s1026" o:spt="202" type="#_x0000_t202" style="position:absolute;left:0pt;margin-left:-9pt;margin-top:0.35pt;height:98.65pt;width:72pt;z-index:251909120;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6P3KzVAAAACAEAAA8AAAAAAAAAAQAgAAAAIgAA&#10;AGRycy9kb3ducmV2LnhtbFBLAQIUABQAAAAIAIdO4kBlTTV/0gEAAJMDAAAOAAAAAAAAAAEAIAAA&#10;ACQBAABkcnMvZTJvRG9jLnhtbFBLBQYAAAAABgAGAFkBAABoBQAAAAA=&#10;">
                <v:fill on="f" focussize="0,0"/>
                <v:stroke on="f"/>
                <v:imagedata o:title=""/>
                <o:lock v:ext="edit" aspectratio="f"/>
                <v:textbox>
                  <w:txbxContent>
                    <w:p w14:paraId="33015B4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发包人要求某一单位工程或任一工程部位提前办理竣工验收的，应与承包人签订单位工程或工程部位竣工验收协议，作为本合同的附件。</w:t>
      </w:r>
    </w:p>
    <w:p w14:paraId="1A4C310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发包人根据合同进度计划安排，在全部工程竣工前需要使用已经竣工的单位工程或工程部位时，或承包人提出经发包人同意时，可进行单位工程或工程部位验收。验收的程序可参照第57条和本条上述相关条款规定进行。验收合格后，发包人应向承包人颁发单位工程或工程部位接收证书，并负责照管。单位工程或工程部位的验收成果和结论，作为全部工程竣工验收申请报告的附件。</w:t>
      </w:r>
    </w:p>
    <w:p w14:paraId="6558BA2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（2）发包人在全部工程竣工前，使用已接收的单位工程或工程部位导致承包人费用增加的，发包人应承担由此增加的费用和（或）延误的工期，并向承包人支付合理利润。</w:t>
      </w:r>
    </w:p>
    <w:p w14:paraId="7DB0E5FB">
      <w:pPr>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58.9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702041F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6" name="文本框 249"/>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a:effectLst/>
                      </wps:spPr>
                      <wps:txbx>
                        <w:txbxContent>
                          <w:p w14:paraId="387DCA52">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wps:txbx>
                      <wps:bodyPr vert="horz" wrap="square" anchor="t" anchorCtr="0" upright="1"/>
                    </wps:wsp>
                  </a:graphicData>
                </a:graphic>
              </wp:anchor>
            </w:drawing>
          </mc:Choice>
          <mc:Fallback>
            <w:pict>
              <v:shape id="文本框 249"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fQKfvUAAAABwEAAA8AAAAAAAAAAQAgAAAAIgAA&#10;AGRycy9kb3ducmV2LnhtbFBLAQIUABQAAAAIAIdO4kDkpeSV0wEAAJIDAAAOAAAAAAAAAAEAIAAA&#10;ACMBAABkcnMvZTJvRG9jLnhtbFBLBQYAAAAABgAGAFkBAABoBQAAAAA=&#10;">
                <v:fill on="f" focussize="0,0"/>
                <v:stroke on="f"/>
                <v:imagedata o:title=""/>
                <o:lock v:ext="edit" aspectratio="f"/>
                <v:textbox>
                  <w:txbxContent>
                    <w:p w14:paraId="387DCA52">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合同工程尚未全部竣工（其中某项或某几项单位工程或工程部位已竣工），根据合同约定需要在施工期运行的，应由发包人按照第58.8款规定验收合格，并确保安全后，才能投入施工期运行。</w:t>
      </w:r>
    </w:p>
    <w:p w14:paraId="0B7126A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在施工期运行中，发现单位工程或工程部位存在缺陷或损坏的，由承包人按照第59.3款规定进行修复。</w:t>
      </w:r>
    </w:p>
    <w:p w14:paraId="129A6C25">
      <w:pPr>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58.10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61CDDC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7" name="文本框 25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a:effectLst/>
                      </wps:spPr>
                      <wps:txbx>
                        <w:txbxContent>
                          <w:p w14:paraId="4783FA2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wps:txbx>
                      <wps:bodyPr vert="horz" wrap="square" anchor="t" anchorCtr="0" upright="1"/>
                    </wps:wsp>
                  </a:graphicData>
                </a:graphic>
              </wp:anchor>
            </w:drawing>
          </mc:Choice>
          <mc:Fallback>
            <w:pict>
              <v:shape id="文本框 250"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9Ap+9QAAAAHAQAADwAAAAAAAAABACAAAAAiAAAA&#10;ZHJzL2Rvd25yZXYueG1sUEsBAhQAFAAAAAgAh07iQBBTBtXSAQAAkgMAAA4AAAAAAAAAAQAgAAAA&#10;IwEAAGRycy9lMm9Eb2MueG1sUEsFBgAAAAAGAAYAWQEAAGcFAAAAAA==&#10;">
                <v:fill on="f" focussize="0,0"/>
                <v:stroke on="f"/>
                <v:imagedata o:title=""/>
                <o:lock v:ext="edit" aspectratio="f"/>
                <v:textbox>
                  <w:txbxContent>
                    <w:p w14:paraId="4783FA2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专用条款没有约定的，工程接收证书颁发后，承包人应按照下列要求对施工场地进行清理，直至监理工程师检验合格为止。竣工清场费用由承包人承担。</w:t>
      </w:r>
    </w:p>
    <w:p w14:paraId="31CDB91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（1）施工场地内残留的垃圾已全部清除出场；</w:t>
      </w:r>
    </w:p>
    <w:p w14:paraId="3DEEA0D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（2）临时设施已拆除，场地已按照合同要求进行清理、平整或复原；</w:t>
      </w:r>
    </w:p>
    <w:p w14:paraId="3DEBD1C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（3）按照合同约定应撤离的承包人设备和剩余的材料，包括废弃的施</w:t>
      </w:r>
    </w:p>
    <w:p w14:paraId="658FF5E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工设备和材料，已按照计划撤离施工场地；</w:t>
      </w:r>
    </w:p>
    <w:p w14:paraId="3369338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（4）建筑物周边及其附近道路、河道的施工堆积物，已按照监理工程</w:t>
      </w:r>
    </w:p>
    <w:p w14:paraId="5B534D7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师指令全部清理；</w:t>
      </w:r>
    </w:p>
    <w:p w14:paraId="0903F64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（5）监理工程师指令的其他场地清理工作已全部完成。</w:t>
      </w:r>
    </w:p>
    <w:p w14:paraId="1C3ABDD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如承包人未按照监理工程师的要求恢复临时占地，或者场地清理未达到合同约定的，发包人可自行或委托第三方恢复或清理，所发生的费用从应支付或将支付给承包人的款项中扣除。</w:t>
      </w:r>
    </w:p>
    <w:p w14:paraId="54D95FC7">
      <w:pPr>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58.11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4C42E6E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8" name="文本框 251"/>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a:effectLst/>
                      </wps:spPr>
                      <wps:txbx>
                        <w:txbxContent>
                          <w:p w14:paraId="6600825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vert="horz" wrap="square" anchor="t" anchorCtr="0" upright="1"/>
                    </wps:wsp>
                  </a:graphicData>
                </a:graphic>
              </wp:anchor>
            </w:drawing>
          </mc:Choice>
          <mc:Fallback>
            <w:pict>
              <v:shape id="文本框 251" o:spid="_x0000_s1026" o:spt="202" type="#_x0000_t202" style="position:absolute;left:0pt;margin-left:-9pt;margin-top:0.3pt;height:46.5pt;width:72pt;z-index:251912192;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fQKfvUAAAABwEAAA8AAAAAAAAAAQAgAAAAIgAA&#10;AGRycy9kb3ducmV2LnhtbFBLAQIUABQAAAAIAIdO4kBRHMhn0wEAAJIDAAAOAAAAAAAAAAEAIAAA&#10;ACMBAABkcnMvZTJvRG9jLnhtbFBLBQYAAAAABgAGAFkBAABoBQAAAAA=&#10;">
                <v:fill on="f" focussize="0,0"/>
                <v:stroke on="f"/>
                <v:imagedata o:title=""/>
                <o:lock v:ext="edit" aspectratio="f"/>
                <v:textbox>
                  <w:txbxContent>
                    <w:p w14:paraId="6600825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0C1777D9">
      <w:pPr>
        <w:tabs>
          <w:tab w:val="left" w:pos="1620"/>
        </w:tabs>
        <w:adjustRightInd w:val="0"/>
        <w:snapToGrid w:val="0"/>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913216"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249" name="文本框 252"/>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a:effectLst/>
                      </wps:spPr>
                      <wps:txbx>
                        <w:txbxContent>
                          <w:p w14:paraId="27A7DB8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vert="horz" wrap="square" anchor="t" anchorCtr="0" upright="1"/>
                    </wps:wsp>
                  </a:graphicData>
                </a:graphic>
              </wp:anchor>
            </w:drawing>
          </mc:Choice>
          <mc:Fallback>
            <w:pict>
              <v:shape id="文本框 252" o:spid="_x0000_s1026" o:spt="202" type="#_x0000_t202" style="position:absolute;left:0pt;margin-left:-5.25pt;margin-top:23.55pt;height:46.55pt;width:72pt;z-index:251913216;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acUR1wAAAAoBAAAPAAAAAAAAAAEAIAAAACIA&#10;AABkcnMvZG93bnJldi54bWxQSwECFAAUAAAACACHTuJA0Vf579EBAACSAwAADgAAAAAAAAABACAA&#10;AAAmAQAAZHJzL2Uyb0RvYy54bWxQSwUGAAAAAAYABgBZAQAAaQUAAAAA&#10;">
                <v:fill on="f" focussize="0,0"/>
                <v:stroke on="f"/>
                <v:imagedata o:title=""/>
                <o:lock v:ext="edit" aspectratio="f"/>
                <v:textbox>
                  <w:txbxContent>
                    <w:p w14:paraId="27A7DB8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58.12</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4BB9DADB">
      <w:pPr>
        <w:widowControl w:val="0"/>
        <w:adjustRightInd w:val="0"/>
        <w:snapToGrid w:val="0"/>
        <w:spacing w:line="420" w:lineRule="exact"/>
        <w:ind w:left="1619" w:leftChars="771"/>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合同工程未经竣工验收或竣工验收不合格的，发包人不得使用。发包人强行使用的，由此发生的质量问题及其他问题，由发包人承担责任。</w:t>
      </w:r>
    </w:p>
    <w:p w14:paraId="6455E0D7">
      <w:pPr>
        <w:tabs>
          <w:tab w:val="left" w:pos="1620"/>
        </w:tabs>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58.13</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480DB4C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250" name="文本框 253"/>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a:effectLst/>
                      </wps:spPr>
                      <wps:txbx>
                        <w:txbxContent>
                          <w:p w14:paraId="3DD4A09E">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工程竣工质量争议的责任</w:t>
                            </w:r>
                          </w:p>
                        </w:txbxContent>
                      </wps:txbx>
                      <wps:bodyPr vert="horz" wrap="square" anchor="t" anchorCtr="0" upright="1"/>
                    </wps:wsp>
                  </a:graphicData>
                </a:graphic>
              </wp:anchor>
            </w:drawing>
          </mc:Choice>
          <mc:Fallback>
            <w:pict>
              <v:shape id="文本框 253" o:spid="_x0000_s1026" o:spt="202" type="#_x0000_t202" style="position:absolute;left:0pt;margin-left:-9pt;margin-top:1.05pt;height:32pt;width:72pt;z-index:251914240;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H8z4vVAAAACAEAAA8AAAAAAAAAAQAgAAAAIgAAAGRy&#10;cy9kb3ducmV2LnhtbFBLAQIUABQAAAAIAIdO4kDQyd5QzwEAAJIDAAAOAAAAAAAAAAEAIAAAACQB&#10;AABkcnMvZTJvRG9jLnhtbFBLBQYAAAAABgAGAFkBAABlBQAAAAA=&#10;">
                <v:fill on="f" focussize="0,0"/>
                <v:stroke on="f"/>
                <v:imagedata o:title=""/>
                <o:lock v:ext="edit" aspectratio="f"/>
                <v:textbox>
                  <w:txbxContent>
                    <w:p w14:paraId="3DD4A09E">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工程竣工质量争议的责任</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合同工程竣工验收时发生工程质量争议，经第86.4款规定调解或认定工程质量符合合同要求的，由发包人承担由此增加的费用和（或）延误的工期。</w:t>
      </w:r>
    </w:p>
    <w:p w14:paraId="3548998C">
      <w:pPr>
        <w:adjustRightInd w:val="0"/>
        <w:snapToGrid w:val="0"/>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6C57447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59  缺陷责任与质量保修</w:t>
      </w:r>
    </w:p>
    <w:p w14:paraId="0C18DB30">
      <w:pPr>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1" name="文本框 254"/>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0C6DA19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582E7ACD">
                            <w:pPr>
                              <w:spacing w:line="240" w:lineRule="exact"/>
                              <w:rPr>
                                <w:rFonts w:ascii="宋体" w:hAnsi="Times New Roman" w:eastAsia="宋体" w:cs="Times New Roman"/>
                                <w:sz w:val="18"/>
                                <w:szCs w:val="18"/>
                              </w:rPr>
                            </w:pPr>
                            <w:r>
                              <w:rPr>
                                <w:rFonts w:hint="eastAsia" w:ascii="楷体_GB2312" w:hAnsi="宋体" w:eastAsia="楷体_GB2312" w:cs="楷体_GB2312"/>
                                <w:b/>
                                <w:bCs/>
                                <w:color w:val="000000"/>
                                <w:sz w:val="18"/>
                                <w:szCs w:val="18"/>
                              </w:rPr>
                              <w:t>计算</w:t>
                            </w:r>
                          </w:p>
                        </w:txbxContent>
                      </wps:txbx>
                      <wps:bodyPr vert="horz" wrap="square" anchor="t" anchorCtr="0" upright="1"/>
                    </wps:wsp>
                  </a:graphicData>
                </a:graphic>
              </wp:anchor>
            </w:drawing>
          </mc:Choice>
          <mc:Fallback>
            <w:pict>
              <v:shape id="文本框 254"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xZv6d2AAAAAoBAAAPAAAAAAAAAAEAIAAA&#10;ACIAAABkcnMvZG93bnJldi54bWxQSwECFAAUAAAACACHTuJAr/9bpdMBAACSAwAADgAAAAAAAAAB&#10;ACAAAAAnAQAAZHJzL2Uyb0RvYy54bWxQSwUGAAAAAAYABgBZAQAAbAUAAAAA&#10;">
                <v:fill on="f" focussize="0,0"/>
                <v:stroke on="f"/>
                <v:imagedata o:title=""/>
                <o:lock v:ext="edit" aspectratio="f"/>
                <v:textbox>
                  <w:txbxContent>
                    <w:p w14:paraId="0C6DA19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582E7ACD">
                      <w:pPr>
                        <w:spacing w:line="240" w:lineRule="exact"/>
                        <w:rPr>
                          <w:rFonts w:ascii="宋体" w:hAnsi="Times New Roman" w:eastAsia="宋体" w:cs="Times New Roman"/>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59.1  </w:t>
      </w:r>
    </w:p>
    <w:p w14:paraId="18F8D79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合同双方当事人应在专用条款中约定缺陷责任期。</w:t>
      </w:r>
    </w:p>
    <w:p w14:paraId="6F126B7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缺陷责任期自实际竣工之日起计算。在全部工程竣工验收前，已经发包人提前验收的单位工程，其缺陷责任期的起算日期相应提前。</w:t>
      </w:r>
    </w:p>
    <w:p w14:paraId="6AC5A304">
      <w:pPr>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2" name="文本框 25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1EF5D4D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3CCB481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wps:txbx>
                      <wps:bodyPr vert="horz" wrap="square" anchor="t" anchorCtr="0" upright="1"/>
                    </wps:wsp>
                  </a:graphicData>
                </a:graphic>
              </wp:anchor>
            </w:drawing>
          </mc:Choice>
          <mc:Fallback>
            <w:pict>
              <v:shape id="文本框 255"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xZv6d2AAAAAoBAAAPAAAAAAAAAAEAIAAA&#10;ACIAAABkcnMvZG93bnJldi54bWxQSwECFAAUAAAACACHTuJAjW2mLNMBAACSAwAADgAAAAAAAAAB&#10;ACAAAAAnAQAAZHJzL2Uyb0RvYy54bWxQSwUGAAAAAAYABgBZAQAAbAUAAAAA&#10;">
                <v:fill on="f" focussize="0,0"/>
                <v:stroke on="f"/>
                <v:imagedata o:title=""/>
                <o:lock v:ext="edit" aspectratio="f"/>
                <v:textbox>
                  <w:txbxContent>
                    <w:p w14:paraId="1EF5D4D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3CCB481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59.2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2BD94D7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由于承包人原因造成某项缺陷或损坏使某项工程或工程设备不能按照原定目标使用而需要再次检查、检验和修复的，发包人有权要求承包人相应延长缺陷责任期，但缺陷责任期最长不超过2年。</w:t>
      </w:r>
    </w:p>
    <w:p w14:paraId="0E66AE44">
      <w:pPr>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3" name="文本框 25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35975E1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wps:txbx>
                      <wps:bodyPr vert="horz" wrap="square" anchor="t" anchorCtr="0" upright="1"/>
                    </wps:wsp>
                  </a:graphicData>
                </a:graphic>
              </wp:anchor>
            </w:drawing>
          </mc:Choice>
          <mc:Fallback>
            <w:pict>
              <v:shape id="文本框 256"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xZv6d2AAAAAoBAAAPAAAAAAAAAAEAIAAA&#10;ACIAAABkcnMvZG93bnJldi54bWxQSwECFAAUAAAACACHTuJAtJTvzdMBAACSAwAADgAAAAAAAAAB&#10;ACAAAAAnAQAAZHJzL2Uyb0RvYy54bWxQSwUGAAAAAAYABgBZAQAAbAUAAAAA&#10;">
                <v:fill on="f" focussize="0,0"/>
                <v:stroke on="f"/>
                <v:imagedata o:title=""/>
                <o:lock v:ext="edit" aspectratio="f"/>
                <v:textbox>
                  <w:txbxContent>
                    <w:p w14:paraId="35975E1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59.3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2440793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合同工程存在某项缺陷或损坏的，合同双方当事人应按照下列规定承担缺陷责任以及由此产生的费用。</w:t>
      </w:r>
    </w:p>
    <w:p w14:paraId="3539B38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（1）承包人应在缺陷责任期内对已交付使用的工程承担缺陷责任。</w:t>
      </w:r>
    </w:p>
    <w:p w14:paraId="5502BA1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14:paraId="500EEB6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14:paraId="0214AA10">
      <w:pPr>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4" name="文本框 25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3918743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wps:txbx>
                      <wps:bodyPr vert="horz" wrap="square" anchor="t" anchorCtr="0" upright="1"/>
                    </wps:wsp>
                  </a:graphicData>
                </a:graphic>
              </wp:anchor>
            </w:drawing>
          </mc:Choice>
          <mc:Fallback>
            <w:pict>
              <v:shape id="文本框 257"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xZv6d2AAAAAoBAAAPAAAAAAAAAAEAIAAA&#10;ACIAAABkcnMvZG93bnJldi54bWxQSwECFAAUAAAACACHTuJAiE8s5NMBAACSAwAADgAAAAAAAAAB&#10;ACAAAAAnAQAAZHJzL2Uyb0RvYy54bWxQSwUGAAAAAAYABgBZAQAAbAUAAAAA&#10;">
                <v:fill on="f" focussize="0,0"/>
                <v:stroke on="f"/>
                <v:imagedata o:title=""/>
                <o:lock v:ext="edit" aspectratio="f"/>
                <v:textbox>
                  <w:txbxContent>
                    <w:p w14:paraId="3918743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59.4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2FCBBE3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任何一项缺陷或损坏修复后，经检查证明其影响了工程或工程设备的使用性能，承包人应按照第54条规定重新检（试）验，重新检（试）验的费用由责任方承担。</w:t>
      </w:r>
    </w:p>
    <w:p w14:paraId="7E65140F">
      <w:pPr>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5" name="文本框 25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153BECD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vert="horz" wrap="square" anchor="t" anchorCtr="0" upright="1"/>
                    </wps:wsp>
                  </a:graphicData>
                </a:graphic>
              </wp:anchor>
            </w:drawing>
          </mc:Choice>
          <mc:Fallback>
            <w:pict>
              <v:shape id="文本框 258"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xZv6d2AAAAAoBAAAPAAAAAAAAAAEAIAAA&#10;ACIAAABkcnMvZG93bnJldi54bWxQSwECFAAUAAAACACHTuJAyReeltMBAACSAwAADgAAAAAAAAAB&#10;ACAAAAAnAQAAZHJzL2Uyb0RvYy54bWxQSwUGAAAAAAYABgBZAQAAbAUAAAAA&#10;">
                <v:fill on="f" focussize="0,0"/>
                <v:stroke on="f"/>
                <v:imagedata o:title=""/>
                <o:lock v:ext="edit" aspectratio="f"/>
                <v:textbox>
                  <w:txbxContent>
                    <w:p w14:paraId="153BECD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59.5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4F80ACA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缺陷责任期内承包人为缺陷修复工作需要，有权进入工程现场，但应遵守发包人的保安和保密等规定。</w:t>
      </w:r>
    </w:p>
    <w:p w14:paraId="759D7EF9">
      <w:pPr>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6" name="文本框 25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40A6626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vert="horz" wrap="square" anchor="t" anchorCtr="0" upright="1"/>
                    </wps:wsp>
                  </a:graphicData>
                </a:graphic>
              </wp:anchor>
            </w:drawing>
          </mc:Choice>
          <mc:Fallback>
            <w:pict>
              <v:shape id="文本框 259"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xZv6d2AAAAAoBAAAPAAAAAAAAAAEAIAAA&#10;ACIAAABkcnMvZG93bnJldi54bWxQSwECFAAUAAAACACHTuJA64VjH9MBAACSAwAADgAAAAAAAAAB&#10;ACAAAAAnAQAAZHJzL2Uyb0RvYy54bWxQSwUGAAAAAAYABgBZAQAAbAUAAAAA&#10;">
                <v:fill on="f" focussize="0,0"/>
                <v:stroke on="f"/>
                <v:imagedata o:title=""/>
                <o:lock v:ext="edit" aspectratio="f"/>
                <v:textbox>
                  <w:txbxContent>
                    <w:p w14:paraId="40A6626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59.6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4A8A716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在专用条款约定的缺陷责任期（包括第59.2款延长的期限）终止后的14天内，发包人应向承包人颁发缺陷责任期终止证书。</w:t>
      </w:r>
    </w:p>
    <w:p w14:paraId="74952516">
      <w:pPr>
        <w:adjustRightInd w:val="0"/>
        <w:snapToGrid w:val="0"/>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7" name="文本框 26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06AC76C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vert="horz" wrap="square" anchor="t" anchorCtr="0" upright="1"/>
                    </wps:wsp>
                  </a:graphicData>
                </a:graphic>
              </wp:anchor>
            </w:drawing>
          </mc:Choice>
          <mc:Fallback>
            <w:pict>
              <v:shape id="文本框 260"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Fm/p3YAAAACgEAAA8AAAAAAAAAAQAgAAAA&#10;IgAAAGRycy9kb3ducmV2LnhtbFBLAQIUABQAAAAIAIdO4kANj9uo0gEAAJIDAAAOAAAAAAAAAAEA&#10;IAAAACcBAABkcnMvZTJvRG9jLnhtbFBLBQYAAAAABgAGAFkBAABrBQAAAAA=&#10;">
                <v:fill on="f" focussize="0,0"/>
                <v:stroke on="f"/>
                <v:imagedata o:title=""/>
                <o:lock v:ext="edit" aspectratio="f"/>
                <v:textbox>
                  <w:txbxContent>
                    <w:p w14:paraId="06AC76C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59.7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05A74B9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7BECA7BA">
      <w:pPr>
        <w:adjustRightInd w:val="0"/>
        <w:snapToGrid w:val="0"/>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8" name="文本框 26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14:paraId="765F386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vert="horz" wrap="square" anchor="t" anchorCtr="0" upright="1"/>
                    </wps:wsp>
                  </a:graphicData>
                </a:graphic>
              </wp:anchor>
            </w:drawing>
          </mc:Choice>
          <mc:Fallback>
            <w:pict>
              <v:shape id="文本框 261" o:spid="_x0000_s1026" o:spt="202" type="#_x0000_t202" style="position:absolute;left:0pt;margin-left:-9pt;margin-top:22.6pt;height:33.85pt;width:76.2pt;z-index:25192243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Fm/p3YAAAACgEAAA8AAAAAAAAAAQAgAAAA&#10;IgAAAGRycy9kb3ducmV2LnhtbFBLAQIUABQAAAAIAIdO4kBMwBUa0gEAAJIDAAAOAAAAAAAAAAEA&#10;IAAAACcBAABkcnMvZTJvRG9jLnhtbFBLBQYAAAAABgAGAFkBAABrBQAAAAA=&#10;">
                <v:fill on="f" focussize="0,0"/>
                <v:stroke on="f"/>
                <v:imagedata o:title=""/>
                <o:lock v:ext="edit" aspectratio="f"/>
                <v:textbox>
                  <w:txbxContent>
                    <w:p w14:paraId="765F386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59.8 </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437A5E6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合同双方当事人应在专用条款和合同工程质量保修书中约定质量保修期。质量保修期自实际竣工之日起计算。在全部工程竣工验收前，已经发包人提前验收的单位工程，其质量保修期的起算日期相应提前。</w:t>
      </w:r>
    </w:p>
    <w:p w14:paraId="55DE64A8">
      <w:pPr>
        <w:tabs>
          <w:tab w:val="left" w:pos="360"/>
          <w:tab w:val="left" w:pos="900"/>
        </w:tabs>
        <w:adjustRightInd w:val="0"/>
        <w:snapToGrid w:val="0"/>
        <w:spacing w:line="420" w:lineRule="exact"/>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59.9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41139DD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23456"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259" name="文本框 262"/>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a:effectLst/>
                      </wps:spPr>
                      <wps:txbx>
                        <w:txbxContent>
                          <w:p w14:paraId="3552F2AB">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wps:txbx>
                      <wps:bodyPr vert="horz" wrap="square" anchor="t" anchorCtr="0" upright="1"/>
                    </wps:wsp>
                  </a:graphicData>
                </a:graphic>
              </wp:anchor>
            </w:drawing>
          </mc:Choice>
          <mc:Fallback>
            <w:pict>
              <v:shape id="文本框 262" o:spid="_x0000_s1026" o:spt="202" type="#_x0000_t202" style="position:absolute;left:0pt;margin-left:-5.8pt;margin-top:1.2pt;height:28.8pt;width:77.8pt;z-index:251923456;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WKJQ7VAAAACAEAAA8AAAAAAAAAAQAgAAAAIgAA&#10;AGRycy9kb3ducmV2LnhtbFBLAQIUABQAAAAIAIdO4kBdzRuK0gEAAJIDAAAOAAAAAAAAAAEAIAAA&#10;ACQBAABkcnMvZTJvRG9jLnhtbFBLBQYAAAAABgAGAFkBAABoBQAAAAA=&#10;">
                <v:fill on="f" focussize="0,0"/>
                <v:stroke on="f"/>
                <v:imagedata o:title=""/>
                <o:lock v:ext="edit" aspectratio="f"/>
                <v:textbox>
                  <w:txbxContent>
                    <w:p w14:paraId="3552F2AB">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4D096377">
      <w:pPr>
        <w:adjustRightInd w:val="0"/>
        <w:snapToGrid w:val="0"/>
        <w:spacing w:line="420" w:lineRule="exact"/>
        <w:rPr>
          <w:rFonts w:ascii="宋体" w:hAnsi="宋体" w:eastAsia="宋体" w:cs="宋体"/>
          <w:color w:val="000000" w:themeColor="text1"/>
          <w:sz w:val="22"/>
          <w:szCs w:val="22"/>
          <w:highlight w:val="none"/>
          <w:u w:val="dotted"/>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1924480"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260" name="文本框 263"/>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a:effectLst/>
                      </wps:spPr>
                      <wps:txbx>
                        <w:txbxContent>
                          <w:p w14:paraId="4898EE3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vert="horz" wrap="square" anchor="t" anchorCtr="0" upright="1"/>
                    </wps:wsp>
                  </a:graphicData>
                </a:graphic>
              </wp:anchor>
            </w:drawing>
          </mc:Choice>
          <mc:Fallback>
            <w:pict>
              <v:shape id="文本框 263" o:spid="_x0000_s1026" o:spt="202" type="#_x0000_t202" style="position:absolute;left:0pt;margin-left:-5.25pt;margin-top:20.4pt;height:35.6pt;width:75.55pt;z-index:251924480;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IcZnrWAAAACgEAAA8AAAAAAAAAAQAgAAAA&#10;IgAAAGRycy9kb3ducmV2LnhtbFBLAQIUABQAAAAIAIdO4kDPKbko1AEAAJIDAAAOAAAAAAAAAAEA&#10;IAAAACUBAABkcnMvZTJvRG9jLnhtbFBLBQYAAAAABgAGAFkBAABrBQAAAAA=&#10;">
                <v:fill on="f" focussize="0,0"/>
                <v:stroke on="f"/>
                <v:imagedata o:title=""/>
                <o:lock v:ext="edit" aspectratio="f"/>
                <v:textbox>
                  <w:txbxContent>
                    <w:p w14:paraId="4898EE3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hint="eastAsia" w:ascii="宋体" w:hAnsi="宋体" w:eastAsia="宋体" w:cs="宋体"/>
          <w:b/>
          <w:bCs/>
          <w:color w:val="000000" w:themeColor="text1"/>
          <w:sz w:val="22"/>
          <w:szCs w:val="22"/>
          <w:highlight w:val="none"/>
          <w14:textFill>
            <w14:solidFill>
              <w14:schemeClr w14:val="tx1"/>
            </w14:solidFill>
          </w14:textFill>
        </w:rPr>
        <w:t xml:space="preserve">59.10 </w: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eastAsia="宋体" w:cs="宋体"/>
          <w:color w:val="000000" w:themeColor="text1"/>
          <w:sz w:val="22"/>
          <w:szCs w:val="22"/>
          <w:highlight w:val="none"/>
          <w:u w:val="dotted"/>
          <w14:textFill>
            <w14:solidFill>
              <w14:schemeClr w14:val="tx1"/>
            </w14:solidFill>
          </w14:textFill>
        </w:rPr>
        <w:t xml:space="preserve">                                                                                      </w:t>
      </w:r>
    </w:p>
    <w:p w14:paraId="155D63D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承包人修复属于质量缺陷以外的费用，由责任方承担。</w:t>
      </w:r>
    </w:p>
    <w:p w14:paraId="46C1F232">
      <w:pPr>
        <w:adjustRightInd w:val="0"/>
        <w:snapToGrid w:val="0"/>
        <w:spacing w:line="420" w:lineRule="exact"/>
        <w:rPr>
          <w:rFonts w:ascii="宋体" w:hAnsi="宋体" w:eastAsia="宋体" w:cs="宋体"/>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r>
        <w:rPr>
          <w:rFonts w:hint="eastAsia" w:ascii="宋体" w:hAnsi="宋体" w:eastAsia="宋体" w:cs="宋体"/>
          <w:color w:val="000000" w:themeColor="text1"/>
          <w:sz w:val="22"/>
          <w:szCs w:val="22"/>
          <w:highlight w:val="none"/>
          <w:u w:val="single"/>
          <w14:textFill>
            <w14:solidFill>
              <w14:schemeClr w14:val="tx1"/>
            </w14:solidFill>
          </w14:textFill>
        </w:rPr>
        <w:t xml:space="preserve">     </w:t>
      </w:r>
    </w:p>
    <w:p w14:paraId="408DC361">
      <w:pPr>
        <w:tabs>
          <w:tab w:val="left" w:pos="1620"/>
        </w:tabs>
        <w:adjustRightInd w:val="0"/>
        <w:snapToGrid w:val="0"/>
        <w:spacing w:line="420" w:lineRule="exact"/>
        <w:jc w:val="center"/>
        <w:outlineLvl w:val="1"/>
        <w:rPr>
          <w:rFonts w:ascii="宋体" w:hAnsi="宋体" w:eastAsia="宋体" w:cs="宋体"/>
          <w:b/>
          <w:bCs/>
          <w:color w:val="000000" w:themeColor="text1"/>
          <w:sz w:val="22"/>
          <w:szCs w:val="22"/>
          <w:highlight w:val="none"/>
          <w14:textFill>
            <w14:solidFill>
              <w14:schemeClr w14:val="tx1"/>
            </w14:solidFill>
          </w14:textFill>
        </w:rPr>
      </w:pPr>
      <w:bookmarkStart w:id="522" w:name="_Toc11013"/>
      <w:bookmarkStart w:id="523" w:name="_Toc24575"/>
      <w:bookmarkStart w:id="524" w:name="_Toc10225"/>
      <w:r>
        <w:rPr>
          <w:rFonts w:hint="eastAsia" w:ascii="方正小标宋_GBK" w:hAnsi="方正小标宋_GBK" w:eastAsia="方正小标宋_GBK" w:cs="方正小标宋_GBK"/>
          <w:b/>
          <w:bCs/>
          <w:color w:val="000000" w:themeColor="text1"/>
          <w:sz w:val="24"/>
          <w:szCs w:val="24"/>
          <w:highlight w:val="none"/>
          <w14:textFill>
            <w14:solidFill>
              <w14:schemeClr w14:val="tx1"/>
            </w14:solidFill>
          </w14:textFill>
        </w:rPr>
        <w:t>六、造  价</w:t>
      </w:r>
      <w:bookmarkEnd w:id="522"/>
      <w:bookmarkEnd w:id="523"/>
      <w:bookmarkEnd w:id="524"/>
    </w:p>
    <w:p w14:paraId="3BAFBB5E">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60  资金计划和安排</w:t>
      </w:r>
    </w:p>
    <w:p w14:paraId="07C220E5">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60.1</w:t>
      </w:r>
    </w:p>
    <w:p w14:paraId="5C14E86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25504"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261" name="文本框 264"/>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a:effectLst/>
                      </wps:spPr>
                      <wps:txbx>
                        <w:txbxContent>
                          <w:p w14:paraId="24302FD9">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承包人提交资金需求计划书</w:t>
                            </w:r>
                          </w:p>
                        </w:txbxContent>
                      </wps:txbx>
                      <wps:bodyPr vert="horz" wrap="square" anchor="t" anchorCtr="0" upright="1"/>
                    </wps:wsp>
                  </a:graphicData>
                </a:graphic>
              </wp:anchor>
            </w:drawing>
          </mc:Choice>
          <mc:Fallback>
            <w:pict>
              <v:shape id="文本框 264" o:spid="_x0000_s1026" o:spt="202" type="#_x0000_t202" style="position:absolute;left:0pt;margin-left:-10.5pt;margin-top:5.4pt;height:34pt;width:72pt;z-index:251925504;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kL/c/WAAAACQEAAA8AAAAAAAAAAQAgAAAAIgAA&#10;AGRycy9kb3ducmV2LnhtbFBLAQIUABQAAAAIAIdO4kC1hhV70QEAAJIDAAAOAAAAAAAAAAEAIAAA&#10;ACUBAABkcnMvZTJvRG9jLnhtbFBLBQYAAAAABgAGAFkBAABoBQAAAAA=&#10;">
                <v:fill on="f" focussize="0,0"/>
                <v:stroke on="f"/>
                <v:imagedata o:title=""/>
                <o:lock v:ext="edit" aspectratio="f"/>
                <v:textbox>
                  <w:txbxContent>
                    <w:p w14:paraId="24302FD9">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承包人提交资金需求计划书</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工程进度计划被批准后，承包人应向发包人提交一份合同工程资金需求计划书；工程进度计划更新后，承包人应及时向发包人提交一份更新后的工程资金需求计划书。</w:t>
      </w:r>
    </w:p>
    <w:p w14:paraId="690A1541">
      <w:pPr>
        <w:widowControl w:val="0"/>
        <w:adjustRightInd w:val="0"/>
        <w:snapToGrid w:val="0"/>
        <w:spacing w:line="420" w:lineRule="exact"/>
        <w:ind w:left="1484" w:leftChars="1" w:hanging="1482" w:hangingChars="671"/>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60.2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D19445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262" name="文本框 265"/>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a:effectLst/>
                      </wps:spPr>
                      <wps:txbx>
                        <w:txbxContent>
                          <w:p w14:paraId="7F6840BD">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发包人提供资金安排证据</w:t>
                            </w:r>
                          </w:p>
                        </w:txbxContent>
                      </wps:txbx>
                      <wps:bodyPr vert="horz" wrap="square" anchor="t" anchorCtr="0" upright="1"/>
                    </wps:wsp>
                  </a:graphicData>
                </a:graphic>
              </wp:anchor>
            </w:drawing>
          </mc:Choice>
          <mc:Fallback>
            <w:pict>
              <v:shape id="文本框 265" o:spid="_x0000_s1026" o:spt="202" type="#_x0000_t202" style="position:absolute;left:0pt;margin-left:-9pt;margin-top:2.7pt;height:36.6pt;width:72pt;z-index:251926528;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5awd7VAAAACAEAAA8AAAAAAAAAAQAgAAAAIgAA&#10;AGRycy9kb3ducmV2LnhtbFBLAQIUABQAAAAIAIdO4kCUP//i0gEAAJIDAAAOAAAAAAAAAAEAIAAA&#10;ACQBAABkcnMvZTJvRG9jLnhtbFBLBQYAAAAABgAGAFkBAABoBQAAAAA=&#10;">
                <v:fill on="f" focussize="0,0"/>
                <v:stroke on="f"/>
                <v:imagedata o:title=""/>
                <o:lock v:ext="edit" aspectratio="f"/>
                <v:textbox>
                  <w:txbxContent>
                    <w:p w14:paraId="7F6840BD">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发包人提供资金安排证据</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在收到承包人提交的工程资金需求计划书后28天内，应根据合同约定提供已做出资金安排的合理证据，表明自己有能力按照第78条规定支付合同价款。如果发包人对资金安排作出任何变更时，应及时将变更的详情通知承包人。</w:t>
      </w:r>
    </w:p>
    <w:p w14:paraId="26F9AD0D">
      <w:pPr>
        <w:widowControl w:val="0"/>
        <w:tabs>
          <w:tab w:val="left" w:pos="1800"/>
        </w:tabs>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560AD1B4">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★61  工程量</w:t>
      </w:r>
    </w:p>
    <w:p w14:paraId="253816E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61.1</w:t>
      </w:r>
    </w:p>
    <w:p w14:paraId="4B52F0C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除专用条款另有约定外，</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263" name="文本框 266"/>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a:effectLst/>
                      </wps:spPr>
                      <wps:txbx>
                        <w:txbxContent>
                          <w:p w14:paraId="2421B8BB">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清单工程量包括的工作内容</w:t>
                            </w:r>
                          </w:p>
                        </w:txbxContent>
                      </wps:txbx>
                      <wps:bodyPr vert="horz" wrap="square" anchor="t" anchorCtr="0" upright="1"/>
                    </wps:wsp>
                  </a:graphicData>
                </a:graphic>
              </wp:anchor>
            </w:drawing>
          </mc:Choice>
          <mc:Fallback>
            <w:pict>
              <v:shape id="文本框 266" o:spid="_x0000_s1026" o:spt="202" type="#_x0000_t202" style="position:absolute;left:0pt;margin-left:-9pt;margin-top:0.9pt;height:37.5pt;width:72pt;z-index:251927552;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bjnddQAAAAIAQAADwAAAAAAAAABACAAAAAiAAAA&#10;ZHJzL2Rvd25yZXYueG1sUEsBAhQAFAAAAAgAh07iQNYTCizSAQAAkgMAAA4AAAAAAAAAAQAgAAAA&#10;IwEAAGRycy9lMm9Eb2MueG1sUEsFBgAAAAAGAAYAWQEAAGcFAAAAAA==&#10;">
                <v:fill on="f" focussize="0,0"/>
                <v:stroke on="f"/>
                <v:imagedata o:title=""/>
                <o:lock v:ext="edit" aspectratio="f"/>
                <v:textbox>
                  <w:txbxContent>
                    <w:p w14:paraId="2421B8BB">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清单工程量包括的工作内容</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72条规定确定合同价款的增加额。</w:t>
      </w:r>
    </w:p>
    <w:p w14:paraId="589C944A">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61.2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C7591A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264" name="文本框 267"/>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a:effectLst/>
                      </wps:spPr>
                      <wps:txbx>
                        <w:txbxContent>
                          <w:p w14:paraId="30712B86">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清单的工程量</w:t>
                            </w:r>
                          </w:p>
                        </w:txbxContent>
                      </wps:txbx>
                      <wps:bodyPr vert="horz" wrap="square" anchor="t" anchorCtr="0" upright="1"/>
                    </wps:wsp>
                  </a:graphicData>
                </a:graphic>
              </wp:anchor>
            </w:drawing>
          </mc:Choice>
          <mc:Fallback>
            <w:pict>
              <v:shape id="文本框 267" o:spid="_x0000_s1026" o:spt="202" type="#_x0000_t202" style="position:absolute;left:0pt;margin-left:-9pt;margin-top:0.9pt;height:28.5pt;width:81pt;z-index:251928576;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DY0RrUAAAACAEAAA8AAAAAAAAAAQAgAAAAIgAA&#10;AGRycy9kb3ducmV2LnhtbFBLAQIUABQAAAAIAIdO4kDWB19k0wEAAJMDAAAOAAAAAAAAAAEAIAAA&#10;ACMBAABkcnMvZTJvRG9jLnhtbFBLBQYAAAAABgAGAFkBAABoBQAAAAA=&#10;">
                <v:fill on="f" focussize="0,0"/>
                <v:stroke on="f"/>
                <v:imagedata o:title=""/>
                <o:lock v:ext="edit" aspectratio="f"/>
                <v:textbox>
                  <w:txbxContent>
                    <w:p w14:paraId="30712B86">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清单的工程量</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工程量清单中开列的工程量是根据合同工程施工设计图纸提供的预计工程量，不能作为承包人履行合同义务中应予完成合同工程的实际和准确工程量。</w:t>
      </w:r>
    </w:p>
    <w:p w14:paraId="51B0801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发包人应按照承包人实际完成的应予计量的工程量与其在工程量清单中填报的单价或合价的乘积向承包人支付工程款。</w:t>
      </w:r>
    </w:p>
    <w:p w14:paraId="50CB7DB2">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0725814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★62  工程计量和计价</w:t>
      </w:r>
    </w:p>
    <w:p w14:paraId="3C3518B8">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62.1</w:t>
      </w:r>
    </w:p>
    <w:p w14:paraId="77744B4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265" name="文本框 26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14:paraId="5713DD10">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工程计量和计价的依据</w:t>
                            </w:r>
                          </w:p>
                        </w:txbxContent>
                      </wps:txbx>
                      <wps:bodyPr vert="horz" wrap="square" anchor="t" anchorCtr="0" upright="1"/>
                    </wps:wsp>
                  </a:graphicData>
                </a:graphic>
              </wp:anchor>
            </w:drawing>
          </mc:Choice>
          <mc:Fallback>
            <w:pict>
              <v:shape id="文本框 268" o:spid="_x0000_s1026" o:spt="202" type="#_x0000_t202" style="position:absolute;left:0pt;margin-left:-9pt;margin-top:1pt;height:32.75pt;width:72pt;z-index:251929600;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gHrCS1gAAAAgBAAAPAAAAAAAAAAEAIAAAACIA&#10;AABkcnMvZG93bnJldi54bWxQSwECFAAUAAAACACHTuJAxsSxLdIBAACSAwAADgAAAAAAAAABACAA&#10;AAAlAQAAZHJzL2Uyb0RvYy54bWxQSwUGAAAAAAYABgBZAQAAaQUAAAAA&#10;">
                <v:fill on="f" focussize="0,0"/>
                <v:stroke on="f"/>
                <v:imagedata o:title=""/>
                <o:lock v:ext="edit" aspectratio="f"/>
                <v:textbox>
                  <w:txbxContent>
                    <w:p w14:paraId="5713DD10">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工程计量和计价的依据</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0D8B667E">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62.2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EACC84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266" name="文本框 26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14:paraId="598FFB11">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工程计量和计价的要求</w:t>
                            </w:r>
                          </w:p>
                        </w:txbxContent>
                      </wps:txbx>
                      <wps:bodyPr vert="horz" wrap="square" anchor="t" anchorCtr="0" upright="1"/>
                    </wps:wsp>
                  </a:graphicData>
                </a:graphic>
              </wp:anchor>
            </w:drawing>
          </mc:Choice>
          <mc:Fallback>
            <w:pict>
              <v:shape id="文本框 269" o:spid="_x0000_s1026" o:spt="202" type="#_x0000_t202" style="position:absolute;left:0pt;margin-left:-9pt;margin-top:4pt;height:32.75pt;width:72pt;z-index:251930624;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bzsEXWAAAACAEAAA8AAAAAAAAAAQAgAAAAIgAA&#10;AGRycy9kb3ducmV2LnhtbFBLAQIUABQAAAAIAIdO4kDkVkyk0QEAAJIDAAAOAAAAAAAAAAEAIAAA&#10;ACUBAABkcnMvZTJvRG9jLnhtbFBLBQYAAAAABgAGAFkBAABoBQAAAAA=&#10;">
                <v:fill on="f" focussize="0,0"/>
                <v:stroke on="f"/>
                <v:imagedata o:title=""/>
                <o:lock v:ext="edit" aspectratio="f"/>
                <v:textbox>
                  <w:txbxContent>
                    <w:p w14:paraId="598FFB11">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工程计量和计价的要求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36540C9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造价工程师负责工程计量和计价的核实工作。</w:t>
      </w:r>
    </w:p>
    <w:p w14:paraId="068A66A3">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62.3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6E0FC9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267" name="文本框 270"/>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a:effectLst/>
                      </wps:spPr>
                      <wps:txbx>
                        <w:txbxContent>
                          <w:p w14:paraId="7CF9244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已完工程款额报告的提交和核实</w:t>
                            </w:r>
                          </w:p>
                        </w:txbxContent>
                      </wps:txbx>
                      <wps:bodyPr vert="horz" wrap="square" anchor="t" anchorCtr="0" upright="1"/>
                    </wps:wsp>
                  </a:graphicData>
                </a:graphic>
              </wp:anchor>
            </w:drawing>
          </mc:Choice>
          <mc:Fallback>
            <w:pict>
              <v:shape id="文本框 270" o:spid="_x0000_s1026" o:spt="202" type="#_x0000_t202" style="position:absolute;left:0pt;margin-left:-9pt;margin-top:-0.15pt;height:43.15pt;width:72pt;z-index:251931648;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kfa9NQAAAAIAQAADwAAAAAAAAABACAAAAAiAAAA&#10;ZHJzL2Rvd25yZXYueG1sUEsBAhQAFAAAAAgAh07iQJG08RjSAQAAkgMAAA4AAAAAAAAAAQAgAAAA&#10;IwEAAGRycy9lMm9Eb2MueG1sUEsFBgAAAAAGAAYAWQEAAGcFAAAAAA==&#10;">
                <v:fill on="f" focussize="0,0"/>
                <v:stroke on="f"/>
                <v:imagedata o:title=""/>
                <o:lock v:ext="edit" aspectratio="f"/>
                <v:textbox>
                  <w:txbxContent>
                    <w:p w14:paraId="7CF9244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已完工程款额报告的提交和核实</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承包人应按照第81.1款规定向造价工程师提交已完工程款额报告。造价工程师应在收到报告后的14天内核实工程量，并将核实结果通知承包人、抄报发包人，作为工程计价和工程款支付的依据。</w:t>
      </w:r>
    </w:p>
    <w:p w14:paraId="11007BB0">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62.4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9EE83F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268" name="文本框 271"/>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a:effectLst/>
                      </wps:spPr>
                      <wps:txbx>
                        <w:txbxContent>
                          <w:p w14:paraId="02A66F21">
                            <w:pPr>
                              <w:rPr>
                                <w:rFonts w:ascii="宋体" w:hAnsi="Calibri" w:eastAsia="宋体" w:cs="Times New Roman"/>
                                <w:sz w:val="18"/>
                                <w:szCs w:val="18"/>
                              </w:rPr>
                            </w:pPr>
                            <w:r>
                              <w:rPr>
                                <w:rFonts w:hint="eastAsia" w:ascii="Calibri" w:hAnsi="宋体" w:eastAsia="宋体" w:cs="Calibri"/>
                                <w:b/>
                                <w:bCs/>
                                <w:color w:val="000000"/>
                                <w:sz w:val="18"/>
                                <w:szCs w:val="18"/>
                              </w:rPr>
                              <w:t>现场计量</w:t>
                            </w:r>
                          </w:p>
                        </w:txbxContent>
                      </wps:txbx>
                      <wps:bodyPr vert="horz" wrap="square" anchor="t" anchorCtr="0" upright="1"/>
                    </wps:wsp>
                  </a:graphicData>
                </a:graphic>
              </wp:anchor>
            </w:drawing>
          </mc:Choice>
          <mc:Fallback>
            <w:pict>
              <v:shape id="文本框 271" o:spid="_x0000_s1026" o:spt="202" type="#_x0000_t202" style="position:absolute;left:0pt;margin-left:-9pt;margin-top:3.95pt;height:27.9pt;width:63pt;z-index:251932672;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OGbdUAAAAIAQAADwAAAAAAAAABACAAAAAiAAAA&#10;ZHJzL2Rvd25yZXYueG1sUEsBAhQAFAAAAAgAh07iQLDFT9fRAQAAkgMAAA4AAAAAAAAAAQAgAAAA&#10;JAEAAGRycy9lMm9Eb2MueG1sUEsFBgAAAAAGAAYAWQEAAGcFAAAAAA==&#10;">
                <v:fill on="f" focussize="0,0"/>
                <v:stroke on="f"/>
                <v:imagedata o:title=""/>
                <o:lock v:ext="edit" aspectratio="f"/>
                <v:textbox>
                  <w:txbxContent>
                    <w:p w14:paraId="02A66F21">
                      <w:pPr>
                        <w:rPr>
                          <w:rFonts w:ascii="宋体" w:hAnsi="Calibri" w:eastAsia="宋体" w:cs="Times New Roman"/>
                          <w:sz w:val="18"/>
                          <w:szCs w:val="18"/>
                        </w:rPr>
                      </w:pPr>
                      <w:r>
                        <w:rPr>
                          <w:rFonts w:hint="eastAsia" w:ascii="Calibri" w:hAnsi="宋体" w:eastAsia="宋体" w:cs="Calibri"/>
                          <w:b/>
                          <w:bCs/>
                          <w:color w:val="000000"/>
                          <w:sz w:val="18"/>
                          <w:szCs w:val="18"/>
                        </w:rPr>
                        <w:t>现场计量</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14:paraId="10A0DF18">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62.5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05CD87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269" name="文本框 272"/>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a:effectLst/>
                      </wps:spPr>
                      <wps:txbx>
                        <w:txbxContent>
                          <w:p w14:paraId="18B7534C">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收到已完工程款额报告的限制</w:t>
                            </w:r>
                          </w:p>
                        </w:txbxContent>
                      </wps:txbx>
                      <wps:bodyPr vert="horz" wrap="square" anchor="t" anchorCtr="0" upright="1"/>
                    </wps:wsp>
                  </a:graphicData>
                </a:graphic>
              </wp:anchor>
            </w:drawing>
          </mc:Choice>
          <mc:Fallback>
            <w:pict>
              <v:shape id="文本框 272" o:spid="_x0000_s1026" o:spt="202" type="#_x0000_t202" style="position:absolute;left:0pt;margin-left:-9pt;margin-top:3.5pt;height:47.5pt;width:72pt;z-index:251933696;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W/1n11QAAAAkBAAAPAAAAAAAAAAEAIAAAACIA&#10;AABkcnMvZG93bnJldi54bWxQSwECFAAUAAAACACHTuJA3MjjI9MBAACSAwAADgAAAAAAAAABACAA&#10;AAAkAQAAZHJzL2Uyb0RvYy54bWxQSwUGAAAAAAYABgBZAQAAaQUAAAAA&#10;">
                <v:fill on="f" focussize="0,0"/>
                <v:stroke on="f"/>
                <v:imagedata o:title=""/>
                <o:lock v:ext="edit" aspectratio="f"/>
                <v:textbox>
                  <w:txbxContent>
                    <w:p w14:paraId="18B7534C">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收到已完工程款额报告的限制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14:paraId="13832EFE">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62.6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06FBBC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270" name="文本框 273"/>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a:effectLst/>
                      </wps:spPr>
                      <wps:txbx>
                        <w:txbxContent>
                          <w:p w14:paraId="5A1E6AEC">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复核计量结果</w:t>
                            </w:r>
                          </w:p>
                        </w:txbxContent>
                      </wps:txbx>
                      <wps:bodyPr vert="horz" wrap="square" anchor="t" anchorCtr="0" upright="1"/>
                    </wps:wsp>
                  </a:graphicData>
                </a:graphic>
              </wp:anchor>
            </w:drawing>
          </mc:Choice>
          <mc:Fallback>
            <w:pict>
              <v:shape id="文本框 273" o:spid="_x0000_s1026" o:spt="202" type="#_x0000_t202" style="position:absolute;left:0pt;margin-left:-9pt;margin-top:3.6pt;height:23.4pt;width:72pt;z-index:251934720;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4sr5n1QAAAAgBAAAPAAAAAAAAAAEAIAAAACIA&#10;AABkcnMvZG93bnJldi54bWxQSwECFAAUAAAACACHTuJAEOVGi9MBAACSAwAADgAAAAAAAAABACAA&#10;AAAkAQAAZHJzL2Uyb0RvYy54bWxQSwUGAAAAAAYABgBZAQAAaQUAAAAA&#10;">
                <v:fill on="f" focussize="0,0"/>
                <v:stroke on="f"/>
                <v:imagedata o:title=""/>
                <o:lock v:ext="edit" aspectratio="f"/>
                <v:textbox>
                  <w:txbxContent>
                    <w:p w14:paraId="5A1E6AEC">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复核计量结果</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14:paraId="6138CD7A">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62.7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1EDA41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271" name="文本框 27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57C75FB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不予计量</w:t>
                            </w:r>
                          </w:p>
                        </w:txbxContent>
                      </wps:txbx>
                      <wps:bodyPr vert="horz" wrap="square" anchor="t" anchorCtr="0" upright="1"/>
                    </wps:wsp>
                  </a:graphicData>
                </a:graphic>
              </wp:anchor>
            </w:drawing>
          </mc:Choice>
          <mc:Fallback>
            <w:pict>
              <v:shape id="文本框 274" o:spid="_x0000_s1026" o:spt="202" type="#_x0000_t202" style="position:absolute;left:0pt;margin-left:-9pt;margin-top:2.85pt;height:23.4pt;width:63pt;z-index:251935744;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&#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Urpk1AAAAAgBAAAPAAAAAAAAAAEAIAAAACIAAABk&#10;cnMvZG93bnJldi54bWxQSwECFAAUAAAACACHTuJADAXZItEBAACSAwAADgAAAAAAAAABACAAAAAj&#10;AQAAZHJzL2Uyb0RvYy54bWxQSwUGAAAAAAYABgBZAQAAZgUAAAAA&#10;">
                <v:fill on="f" focussize="0,0"/>
                <v:stroke on="f"/>
                <v:imagedata o:title=""/>
                <o:lock v:ext="edit" aspectratio="f"/>
                <v:textbox>
                  <w:txbxContent>
                    <w:p w14:paraId="57C75FB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不予计量</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对承包人超出施工设计图纸范围或因承包人的原因造成返工的工程量，造价工程师均不予计量。</w:t>
      </w:r>
    </w:p>
    <w:p w14:paraId="2E95FA42">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62.8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C2D2B3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272" name="文本框 275"/>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a:effectLst/>
                      </wps:spPr>
                      <wps:txbx>
                        <w:txbxContent>
                          <w:p w14:paraId="49336A44">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各项工作价款的计算</w:t>
                            </w:r>
                          </w:p>
                        </w:txbxContent>
                      </wps:txbx>
                      <wps:bodyPr vert="horz" wrap="square" anchor="t" anchorCtr="0" upright="1"/>
                    </wps:wsp>
                  </a:graphicData>
                </a:graphic>
              </wp:anchor>
            </w:drawing>
          </mc:Choice>
          <mc:Fallback>
            <w:pict>
              <v:shape id="文本框 275" o:spid="_x0000_s1026" o:spt="202" type="#_x0000_t202" style="position:absolute;left:0pt;margin-left:-9pt;margin-top:1.9pt;height:38.9pt;width:72pt;z-index:251936768;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2vWpbUAAAACAEAAA8AAAAAAAAAAQAgAAAAIgAA&#10;AGRycy9kb3ducmV2LnhtbFBLAQIUABQAAAAIAIdO4kDIl0ui0wEAAJIDAAAOAAAAAAAAAAEAIAAA&#10;ACMBAABkcnMvZTJvRG9jLnhtbFBLBQYAAAAABgAGAFkBAABoBQAAAAA=&#10;">
                <v:fill on="f" focussize="0,0"/>
                <v:stroke on="f"/>
                <v:imagedata o:title=""/>
                <o:lock v:ext="edit" aspectratio="f"/>
                <v:textbox>
                  <w:txbxContent>
                    <w:p w14:paraId="49336A44">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各项工作价款的计算</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按照第69条至第73条、第76条规定所做的调整外，每项工作所适用的单价(费率)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14:paraId="54B9BA70">
      <w:pPr>
        <w:widowControl w:val="0"/>
        <w:tabs>
          <w:tab w:val="left" w:pos="1620"/>
        </w:tabs>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7F0A8A6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★63  暂列金额</w:t>
      </w:r>
    </w:p>
    <w:p w14:paraId="5B9A6A59">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63.1</w:t>
      </w:r>
    </w:p>
    <w:p w14:paraId="3BEB7CF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37792"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273" name="文本框 276"/>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a:effectLst/>
                      </wps:spPr>
                      <wps:txbx>
                        <w:txbxContent>
                          <w:p w14:paraId="3435F6B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暂列金额的用</w:t>
                            </w:r>
                          </w:p>
                          <w:p w14:paraId="0755583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途</w:t>
                            </w:r>
                          </w:p>
                        </w:txbxContent>
                      </wps:txbx>
                      <wps:bodyPr vert="horz" wrap="square" anchor="t" anchorCtr="0" upright="1"/>
                    </wps:wsp>
                  </a:graphicData>
                </a:graphic>
              </wp:anchor>
            </w:drawing>
          </mc:Choice>
          <mc:Fallback>
            <w:pict>
              <v:shape id="文本框 276" o:spid="_x0000_s1026" o:spt="202" type="#_x0000_t202" style="position:absolute;left:0pt;margin-left:-18pt;margin-top:7.5pt;height:54.2pt;width:90pt;z-index:251937792;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gIwz1QAAAAoBAAAPAAAAAAAAAAEAIAAAACIA&#10;AABkcnMvZG93bnJldi54bWxQSwECFAAUAAAACACHTuJAa66t5dMBAACTAwAADgAAAAAAAAABACAA&#10;AAAkAQAAZHJzL2Uyb0RvYy54bWxQSwUGAAAAAAYABgBZAQAAaQUAAAAA&#10;">
                <v:fill on="f" focussize="0,0"/>
                <v:stroke on="f"/>
                <v:imagedata o:title=""/>
                <o:lock v:ext="edit" aspectratio="f"/>
                <v:textbox>
                  <w:txbxContent>
                    <w:p w14:paraId="3435F6B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暂列金额的用</w:t>
                      </w:r>
                    </w:p>
                    <w:p w14:paraId="0755583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途</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合同双方当事人应在专用条款中明确工程量清单中开列的已标价的暂列金额。</w:t>
      </w:r>
    </w:p>
    <w:p w14:paraId="259A609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3588E38F">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63.2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E4424D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38816"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274" name="文本框 277"/>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a:effectLst/>
                      </wps:spPr>
                      <wps:txbx>
                        <w:txbxContent>
                          <w:p w14:paraId="2EF4DB5C">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暂列金额的支</w:t>
                            </w:r>
                          </w:p>
                          <w:p w14:paraId="3920B37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付</w:t>
                            </w:r>
                          </w:p>
                        </w:txbxContent>
                      </wps:txbx>
                      <wps:bodyPr vert="horz" wrap="square" anchor="t" anchorCtr="0" upright="1"/>
                    </wps:wsp>
                  </a:graphicData>
                </a:graphic>
              </wp:anchor>
            </w:drawing>
          </mc:Choice>
          <mc:Fallback>
            <w:pict>
              <v:shape id="文本框 277" o:spid="_x0000_s1026" o:spt="202" type="#_x0000_t202" style="position:absolute;left:0pt;margin-left:-10.5pt;margin-top:7.85pt;height:43.55pt;width:81pt;z-index:251938816;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S3yZ/WAAAACgEAAA8AAAAAAAAAAQAgAAAAIgAA&#10;AGRycy9kb3ducmV2LnhtbFBLAQIUABQAAAAIAIdO4kC3hOJU0QEAAJMDAAAOAAAAAAAAAAEAIAAA&#10;ACUBAABkcnMvZTJvRG9jLnhtbFBLBQYAAAAABgAGAFkBAABoBQAAAAA=&#10;">
                <v:fill on="f" focussize="0,0"/>
                <v:stroke on="f"/>
                <v:imagedata o:title=""/>
                <o:lock v:ext="edit" aspectratio="f"/>
                <v:textbox>
                  <w:txbxContent>
                    <w:p w14:paraId="2EF4DB5C">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暂列金额的支</w:t>
                      </w:r>
                    </w:p>
                    <w:p w14:paraId="3920B37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经发包人批准后，监理工程师应就承包人实施第63.1款规定的工作发出书面指令。承包人应就此项指令提出所需价款，经造价工程师核实并由其报发包人确认后，向承包人支付相关款项。</w:t>
      </w:r>
    </w:p>
    <w:p w14:paraId="1CA8C316">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63.3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676BB6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75" name="文本框 27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3E68364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提供暂列金额支付票据</w:t>
                            </w:r>
                          </w:p>
                        </w:txbxContent>
                      </wps:txbx>
                      <wps:bodyPr vert="horz" wrap="square" anchor="t" anchorCtr="0" upright="1"/>
                    </wps:wsp>
                  </a:graphicData>
                </a:graphic>
              </wp:anchor>
            </w:drawing>
          </mc:Choice>
          <mc:Fallback>
            <w:pict>
              <v:shape id="文本框 278" o:spid="_x0000_s1026" o:spt="202" type="#_x0000_t202" style="position:absolute;left:0pt;margin-left:-9pt;margin-top:1.25pt;height:31.2pt;width:72pt;z-index:25193984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Pz/Bw1QAAAAgBAAAPAAAAAAAAAAEAIAAAACIA&#10;AABkcnMvZG93bnJldi54bWxQSwECFAAUAAAACACHTuJArrFi/NMBAACSAwAADgAAAAAAAAABACAA&#10;AAAkAQAAZHJzL2Uyb0RvYy54bWxQSwUGAAAAAAYABgBZAQAAaQUAAAAA&#10;">
                <v:fill on="f" focussize="0,0"/>
                <v:stroke on="f"/>
                <v:imagedata o:title=""/>
                <o:lock v:ext="edit" aspectratio="f"/>
                <v:textbox>
                  <w:txbxContent>
                    <w:p w14:paraId="3E68364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提供暂列金额支付票据</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造价工程师有要求时，承包人应提供使用暂列金额支付项目的所有报价单、发票、账单或收据。</w:t>
      </w:r>
    </w:p>
    <w:p w14:paraId="1D6698A8">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632F6993">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★64  计日工</w:t>
      </w:r>
    </w:p>
    <w:p w14:paraId="384714B2">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64.1</w:t>
      </w:r>
    </w:p>
    <w:p w14:paraId="351DC97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276" name="文本框 279"/>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a:effectLst/>
                      </wps:spPr>
                      <wps:txbx>
                        <w:txbxContent>
                          <w:p w14:paraId="44AEF0F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计日工单价的用途</w:t>
                            </w:r>
                          </w:p>
                        </w:txbxContent>
                      </wps:txbx>
                      <wps:bodyPr vert="horz" wrap="square" anchor="t" anchorCtr="0" upright="1"/>
                    </wps:wsp>
                  </a:graphicData>
                </a:graphic>
              </wp:anchor>
            </w:drawing>
          </mc:Choice>
          <mc:Fallback>
            <w:pict>
              <v:shape id="文本框 279" o:spid="_x0000_s1026" o:spt="202" type="#_x0000_t202" style="position:absolute;left:0pt;margin-left:-9pt;margin-top:1.25pt;height:30.55pt;width:72pt;z-index:251940864;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L/K9LVAAAACAEAAA8AAAAAAAAAAQAgAAAAIgAA&#10;AGRycy9kb3ducmV2LnhtbFBLAQIUABQAAAAIAIdO4kCFscEj0gEAAJIDAAAOAAAAAAAAAAEAIAAA&#10;ACQBAABkcnMvZTJvRG9jLnhtbFBLBQYAAAAABgAGAFkBAABoBQAAAAA=&#10;">
                <v:fill on="f" focussize="0,0"/>
                <v:stroke on="f"/>
                <v:imagedata o:title=""/>
                <o:lock v:ext="edit" aspectratio="f"/>
                <v:textbox>
                  <w:txbxContent>
                    <w:p w14:paraId="44AEF0F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计日工单价的用途</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承包人投标文件中填报的计日工单价或价格是用于实施发包人要求的合同以外零星工作项目所需的人工单价、材料、工程设备价格和施工设备机械台班单价。</w:t>
      </w:r>
    </w:p>
    <w:p w14:paraId="0CAF298C">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64.2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7B1A15F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经发包人批准后，监理工程师应就使用计日工项目发出书面指令。</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277" name="文本框 280"/>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a:effectLst/>
                      </wps:spPr>
                      <wps:txbx>
                        <w:txbxContent>
                          <w:p w14:paraId="5BA8D8C4">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计日工的确认</w:t>
                            </w:r>
                          </w:p>
                        </w:txbxContent>
                      </wps:txbx>
                      <wps:bodyPr vert="horz" wrap="square" anchor="t" anchorCtr="0" upright="1"/>
                    </wps:wsp>
                  </a:graphicData>
                </a:graphic>
              </wp:anchor>
            </w:drawing>
          </mc:Choice>
          <mc:Fallback>
            <w:pict>
              <v:shape id="文本框 280" o:spid="_x0000_s1026" o:spt="202" type="#_x0000_t202" style="position:absolute;left:0pt;margin-left:-9pt;margin-top:1.15pt;height:32.5pt;width:72pt;z-index:251941888;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Nboxr1gAAAAgBAAAPAAAAAAAAAAEAIAAAACIA&#10;AABkcnMvZG93bnJldi54bWxQSwECFAAUAAAACACHTuJAESTL1dIBAACSAwAADgAAAAAAAAABACAA&#10;AAAlAQAAZHJzL2Uyb0RvYy54bWxQSwUGAAAAAAYABgBZAQAAaQUAAAAA&#10;">
                <v:fill on="f" focussize="0,0"/>
                <v:stroke on="f"/>
                <v:imagedata o:title=""/>
                <o:lock v:ext="edit" aspectratio="f"/>
                <v:textbox>
                  <w:txbxContent>
                    <w:p w14:paraId="5BA8D8C4">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计日工的确认</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任一按照计日工方式计价的工作，承包人应在该项工作实施结束后的24小时内，向监理工程师提交有计日工记录的现场签证报告一式两份。</w:t>
      </w:r>
    </w:p>
    <w:p w14:paraId="026FCB4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当此工作持续进行时，承包人应每天向监理工程师提交当天计日工记录完毕的现场签证报告。监理工程师在收到承包人提交现场签证报告后的2天内予以确认并由其报发包人批准后，将其中一份返还给承包人，作为计日工计价和支付的依据。监理工程师逾期未确认也未提出修改意见的，视为承包人提交的现场签证报告已被认可。</w:t>
      </w:r>
    </w:p>
    <w:p w14:paraId="0802E93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64.3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ABF8E1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278" name="文本框 28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5FF249A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计日工的支付</w:t>
                            </w:r>
                          </w:p>
                        </w:txbxContent>
                      </wps:txbx>
                      <wps:bodyPr vert="horz" wrap="square" anchor="t" anchorCtr="0" upright="1"/>
                    </wps:wsp>
                  </a:graphicData>
                </a:graphic>
              </wp:anchor>
            </w:drawing>
          </mc:Choice>
          <mc:Fallback>
            <w:pict>
              <v:shape id="文本框 281" o:spid="_x0000_s1026" o:spt="202" type="#_x0000_t202" style="position:absolute;left:0pt;margin-left:-9pt;margin-top:0.4pt;height:31.2pt;width:72pt;z-index:251942912;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UNOfUAAAABwEAAA8AAAAAAAAAAQAgAAAAIgAA&#10;AGRycy9kb3ducmV2LnhtbFBLAQIUABQAAAAIAIdO4kCEZKQu0wEAAJIDAAAOAAAAAAAAAAEAIAAA&#10;ACMBAABkcnMvZTJvRG9jLnhtbFBLBQYAAAAABgAGAFkBAABoBQAAAAA=&#10;">
                <v:fill on="f" focussize="0,0"/>
                <v:stroke on="f"/>
                <v:imagedata o:title=""/>
                <o:lock v:ext="edit" aspectratio="f"/>
                <v:textbox>
                  <w:txbxContent>
                    <w:p w14:paraId="5FF249A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计日工的支付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14:paraId="7C53EDF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每个支付期末，承包人应按照第81.1款规定向发包人提交本期间所有计日工记录的签证汇总表，以说明本期间自己认为有权得到的计日工费用。 </w:t>
      </w:r>
    </w:p>
    <w:p w14:paraId="723A13A9">
      <w:pPr>
        <w:widowControl w:val="0"/>
        <w:tabs>
          <w:tab w:val="left" w:pos="540"/>
        </w:tabs>
        <w:adjustRightInd w:val="0"/>
        <w:snapToGrid w:val="0"/>
        <w:spacing w:before="240" w:beforeLines="100"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61C9A17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★65  暂估价</w:t>
      </w:r>
    </w:p>
    <w:p w14:paraId="17CD1128">
      <w:pPr>
        <w:widowControl w:val="0"/>
        <w:adjustRightInd w:val="0"/>
        <w:snapToGrid w:val="0"/>
        <w:spacing w:line="420" w:lineRule="exact"/>
        <w:ind w:left="1540" w:hanging="1540" w:hangingChars="70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943936"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279" name="文本框 282"/>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a:effectLst/>
                      </wps:spPr>
                      <wps:txbx>
                        <w:txbxContent>
                          <w:p w14:paraId="57B5895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招标暂估价项</w:t>
                            </w:r>
                          </w:p>
                          <w:p w14:paraId="60FE7BB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目的要求</w:t>
                            </w:r>
                          </w:p>
                          <w:p w14:paraId="41CF4866">
                            <w:pPr>
                              <w:rPr>
                                <w:rFonts w:ascii="楷体_GB2312" w:hAnsi="宋体" w:eastAsia="楷体_GB2312" w:cs="Times New Roman"/>
                                <w:b/>
                                <w:bCs/>
                                <w:color w:val="000000"/>
                                <w:sz w:val="18"/>
                                <w:szCs w:val="18"/>
                              </w:rPr>
                            </w:pPr>
                          </w:p>
                          <w:p w14:paraId="317779B6">
                            <w:pPr>
                              <w:rPr>
                                <w:rFonts w:ascii="Times New Roman" w:hAnsi="Times New Roman" w:eastAsia="宋体" w:cs="Times New Roman"/>
                                <w:sz w:val="18"/>
                                <w:szCs w:val="18"/>
                              </w:rPr>
                            </w:pPr>
                          </w:p>
                        </w:txbxContent>
                      </wps:txbx>
                      <wps:bodyPr vert="horz" wrap="square" anchor="t" anchorCtr="0" upright="1"/>
                    </wps:wsp>
                  </a:graphicData>
                </a:graphic>
              </wp:anchor>
            </w:drawing>
          </mc:Choice>
          <mc:Fallback>
            <w:pict>
              <v:shape id="文本框 282" o:spid="_x0000_s1026" o:spt="202" type="#_x0000_t202" style="position:absolute;left:0pt;margin-left:-10.5pt;margin-top:25.2pt;height:38.1pt;width:82.5pt;z-index:251943936;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n+PjXAAAACgEAAA8AAAAAAAAAAQAgAAAA&#10;IgAAAGRycy9kb3ducmV2LnhtbFBLAQIUABQAAAAIAIdO4kAeKq8g0wEAAJMDAAAOAAAAAAAAAAEA&#10;IAAAACYBAABkcnMvZTJvRG9jLnhtbFBLBQYAAAAABgAGAFkBAABrBQAAAAA=&#10;">
                <v:fill on="f" focussize="0,0"/>
                <v:stroke on="f"/>
                <v:imagedata o:title=""/>
                <o:lock v:ext="edit" aspectratio="f"/>
                <v:textbox>
                  <w:txbxContent>
                    <w:p w14:paraId="57B5895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招标暂估价项</w:t>
                      </w:r>
                    </w:p>
                    <w:p w14:paraId="60FE7BB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目的要求</w:t>
                      </w:r>
                    </w:p>
                    <w:p w14:paraId="41CF4866">
                      <w:pPr>
                        <w:rPr>
                          <w:rFonts w:ascii="楷体_GB2312" w:hAnsi="宋体" w:eastAsia="楷体_GB2312" w:cs="Times New Roman"/>
                          <w:b/>
                          <w:bCs/>
                          <w:color w:val="000000"/>
                          <w:sz w:val="18"/>
                          <w:szCs w:val="18"/>
                        </w:rPr>
                      </w:pPr>
                    </w:p>
                    <w:p w14:paraId="317779B6">
                      <w:pPr>
                        <w:rPr>
                          <w:rFonts w:ascii="Times New Roman" w:hAnsi="Times New Roman" w:eastAsia="宋体" w:cs="Times New Roman"/>
                          <w:sz w:val="18"/>
                          <w:szCs w:val="18"/>
                        </w:rPr>
                      </w:pP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65.1</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14:paraId="78DD7A2C">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280" name="文本框 283"/>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a:effectLst/>
                      </wps:spPr>
                      <wps:txbx>
                        <w:txbxContent>
                          <w:p w14:paraId="03405846">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非招标材料和</w:t>
                            </w:r>
                          </w:p>
                          <w:p w14:paraId="44F49D3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工程设备暂估</w:t>
                            </w:r>
                          </w:p>
                          <w:p w14:paraId="402013C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价的要求</w:t>
                            </w:r>
                          </w:p>
                          <w:p w14:paraId="5C33A45D">
                            <w:pPr>
                              <w:rPr>
                                <w:rFonts w:ascii="Times New Roman" w:hAnsi="Times New Roman" w:eastAsia="宋体" w:cs="Times New Roman"/>
                                <w:sz w:val="18"/>
                                <w:szCs w:val="18"/>
                              </w:rPr>
                            </w:pPr>
                          </w:p>
                        </w:txbxContent>
                      </wps:txbx>
                      <wps:bodyPr vert="horz" wrap="square" anchor="t" anchorCtr="0" upright="1"/>
                    </wps:wsp>
                  </a:graphicData>
                </a:graphic>
              </wp:anchor>
            </w:drawing>
          </mc:Choice>
          <mc:Fallback>
            <w:pict>
              <v:shape id="文本框 283" o:spid="_x0000_s1026" o:spt="202" type="#_x0000_t202" style="position:absolute;left:0pt;margin-left:-9pt;margin-top:19.55pt;height:75.3pt;width:81pt;z-index:251944960;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gwUrbXAAAACgEAAA8AAAAAAAAAAQAgAAAA&#10;IgAAAGRycy9kb3ducmV2LnhtbFBLAQIUABQAAAAIAIdO4kDSeE+W0wEAAJMDAAAOAAAAAAAAAAEA&#10;IAAAACYBAABkcnMvZTJvRG9jLnhtbFBLBQYAAAAABgAGAFkBAABrBQAAAAA=&#10;">
                <v:fill on="f" focussize="0,0"/>
                <v:stroke on="f"/>
                <v:imagedata o:title=""/>
                <o:lock v:ext="edit" aspectratio="f"/>
                <v:textbox>
                  <w:txbxContent>
                    <w:p w14:paraId="03405846">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非招标材料和</w:t>
                      </w:r>
                    </w:p>
                    <w:p w14:paraId="44F49D3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工程设备暂估</w:t>
                      </w:r>
                    </w:p>
                    <w:p w14:paraId="402013C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价的要求</w:t>
                      </w:r>
                    </w:p>
                    <w:p w14:paraId="5C33A45D">
                      <w:pPr>
                        <w:rPr>
                          <w:rFonts w:ascii="Times New Roman" w:hAnsi="Times New Roman" w:eastAsia="宋体" w:cs="Times New Roman"/>
                          <w:sz w:val="18"/>
                          <w:szCs w:val="18"/>
                        </w:rPr>
                      </w:pP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65.2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418867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在工程量清单中给定暂估价的材料和工程设备，未达到依法必须招标的规模、标准的，由承包人按照第49条规定采购。经造价工程师确认的材料和工程设备价格与工程量清单中所列的暂估价的差额以及相应的规费、税金等其他费用，应列入合同价款。</w:t>
      </w:r>
    </w:p>
    <w:p w14:paraId="7AA3E65F">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65.3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B9388F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45984" behindDoc="0" locked="0" layoutInCell="1" allowOverlap="1">
                <wp:simplePos x="0" y="0"/>
                <wp:positionH relativeFrom="column">
                  <wp:posOffset>-133350</wp:posOffset>
                </wp:positionH>
                <wp:positionV relativeFrom="paragraph">
                  <wp:posOffset>71755</wp:posOffset>
                </wp:positionV>
                <wp:extent cx="1028700" cy="863600"/>
                <wp:effectExtent l="0" t="0" r="0" b="0"/>
                <wp:wrapNone/>
                <wp:docPr id="281" name="文本框 284"/>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a:effectLst/>
                      </wps:spPr>
                      <wps:txbx>
                        <w:txbxContent>
                          <w:p w14:paraId="18634F1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非招标专业工</w:t>
                            </w:r>
                          </w:p>
                          <w:p w14:paraId="39C55F7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程暂估价的要</w:t>
                            </w:r>
                          </w:p>
                          <w:p w14:paraId="37F4175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求</w:t>
                            </w:r>
                          </w:p>
                        </w:txbxContent>
                      </wps:txbx>
                      <wps:bodyPr vert="horz" wrap="square" anchor="t" anchorCtr="0" upright="1"/>
                    </wps:wsp>
                  </a:graphicData>
                </a:graphic>
              </wp:anchor>
            </w:drawing>
          </mc:Choice>
          <mc:Fallback>
            <w:pict>
              <v:shape id="文本框 284" o:spid="_x0000_s1026" o:spt="202" type="#_x0000_t202" style="position:absolute;left:0pt;margin-left:-10.5pt;margin-top:5.65pt;height:68pt;width:81pt;z-index:251945984;mso-width-relative:page;mso-height-relative:page;" filled="f" stroked="f" coordsize="21600,21600" o:gfxdata="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FOuOdYAAAAKAQAADwAAAAAAAAABACAAAAAiAAAA&#10;ZHJzL2Rvd25yZXYueG1sUEsBAhQAFAAAAAgAh07iQDBN5A7QAQAAkwMAAA4AAAAAAAAAAQAgAAAA&#10;JQEAAGRycy9lMm9Eb2MueG1sUEsFBgAAAAAGAAYAWQEAAGcFAAAAAA==&#10;">
                <v:fill on="f" focussize="0,0"/>
                <v:stroke on="f"/>
                <v:imagedata o:title=""/>
                <o:lock v:ext="edit" aspectratio="f"/>
                <v:textbox>
                  <w:txbxContent>
                    <w:p w14:paraId="18634F1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非招标专业工</w:t>
                      </w:r>
                    </w:p>
                    <w:p w14:paraId="39C55F7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程暂估价的要</w:t>
                      </w:r>
                    </w:p>
                    <w:p w14:paraId="37F4175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发包人在工程量清单中给定暂估价的专业工程，未达到依法必须招标的规模及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 </w:t>
      </w:r>
    </w:p>
    <w:p w14:paraId="19FD7AAC">
      <w:pPr>
        <w:widowControl w:val="0"/>
        <w:tabs>
          <w:tab w:val="left" w:pos="3038"/>
        </w:tabs>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7EEF29F1">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★66  提前竣工奖与误期赔偿费</w:t>
      </w:r>
    </w:p>
    <w:p w14:paraId="53ED811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66.1  </w:t>
      </w:r>
    </w:p>
    <w:p w14:paraId="522E7AD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282" name="文本框 285"/>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a:effectLst/>
                      </wps:spPr>
                      <wps:txbx>
                        <w:txbxContent>
                          <w:p w14:paraId="4E3807C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提前竣工奖</w:t>
                            </w:r>
                          </w:p>
                        </w:txbxContent>
                      </wps:txbx>
                      <wps:bodyPr vert="horz" wrap="square" anchor="t" anchorCtr="0" upright="1"/>
                    </wps:wsp>
                  </a:graphicData>
                </a:graphic>
              </wp:anchor>
            </w:drawing>
          </mc:Choice>
          <mc:Fallback>
            <w:pict>
              <v:shape id="文本框 285" o:spid="_x0000_s1026" o:spt="202" type="#_x0000_t202" style="position:absolute;left:0pt;margin-left:-9pt;margin-top:2.4pt;height:31.9pt;width:81pt;z-index:251947008;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lDREb1QAAAAgBAAAPAAAAAAAAAAEAIAAAACIA&#10;AABkcnMvZG93bnJldi54bWxQSwECFAAUAAAACACHTuJAy2zpY9MBAACTAwAADgAAAAAAAAABACAA&#10;AAAkAQAAZHJzL2Uyb0RvYy54bWxQSwUGAAAAAAYABgBZAQAAaQUAAAAA&#10;">
                <v:fill on="f" focussize="0,0"/>
                <v:stroke on="f"/>
                <v:imagedata o:title=""/>
                <o:lock v:ext="edit" aspectratio="f"/>
                <v:textbox>
                  <w:txbxContent>
                    <w:p w14:paraId="4E3807C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提前竣工奖</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14:paraId="616CED9D">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66.2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03550E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283" name="文本框 286"/>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a:effectLst/>
                      </wps:spPr>
                      <wps:txbx>
                        <w:txbxContent>
                          <w:p w14:paraId="5A878306">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误期赔偿费</w:t>
                            </w:r>
                          </w:p>
                        </w:txbxContent>
                      </wps:txbx>
                      <wps:bodyPr vert="horz" wrap="square" anchor="t" anchorCtr="0" upright="1"/>
                    </wps:wsp>
                  </a:graphicData>
                </a:graphic>
              </wp:anchor>
            </w:drawing>
          </mc:Choice>
          <mc:Fallback>
            <w:pict>
              <v:shape id="文本框 286" o:spid="_x0000_s1026" o:spt="202" type="#_x0000_t202" style="position:absolute;left:0pt;margin-left:-9pt;margin-top:1.3pt;height:29.75pt;width:72pt;z-index:251948032;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TSSmdQAAAAIAQAADwAAAAAAAAABACAAAAAiAAAA&#10;ZHJzL2Rvd25yZXYueG1sUEsBAhQAFAAAAAgAh07iQG7G+5nSAQAAkgMAAA4AAAAAAAAAAQAgAAAA&#10;IwEAAGRycy9lMm9Eb2MueG1sUEsFBgAAAAAGAAYAWQEAAGcFAAAAAA==&#10;">
                <v:fill on="f" focussize="0,0"/>
                <v:stroke on="f"/>
                <v:imagedata o:title=""/>
                <o:lock v:ext="edit" aspectratio="f"/>
                <v:textbox>
                  <w:txbxContent>
                    <w:p w14:paraId="5A878306">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误期赔偿费</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br w:type="textWrapping"/>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1156FB3E">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739F5931">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★67  工程优质费</w:t>
      </w:r>
    </w:p>
    <w:p w14:paraId="2D5C093C">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67.1 </w:t>
      </w:r>
    </w:p>
    <w:p w14:paraId="0970AE6B">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284" name="文本框 287"/>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a:effectLst/>
                      </wps:spPr>
                      <wps:txbx>
                        <w:txbxContent>
                          <w:p w14:paraId="0F491E4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工程优质费的</w:t>
                            </w:r>
                          </w:p>
                          <w:p w14:paraId="31E753C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w:t>
                            </w:r>
                          </w:p>
                        </w:txbxContent>
                      </wps:txbx>
                      <wps:bodyPr vert="horz" wrap="square" anchor="t" anchorCtr="0" upright="1"/>
                    </wps:wsp>
                  </a:graphicData>
                </a:graphic>
              </wp:anchor>
            </w:drawing>
          </mc:Choice>
          <mc:Fallback>
            <w:pict>
              <v:shape id="文本框 287" o:spid="_x0000_s1026" o:spt="202" type="#_x0000_t202" style="position:absolute;left:0pt;margin-left:-9pt;margin-top:2.4pt;height:41.3pt;width:81pt;z-index:251949056;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Xf1wNQAAAAIAQAADwAAAAAAAAABACAAAAAiAAAA&#10;ZHJzL2Rvd25yZXYueG1sUEsBAhQAFAAAAAgAh07iQI2Ocf7SAQAAkwMAAA4AAAAAAAAAAQAgAAAA&#10;IwEAAGRycy9lMm9Eb2MueG1sUEsFBgAAAAAGAAYAWQEAAGcFAAAAAA==&#10;">
                <v:fill on="f" focussize="0,0"/>
                <v:stroke on="f"/>
                <v:imagedata o:title=""/>
                <o:lock v:ext="edit" aspectratio="f"/>
                <v:textbox>
                  <w:txbxContent>
                    <w:p w14:paraId="0F491E4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工程优质费的</w:t>
                      </w:r>
                    </w:p>
                    <w:p w14:paraId="31E753C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14:paraId="4D8C3904">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285" name="文本框 288"/>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a:effectLst/>
                      </wps:spPr>
                      <wps:txbx>
                        <w:txbxContent>
                          <w:p w14:paraId="4F162DF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工程优质费计</w:t>
                            </w:r>
                          </w:p>
                          <w:p w14:paraId="615E96A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提与支付</w:t>
                            </w:r>
                          </w:p>
                        </w:txbxContent>
                      </wps:txbx>
                      <wps:bodyPr vert="horz" wrap="square" anchor="t" anchorCtr="0" upright="1"/>
                    </wps:wsp>
                  </a:graphicData>
                </a:graphic>
              </wp:anchor>
            </w:drawing>
          </mc:Choice>
          <mc:Fallback>
            <w:pict>
              <v:shape id="文本框 288" o:spid="_x0000_s1026" o:spt="202" type="#_x0000_t202" style="position:absolute;left:0pt;margin-left:-9pt;margin-top:18.45pt;height:48.9pt;width:72pt;z-index:251950080;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c7z1s2AAAAAoBAAAPAAAAAAAAAAEAIAAA&#10;ACIAAABkcnMvZG93bnJldi54bWxQSwECFAAUAAAACACHTuJAgahuP9MBAACSAwAADgAAAAAAAAAB&#10;ACAAAAAnAQAAZHJzL2Uyb0RvYy54bWxQSwUGAAAAAAYABgBZAQAAbAUAAAAA&#10;">
                <v:fill on="f" focussize="0,0"/>
                <v:stroke on="f"/>
                <v:imagedata o:title=""/>
                <o:lock v:ext="edit" aspectratio="f"/>
                <v:textbox>
                  <w:txbxContent>
                    <w:p w14:paraId="4F162DF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工程优质费计</w:t>
                      </w:r>
                    </w:p>
                    <w:p w14:paraId="615E96A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提与支付</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67.2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55BF41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28天内支付。</w:t>
      </w:r>
    </w:p>
    <w:p w14:paraId="4BB5873B">
      <w:pPr>
        <w:widowControl w:val="0"/>
        <w:adjustRightInd w:val="0"/>
        <w:snapToGrid w:val="0"/>
        <w:spacing w:line="420" w:lineRule="exact"/>
        <w:jc w:val="left"/>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47465AF5">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★68  合同价款的约定与调整</w:t>
      </w:r>
    </w:p>
    <w:p w14:paraId="243DA86B">
      <w:pPr>
        <w:widowControl w:val="0"/>
        <w:adjustRightInd w:val="0"/>
        <w:snapToGrid w:val="0"/>
        <w:spacing w:line="420" w:lineRule="exact"/>
        <w:ind w:left="1325" w:hanging="1325" w:hangingChars="600"/>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68.1       </w:t>
      </w:r>
    </w:p>
    <w:p w14:paraId="3D127E7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286" name="文本框 289"/>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a:effectLst/>
                      </wps:spPr>
                      <wps:txbx>
                        <w:txbxContent>
                          <w:p w14:paraId="1118986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约定合同价款</w:t>
                            </w:r>
                          </w:p>
                        </w:txbxContent>
                      </wps:txbx>
                      <wps:bodyPr vert="horz" wrap="square" anchor="t" anchorCtr="0" upright="1"/>
                    </wps:wsp>
                  </a:graphicData>
                </a:graphic>
              </wp:anchor>
            </w:drawing>
          </mc:Choice>
          <mc:Fallback>
            <w:pict>
              <v:shape id="文本框 289" o:spid="_x0000_s1026" o:spt="202" type="#_x0000_t202" style="position:absolute;left:0pt;margin-left:-9pt;margin-top:4.5pt;height:24.65pt;width:79.5pt;z-index:251951104;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VWQhvVAAAACAEAAA8AAAAAAAAAAQAgAAAAIgAA&#10;AGRycy9kb3ducmV2LnhtbFBLAQIUABQAAAAIAIdO4kDYPrcn0gEAAJMDAAAOAAAAAAAAAAEAIAAA&#10;ACQBAABkcnMvZTJvRG9jLnhtbFBLBQYAAAAABgAGAFkBAABoBQAAAAA=&#10;">
                <v:fill on="f" focussize="0,0"/>
                <v:stroke on="f"/>
                <v:imagedata o:title=""/>
                <o:lock v:ext="edit" aspectratio="f"/>
                <v:textbox>
                  <w:txbxContent>
                    <w:p w14:paraId="1118986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约定合同价款</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14:paraId="45A6EF07">
      <w:pPr>
        <w:widowControl w:val="0"/>
        <w:adjustRightInd w:val="0"/>
        <w:snapToGrid w:val="0"/>
        <w:spacing w:line="420" w:lineRule="exact"/>
        <w:jc w:val="both"/>
        <w:rPr>
          <w:rFonts w:ascii="宋体" w:hAnsi="宋体" w:eastAsia="宋体" w:cs="宋体"/>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952128" behindDoc="0" locked="0" layoutInCell="1" allowOverlap="1">
                <wp:simplePos x="0" y="0"/>
                <wp:positionH relativeFrom="column">
                  <wp:posOffset>-102235</wp:posOffset>
                </wp:positionH>
                <wp:positionV relativeFrom="paragraph">
                  <wp:posOffset>219710</wp:posOffset>
                </wp:positionV>
                <wp:extent cx="726440" cy="483235"/>
                <wp:effectExtent l="0" t="0" r="0" b="0"/>
                <wp:wrapNone/>
                <wp:docPr id="287" name="文本框 290"/>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a:effectLst/>
                      </wps:spPr>
                      <wps:txbx>
                        <w:txbxContent>
                          <w:p w14:paraId="47A8087B">
                            <w:pPr>
                              <w:widowControl w:val="0"/>
                              <w:spacing w:after="120"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合同价款的方式</w:t>
                            </w:r>
                          </w:p>
                        </w:txbxContent>
                      </wps:txbx>
                      <wps:bodyPr vert="horz" wrap="square" anchor="t" anchorCtr="0" upright="1"/>
                    </wps:wsp>
                  </a:graphicData>
                </a:graphic>
              </wp:anchor>
            </w:drawing>
          </mc:Choice>
          <mc:Fallback>
            <w:pict>
              <v:shape id="文本框 290" o:spid="_x0000_s1026" o:spt="202" type="#_x0000_t202" style="position:absolute;left:0pt;margin-left:-8.05pt;margin-top:17.3pt;height:38.05pt;width:57.2pt;z-index:251952128;mso-width-relative:page;mso-height-relative:page;" filled="f" stroked="f" coordsize="21600,21600" o:gfxdata="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J1DI21gAAAAkBAAAPAAAAAAAAAAEAIAAAACIA&#10;AABkcnMvZG93bnJldi54bWxQSwECFAAUAAAACACHTuJAP/0UGNIBAACSAwAADgAAAAAAAAABACAA&#10;AAAlAQAAZHJzL2Uyb0RvYy54bWxQSwUGAAAAAAYABgBZAQAAaQUAAAAA&#10;">
                <v:fill on="f" focussize="0,0"/>
                <v:stroke on="f"/>
                <v:imagedata o:title=""/>
                <o:lock v:ext="edit" aspectratio="f"/>
                <v:textbox>
                  <w:txbxContent>
                    <w:p w14:paraId="47A8087B">
                      <w:pPr>
                        <w:widowControl w:val="0"/>
                        <w:spacing w:after="120"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合同价款的方式</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68.2</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7D715EED">
      <w:pPr>
        <w:widowControl w:val="0"/>
        <w:adjustRightInd w:val="0"/>
        <w:snapToGrid w:val="0"/>
        <w:spacing w:line="420" w:lineRule="exact"/>
        <w:ind w:firstLine="1325" w:firstLineChars="600"/>
        <w:jc w:val="both"/>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下列各种确定合同价款的方式，双方可在专用条款内约定采用其中一种：</w:t>
      </w:r>
    </w:p>
    <w:p w14:paraId="500503A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总价合同。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p>
    <w:p w14:paraId="4DFA509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p>
    <w:p w14:paraId="1DE9666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（3）按实结算合同。承包人根据相关资料编制预算，合同价款是暂定价，双方在专用条款内约定合同价款调整方法。</w:t>
      </w:r>
    </w:p>
    <w:p w14:paraId="4FABA80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（4）其它价格形式。合同当事人可在专用条款中约定其他合同价格形式。</w:t>
      </w:r>
    </w:p>
    <w:p w14:paraId="6925EF98">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68.3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DD5489F">
      <w:pPr>
        <w:widowControl w:val="0"/>
        <w:adjustRightInd w:val="0"/>
        <w:snapToGrid w:val="0"/>
        <w:spacing w:line="420" w:lineRule="exact"/>
        <w:ind w:left="1619" w:leftChars="771"/>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88" name="文本框 291"/>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a:effectLst/>
                      </wps:spPr>
                      <wps:txbx>
                        <w:txbxContent>
                          <w:p w14:paraId="16C1C7D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合同价款的调整事件</w:t>
                            </w:r>
                          </w:p>
                        </w:txbxContent>
                      </wps:txbx>
                      <wps:bodyPr vert="horz" wrap="square" anchor="t" anchorCtr="0" upright="1"/>
                    </wps:wsp>
                  </a:graphicData>
                </a:graphic>
              </wp:anchor>
            </w:drawing>
          </mc:Choice>
          <mc:Fallback>
            <w:pict>
              <v:shape id="文本框 291"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zuGv70wAAAAcBAAAPAAAAAAAAAAEAIAAAACIAAABk&#10;cnMvZG93bnJldi54bWxQSwECFAAUAAAACACHTuJAi+twYtIBAACSAwAADgAAAAAAAAABACAAAAAi&#10;AQAAZHJzL2Uyb0RvYy54bWxQSwUGAAAAAAYABgBZAQAAZgUAAAAA&#10;">
                <v:fill on="f" focussize="0,0"/>
                <v:stroke on="f"/>
                <v:imagedata o:title=""/>
                <o:lock v:ext="edit" aspectratio="f"/>
                <v:textbox>
                  <w:txbxContent>
                    <w:p w14:paraId="16C1C7D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合同价款的调整事件</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合同双方当事人应明确合同价款的调整事件。除专用条款另有约定外，调整事件应包括：</w:t>
      </w:r>
    </w:p>
    <w:p w14:paraId="3EA18B8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（1）后继法律变化事件；</w:t>
      </w:r>
    </w:p>
    <w:p w14:paraId="6E27D9F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（2）项目特征描述不符事件；</w:t>
      </w:r>
    </w:p>
    <w:p w14:paraId="7726355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（3）分部分项工程量清单缺项漏项事件；</w:t>
      </w:r>
    </w:p>
    <w:p w14:paraId="7D19B1C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（4）工程变更事件；</w:t>
      </w:r>
    </w:p>
    <w:p w14:paraId="34B92CA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（5）工程量偏差事件；</w:t>
      </w:r>
    </w:p>
    <w:p w14:paraId="2AED648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（6）费用索赔事件；</w:t>
      </w:r>
    </w:p>
    <w:p w14:paraId="12CA60B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（7）现场签证事件；</w:t>
      </w:r>
    </w:p>
    <w:p w14:paraId="662B84A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（8）物价涨落事件；</w:t>
      </w:r>
    </w:p>
    <w:p w14:paraId="18CB599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（9）专用条款约定的其他事件。</w:t>
      </w:r>
    </w:p>
    <w:p w14:paraId="2FB4AF7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本款(1)至(9)调整事件应分别按照第69条至第76条的规定调整合同价款。</w:t>
      </w:r>
    </w:p>
    <w:p w14:paraId="1D7F956D">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68.4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42502A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89" name="文本框 292"/>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a:effectLst/>
                      </wps:spPr>
                      <wps:txbx>
                        <w:txbxContent>
                          <w:p w14:paraId="0805E3E2">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调整合同价款</w:t>
                            </w:r>
                          </w:p>
                        </w:txbxContent>
                      </wps:txbx>
                      <wps:bodyPr vert="horz" wrap="square" anchor="t" anchorCtr="0" upright="1"/>
                    </wps:wsp>
                  </a:graphicData>
                </a:graphic>
              </wp:anchor>
            </w:drawing>
          </mc:Choice>
          <mc:Fallback>
            <w:pict>
              <v:shape id="文本框 292" o:spid="_x0000_s1026" o:spt="202" type="#_x0000_t202" style="position:absolute;left:0pt;margin-left:-9pt;margin-top:0.4pt;height:41.05pt;width:72pt;z-index:251954176;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&#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zuGv70wAAAAcBAAAPAAAAAAAAAAEAIAAAACIAAABk&#10;cnMvZG93bnJldi54bWxQSwECFAAUAAAACACHTuJAshI5g9IBAACSAwAADgAAAAAAAAABACAAAAAi&#10;AQAAZHJzL2Uyb0RvYy54bWxQSwUGAAAAAAYABgBZAQAAZgUAAAAA&#10;">
                <v:fill on="f" focussize="0,0"/>
                <v:stroke on="f"/>
                <v:imagedata o:title=""/>
                <o:lock v:ext="edit" aspectratio="f"/>
                <v:textbox>
                  <w:txbxContent>
                    <w:p w14:paraId="0805E3E2">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调整合同价款</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出现第68.2款规定调整合同价款事件的，合同双方当事人应调整合同价款。除费用索赔、现场签证事件分别按照第74条、第75条规定外，调整合同价款的提出、核实、确认与支付等事项，由合同双方当事人按照第77条规定办理。</w:t>
      </w:r>
    </w:p>
    <w:p w14:paraId="7CE2C40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根据第68.2款规定事件调整合同价款，如果是按照第48条规定由发包人自行供应或发包人招标、承包人采购材料和工程设备的，均不应考虑第72.2款规定的承包人报价下浮率因素。</w:t>
      </w:r>
    </w:p>
    <w:p w14:paraId="30517267">
      <w:pPr>
        <w:widowControl w:val="0"/>
        <w:tabs>
          <w:tab w:val="left" w:pos="3480"/>
        </w:tabs>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20357D72">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★69  后继法律变化事件</w:t>
      </w:r>
    </w:p>
    <w:p w14:paraId="02D147C7">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955200"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290" name="文本框 293"/>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2E0380F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后继法律变化的价款调整</w:t>
                            </w:r>
                          </w:p>
                        </w:txbxContent>
                      </wps:txbx>
                      <wps:bodyPr vert="horz" wrap="square" anchor="t" anchorCtr="0" upright="1"/>
                    </wps:wsp>
                  </a:graphicData>
                </a:graphic>
              </wp:anchor>
            </w:drawing>
          </mc:Choice>
          <mc:Fallback>
            <w:pict>
              <v:shape id="文本框 293" o:spid="_x0000_s1026" o:spt="202" type="#_x0000_t202" style="position:absolute;left:0pt;margin-left:-10.5pt;margin-top:21.55pt;height:48.75pt;width:72pt;z-index:251955200;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92ABzXAAAACgEAAA8AAAAAAAAAAQAgAAAAIgAA&#10;AGRycy9kb3ducmV2LnhtbFBLAQIUABQAAAAIAIdO4kCik7DN0AEAAJIDAAAOAAAAAAAAAAEAIAAA&#10;ACYBAABkcnMvZTJvRG9jLnhtbFBLBQYAAAAABgAGAFkBAABoBQAAAAA=&#10;">
                <v:fill on="f" focussize="0,0"/>
                <v:stroke on="f"/>
                <v:imagedata o:title=""/>
                <o:lock v:ext="edit" aspectratio="f"/>
                <v:textbox>
                  <w:txbxContent>
                    <w:p w14:paraId="2E0380F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后继法律变化的价款调整</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69.1 </w:t>
      </w:r>
    </w:p>
    <w:p w14:paraId="3D648C4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合同履行期间，出现国家或省颁布的法律和政策在合同工程基准日期后发生变化，且因执行上述法律和政策引起除第76条规定以外的工程造价增减事件的，合同双方当事人应调整合同价款。</w:t>
      </w:r>
    </w:p>
    <w:p w14:paraId="70DBC633">
      <w:pPr>
        <w:widowControl w:val="0"/>
        <w:tabs>
          <w:tab w:val="left" w:pos="540"/>
        </w:tabs>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69.2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9E86F8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291" name="文本框 29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0F9A63A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txbxContent>
                      </wps:txbx>
                      <wps:bodyPr vert="horz" wrap="square" anchor="t" anchorCtr="0" upright="1"/>
                    </wps:wsp>
                  </a:graphicData>
                </a:graphic>
              </wp:anchor>
            </w:drawing>
          </mc:Choice>
          <mc:Fallback>
            <w:pict>
              <v:shape id="文本框 294" o:spid="_x0000_s1026" o:spt="202" type="#_x0000_t202" style="position:absolute;left:0pt;margin-left:-9pt;margin-top:1.25pt;height:48.75pt;width:72pt;z-index:251956224;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PIDAfVAAAACQEAAA8AAAAAAAAAAQAgAAAAIgAA&#10;AGRycy9kb3ducmV2LnhtbFBLAQIUABQAAAAIAIdO4kCz9a9d0gEAAJIDAAAOAAAAAAAAAAEAIAAA&#10;ACQBAABkcnMvZTJvRG9jLnhtbFBLBQYAAAAABgAGAFkBAABoBQAAAAA=&#10;">
                <v:fill on="f" focussize="0,0"/>
                <v:stroke on="f"/>
                <v:imagedata o:title=""/>
                <o:lock v:ext="edit" aspectratio="f"/>
                <v:textbox>
                  <w:txbxContent>
                    <w:p w14:paraId="0F9A63A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发生第69.1款情况的，应根据合同工程实际情况，按照上述法律和政策规定计算调整的合同价款。</w:t>
      </w:r>
    </w:p>
    <w:p w14:paraId="7001508A">
      <w:pPr>
        <w:tabs>
          <w:tab w:val="left" w:pos="1620"/>
        </w:tabs>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5209AFB4">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★70  项目特征描述不符事件</w:t>
      </w:r>
    </w:p>
    <w:p w14:paraId="568B5F25">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70.1 </w:t>
      </w:r>
    </w:p>
    <w:p w14:paraId="7C2BB5B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292" name="文本框 29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0BBD604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项目特征的准确性</w:t>
                            </w:r>
                          </w:p>
                        </w:txbxContent>
                      </wps:txbx>
                      <wps:bodyPr vert="horz" wrap="square" anchor="t" anchorCtr="0" upright="1"/>
                    </wps:wsp>
                  </a:graphicData>
                </a:graphic>
              </wp:anchor>
            </w:drawing>
          </mc:Choice>
          <mc:Fallback>
            <w:pict>
              <v:shape id="文本框 295" o:spid="_x0000_s1026" o:spt="202" type="#_x0000_t202" style="position:absolute;left:0pt;margin-left:-9pt;margin-top:2.7pt;height:48.75pt;width:72pt;z-index:251957248;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xySmF1gAAAAkBAAAPAAAAAAAAAAEAIAAAACIA&#10;AABkcnMvZG93bnJldi54bWxQSwECFAAUAAAACACHTuJAkWdS1NIBAACSAwAADgAAAAAAAAABACAA&#10;AAAlAQAAZHJzL2Uyb0RvYy54bWxQSwUGAAAAAAYABgBZAQAAaQUAAAAA&#10;">
                <v:fill on="f" focussize="0,0"/>
                <v:stroke on="f"/>
                <v:imagedata o:title=""/>
                <o:lock v:ext="edit" aspectratio="f"/>
                <v:textbox>
                  <w:txbxContent>
                    <w:p w14:paraId="0BBD604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项目特征的准确性</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6DB2E67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70.2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DF18B0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3" name="文本框 29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6FCD4FF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项目特征描述不符的价款调整</w:t>
                            </w:r>
                          </w:p>
                          <w:p w14:paraId="7786AB17">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wps:txbx>
                      <wps:bodyPr vert="horz" wrap="square" anchor="t" anchorCtr="0" upright="1"/>
                    </wps:wsp>
                  </a:graphicData>
                </a:graphic>
              </wp:anchor>
            </w:drawing>
          </mc:Choice>
          <mc:Fallback>
            <w:pict>
              <v:shape id="文本框 296"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d//kdQAAAAHAQAADwAAAAAAAAABACAAAAAiAAAA&#10;ZHJzL2Rvd25yZXYueG1sUEsBAhQAFAAAAAgAh07iQKieGzXSAQAAkgMAAA4AAAAAAAAAAQAgAAAA&#10;IwEAAGRycy9lMm9Eb2MueG1sUEsFBgAAAAAGAAYAWQEAAGcFAAAAAA==&#10;">
                <v:fill on="f" focussize="0,0"/>
                <v:stroke on="f"/>
                <v:imagedata o:title=""/>
                <o:lock v:ext="edit" aspectratio="f"/>
                <v:textbox>
                  <w:txbxContent>
                    <w:p w14:paraId="6FCD4FF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项目特征描述不符的价款调整</w:t>
                      </w:r>
                    </w:p>
                    <w:p w14:paraId="7786AB17">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合同履行期间，出现实际施工设计图纸（含设计变更）与招标文件提供的工程量清单任一项目特征描述不符，且该变化引起工程造价增减事件的，合同双方当事人应调整合同价款。</w:t>
      </w:r>
    </w:p>
    <w:p w14:paraId="6A46B367">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70.3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 </w:t>
      </w:r>
    </w:p>
    <w:p w14:paraId="7C40DCE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4" name="文本框 29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75B84D2A">
                            <w:pPr>
                              <w:widowControl w:val="0"/>
                              <w:spacing w:after="120" w:line="200" w:lineRule="exact"/>
                              <w:jc w:val="both"/>
                              <w:rPr>
                                <w:rFonts w:ascii="宋体" w:hAnsi="Times New Roman" w:eastAsia="宋体" w:cs="Times New Roman"/>
                                <w:color w:val="FF0000"/>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p w14:paraId="7063CB46">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wps:txbx>
                      <wps:bodyPr vert="horz" wrap="square" anchor="t" anchorCtr="0" upright="1"/>
                    </wps:wsp>
                  </a:graphicData>
                </a:graphic>
              </wp:anchor>
            </w:drawing>
          </mc:Choice>
          <mc:Fallback>
            <w:pict>
              <v:shape id="文本框 297" o:spid="_x0000_s1026" o:spt="202" type="#_x0000_t202" style="position:absolute;left:0pt;margin-left:-9pt;margin-top:0.45pt;height:48.75pt;width:72pt;z-index:251959296;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53/+R1AAAAAcBAAAPAAAAAAAAAAEAIAAAACIAAABk&#10;cnMvZG93bnJldi54bWxQSwECFAAUAAAACACHTuJAlEXYHNEBAACSAwAADgAAAAAAAAABACAAAAAj&#10;AQAAZHJzL2Uyb0RvYy54bWxQSwUGAAAAAAYABgBZAQAAZgUAAAAA&#10;">
                <v:fill on="f" focussize="0,0"/>
                <v:stroke on="f"/>
                <v:imagedata o:title=""/>
                <o:lock v:ext="edit" aspectratio="f"/>
                <v:textbox>
                  <w:txbxContent>
                    <w:p w14:paraId="75B84D2A">
                      <w:pPr>
                        <w:widowControl w:val="0"/>
                        <w:spacing w:after="120" w:line="200" w:lineRule="exact"/>
                        <w:jc w:val="both"/>
                        <w:rPr>
                          <w:rFonts w:ascii="宋体" w:hAnsi="Times New Roman" w:eastAsia="宋体" w:cs="Times New Roman"/>
                          <w:color w:val="FF0000"/>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p w14:paraId="7063CB46">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发生第70.2款情况的，应按照实际施工的项目特征重新确定相应工程量清单项目的综合单价，计算调整的合同价款。</w:t>
      </w:r>
    </w:p>
    <w:p w14:paraId="5EC337F6">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43C30BB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★71  分部分项工程量清单缺项漏项事件</w:t>
      </w:r>
    </w:p>
    <w:p w14:paraId="0ACA4B24">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71.1  </w:t>
      </w:r>
    </w:p>
    <w:p w14:paraId="7AFB809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295" name="文本框 298"/>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a:effectLst/>
                      </wps:spPr>
                      <wps:txbx>
                        <w:txbxContent>
                          <w:p w14:paraId="7CABF8F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清单缺项漏项的价款调整</w:t>
                            </w:r>
                          </w:p>
                        </w:txbxContent>
                      </wps:txbx>
                      <wps:bodyPr vert="horz" wrap="square" anchor="t" anchorCtr="0" upright="1"/>
                    </wps:wsp>
                  </a:graphicData>
                </a:graphic>
              </wp:anchor>
            </w:drawing>
          </mc:Choice>
          <mc:Fallback>
            <w:pict>
              <v:shape id="文本框 298" o:spid="_x0000_s1026" o:spt="202" type="#_x0000_t202" style="position:absolute;left:0pt;margin-left:-10.5pt;margin-top:0.5pt;height:54.5pt;width:72pt;z-index:251960320;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Fk3jDUAAAACQEAAA8AAAAAAAAAAQAgAAAAIgAA&#10;AGRycy9kb3ducmV2LnhtbFBLAQIUABQAAAAIAIdO4kAe5N6P0wEAAJIDAAAOAAAAAAAAAAEAIAAA&#10;ACMBAABkcnMvZTJvRG9jLnhtbFBLBQYAAAAABgAGAFkBAABoBQAAAAA=&#10;">
                <v:fill on="f" focussize="0,0"/>
                <v:stroke on="f"/>
                <v:imagedata o:title=""/>
                <o:lock v:ext="edit" aspectratio="f"/>
                <v:textbox>
                  <w:txbxContent>
                    <w:p w14:paraId="7CABF8F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清单缺项漏项的价款调整</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61344"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296" name="文本框 29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FF54A02">
                            <w:pPr>
                              <w:rPr>
                                <w:rFonts w:ascii="Calibri" w:hAnsi="Calibri" w:eastAsia="宋体" w:cs="Times New Roman"/>
                                <w:szCs w:val="21"/>
                              </w:rPr>
                            </w:pPr>
                          </w:p>
                        </w:txbxContent>
                      </wps:txbx>
                      <wps:bodyPr vert="horz" wrap="square" anchor="t" anchorCtr="0" upright="1"/>
                    </wps:wsp>
                  </a:graphicData>
                </a:graphic>
              </wp:anchor>
            </w:drawing>
          </mc:Choice>
          <mc:Fallback>
            <w:pict>
              <v:shape id="文本框 299" o:spid="_x0000_s1026" o:spt="202" type="#_x0000_t202" style="position:absolute;left:0pt;margin-left:-10.5pt;margin-top:0.5pt;height:54.6pt;width:72pt;z-index:251961344;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GJqRNQAAAAJAQAADwAAAAAAAAABACAAAAAiAAAA&#10;ZHJzL2Rvd25yZXYueG1sUEsBAhQAFAAAAAgAh07iQFfuMqrSAQAAkgMAAA4AAAAAAAAAAQAgAAAA&#10;IwEAAGRycy9lMm9Eb2MueG1sUEsFBgAAAAAGAAYAWQEAAGcFAAAAAA==&#10;">
                <v:fill on="f" focussize="0,0"/>
                <v:stroke on="f"/>
                <v:imagedata o:title=""/>
                <o:lock v:ext="edit" aspectratio="f"/>
                <v:textbox>
                  <w:txbxContent>
                    <w:p w14:paraId="6FF54A02">
                      <w:pPr>
                        <w:rPr>
                          <w:rFonts w:ascii="Calibri" w:hAnsi="Calibri" w:eastAsia="宋体" w:cs="Times New Roman"/>
                          <w:szCs w:val="21"/>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合同履行期间，出现工程量清单中分部分项工程缺项漏项事件的，合同双方当事人应调整合同价款。</w:t>
      </w:r>
    </w:p>
    <w:p w14:paraId="0D031FA9">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71.2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3E8876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62368"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297" name="文本框 300"/>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a:effectLst/>
                      </wps:spPr>
                      <wps:txbx>
                        <w:txbxContent>
                          <w:p w14:paraId="52140B9C">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p w14:paraId="444BA390">
                            <w:pPr>
                              <w:spacing w:line="240" w:lineRule="exact"/>
                              <w:rPr>
                                <w:rFonts w:ascii="Times New Roman" w:hAnsi="Times New Roman" w:eastAsia="宋体" w:cs="Times New Roman"/>
                                <w:sz w:val="18"/>
                                <w:szCs w:val="18"/>
                              </w:rPr>
                            </w:pPr>
                          </w:p>
                        </w:txbxContent>
                      </wps:txbx>
                      <wps:bodyPr vert="horz" wrap="square" anchor="t" anchorCtr="0" upright="1"/>
                    </wps:wsp>
                  </a:graphicData>
                </a:graphic>
              </wp:anchor>
            </w:drawing>
          </mc:Choice>
          <mc:Fallback>
            <w:pict>
              <v:shape id="文本框 300" o:spid="_x0000_s1026" o:spt="202" type="#_x0000_t202" style="position:absolute;left:0pt;margin-left:-5.25pt;margin-top:0.7pt;height:54.5pt;width:72pt;z-index:251962368;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&#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OiKMt1AAAAAkBAAAPAAAAAAAAAAEAIAAAACIAAABk&#10;cnMvZG93bnJldi54bWxQSwECFAAUAAAACACHTuJA2GnvVNEBAACSAwAADgAAAAAAAAABACAAAAAj&#10;AQAAZHJzL2Uyb0RvYy54bWxQSwUGAAAAAAYABgBZAQAAZgUAAAAA&#10;">
                <v:fill on="f" focussize="0,0"/>
                <v:stroke on="f"/>
                <v:imagedata o:title=""/>
                <o:lock v:ext="edit" aspectratio="f"/>
                <v:textbox>
                  <w:txbxContent>
                    <w:p w14:paraId="52140B9C">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p w14:paraId="444BA390">
                      <w:pPr>
                        <w:spacing w:line="240" w:lineRule="exact"/>
                        <w:rPr>
                          <w:rFonts w:ascii="Times New Roman" w:hAnsi="Times New Roman" w:eastAsia="宋体" w:cs="Times New Roman"/>
                          <w:sz w:val="18"/>
                          <w:szCs w:val="18"/>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工程量清单中分部分项工程出现缺项漏项，造成新增工程量清单项目的，应按照第72.2款规定计算调整的分部分项工程费。</w:t>
      </w:r>
    </w:p>
    <w:p w14:paraId="2C0A7F89">
      <w:pPr>
        <w:widowControl w:val="0"/>
        <w:tabs>
          <w:tab w:val="left" w:pos="540"/>
        </w:tabs>
        <w:adjustRightInd w:val="0"/>
        <w:snapToGrid w:val="0"/>
        <w:spacing w:before="240" w:beforeLines="100"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71.3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0FFC8EE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63392"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298" name="文本框 301"/>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a:effectLst/>
                      </wps:spPr>
                      <wps:txbx>
                        <w:txbxContent>
                          <w:p w14:paraId="4D24C17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p w14:paraId="253E8CB4">
                            <w:pPr>
                              <w:spacing w:line="240" w:lineRule="exact"/>
                              <w:rPr>
                                <w:rFonts w:ascii="Times New Roman" w:hAnsi="Times New Roman" w:eastAsia="宋体" w:cs="Times New Roman"/>
                                <w:sz w:val="18"/>
                                <w:szCs w:val="18"/>
                              </w:rPr>
                            </w:pPr>
                          </w:p>
                        </w:txbxContent>
                      </wps:txbx>
                      <wps:bodyPr vert="horz" wrap="square" anchor="t" anchorCtr="0" upright="1"/>
                    </wps:wsp>
                  </a:graphicData>
                </a:graphic>
              </wp:anchor>
            </w:drawing>
          </mc:Choice>
          <mc:Fallback>
            <w:pict>
              <v:shape id="文本框 301" o:spid="_x0000_s1026" o:spt="202" type="#_x0000_t202" style="position:absolute;left:0pt;margin-left:-10.5pt;margin-top:0.4pt;height:54.5pt;width:72pt;z-index:251963392;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X3xw51QAAAAgBAAAPAAAAAAAAAAEAIAAAACIA&#10;AABkcnMvZG93bnJldi54bWxQSwECFAAUAAAACACHTuJAmSYh5tMBAACSAwAADgAAAAAAAAABACAA&#10;AAAkAQAAZHJzL2Uyb0RvYy54bWxQSwUGAAAAAAYABgBZAQAAaQUAAAAA&#10;">
                <v:fill on="f" focussize="0,0"/>
                <v:stroke on="f"/>
                <v:imagedata o:title=""/>
                <o:lock v:ext="edit" aspectratio="f"/>
                <v:textbox>
                  <w:txbxContent>
                    <w:p w14:paraId="4D24C17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p w14:paraId="253E8CB4">
                      <w:pPr>
                        <w:spacing w:line="240" w:lineRule="exact"/>
                        <w:rPr>
                          <w:rFonts w:ascii="Times New Roman" w:hAnsi="Times New Roman" w:eastAsia="宋体" w:cs="Times New Roman"/>
                          <w:sz w:val="18"/>
                          <w:szCs w:val="18"/>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工程量清单中分部分项工程出现缺项漏项，引起增加措施项目的，应按照第72.3款规定在提交的实施方案被批准后计算调整的措施项目费。</w:t>
      </w:r>
    </w:p>
    <w:p w14:paraId="73CD7F51">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5C67017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★72  工程变更事件</w:t>
      </w:r>
    </w:p>
    <w:p w14:paraId="49D264A7">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299" name="文本框 302"/>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a:effectLst/>
                      </wps:spPr>
                      <wps:txbx>
                        <w:txbxContent>
                          <w:p w14:paraId="7BF5473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工程变更的价</w:t>
                            </w:r>
                          </w:p>
                          <w:p w14:paraId="3AD0155C">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wps:txbx>
                      <wps:bodyPr vert="horz" wrap="square" anchor="t" anchorCtr="0" upright="1"/>
                    </wps:wsp>
                  </a:graphicData>
                </a:graphic>
              </wp:anchor>
            </w:drawing>
          </mc:Choice>
          <mc:Fallback>
            <w:pict>
              <v:shape id="文本框 302" o:spid="_x0000_s1026" o:spt="202" type="#_x0000_t202" style="position:absolute;left:0pt;margin-left:-9pt;margin-top:14.6pt;height:31.2pt;width:81pt;z-index:251964416;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yuP0rXAAAACQEAAA8AAAAAAAAAAQAgAAAA&#10;IgAAAGRycy9kb3ducmV2LnhtbFBLAQIUABQAAAAIAIdO4kCWh8Yq0wEAAJMDAAAOAAAAAAAAAAEA&#10;IAAAACYBAABkcnMvZTJvRG9jLnhtbFBLBQYAAAAABgAGAFkBAABrBQAAAAA=&#10;">
                <v:fill on="f" focussize="0,0"/>
                <v:stroke on="f"/>
                <v:imagedata o:title=""/>
                <o:lock v:ext="edit" aspectratio="f"/>
                <v:textbox>
                  <w:txbxContent>
                    <w:p w14:paraId="7BF5473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工程变更的价</w:t>
                      </w:r>
                    </w:p>
                    <w:p w14:paraId="3AD0155C">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72.1      </w:t>
      </w:r>
    </w:p>
    <w:p w14:paraId="276ED93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合同履行期间，出现第56条工程变更事件的，合同双方当事人应调整合同价款。</w:t>
      </w:r>
    </w:p>
    <w:p w14:paraId="5AF8351F">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72.2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    </w:t>
      </w:r>
    </w:p>
    <w:p w14:paraId="22935F2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300" name="文本框 303"/>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a:effectLst/>
                      </wps:spPr>
                      <wps:txbx>
                        <w:txbxContent>
                          <w:p w14:paraId="6B9DD7E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wps:txbx>
                      <wps:bodyPr vert="horz" wrap="square" anchor="t" anchorCtr="0" upright="1"/>
                    </wps:wsp>
                  </a:graphicData>
                </a:graphic>
              </wp:anchor>
            </w:drawing>
          </mc:Choice>
          <mc:Fallback>
            <w:pict>
              <v:shape id="文本框 303" o:spid="_x0000_s1026" o:spt="202" type="#_x0000_t202" style="position:absolute;left:0pt;margin-left:-9pt;margin-top:0.5pt;height:46.7pt;width:72pt;z-index:251965440;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GOP/NUAAAAIAQAADwAAAAAAAAABACAAAAAiAAAA&#10;ZHJzL2Rvd25yZXYueG1sUEsBAhQAFAAAAAgAh07iQFlzL3DRAQAAkgMAAA4AAAAAAAAAAQAgAAAA&#10;JAEAAGRycy9lMm9Eb2MueG1sUEsFBgAAAAAGAAYAWQEAAGcFAAAAAA==&#10;">
                <v:fill on="f" focussize="0,0"/>
                <v:stroke on="f"/>
                <v:imagedata o:title=""/>
                <o:lock v:ext="edit" aspectratio="f"/>
                <v:textbox>
                  <w:txbxContent>
                    <w:p w14:paraId="6B9DD7E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工程变更引起分部分项工程项目发生变化，属于第73.2款规定情况的，按照其规定调整；否则按照下列规定调整分部分项工程费：</w:t>
      </w:r>
    </w:p>
    <w:p w14:paraId="57D1EF5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(1)合同中有适用于变更工程项目的，按照该项目的单价或合价调整；</w:t>
      </w:r>
    </w:p>
    <w:p w14:paraId="626B6ED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(2)合同中没有适用、只有类似于变更工程项目的，可在合理范围内参照类似项目的单价或合价调整；</w:t>
      </w:r>
    </w:p>
    <w:p w14:paraId="6DB690F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p>
    <w:p w14:paraId="79B6408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其中，招标工程：承包人报价浮动率L=（1—中标价格/招标控制价）×100%；</w:t>
      </w:r>
    </w:p>
    <w:p w14:paraId="5A1CDC5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非招标工程：承包人报价浮动率L=（1—报价值/施工图预算）×100%。</w:t>
      </w:r>
    </w:p>
    <w:p w14:paraId="6355866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式中：中标价格、招标控制价或报价值、施工图预算，均不含绿色施工安全防护费。</w:t>
      </w:r>
    </w:p>
    <w:p w14:paraId="1B78F30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14:paraId="1D305634">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72.3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153848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1" name="文本框 3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3C8E6A2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wps:txbx>
                      <wps:bodyPr vert="horz" wrap="square" anchor="t" anchorCtr="0" upright="1"/>
                    </wps:wsp>
                  </a:graphicData>
                </a:graphic>
              </wp:anchor>
            </w:drawing>
          </mc:Choice>
          <mc:Fallback>
            <w:pict>
              <v:shape id="文本框 304" o:spid="_x0000_s1026" o:spt="202" type="#_x0000_t202" style="position:absolute;left:0pt;margin-left:-9pt;margin-top:3.6pt;height:31.2pt;width:72pt;z-index:251966464;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PS031QAAAAgBAAAPAAAAAAAAAAEAIAAAACIA&#10;AABkcnMvZG93bnJldi54bWxQSwECFAAUAAAACACHTuJAHOnUG9MBAACSAwAADgAAAAAAAAABACAA&#10;AAAkAQAAZHJzL2Uyb0RvYy54bWxQSwUGAAAAAAYABgBZAQAAaQUAAAAA&#10;">
                <v:fill on="f" focussize="0,0"/>
                <v:stroke on="f"/>
                <v:imagedata o:title=""/>
                <o:lock v:ext="edit" aspectratio="f"/>
                <v:textbox>
                  <w:txbxContent>
                    <w:p w14:paraId="3C8E6A2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1719861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(1)按系数计算的绿色施工安全防护费，按照实际发生变化的措施项目调整，不得浮动。</w:t>
      </w:r>
    </w:p>
    <w:p w14:paraId="0C80BB5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(2)凡可计算工程量的措施项目费，按照实际发生变化的措施项目的工程量乘以第72.2款规定的单价或合价调整。</w:t>
      </w:r>
    </w:p>
    <w:p w14:paraId="15E40EE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(3)凡按系数计算的措施项目费，除本款第(1)点情形外，按照实际发生变化的措施项目调整，但应考虑承包人报价浮动因素，即调整金额按照实际调整金额乘以第72.2款规定的承包人报价浮动率计算。</w:t>
      </w:r>
    </w:p>
    <w:p w14:paraId="06DA94C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如果不利一方当事人未按本款规定事先将拟实施的方案提交给另一方当事人，则认为工程变更不引起措施项目费的调整或不利一方当事人放弃调整措施项目费的权利。</w:t>
      </w:r>
    </w:p>
    <w:p w14:paraId="0B5A235C">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72.4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28D634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302" name="文本框 305"/>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a:effectLst/>
                      </wps:spPr>
                      <wps:txbx>
                        <w:txbxContent>
                          <w:p w14:paraId="5140629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调整承包人报</w:t>
                            </w:r>
                          </w:p>
                          <w:p w14:paraId="0F19952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价偏差的方法</w:t>
                            </w:r>
                          </w:p>
                        </w:txbxContent>
                      </wps:txbx>
                      <wps:bodyPr vert="horz" wrap="square" anchor="t" anchorCtr="0" upright="1"/>
                    </wps:wsp>
                  </a:graphicData>
                </a:graphic>
              </wp:anchor>
            </w:drawing>
          </mc:Choice>
          <mc:Fallback>
            <w:pict>
              <v:shape id="文本框 305" o:spid="_x0000_s1026" o:spt="202" type="#_x0000_t202" style="position:absolute;left:0pt;margin-left:-9pt;margin-top:1.05pt;height:60.35pt;width:81pt;z-index:251967488;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DLkB1gAAAAkBAAAPAAAAAAAAAAEAIAAAACIA&#10;AABkcnMvZG93bnJldi54bWxQSwECFAAUAAAACACHTuJArrFcn9IBAACTAwAADgAAAAAAAAABACAA&#10;AAAlAQAAZHJzL2Uyb0RvYy54bWxQSwUGAAAAAAYABgBZAQAAaQUAAAAA&#10;">
                <v:fill on="f" focussize="0,0"/>
                <v:stroke on="f"/>
                <v:imagedata o:title=""/>
                <o:lock v:ext="edit" aspectratio="f"/>
                <v:textbox>
                  <w:txbxContent>
                    <w:p w14:paraId="5140629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调整承包人报</w:t>
                      </w:r>
                    </w:p>
                    <w:p w14:paraId="0F19952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价偏差的方法</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量发生变化的分部分项工程项目，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14:paraId="0E654FD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(1)当P0 &lt;P1 ×(1-L)×(1-15%)时，该类项目的综合单价按照P1 ×(1-L)×(1-15%)调整。 </w:t>
      </w:r>
    </w:p>
    <w:p w14:paraId="2A1ACCE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(2)当P0 &gt;P1 × (1+15%)时，该类项目的综合单价按照P1 ×（1+15%)调整。 </w:t>
      </w:r>
    </w:p>
    <w:p w14:paraId="26D5459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式中：P0——承包人在工程量清单中填报的综合单价。</w:t>
      </w:r>
    </w:p>
    <w:p w14:paraId="1C1A967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P1——发包人招标控制价或施工预算相应清单项目的综合单价。</w:t>
      </w:r>
    </w:p>
    <w:p w14:paraId="23696B1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L——第72.2款规定的承包人报价浮动率。</w:t>
      </w:r>
    </w:p>
    <w:p w14:paraId="5C41858F">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72.5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A99008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3" name="文本框 3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3AAB319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删减工作或工程的补偿</w:t>
                            </w:r>
                          </w:p>
                        </w:txbxContent>
                      </wps:txbx>
                      <wps:bodyPr vert="horz" wrap="square" anchor="t" anchorCtr="0" upright="1"/>
                    </wps:wsp>
                  </a:graphicData>
                </a:graphic>
              </wp:anchor>
            </w:drawing>
          </mc:Choice>
          <mc:Fallback>
            <w:pict>
              <v:shape id="文本框 306" o:spid="_x0000_s1026" o:spt="202" type="#_x0000_t202" style="position:absolute;left:0pt;margin-left:-9pt;margin-top:3.6pt;height:31.2pt;width:72pt;z-index:251968512;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PS031QAAAAgBAAAPAAAAAAAAAAEAIAAAACIA&#10;AABkcnMvZG93bnJldi54bWxQSwECFAAUAAAACACHTuJAB4Jgc9MBAACSAwAADgAAAAAAAAABACAA&#10;AAAkAQAAZHJzL2Uyb0RvYy54bWxQSwUGAAAAAAYABgBZAQAAaQUAAAAA&#10;">
                <v:fill on="f" focussize="0,0"/>
                <v:stroke on="f"/>
                <v:imagedata o:title=""/>
                <o:lock v:ext="edit" aspectratio="f"/>
                <v:textbox>
                  <w:txbxContent>
                    <w:p w14:paraId="3AAB319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删减工作或工程的补偿</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14:paraId="44CBF9F9">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69A325EC">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★73  工程量偏差事件</w:t>
      </w:r>
    </w:p>
    <w:p w14:paraId="1611ECDF">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73.1</w:t>
      </w:r>
    </w:p>
    <w:p w14:paraId="20CA2E1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304" name="文本框 307"/>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a:effectLst/>
                      </wps:spPr>
                      <wps:txbx>
                        <w:txbxContent>
                          <w:p w14:paraId="2E7665AC">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工程量偏差价</w:t>
                            </w:r>
                          </w:p>
                          <w:p w14:paraId="6A8FBCD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wps:txbx>
                      <wps:bodyPr vert="horz" wrap="square" anchor="t" anchorCtr="0" upright="1"/>
                    </wps:wsp>
                  </a:graphicData>
                </a:graphic>
              </wp:anchor>
            </w:drawing>
          </mc:Choice>
          <mc:Fallback>
            <w:pict>
              <v:shape id="文本框 307" o:spid="_x0000_s1026" o:spt="202" type="#_x0000_t202" style="position:absolute;left:0pt;margin-left:-9pt;margin-top:0.15pt;height:59.85pt;width:81pt;z-index:251969536;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ufPVO1AAAAAgBAAAPAAAAAAAAAAEAIAAAACIAAABk&#10;cnMvZG93bnJldi54bWxQSwECFAAUAAAACACHTuJAg/ApctEBAACTAwAADgAAAAAAAAABACAAAAAj&#10;AQAAZHJzL2Uyb0RvYy54bWxQSwUGAAAAAAYABgBZAQAAZgUAAAAA&#10;">
                <v:fill on="f" focussize="0,0"/>
                <v:stroke on="f"/>
                <v:imagedata o:title=""/>
                <o:lock v:ext="edit" aspectratio="f"/>
                <v:textbox>
                  <w:txbxContent>
                    <w:p w14:paraId="2E7665AC">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工程量偏差价</w:t>
                      </w:r>
                    </w:p>
                    <w:p w14:paraId="6A8FBCD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20F7808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合同履行期间，出现工程量偏差，且符合第73.2款、第73.3款规定事件的，合同双方当事人应调整合同价款。调整合同价款时，出现第72.4款情形的，应先按照其规定调整，再按照本条规定调整。</w:t>
      </w:r>
    </w:p>
    <w:p w14:paraId="7F051E70">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73.2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EDF6D7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305" name="文本框 308"/>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a:effectLst/>
                      </wps:spPr>
                      <wps:txbx>
                        <w:txbxContent>
                          <w:p w14:paraId="7DCFA64F">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wps:txbx>
                      <wps:bodyPr vert="horz" wrap="square" anchor="t" anchorCtr="0" upright="1"/>
                    </wps:wsp>
                  </a:graphicData>
                </a:graphic>
              </wp:anchor>
            </w:drawing>
          </mc:Choice>
          <mc:Fallback>
            <w:pict>
              <v:shape id="文本框 308" o:spid="_x0000_s1026" o:spt="202" type="#_x0000_t202" style="position:absolute;left:0pt;margin-left:-9pt;margin-top:2.1pt;height:35pt;width:72pt;z-index:251970560;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IqvrdUAAAAIAQAADwAAAAAAAAABACAAAAAiAAAA&#10;ZHJzL2Rvd25yZXYueG1sUEsBAhQAFAAAAAgAh07iQMpaVx7RAQAAkgMAAA4AAAAAAAAAAQAgAAAA&#10;JAEAAGRycy9lMm9Eb2MueG1sUEsFBgAAAAAGAAYAWQEAAGcFAAAAAA==&#10;">
                <v:fill on="f" focussize="0,0"/>
                <v:stroke on="f"/>
                <v:imagedata o:title=""/>
                <o:lock v:ext="edit" aspectratio="f"/>
                <v:textbox>
                  <w:txbxContent>
                    <w:p w14:paraId="7DCFA64F">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对于某一分部分项工程项目，如果因本条规定工程量偏差和第56条规定工程变更等原因导致工程量偏差超过10%，且该变化使其分部分项工程费变化超过0.1%，则超过10%部分的综合单价应予调整。除专用条款另有约定外，应按照下列规定调整该分部分项工程费结算价：</w:t>
      </w:r>
    </w:p>
    <w:p w14:paraId="099D3FC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（1）当Q1﹥1.1Q0时，S=1.1Q0×P0+（Q1-1.1Q0）×P1</w:t>
      </w:r>
    </w:p>
    <w:p w14:paraId="1F50DDC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（2）当Q1﹤0.9Q0时，S=0.9Q0×P0-（0.9Q0-Q1）×P1</w:t>
      </w:r>
    </w:p>
    <w:p w14:paraId="2F299C6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式中S——调整后的某一分部分项工程费结算价；</w:t>
      </w:r>
    </w:p>
    <w:p w14:paraId="23ED860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Q1——最终完成的工程量；</w:t>
      </w:r>
    </w:p>
    <w:p w14:paraId="4F59B91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Q0——工程量清单中开列的工程量；</w:t>
      </w:r>
    </w:p>
    <w:p w14:paraId="69AFEDD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P1——按照最终完成工程量重新调整后的综合单价；</w:t>
      </w:r>
    </w:p>
    <w:p w14:paraId="4A45D14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P0——承包人在工程量清单中填报的综合单价。</w:t>
      </w:r>
    </w:p>
    <w:p w14:paraId="57154748">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73.3</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439A907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306" name="文本框 309"/>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a:effectLst/>
                      </wps:spPr>
                      <wps:txbx>
                        <w:txbxContent>
                          <w:p w14:paraId="7BFEF4D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wps:txbx>
                      <wps:bodyPr vert="horz" wrap="square" anchor="t" anchorCtr="0" upright="1"/>
                    </wps:wsp>
                  </a:graphicData>
                </a:graphic>
              </wp:anchor>
            </w:drawing>
          </mc:Choice>
          <mc:Fallback>
            <w:pict>
              <v:shape id="文本框 309" o:spid="_x0000_s1026" o:spt="202" type="#_x0000_t202" style="position:absolute;left:0pt;margin-left:-9pt;margin-top:4.05pt;height:39.8pt;width:72pt;z-index:251971584;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VFjKbUAAAACAEAAA8AAAAAAAAAAQAgAAAAIgAA&#10;AGRycy9kb3ducmV2LnhtbFBLAQIUABQAAAAIAIdO4kBAhHDK0wEAAJIDAAAOAAAAAAAAAAEAIAAA&#10;ACMBAABkcnMvZTJvRG9jLnhtbFBLBQYAAAAABgAGAFkBAABoBQAAAAA=&#10;">
                <v:fill on="f" focussize="0,0"/>
                <v:stroke on="f"/>
                <v:imagedata o:title=""/>
                <o:lock v:ext="edit" aspectratio="f"/>
                <v:textbox>
                  <w:txbxContent>
                    <w:p w14:paraId="7BFEF4D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因本条规定工程量偏差使某一分部分项工程费的变化超过10%，且该变化引起措施项目相应发生变化，则发生变化部分的措施项目费应按照第72.3款规定调整。除专用条款另有约定外，应按照下列规定调整发生变化的措施项目费结算价：</w:t>
      </w:r>
    </w:p>
    <w:p w14:paraId="3285352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（1）当S1﹥1.1S0时，M1=M0+△M</w:t>
      </w:r>
    </w:p>
    <w:p w14:paraId="04467B2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（2）当S1﹤0.9S0时，M1=M0–△M</w:t>
      </w:r>
    </w:p>
    <w:p w14:paraId="7B592BF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式中M1——调整后的发生变化措施项目费结算价；</w:t>
      </w:r>
    </w:p>
    <w:p w14:paraId="55CB41D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M0——承包人在工程量清单中填报的措施项目费；</w:t>
      </w:r>
    </w:p>
    <w:p w14:paraId="5F97310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∆M——按照第72.3款规定调整的发生变化部分的措施项目费；</w:t>
      </w:r>
    </w:p>
    <w:p w14:paraId="3E8751A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S1——调整后的某一分部分项工程费结算价；</w:t>
      </w:r>
    </w:p>
    <w:p w14:paraId="61653A2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S0——承包人报价文件对应的某一分部分项工程费。</w:t>
      </w:r>
    </w:p>
    <w:p w14:paraId="18C50CC5">
      <w:pPr>
        <w:tabs>
          <w:tab w:val="left" w:pos="1620"/>
        </w:tabs>
        <w:spacing w:line="420" w:lineRule="exact"/>
        <w:rPr>
          <w:rFonts w:ascii="宋体" w:hAnsi="宋体" w:eastAsia="宋体" w:cs="宋体"/>
          <w:b/>
          <w:bCs/>
          <w:color w:val="000000" w:themeColor="text1"/>
          <w:sz w:val="22"/>
          <w:szCs w:val="22"/>
          <w:highlight w:val="none"/>
          <w:u w:val="single"/>
          <w14:textFill>
            <w14:solidFill>
              <w14:schemeClr w14:val="tx1"/>
            </w14:solidFill>
          </w14:textFill>
        </w:rPr>
      </w:pPr>
      <w:r>
        <w:rPr>
          <w:rFonts w:hint="eastAsia" w:ascii="宋体" w:hAnsi="宋体" w:eastAsia="宋体" w:cs="宋体"/>
          <w:b/>
          <w:bCs/>
          <w:color w:val="000000" w:themeColor="text1"/>
          <w:sz w:val="22"/>
          <w:szCs w:val="22"/>
          <w:highlight w:val="none"/>
          <w:u w:val="single"/>
          <w14:textFill>
            <w14:solidFill>
              <w14:schemeClr w14:val="tx1"/>
            </w14:solidFill>
          </w14:textFill>
        </w:rPr>
        <w:t xml:space="preserve">                                                                                       </w:t>
      </w:r>
    </w:p>
    <w:p w14:paraId="64EC5BF1">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★74  费用索赔事件</w:t>
      </w:r>
    </w:p>
    <w:p w14:paraId="5AF1050E">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74.1      </w:t>
      </w:r>
    </w:p>
    <w:p w14:paraId="335E54D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7" name="文本框 31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779C91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索赔的价款调整</w:t>
                            </w:r>
                          </w:p>
                        </w:txbxContent>
                      </wps:txbx>
                      <wps:bodyPr vert="horz" wrap="square" anchor="t" anchorCtr="0" upright="1"/>
                    </wps:wsp>
                  </a:graphicData>
                </a:graphic>
              </wp:anchor>
            </w:drawing>
          </mc:Choice>
          <mc:Fallback>
            <w:pict>
              <v:shape id="文本框 310"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P8HDVAAAACAEAAA8AAAAAAAAAAQAgAAAAIgAA&#10;AGRycy9kb3ducmV2LnhtbFBLAQIUABQAAAAIAIdO4kCsZQ7h0gEAAJIDAAAOAAAAAAAAAAEAIAAA&#10;ACQBAABkcnMvZTJvRG9jLnhtbFBLBQYAAAAABgAGAFkBAABoBQAAAAA=&#10;">
                <v:fill on="f" focussize="0,0"/>
                <v:stroke on="f"/>
                <v:imagedata o:title=""/>
                <o:lock v:ext="edit" aspectratio="f"/>
                <v:textbox>
                  <w:txbxContent>
                    <w:p w14:paraId="4779C91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索赔的价款调整</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费用索赔是指合同履行期间，对于非自己过错而应由对方当事人承担责任的情况造成的损失，向对方当事人提出经济补偿要求的行为。</w:t>
      </w:r>
    </w:p>
    <w:p w14:paraId="3E5A30A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合同履行期间，出现费用索赔事件的，合同双方当事人应调整合同价款。</w:t>
      </w:r>
    </w:p>
    <w:p w14:paraId="13A7B320">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74.2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8C6414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8" name="文本框 31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3EFD4EC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发出索赔意向书</w:t>
                            </w:r>
                          </w:p>
                        </w:txbxContent>
                      </wps:txbx>
                      <wps:bodyPr vert="horz" wrap="square" anchor="t" anchorCtr="0" upright="1"/>
                    </wps:wsp>
                  </a:graphicData>
                </a:graphic>
              </wp:anchor>
            </w:drawing>
          </mc:Choice>
          <mc:Fallback>
            <w:pict>
              <v:shape id="文本框 311" o:spid="_x0000_s1026" o:spt="202" type="#_x0000_t202" style="position:absolute;left:0pt;margin-left:-9pt;margin-top:1.25pt;height:31.2pt;width:72pt;z-index:25197363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Pz/Bw1QAAAAgBAAAPAAAAAAAAAAEAIAAAACIA&#10;AABkcnMvZG93bnJldi54bWxQSwECFAAUAAAACACHTuJA7SrAU9MBAACSAwAADgAAAAAAAAABACAA&#10;AAAkAQAAZHJzL2Uyb0RvYy54bWxQSwUGAAAAAAYABgBZAQAAaQUAAAAA&#10;">
                <v:fill on="f" focussize="0,0"/>
                <v:stroke on="f"/>
                <v:imagedata o:title=""/>
                <o:lock v:ext="edit" aspectratio="f"/>
                <v:textbox>
                  <w:txbxContent>
                    <w:p w14:paraId="3EFD4EC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发出索赔意向书</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如果承包人根据合同约定提出任何费用或其它形式的损失索赔时，应在该索赔事件首次发生之后的14天内向造价工程师发出索赔意向书，并抄送发包人。</w:t>
      </w:r>
    </w:p>
    <w:p w14:paraId="2DA4FD15">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74.3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D6E79F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309" name="文本框 312"/>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a:effectLst/>
                      </wps:spPr>
                      <wps:txbx>
                        <w:txbxContent>
                          <w:p w14:paraId="30D55E7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索赔记录的保存和审查</w:t>
                            </w:r>
                          </w:p>
                        </w:txbxContent>
                      </wps:txbx>
                      <wps:bodyPr vert="horz" wrap="square" anchor="t" anchorCtr="0" upright="1"/>
                    </wps:wsp>
                  </a:graphicData>
                </a:graphic>
              </wp:anchor>
            </w:drawing>
          </mc:Choice>
          <mc:Fallback>
            <w:pict>
              <v:shape id="文本框 312" o:spid="_x0000_s1026" o:spt="202" type="#_x0000_t202" style="position:absolute;left:0pt;margin-left:-9pt;margin-top:0.05pt;height:41.15pt;width:72pt;z-index:251974656;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3TZAp0wAAAAcBAAAPAAAAAAAAAAEAIAAAACIAAABk&#10;cnMvZG93bnJldi54bWxQSwECFAAUAAAACACHTuJA/RuBV9IBAACSAwAADgAAAAAAAAABACAAAAAi&#10;AQAAZHJzL2Uyb0RvYy54bWxQSwUGAAAAAAYABgBZAQAAZgUAAAAA&#10;">
                <v:fill on="f" focussize="0,0"/>
                <v:stroke on="f"/>
                <v:imagedata o:title=""/>
                <o:lock v:ext="edit" aspectratio="f"/>
                <v:textbox>
                  <w:txbxContent>
                    <w:p w14:paraId="30D55E7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索赔记录的保存和审查</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2AE638C9">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74.4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32D4DC7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310" name="文本框 313"/>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a:effectLst/>
                      </wps:spPr>
                      <wps:txbx>
                        <w:txbxContent>
                          <w:p w14:paraId="5D00DB7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提交费用索赔</w:t>
                            </w:r>
                          </w:p>
                          <w:p w14:paraId="16FDEAD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报告</w:t>
                            </w:r>
                          </w:p>
                        </w:txbxContent>
                      </wps:txbx>
                      <wps:bodyPr vert="horz" wrap="square" anchor="t" anchorCtr="0" upright="1"/>
                    </wps:wsp>
                  </a:graphicData>
                </a:graphic>
              </wp:anchor>
            </w:drawing>
          </mc:Choice>
          <mc:Fallback>
            <w:pict>
              <v:shape id="文本框 313" o:spid="_x0000_s1026" o:spt="202" type="#_x0000_t202" style="position:absolute;left:0pt;margin-left:-9pt;margin-top:0.4pt;height:37.8pt;width:81pt;z-index:251975680;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GayXNMAAAAHAQAADwAAAAAAAAABACAAAAAiAAAAZHJz&#10;L2Rvd25yZXYueG1sUEsBAhQAFAAAAAgAh07iQCA/ukrQAQAAkwMAAA4AAAAAAAAAAQAgAAAAIgEA&#10;AGRycy9lMm9Eb2MueG1sUEsFBgAAAAAGAAYAWQEAAGQFAAAAAA==&#10;">
                <v:fill on="f" focussize="0,0"/>
                <v:stroke on="f"/>
                <v:imagedata o:title=""/>
                <o:lock v:ext="edit" aspectratio="f"/>
                <v:textbox>
                  <w:txbxContent>
                    <w:p w14:paraId="5D00DB7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提交费用索赔</w:t>
                      </w:r>
                    </w:p>
                    <w:p w14:paraId="16FDEAD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报告</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14:paraId="62E0BBFE">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311" name="文本框 314"/>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a:effectLst/>
                      </wps:spPr>
                      <wps:txbx>
                        <w:txbxContent>
                          <w:p w14:paraId="7246BC8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无权索赔</w:t>
                            </w:r>
                          </w:p>
                        </w:txbxContent>
                      </wps:txbx>
                      <wps:bodyPr vert="horz" wrap="square" anchor="t" anchorCtr="0" upright="1"/>
                    </wps:wsp>
                  </a:graphicData>
                </a:graphic>
              </wp:anchor>
            </w:drawing>
          </mc:Choice>
          <mc:Fallback>
            <w:pict>
              <v:shape id="文本框 314" o:spid="_x0000_s1026" o:spt="202" type="#_x0000_t202" style="position:absolute;left:0pt;margin-left:-9pt;margin-top:19.75pt;height:25.55pt;width:63pt;z-index:251976704;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DV2otYAAAAJAQAADwAAAAAAAAABACAAAAAiAAAA&#10;ZHJzL2Rvd25yZXYueG1sUEsBAhQAFAAAAAgAh07iQMf3x9DQAQAAkgMAAA4AAAAAAAAAAQAgAAAA&#10;JQEAAGRycy9lMm9Eb2MueG1sUEsFBgAAAAAGAAYAWQEAAGcFAAAAAA==&#10;">
                <v:fill on="f" focussize="0,0"/>
                <v:stroke on="f"/>
                <v:imagedata o:title=""/>
                <o:lock v:ext="edit" aspectratio="f"/>
                <v:textbox>
                  <w:txbxContent>
                    <w:p w14:paraId="7246BC8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无权索赔</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74.5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4A0845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如果承包人提出的索赔未能遵守第74.2款至第74.4款规定，则承包人无权获得索赔或只限于获得由造价工程师按照提供记录予以核实的部分款额。</w:t>
      </w:r>
    </w:p>
    <w:p w14:paraId="24A417AF">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74.6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84EB2E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312" name="文本框 315"/>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a:effectLst/>
                      </wps:spPr>
                      <wps:txbx>
                        <w:txbxContent>
                          <w:p w14:paraId="65D96D0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核实费用索赔报告的限制</w:t>
                            </w:r>
                          </w:p>
                        </w:txbxContent>
                      </wps:txbx>
                      <wps:bodyPr vert="horz" wrap="square" anchor="t" anchorCtr="0" upright="1"/>
                    </wps:wsp>
                  </a:graphicData>
                </a:graphic>
              </wp:anchor>
            </w:drawing>
          </mc:Choice>
          <mc:Fallback>
            <w:pict>
              <v:shape id="文本框 315" o:spid="_x0000_s1026" o:spt="202" type="#_x0000_t202" style="position:absolute;left:0pt;margin-left:-9pt;margin-top:0.65pt;height:34.55pt;width:72pt;z-index:251977728;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v/TQXVAAAACAEAAA8AAAAAAAAAAQAgAAAAIgAA&#10;AGRycy9kb3ducmV2LnhtbFBLAQIUABQAAAAIAIdO4kBhNuba0gEAAJIDAAAOAAAAAAAAAAEAIAAA&#10;ACQBAABkcnMvZTJvRG9jLnhtbFBLBQYAAAAABgAGAFkBAABoBQAAAAA=&#10;">
                <v:fill on="f" focussize="0,0"/>
                <v:stroke on="f"/>
                <v:imagedata o:title=""/>
                <o:lock v:ext="edit" aspectratio="f"/>
                <v:textbox>
                  <w:txbxContent>
                    <w:p w14:paraId="65D96D0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核实费用索赔报告的限制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14:paraId="32D60475">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74.7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56016E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313" name="文本框 316"/>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a:effectLst/>
                      </wps:spPr>
                      <wps:txbx>
                        <w:txbxContent>
                          <w:p w14:paraId="18C38F3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反索赔</w:t>
                            </w:r>
                          </w:p>
                        </w:txbxContent>
                      </wps:txbx>
                      <wps:bodyPr vert="horz" wrap="square" anchor="t" anchorCtr="0" upright="1"/>
                    </wps:wsp>
                  </a:graphicData>
                </a:graphic>
              </wp:anchor>
            </w:drawing>
          </mc:Choice>
          <mc:Fallback>
            <w:pict>
              <v:shape id="文本框 316" o:spid="_x0000_s1026" o:spt="202" type="#_x0000_t202" style="position:absolute;left:0pt;margin-left:-9pt;margin-top:3.05pt;height:27.55pt;width:63pt;z-index:251978752;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6SadMAAAAIAQAADwAAAAAAAAABACAAAAAiAAAAZHJz&#10;L2Rvd25yZXYueG1sUEsBAhQAFAAAAAgAh07iQIoyS6jQAQAAkgMAAA4AAAAAAAAAAQAgAAAAIgEA&#10;AGRycy9lMm9Eb2MueG1sUEsFBgAAAAAGAAYAWQEAAGQFAAAAAA==&#10;">
                <v:fill on="f" focussize="0,0"/>
                <v:stroke on="f"/>
                <v:imagedata o:title=""/>
                <o:lock v:ext="edit" aspectratio="f"/>
                <v:textbox>
                  <w:txbxContent>
                    <w:p w14:paraId="18C38F3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反索赔</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承包人未能按照合同约定履行各项义务或发生错误，给发包人造成损失，发包人可按照本条规定的时限和要求向承包人提出索赔。</w:t>
      </w:r>
    </w:p>
    <w:p w14:paraId="57BDFB7E">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74.8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4F9B63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314" name="文本框 317"/>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a:effectLst/>
                      </wps:spPr>
                      <wps:txbx>
                        <w:txbxContent>
                          <w:p w14:paraId="0332FDB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txbxContent>
                      </wps:txbx>
                      <wps:bodyPr vert="horz" wrap="square" anchor="t" anchorCtr="0" upright="1"/>
                    </wps:wsp>
                  </a:graphicData>
                </a:graphic>
              </wp:anchor>
            </w:drawing>
          </mc:Choice>
          <mc:Fallback>
            <w:pict>
              <v:shape id="文本框 317" o:spid="_x0000_s1026" o:spt="202" type="#_x0000_t202" style="position:absolute;left:0pt;margin-left:-9pt;margin-top:1.45pt;height:49pt;width:72pt;z-index:251979776;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uumvWAAAACQEAAA8AAAAAAAAAAQAgAAAAIgAA&#10;AGRycy9kb3ducmV2LnhtbFBLAQIUABQAAAAIAIdO4kCBdOfI0QEAAJIDAAAOAAAAAAAAAAEAIAAA&#10;ACUBAABkcnMvZTJvRG9jLnhtbFBLBQYAAAAABgAGAFkBAABoBQAAAAA=&#10;">
                <v:fill on="f" focussize="0,0"/>
                <v:stroke on="f"/>
                <v:imagedata o:title=""/>
                <o:lock v:ext="edit" aspectratio="f"/>
                <v:textbox>
                  <w:txbxContent>
                    <w:p w14:paraId="0332FDB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费用索赔报告被认可，则表明该事件已索赔成功，合同双方当事人应确认由此引起调整的合同价款，并作为追加（减）合同价款，与工程进度款或结算款同期支付。</w:t>
      </w:r>
    </w:p>
    <w:p w14:paraId="0B31ABC2">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0F612614">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★75  现场签证事件</w:t>
      </w:r>
    </w:p>
    <w:p w14:paraId="3D54C8D5">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75.1 </w:t>
      </w:r>
    </w:p>
    <w:p w14:paraId="00B3D32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5" name="文本框 318"/>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a:effectLst/>
                      </wps:spPr>
                      <wps:txbx>
                        <w:txbxContent>
                          <w:p w14:paraId="04B5515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现场签证的价款调整</w:t>
                            </w:r>
                          </w:p>
                          <w:p w14:paraId="31401CCB">
                            <w:pPr>
                              <w:rPr>
                                <w:rFonts w:ascii="Times New Roman" w:hAnsi="Times New Roman" w:eastAsia="宋体" w:cs="Times New Roman"/>
                                <w:szCs w:val="21"/>
                              </w:rPr>
                            </w:pPr>
                          </w:p>
                        </w:txbxContent>
                      </wps:txbx>
                      <wps:bodyPr vert="horz" wrap="square" anchor="t" anchorCtr="0" upright="1"/>
                    </wps:wsp>
                  </a:graphicData>
                </a:graphic>
              </wp:anchor>
            </w:drawing>
          </mc:Choice>
          <mc:Fallback>
            <w:pict>
              <v:shape id="文本框 318" o:spid="_x0000_s1026" o:spt="202" type="#_x0000_t202" style="position:absolute;left:0pt;margin-left:-9pt;margin-top:0.4pt;height:40.2pt;width:72pt;z-index:251980800;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W41/tMAAAAHAQAADwAAAAAAAAABACAAAAAiAAAA&#10;ZHJzL2Rvd25yZXYueG1sUEsBAhQAFAAAAAgAh07iQFBM57TTAQAAkgMAAA4AAAAAAAAAAQAgAAAA&#10;IgEAAGRycy9lMm9Eb2MueG1sUEsFBgAAAAAGAAYAWQEAAGcFAAAAAA==&#10;">
                <v:fill on="f" focussize="0,0"/>
                <v:stroke on="f"/>
                <v:imagedata o:title=""/>
                <o:lock v:ext="edit" aspectratio="f"/>
                <v:textbox>
                  <w:txbxContent>
                    <w:p w14:paraId="04B5515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现场签证的价款调整</w:t>
                      </w:r>
                    </w:p>
                    <w:p w14:paraId="31401CCB">
                      <w:pPr>
                        <w:rPr>
                          <w:rFonts w:ascii="Times New Roman" w:hAnsi="Times New Roman" w:eastAsia="宋体" w:cs="Times New Roman"/>
                          <w:szCs w:val="21"/>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现场签证是指合同双方当事人就施工过程中涉及的责任事件所作的签认证明。</w:t>
      </w:r>
    </w:p>
    <w:p w14:paraId="0182A6C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合同履行期间，出现现场签证事件的，合同双方当事人应调整合同价款。</w:t>
      </w:r>
    </w:p>
    <w:p w14:paraId="579AD51C">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75.2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8C8BBFB">
      <w:pPr>
        <w:widowControl w:val="0"/>
        <w:adjustRightInd w:val="0"/>
        <w:snapToGrid w:val="0"/>
        <w:spacing w:line="420" w:lineRule="exact"/>
        <w:ind w:left="1617" w:leftChars="770" w:firstLine="1"/>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316" name="文本框 319"/>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a:effectLst/>
                      </wps:spPr>
                      <wps:txbx>
                        <w:txbxContent>
                          <w:p w14:paraId="1E6E66F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现场签证的提出</w:t>
                            </w:r>
                          </w:p>
                          <w:p w14:paraId="322A938C">
                            <w:pPr>
                              <w:rPr>
                                <w:rFonts w:ascii="Times New Roman" w:hAnsi="Times New Roman" w:eastAsia="宋体" w:cs="Times New Roman"/>
                                <w:szCs w:val="21"/>
                              </w:rPr>
                            </w:pPr>
                          </w:p>
                        </w:txbxContent>
                      </wps:txbx>
                      <wps:bodyPr vert="horz" wrap="square" anchor="t" anchorCtr="0" upright="1"/>
                    </wps:wsp>
                  </a:graphicData>
                </a:graphic>
              </wp:anchor>
            </w:drawing>
          </mc:Choice>
          <mc:Fallback>
            <w:pict>
              <v:shape id="文本框 319" o:spid="_x0000_s1026" o:spt="202" type="#_x0000_t202" style="position:absolute;left:0pt;margin-left:-9pt;margin-top:1.45pt;height:40.2pt;width:72pt;z-index:251981824;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Zeed9UAAAAIAQAADwAAAAAAAAABACAAAAAi&#10;AAAAZHJzL2Rvd25yZXYueG1sUEsBAhQAFAAAAAgAh07iQHLeGj3UAQAAkgMAAA4AAAAAAAAAAQAg&#10;AAAAJAEAAGRycy9lMm9Eb2MueG1sUEsFBgAAAAAGAAYAWQEAAGoFAAAAAA==&#10;">
                <v:fill on="f" focussize="0,0"/>
                <v:stroke on="f"/>
                <v:imagedata o:title=""/>
                <o:lock v:ext="edit" aspectratio="f"/>
                <v:textbox>
                  <w:txbxContent>
                    <w:p w14:paraId="1E6E66F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现场签证的提出</w:t>
                      </w:r>
                    </w:p>
                    <w:p w14:paraId="322A938C">
                      <w:pPr>
                        <w:rPr>
                          <w:rFonts w:ascii="Times New Roman" w:hAnsi="Times New Roman" w:eastAsia="宋体" w:cs="Times New Roman"/>
                          <w:szCs w:val="21"/>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041BCC24">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75.3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CDBCB0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7" name="文本框 32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a:effectLst/>
                      </wps:spPr>
                      <wps:txbx>
                        <w:txbxContent>
                          <w:p w14:paraId="381C25C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现场签证报告的确认</w:t>
                            </w:r>
                          </w:p>
                          <w:p w14:paraId="356B3421">
                            <w:pPr>
                              <w:rPr>
                                <w:rFonts w:ascii="Times New Roman" w:hAnsi="Times New Roman" w:eastAsia="宋体" w:cs="Times New Roman"/>
                                <w:szCs w:val="21"/>
                              </w:rPr>
                            </w:pPr>
                          </w:p>
                        </w:txbxContent>
                      </wps:txbx>
                      <wps:bodyPr vert="horz" wrap="square" anchor="t" anchorCtr="0" upright="1"/>
                    </wps:wsp>
                  </a:graphicData>
                </a:graphic>
              </wp:anchor>
            </w:drawing>
          </mc:Choice>
          <mc:Fallback>
            <w:pict>
              <v:shape id="文本框 320" o:spid="_x0000_s1026" o:spt="202" type="#_x0000_t202" style="position:absolute;left:0pt;margin-left:-9pt;margin-top:0.4pt;height:40.2pt;width:72pt;z-index:251982848;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&#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VbjX+0wAAAAcBAAAPAAAAAAAAAAEAIAAAACIAAABk&#10;cnMvZG93bnJldi54bWxQSwECFAAUAAAACACHTuJAlNSiitIBAACSAwAADgAAAAAAAAABACAAAAAi&#10;AQAAZHJzL2Uyb0RvYy54bWxQSwUGAAAAAAYABgBZAQAAZgUAAAAA&#10;">
                <v:fill on="f" focussize="0,0"/>
                <v:stroke on="f"/>
                <v:imagedata o:title=""/>
                <o:lock v:ext="edit" aspectratio="f"/>
                <v:textbox>
                  <w:txbxContent>
                    <w:p w14:paraId="381C25C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现场签证报告的确认</w:t>
                      </w:r>
                    </w:p>
                    <w:p w14:paraId="356B3421">
                      <w:pPr>
                        <w:rPr>
                          <w:rFonts w:ascii="Times New Roman" w:hAnsi="Times New Roman" w:eastAsia="宋体" w:cs="Times New Roman"/>
                          <w:szCs w:val="21"/>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视为承包人提交的现场签证报告已被认可。</w:t>
      </w:r>
    </w:p>
    <w:p w14:paraId="717155C4">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75.4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BDE5B8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318" name="文本框 321"/>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a:effectLst/>
                      </wps:spPr>
                      <wps:txbx>
                        <w:txbxContent>
                          <w:p w14:paraId="4A004AD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现场签证的要求</w:t>
                            </w:r>
                          </w:p>
                          <w:p w14:paraId="0D3E9439">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24C90E1C">
                            <w:pPr>
                              <w:rPr>
                                <w:rFonts w:ascii="Times New Roman" w:hAnsi="Times New Roman" w:eastAsia="宋体" w:cs="Times New Roman"/>
                                <w:szCs w:val="21"/>
                              </w:rPr>
                            </w:pPr>
                          </w:p>
                        </w:txbxContent>
                      </wps:txbx>
                      <wps:bodyPr vert="horz" wrap="square" anchor="t" anchorCtr="0" upright="1"/>
                    </wps:wsp>
                  </a:graphicData>
                </a:graphic>
              </wp:anchor>
            </w:drawing>
          </mc:Choice>
          <mc:Fallback>
            <w:pict>
              <v:shape id="文本框 321" o:spid="_x0000_s1026" o:spt="202" type="#_x0000_t202" style="position:absolute;left:0pt;margin-left:-9pt;margin-top:2.7pt;height:37.8pt;width:72pt;z-index:251983872;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cztPfVAAAACAEAAA8AAAAAAAAAAQAgAAAAIgAA&#10;AGRycy9kb3ducmV2LnhtbFBLAQIUABQAAAAIAIdO4kAyaNm10gEAAJIDAAAOAAAAAAAAAAEAIAAA&#10;ACQBAABkcnMvZTJvRG9jLnhtbFBLBQYAAAAABgAGAFkBAABoBQAAAAA=&#10;">
                <v:fill on="f" focussize="0,0"/>
                <v:stroke on="f"/>
                <v:imagedata o:title=""/>
                <o:lock v:ext="edit" aspectratio="f"/>
                <v:textbox>
                  <w:txbxContent>
                    <w:p w14:paraId="4A004AD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现场签证的要求</w:t>
                      </w:r>
                    </w:p>
                    <w:p w14:paraId="0D3E9439">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24C90E1C">
                      <w:pPr>
                        <w:rPr>
                          <w:rFonts w:ascii="Times New Roman" w:hAnsi="Times New Roman" w:eastAsia="宋体" w:cs="Times New Roman"/>
                          <w:szCs w:val="21"/>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计日工有相应单价或合同中有适用单价的项目，合同双方当事人仅在现场签证报告中列明完成该类项目所需的人工、材料、工程设备和施工设备机械台班的数量。</w:t>
      </w:r>
    </w:p>
    <w:p w14:paraId="4B344B30">
      <w:pPr>
        <w:widowControl w:val="0"/>
        <w:adjustRightInd w:val="0"/>
        <w:snapToGrid w:val="0"/>
        <w:spacing w:line="420" w:lineRule="exact"/>
        <w:ind w:left="1619" w:leftChars="771"/>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计日工没有相应单价或合同中没有适用单价的项目，合同双方当事人应在现场签证报告中列明完成这类项目所需的人工、材料、工程设备和施工设备机械台班的数量和单价。</w:t>
      </w:r>
    </w:p>
    <w:p w14:paraId="6F77C98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75.5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D6412A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19" name="文本框 32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a:effectLst/>
                      </wps:spPr>
                      <wps:txbx>
                        <w:txbxContent>
                          <w:p w14:paraId="0DFC2CE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现场签证工作的实施</w:t>
                            </w:r>
                          </w:p>
                          <w:p w14:paraId="12AB0AD4">
                            <w:pPr>
                              <w:widowControl w:val="0"/>
                              <w:adjustRightInd w:val="0"/>
                              <w:snapToGrid w:val="0"/>
                              <w:jc w:val="both"/>
                              <w:rPr>
                                <w:rFonts w:ascii="Times New Roman" w:hAnsi="Times New Roman" w:eastAsia="楷体_GB2312" w:cs="Times New Roman"/>
                                <w:b/>
                                <w:bCs/>
                                <w:kern w:val="2"/>
                                <w:sz w:val="18"/>
                                <w:szCs w:val="18"/>
                                <w:lang w:val="en-US" w:eastAsia="zh-CN" w:bidi="ar-SA"/>
                              </w:rPr>
                            </w:pPr>
                          </w:p>
                          <w:p w14:paraId="20D36E34">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7F7C7C66">
                            <w:pPr>
                              <w:rPr>
                                <w:rFonts w:ascii="Times New Roman" w:hAnsi="Times New Roman" w:eastAsia="宋体" w:cs="Times New Roman"/>
                                <w:szCs w:val="21"/>
                              </w:rPr>
                            </w:pPr>
                          </w:p>
                        </w:txbxContent>
                      </wps:txbx>
                      <wps:bodyPr vert="horz" wrap="square" anchor="t" anchorCtr="0" upright="1"/>
                    </wps:wsp>
                  </a:graphicData>
                </a:graphic>
              </wp:anchor>
            </w:drawing>
          </mc:Choice>
          <mc:Fallback>
            <w:pict>
              <v:shape id="文本框 322"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bHp6c1gAAAAkBAAAPAAAAAAAAAAEAIAAAACIA&#10;AABkcnMvZG93bnJldi54bWxQSwECFAAUAAAACACHTuJAC5GQVNIBAACSAwAADgAAAAAAAAABACAA&#10;AAAlAQAAZHJzL2Uyb0RvYy54bWxQSwUGAAAAAAYABgBZAQAAaQUAAAAA&#10;">
                <v:fill on="f" focussize="0,0"/>
                <v:stroke on="f"/>
                <v:imagedata o:title=""/>
                <o:lock v:ext="edit" aspectratio="f"/>
                <v:textbox>
                  <w:txbxContent>
                    <w:p w14:paraId="0DFC2CE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现场签证工作的实施</w:t>
                      </w:r>
                    </w:p>
                    <w:p w14:paraId="12AB0AD4">
                      <w:pPr>
                        <w:widowControl w:val="0"/>
                        <w:adjustRightInd w:val="0"/>
                        <w:snapToGrid w:val="0"/>
                        <w:jc w:val="both"/>
                        <w:rPr>
                          <w:rFonts w:ascii="Times New Roman" w:hAnsi="Times New Roman" w:eastAsia="楷体_GB2312" w:cs="Times New Roman"/>
                          <w:b/>
                          <w:bCs/>
                          <w:kern w:val="2"/>
                          <w:sz w:val="18"/>
                          <w:szCs w:val="18"/>
                          <w:lang w:val="en-US" w:eastAsia="zh-CN" w:bidi="ar-SA"/>
                        </w:rPr>
                      </w:pPr>
                    </w:p>
                    <w:p w14:paraId="20D36E34">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7F7C7C66">
                      <w:pPr>
                        <w:rPr>
                          <w:rFonts w:ascii="Times New Roman" w:hAnsi="Times New Roman" w:eastAsia="宋体" w:cs="Times New Roman"/>
                          <w:szCs w:val="21"/>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承包人应在发包人确认现场签证报告后的48小时内，按照监理工程师发出的工作指令及时组织实施相关工作。否则，由此引起的损失和（或）延误的工期由承包人承担。</w:t>
      </w:r>
    </w:p>
    <w:p w14:paraId="2897B8E9">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75.6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087B0B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0" name="文本框 32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a:effectLst/>
                      </wps:spPr>
                      <wps:txbx>
                        <w:txbxContent>
                          <w:p w14:paraId="577824F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现场签证的限制</w:t>
                            </w:r>
                          </w:p>
                          <w:p w14:paraId="65CCF3C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p>
                          <w:p w14:paraId="2711CE15">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648FA280">
                            <w:pPr>
                              <w:rPr>
                                <w:rFonts w:ascii="Times New Roman" w:hAnsi="Times New Roman" w:eastAsia="宋体" w:cs="Times New Roman"/>
                                <w:szCs w:val="21"/>
                              </w:rPr>
                            </w:pPr>
                          </w:p>
                        </w:txbxContent>
                      </wps:txbx>
                      <wps:bodyPr vert="horz" wrap="square" anchor="t" anchorCtr="0" upright="1"/>
                    </wps:wsp>
                  </a:graphicData>
                </a:graphic>
              </wp:anchor>
            </w:drawing>
          </mc:Choice>
          <mc:Fallback>
            <w:pict>
              <v:shape id="文本框 323"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bHp6c1gAAAAkBAAAPAAAAAAAAAAEAIAAAACIA&#10;AABkcnMvZG93bnJldi54bWxQSwECFAAUAAAACACHTuJApHE7uNIBAACSAwAADgAAAAAAAAABACAA&#10;AAAlAQAAZHJzL2Uyb0RvYy54bWxQSwUGAAAAAAYABgBZAQAAaQUAAAAA&#10;">
                <v:fill on="f" focussize="0,0"/>
                <v:stroke on="f"/>
                <v:imagedata o:title=""/>
                <o:lock v:ext="edit" aspectratio="f"/>
                <v:textbox>
                  <w:txbxContent>
                    <w:p w14:paraId="577824F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现场签证的限制</w:t>
                      </w:r>
                    </w:p>
                    <w:p w14:paraId="65CCF3C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p>
                    <w:p w14:paraId="2711CE15">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648FA280">
                      <w:pPr>
                        <w:rPr>
                          <w:rFonts w:ascii="Times New Roman" w:hAnsi="Times New Roman" w:eastAsia="宋体" w:cs="Times New Roman"/>
                          <w:szCs w:val="21"/>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合同工程发生现场签证事件，未经发包人签证、确认，承包人便擅自实施相关工作的，除非征得发包人同意，否则发生的费用由承包人承担。</w:t>
      </w:r>
    </w:p>
    <w:p w14:paraId="03316B46">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75.7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3FD5FF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1" name="文本框 324"/>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a:effectLst/>
                      </wps:spPr>
                      <wps:txbx>
                        <w:txbxContent>
                          <w:p w14:paraId="5AEB424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p w14:paraId="72358B63">
                            <w:pPr>
                              <w:widowControl w:val="0"/>
                              <w:adjustRightInd w:val="0"/>
                              <w:snapToGrid w:val="0"/>
                              <w:jc w:val="both"/>
                              <w:rPr>
                                <w:rFonts w:ascii="Times New Roman" w:hAnsi="Times New Roman" w:eastAsia="楷体_GB2312" w:cs="Times New Roman"/>
                                <w:b/>
                                <w:bCs/>
                                <w:kern w:val="2"/>
                                <w:sz w:val="18"/>
                                <w:szCs w:val="18"/>
                                <w:lang w:val="en-US" w:eastAsia="zh-CN" w:bidi="ar-SA"/>
                              </w:rPr>
                            </w:pPr>
                          </w:p>
                          <w:p w14:paraId="6DA591C2">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75FCD192">
                            <w:pPr>
                              <w:rPr>
                                <w:rFonts w:ascii="Times New Roman" w:hAnsi="Times New Roman" w:eastAsia="宋体" w:cs="Times New Roman"/>
                                <w:szCs w:val="21"/>
                              </w:rPr>
                            </w:pPr>
                          </w:p>
                        </w:txbxContent>
                      </wps:txbx>
                      <wps:bodyPr vert="horz" wrap="square" anchor="t" anchorCtr="0" upright="1"/>
                    </wps:wsp>
                  </a:graphicData>
                </a:graphic>
              </wp:anchor>
            </w:drawing>
          </mc:Choice>
          <mc:Fallback>
            <w:pict>
              <v:shape id="文本框 324" o:spid="_x0000_s1026" o:spt="202" type="#_x0000_t202" style="position:absolute;left:0pt;margin-left:-9pt;margin-top:6.1pt;height:37.8pt;width:72pt;z-index:25198694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bHp6c1gAAAAkBAAAPAAAAAAAAAAEAIAAAACIA&#10;AABkcnMvZG93bnJldi54bWxQSwECFAAUAAAACACHTuJAtRckKNIBAACSAwAADgAAAAAAAAABACAA&#10;AAAlAQAAZHJzL2Uyb0RvYy54bWxQSwUGAAAAAAYABgBZAQAAaQUAAAAA&#10;">
                <v:fill on="f" focussize="0,0"/>
                <v:stroke on="f"/>
                <v:imagedata o:title=""/>
                <o:lock v:ext="edit" aspectratio="f"/>
                <v:textbox>
                  <w:txbxContent>
                    <w:p w14:paraId="5AEB424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p w14:paraId="72358B63">
                      <w:pPr>
                        <w:widowControl w:val="0"/>
                        <w:adjustRightInd w:val="0"/>
                        <w:snapToGrid w:val="0"/>
                        <w:jc w:val="both"/>
                        <w:rPr>
                          <w:rFonts w:ascii="Times New Roman" w:hAnsi="Times New Roman" w:eastAsia="楷体_GB2312" w:cs="Times New Roman"/>
                          <w:b/>
                          <w:bCs/>
                          <w:kern w:val="2"/>
                          <w:sz w:val="18"/>
                          <w:szCs w:val="18"/>
                          <w:lang w:val="en-US" w:eastAsia="zh-CN" w:bidi="ar-SA"/>
                        </w:rPr>
                      </w:pPr>
                    </w:p>
                    <w:p w14:paraId="6DA591C2">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75FCD192">
                      <w:pPr>
                        <w:rPr>
                          <w:rFonts w:ascii="Times New Roman" w:hAnsi="Times New Roman" w:eastAsia="宋体" w:cs="Times New Roman"/>
                          <w:szCs w:val="21"/>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现场签证工作完成后的48小时内，合同双方当事人应确认由此引起调整的合同价款，并作为追加合同价款，与工程进度款同期支付。</w:t>
      </w:r>
    </w:p>
    <w:p w14:paraId="0F3BF834">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04A1EBE6">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★76  物价涨落事件</w:t>
      </w:r>
    </w:p>
    <w:p w14:paraId="2DFFFE83">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322" name="文本框 325"/>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a:effectLst/>
                      </wps:spPr>
                      <wps:txbx>
                        <w:txbxContent>
                          <w:p w14:paraId="78B79EC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物价涨落的价款调整</w:t>
                            </w:r>
                          </w:p>
                        </w:txbxContent>
                      </wps:txbx>
                      <wps:bodyPr vert="horz" wrap="square" anchor="t" anchorCtr="0" upright="1"/>
                    </wps:wsp>
                  </a:graphicData>
                </a:graphic>
              </wp:anchor>
            </w:drawing>
          </mc:Choice>
          <mc:Fallback>
            <w:pict>
              <v:shape id="文本框 325" o:spid="_x0000_s1026" o:spt="202" type="#_x0000_t202" style="position:absolute;left:0pt;margin-left:-9pt;margin-top:21.6pt;height:46.55pt;width:72pt;z-index:251987968;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syqi3XAAAACgEAAA8AAAAAAAAAAQAgAAAA&#10;IgAAAGRycy9kb3ducmV2LnhtbFBLAQIUABQAAAAIAIdO4kAMcpSz0wEAAJIDAAAOAAAAAAAAAAEA&#10;IAAAACYBAABkcnMvZTJvRG9jLnhtbFBLBQYAAAAABgAGAFkBAABrBQAAAAA=&#10;">
                <v:fill on="f" focussize="0,0"/>
                <v:stroke on="f"/>
                <v:imagedata o:title=""/>
                <o:lock v:ext="edit" aspectratio="f"/>
                <v:textbox>
                  <w:txbxContent>
                    <w:p w14:paraId="78B79EC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物价涨落的价款调整</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76.1      </w:t>
      </w:r>
    </w:p>
    <w:p w14:paraId="4B4A4CFA">
      <w:pPr>
        <w:widowControl w:val="0"/>
        <w:adjustRightInd w:val="0"/>
        <w:snapToGrid w:val="0"/>
        <w:spacing w:line="420" w:lineRule="exact"/>
        <w:ind w:left="1619" w:leftChars="771"/>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合同履行期间，除专用合同条款另有约定外，市场价格波动超过合同当事人约定的范围，合同价格应当调整。合同当事人可以在专用条款中约定按通用条款76.3款选择一种方式对合同价格进行调整。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p>
    <w:p w14:paraId="216AC54F">
      <w:pPr>
        <w:widowControl w:val="0"/>
        <w:tabs>
          <w:tab w:val="left" w:pos="540"/>
        </w:tabs>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988992"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323" name="文本框 32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166F132A">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人工费的调整方法</w:t>
                            </w:r>
                          </w:p>
                        </w:txbxContent>
                      </wps:txbx>
                      <wps:bodyPr vert="horz" wrap="square" anchor="t" anchorCtr="0" upright="1"/>
                    </wps:wsp>
                  </a:graphicData>
                </a:graphic>
              </wp:anchor>
            </w:drawing>
          </mc:Choice>
          <mc:Fallback>
            <w:pict>
              <v:shape id="文本框 326" o:spid="_x0000_s1026" o:spt="202" type="#_x0000_t202" style="position:absolute;left:0pt;margin-left:-10.5pt;margin-top:19.5pt;height:48.75pt;width:72pt;z-index:251988992;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nPrZfXAAAACgEAAA8AAAAAAAAAAQAgAAAA&#10;IgAAAGRycy9kb3ducmV2LnhtbFBLAQIUABQAAAAIAIdO4kDsL6Vr0wEAAJIDAAAOAAAAAAAAAAEA&#10;IAAAACYBAABkcnMvZTJvRG9jLnhtbFBLBQYAAAAABgAGAFkBAABrBQAAAAA=&#10;">
                <v:fill on="f" focussize="0,0"/>
                <v:stroke on="f"/>
                <v:imagedata o:title=""/>
                <o:lock v:ext="edit" aspectratio="f"/>
                <v:textbox>
                  <w:txbxContent>
                    <w:p w14:paraId="166F132A">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人工费的调整方法</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76.2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D1B8CC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执行第76.3款“第1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14:paraId="5B41A28A">
      <w:pPr>
        <w:widowControl w:val="0"/>
        <w:tabs>
          <w:tab w:val="left" w:pos="540"/>
        </w:tabs>
        <w:adjustRightInd w:val="0"/>
        <w:snapToGrid w:val="0"/>
        <w:spacing w:line="420" w:lineRule="exact"/>
        <w:jc w:val="both"/>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76.3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F156BE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324" name="文本框 327"/>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a:effectLst/>
                      </wps:spPr>
                      <wps:txbx>
                        <w:txbxContent>
                          <w:p w14:paraId="66AD17B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承包人采购材料和工程设备的材料设备费、施工机械费调 整方法</w:t>
                            </w:r>
                          </w:p>
                        </w:txbxContent>
                      </wps:txbx>
                      <wps:bodyPr vert="horz" wrap="square" anchor="t" anchorCtr="0" upright="1"/>
                    </wps:wsp>
                  </a:graphicData>
                </a:graphic>
              </wp:anchor>
            </w:drawing>
          </mc:Choice>
          <mc:Fallback>
            <w:pict>
              <v:shape id="文本框 327" o:spid="_x0000_s1026" o:spt="202" type="#_x0000_t202" style="position:absolute;left:0pt;margin-left:-9pt;margin-top:1.25pt;height:79pt;width:72pt;z-index:251990016;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9Au8/WAAAACQEAAA8AAAAAAAAAAQAgAAAAIgAA&#10;AGRycy9kb3ducmV2LnhtbFBLAQIUABQAAAAIAIdO4kClLHYH0QEAAJMDAAAOAAAAAAAAAAEAIAAA&#10;ACUBAABkcnMvZTJvRG9jLnhtbFBLBQYAAAAABgAGAFkBAABoBQAAAAA=&#10;">
                <v:fill on="f" focussize="0,0"/>
                <v:stroke on="f"/>
                <v:imagedata o:title=""/>
                <o:lock v:ext="edit" aspectratio="f"/>
                <v:textbox>
                  <w:txbxContent>
                    <w:p w14:paraId="66AD17B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承包人采购材料和工程设备的材料设备费、施工机械费调 整方法</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第1种方式：采用造价信息进行价格调整。</w:t>
      </w:r>
    </w:p>
    <w:p w14:paraId="6C9FD90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14:paraId="77389E0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（1）材料、工程设备价格变化的价款调整按照发包人提供的基准价格，按以下风险范围规定执行:</w:t>
      </w:r>
    </w:p>
    <w:p w14:paraId="339F3D0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承包人在已标价工程量清单或预算书中载明材料单价低于基准价格的：除专用合同条款另有约定外，合同履行期间材料单价涨幅以基准价格为基础超5%时，或材料单价跌幅以在已标价工程量清单或预算书中载明材料单价为基础超过5%时，其超过部分据实调整。</w:t>
      </w:r>
    </w:p>
    <w:p w14:paraId="0653207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2）承包人在已标价工程量清单或预算书中载明材料单价高于基准价格的：除专用合同条款另有约定外，合同履行期间材料单价跌幅以基准价格为基础超过5%时，材料单价涨 幅以在已标价工程量清单或预算书中载明材料单价为基础超过5%时，其超过部分据实调整。</w:t>
      </w:r>
    </w:p>
    <w:p w14:paraId="3947163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3）承包人在已标价工程量清单或预算书中载明材料单价等于基准价格的：除专用合同条款另有约定外，合同履行期间材料单价涨跌幅以基准价格为基础超过±5%时，其超过部分据实调整。</w:t>
      </w:r>
    </w:p>
    <w:p w14:paraId="31BAE3A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前述基准价格是指由发包人在招标文件或专用合同条款中给定的材料、工程设备的价格，该价格原则上应当按照省级或行业建设主管部门或其授权的工程造价管理机构发布的信息价编制。</w:t>
      </w:r>
    </w:p>
    <w:p w14:paraId="65CEEDA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（2）施工机械台班单价或施工机械使用费发生变化超过省级或行业建设主管部门或其授权的工程造价管理机构规定的范围时，按规定调整合同价格。</w:t>
      </w:r>
    </w:p>
    <w:p w14:paraId="0BEDDB1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第2种方式：专用合同条款约定的其他方式。</w:t>
      </w:r>
    </w:p>
    <w:p w14:paraId="7CFEE144">
      <w:pPr>
        <w:widowControl w:val="0"/>
        <w:tabs>
          <w:tab w:val="left" w:pos="540"/>
        </w:tabs>
        <w:adjustRightInd w:val="0"/>
        <w:snapToGrid w:val="0"/>
        <w:spacing w:line="420" w:lineRule="exact"/>
        <w:jc w:val="both"/>
        <w:rPr>
          <w:rFonts w:ascii="宋体" w:hAnsi="宋体" w:eastAsia="宋体" w:cs="宋体"/>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76.4</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4EDF577A">
      <w:pPr>
        <w:widowControl w:val="0"/>
        <w:adjustRightInd w:val="0"/>
        <w:snapToGrid w:val="0"/>
        <w:spacing w:line="420" w:lineRule="exact"/>
        <w:ind w:left="1619" w:leftChars="771"/>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执行第76.3款“第1种方式：采用造价信息进行价格调整”规定的，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991040"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325" name="文本框 328"/>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a:effectLst/>
                      </wps:spPr>
                      <wps:txbx>
                        <w:txbxContent>
                          <w:p w14:paraId="7F0A741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承包人采购材料设备的调价限制</w:t>
                            </w:r>
                          </w:p>
                        </w:txbxContent>
                      </wps:txbx>
                      <wps:bodyPr vert="horz" wrap="square" anchor="t" anchorCtr="0" upright="1"/>
                    </wps:wsp>
                  </a:graphicData>
                </a:graphic>
              </wp:anchor>
            </w:drawing>
          </mc:Choice>
          <mc:Fallback>
            <w:pict>
              <v:shape id="文本框 328" o:spid="_x0000_s1026" o:spt="202" type="#_x0000_t202" style="position:absolute;left:0pt;margin-left:-5.25pt;margin-top:2.45pt;height:56.05pt;width:72pt;z-index:251991040;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Iz7LB1gAAAAkBAAAPAAAAAAAAAAEAIAAAACIA&#10;AABkcnMvZG93bnJldi54bWxQSwECFAAUAAAACACHTuJAKSyO4tIBAACSAwAADgAAAAAAAAABACAA&#10;AAAlAQAAZHJzL2Uyb0RvYy54bWxQSwUGAAAAAAYABgBZAQAAaQUAAAAA&#10;">
                <v:fill on="f" focussize="0,0"/>
                <v:stroke on="f"/>
                <v:imagedata o:title=""/>
                <o:lock v:ext="edit" aspectratio="f"/>
                <v:textbox>
                  <w:txbxContent>
                    <w:p w14:paraId="7F0A741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承包人采购材料设备的调价限制</w:t>
                      </w:r>
                    </w:p>
                  </w:txbxContent>
                </v:textbox>
              </v:shape>
            </w:pict>
          </mc:Fallback>
        </mc:AlternateContent>
      </w:r>
    </w:p>
    <w:p w14:paraId="4E7B33AC">
      <w:pPr>
        <w:widowControl w:val="0"/>
        <w:tabs>
          <w:tab w:val="left" w:pos="540"/>
        </w:tabs>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76.5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530215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326" name="文本框 329"/>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47336FF8">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发包人供应材料设备的价款调整</w:t>
                            </w:r>
                          </w:p>
                        </w:txbxContent>
                      </wps:txbx>
                      <wps:bodyPr vert="horz" wrap="square" anchor="t" anchorCtr="0" upright="1"/>
                    </wps:wsp>
                  </a:graphicData>
                </a:graphic>
              </wp:anchor>
            </w:drawing>
          </mc:Choice>
          <mc:Fallback>
            <w:pict>
              <v:shape id="文本框 329" o:spid="_x0000_s1026" o:spt="202" type="#_x0000_t202" style="position:absolute;left:0pt;margin-left:-9pt;margin-top:1.25pt;height:48.75pt;width:72pt;z-index:251992064;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TyAwH1QAAAAkBAAAPAAAAAAAAAAEAIAAAACIA&#10;AABkcnMvZG93bnJldi54bWxQSwECFAAUAAAACACHTuJAsz4pudMBAACSAwAADgAAAAAAAAABACAA&#10;AAAkAQAAZHJzL2Uyb0RvYy54bWxQSwUGAAAAAAYABgBZAQAAaQUAAAAA&#10;">
                <v:fill on="f" focussize="0,0"/>
                <v:stroke on="f"/>
                <v:imagedata o:title=""/>
                <o:lock v:ext="edit" aspectratio="f"/>
                <v:textbox>
                  <w:txbxContent>
                    <w:p w14:paraId="47336FF8">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发包人供应材料设备的价款调整</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发包人供应材料和工程设备的，由发包人按照实际变化调整，列入合同工程的工程造价内。</w:t>
      </w:r>
    </w:p>
    <w:p w14:paraId="38BE0843">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7397D965">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★77  合同价款调整程序</w:t>
      </w:r>
    </w:p>
    <w:p w14:paraId="3E8073E5">
      <w:pPr>
        <w:spacing w:line="420" w:lineRule="exact"/>
        <w:rPr>
          <w:rFonts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77.1</w:t>
      </w:r>
    </w:p>
    <w:p w14:paraId="2F7B599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27" name="文本框 33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7AA5B45F">
                            <w:pPr>
                              <w:widowControl w:val="0"/>
                              <w:spacing w:line="200" w:lineRule="exact"/>
                              <w:jc w:val="both"/>
                              <w:rPr>
                                <w:rFonts w:ascii="宋体" w:hAnsi="Times New Roman" w:eastAsia="宋体" w:cs="Times New Roman"/>
                                <w:b/>
                                <w:bCs/>
                                <w:kern w:val="2"/>
                                <w:sz w:val="21"/>
                                <w:szCs w:val="21"/>
                                <w:lang w:val="en-US" w:eastAsia="zh-CN" w:bidi="ar-SA"/>
                              </w:rPr>
                            </w:pPr>
                            <w:r>
                              <w:rPr>
                                <w:rFonts w:hint="eastAsia" w:ascii="楷体_GB2312" w:hAnsi="宋体" w:eastAsia="楷体_GB2312" w:cs="楷体_GB2312"/>
                                <w:b/>
                                <w:bCs/>
                                <w:kern w:val="2"/>
                                <w:sz w:val="18"/>
                                <w:szCs w:val="18"/>
                                <w:lang w:val="en-US" w:eastAsia="zh-CN" w:bidi="ar-SA"/>
                              </w:rPr>
                              <w:t>合同价款调整程序的规定</w:t>
                            </w:r>
                            <w:r>
                              <w:rPr>
                                <w:rFonts w:ascii="楷体_GB2312" w:hAnsi="宋体" w:eastAsia="楷体_GB2312" w:cs="楷体_GB2312"/>
                                <w:b/>
                                <w:bCs/>
                                <w:kern w:val="2"/>
                                <w:sz w:val="18"/>
                                <w:szCs w:val="18"/>
                                <w:lang w:val="en-US" w:eastAsia="zh-CN" w:bidi="ar-SA"/>
                              </w:rPr>
                              <w:t xml:space="preserve">    </w:t>
                            </w:r>
                            <w:r>
                              <w:rPr>
                                <w:rFonts w:ascii="宋体" w:hAnsi="宋体" w:eastAsia="楷体_GB2312" w:cs="宋体"/>
                                <w:b/>
                                <w:bCs/>
                                <w:kern w:val="2"/>
                                <w:sz w:val="21"/>
                                <w:szCs w:val="21"/>
                                <w:lang w:val="en-US" w:eastAsia="zh-CN" w:bidi="ar-SA"/>
                              </w:rPr>
                              <w:t xml:space="preserve">                         </w:t>
                            </w:r>
                          </w:p>
                        </w:txbxContent>
                      </wps:txbx>
                      <wps:bodyPr vert="horz" wrap="square" anchor="t" anchorCtr="0" upright="1"/>
                    </wps:wsp>
                  </a:graphicData>
                </a:graphic>
              </wp:anchor>
            </w:drawing>
          </mc:Choice>
          <mc:Fallback>
            <w:pict>
              <v:shape id="文本框 330" o:spid="_x0000_s1026" o:spt="202" type="#_x0000_t202" style="position:absolute;left:0pt;margin-left:-9pt;margin-top:1.25pt;height:54.6pt;width:72pt;z-index:25199308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A+4+31gAAAAkBAAAPAAAAAAAAAAEAIAAAACIA&#10;AABkcnMvZG93bnJldi54bWxQSwECFAAUAAAACACHTuJA56lutNIBAACSAwAADgAAAAAAAAABACAA&#10;AAAlAQAAZHJzL2Uyb0RvYy54bWxQSwUGAAAAAAYABgBZAQAAaQUAAAAA&#10;">
                <v:fill on="f" focussize="0,0"/>
                <v:stroke on="f"/>
                <v:imagedata o:title=""/>
                <o:lock v:ext="edit" aspectratio="f"/>
                <v:textbox>
                  <w:txbxContent>
                    <w:p w14:paraId="7AA5B45F">
                      <w:pPr>
                        <w:widowControl w:val="0"/>
                        <w:spacing w:line="200" w:lineRule="exact"/>
                        <w:jc w:val="both"/>
                        <w:rPr>
                          <w:rFonts w:ascii="宋体" w:hAnsi="Times New Roman" w:eastAsia="宋体" w:cs="Times New Roman"/>
                          <w:b/>
                          <w:bCs/>
                          <w:kern w:val="2"/>
                          <w:sz w:val="21"/>
                          <w:szCs w:val="21"/>
                          <w:lang w:val="en-US" w:eastAsia="zh-CN" w:bidi="ar-SA"/>
                        </w:rPr>
                      </w:pPr>
                      <w:r>
                        <w:rPr>
                          <w:rFonts w:hint="eastAsia" w:ascii="楷体_GB2312" w:hAnsi="宋体" w:eastAsia="楷体_GB2312" w:cs="楷体_GB2312"/>
                          <w:b/>
                          <w:bCs/>
                          <w:kern w:val="2"/>
                          <w:sz w:val="18"/>
                          <w:szCs w:val="18"/>
                          <w:lang w:val="en-US" w:eastAsia="zh-CN" w:bidi="ar-SA"/>
                        </w:rPr>
                        <w:t>合同价款调整程序的规定</w:t>
                      </w:r>
                      <w:r>
                        <w:rPr>
                          <w:rFonts w:ascii="楷体_GB2312" w:hAnsi="宋体" w:eastAsia="楷体_GB2312" w:cs="楷体_GB2312"/>
                          <w:b/>
                          <w:bCs/>
                          <w:kern w:val="2"/>
                          <w:sz w:val="18"/>
                          <w:szCs w:val="18"/>
                          <w:lang w:val="en-US" w:eastAsia="zh-CN" w:bidi="ar-SA"/>
                        </w:rPr>
                        <w:t xml:space="preserve">    </w:t>
                      </w:r>
                      <w:r>
                        <w:rPr>
                          <w:rFonts w:ascii="宋体" w:hAnsi="宋体" w:eastAsia="楷体_GB2312" w:cs="宋体"/>
                          <w:b/>
                          <w:bCs/>
                          <w:kern w:val="2"/>
                          <w:sz w:val="21"/>
                          <w:szCs w:val="21"/>
                          <w:lang w:val="en-US" w:eastAsia="zh-CN" w:bidi="ar-SA"/>
                        </w:rPr>
                        <w:t xml:space="preserve">                         </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合同履行期间，出现第68.2款规定调整合同价款事件的，除费用索赔、现场签证事件分别按照第74条、第75条规定程序外，合同双方当事人应按照本条规定程序调整合同价款。</w:t>
      </w:r>
    </w:p>
    <w:p w14:paraId="725C810F">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1994112"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328" name="文本框 33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14:paraId="48BE6829">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合同价款调增报告的提出</w:t>
                            </w:r>
                          </w:p>
                          <w:p w14:paraId="5FEC8DDC">
                            <w:pPr>
                              <w:widowControl w:val="0"/>
                              <w:spacing w:line="200" w:lineRule="exact"/>
                              <w:jc w:val="both"/>
                              <w:rPr>
                                <w:rFonts w:ascii="宋体" w:hAnsi="宋体" w:eastAsia="宋体" w:cs="Times New Roman"/>
                                <w:b/>
                                <w:bCs/>
                                <w:kern w:val="2"/>
                                <w:sz w:val="18"/>
                                <w:szCs w:val="18"/>
                                <w:lang w:val="en-US" w:eastAsia="zh-CN" w:bidi="ar-SA"/>
                              </w:rPr>
                            </w:pPr>
                          </w:p>
                        </w:txbxContent>
                      </wps:txbx>
                      <wps:bodyPr vert="horz" wrap="square" anchor="t" anchorCtr="0" upright="1"/>
                    </wps:wsp>
                  </a:graphicData>
                </a:graphic>
              </wp:anchor>
            </w:drawing>
          </mc:Choice>
          <mc:Fallback>
            <w:pict>
              <v:shape id="文本框 331" o:spid="_x0000_s1026" o:spt="202" type="#_x0000_t202" style="position:absolute;left:0pt;margin-left:-4.6pt;margin-top:19.4pt;height:48.75pt;width:72pt;z-index:251994112;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QvB/7VAAAACQEAAA8AAAAAAAAAAQAgAAAAIgAA&#10;AGRycy9kb3ducmV2LnhtbFBLAQIUABQAAAAIAIdO4kAGhwVL0gEAAJIDAAAOAAAAAAAAAAEAIAAA&#10;ACQBAABkcnMvZTJvRG9jLnhtbFBLBQYAAAAABgAGAFkBAABoBQAAAAA=&#10;">
                <v:fill on="f" focussize="0,0"/>
                <v:stroke on="f"/>
                <v:imagedata o:title=""/>
                <o:lock v:ext="edit" aspectratio="f"/>
                <v:textbox>
                  <w:txbxContent>
                    <w:p w14:paraId="48BE6829">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合同价款调增报告的提出</w:t>
                      </w:r>
                    </w:p>
                    <w:p w14:paraId="5FEC8DDC">
                      <w:pPr>
                        <w:widowControl w:val="0"/>
                        <w:spacing w:line="200" w:lineRule="exact"/>
                        <w:jc w:val="both"/>
                        <w:rPr>
                          <w:rFonts w:ascii="宋体" w:hAnsi="宋体" w:eastAsia="宋体" w:cs="Times New Roman"/>
                          <w:b/>
                          <w:bCs/>
                          <w:kern w:val="2"/>
                          <w:sz w:val="18"/>
                          <w:szCs w:val="18"/>
                          <w:lang w:val="en-US" w:eastAsia="zh-CN" w:bidi="ar-SA"/>
                        </w:rPr>
                      </w:pP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77.2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C51415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14:paraId="326FA6BD">
      <w:pPr>
        <w:widowControl w:val="0"/>
        <w:adjustRightInd w:val="0"/>
        <w:snapToGrid w:val="0"/>
        <w:spacing w:line="420" w:lineRule="exact"/>
        <w:jc w:val="both"/>
        <w:rPr>
          <w:rFonts w:ascii="宋体" w:hAnsi="宋体" w:eastAsia="宋体" w:cs="宋体"/>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77.3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7600C51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29" name="文本框 332"/>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0150EEB4">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调增价款的核</w:t>
                            </w:r>
                          </w:p>
                          <w:p w14:paraId="1D3FD20B">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实</w:t>
                            </w:r>
                          </w:p>
                        </w:txbxContent>
                      </wps:txbx>
                      <wps:bodyPr vert="horz" wrap="square" anchor="t" anchorCtr="0" upright="1"/>
                    </wps:wsp>
                  </a:graphicData>
                </a:graphic>
              </wp:anchor>
            </w:drawing>
          </mc:Choice>
          <mc:Fallback>
            <w:pict>
              <v:shape id="文本框 332"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piGEbVAAAACAEAAA8AAAAAAAAAAQAgAAAAIgAA&#10;AGRycy9kb3ducmV2LnhtbFBLAQIUABQAAAAIAIdO4kBvCvsP0gEAAJMDAAAOAAAAAAAAAAEAIAAA&#10;ACQBAABkcnMvZTJvRG9jLnhtbFBLBQYAAAAABgAGAFkBAABoBQAAAAA=&#10;">
                <v:fill on="f" focussize="0,0"/>
                <v:stroke on="f"/>
                <v:imagedata o:title=""/>
                <o:lock v:ext="edit" aspectratio="f"/>
                <v:textbox>
                  <w:txbxContent>
                    <w:p w14:paraId="0150EEB4">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调增价款的核</w:t>
                      </w:r>
                    </w:p>
                    <w:p w14:paraId="1D3FD20B">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实</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14:paraId="7902B9BA">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77.4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1234CE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30" name="文本框 33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7B562B01">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调增价款的支</w:t>
                            </w:r>
                          </w:p>
                          <w:p w14:paraId="0FFAE70E">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付</w:t>
                            </w:r>
                          </w:p>
                        </w:txbxContent>
                      </wps:txbx>
                      <wps:bodyPr vert="horz" wrap="square" anchor="t" anchorCtr="0" upright="1"/>
                    </wps:wsp>
                  </a:graphicData>
                </a:graphic>
              </wp:anchor>
            </w:drawing>
          </mc:Choice>
          <mc:Fallback>
            <w:pict>
              <v:shape id="文本框 333" o:spid="_x0000_s1026" o:spt="202" type="#_x0000_t202" style="position:absolute;left:0pt;margin-left:-9pt;margin-top:2.7pt;height:39pt;width:81pt;z-index:251996160;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IYRtUAAAAIAQAADwAAAAAAAAABACAAAAAiAAAA&#10;ZHJzL2Rvd25yZXYueG1sUEsBAhQAFAAAAAgAh07iQLwvZsnRAQAAkwMAAA4AAAAAAAAAAQAgAAAA&#10;JAEAAGRycy9lMm9Eb2MueG1sUEsFBgAAAAAGAAYAWQEAAGcFAAAAAA==&#10;">
                <v:fill on="f" focussize="0,0"/>
                <v:stroke on="f"/>
                <v:imagedata o:title=""/>
                <o:lock v:ext="edit" aspectratio="f"/>
                <v:textbox>
                  <w:txbxContent>
                    <w:p w14:paraId="7B562B01">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调增价款的支</w:t>
                      </w:r>
                    </w:p>
                    <w:p w14:paraId="0FFAE70E">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经合同双方当事人确认或造价工程师暂定调增的合同价款，作为追加合同价款，与工程进度款或结算款同期支付。</w:t>
      </w:r>
    </w:p>
    <w:p w14:paraId="14AF6EE5">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77.5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229F1F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97184"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331" name="文本框 334"/>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a:effectLst/>
                      </wps:spPr>
                      <wps:txbx>
                        <w:txbxContent>
                          <w:p w14:paraId="4F0D7D99">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合同价款调减</w:t>
                            </w:r>
                          </w:p>
                          <w:p w14:paraId="6CE87E32">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事件的处理</w:t>
                            </w:r>
                          </w:p>
                        </w:txbxContent>
                      </wps:txbx>
                      <wps:bodyPr vert="horz" wrap="square" anchor="t" anchorCtr="0" upright="1"/>
                    </wps:wsp>
                  </a:graphicData>
                </a:graphic>
              </wp:anchor>
            </w:drawing>
          </mc:Choice>
          <mc:Fallback>
            <w:pict>
              <v:shape id="文本框 334" o:spid="_x0000_s1026" o:spt="202" type="#_x0000_t202" style="position:absolute;left:0pt;margin-left:-5.25pt;margin-top:0.45pt;height:39pt;width:90pt;z-index:251997184;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peOdMAAAAHAQAADwAAAAAAAAABACAAAAAiAAAAZHJz&#10;L2Rvd25yZXYueG1sUEsBAhQAFAAAAAgAh07iQINulPfQAQAAkwMAAA4AAAAAAAAAAQAgAAAAIgEA&#10;AGRycy9lMm9Eb2MueG1sUEsFBgAAAAAGAAYAWQEAAGQFAAAAAA==&#10;">
                <v:fill on="f" focussize="0,0"/>
                <v:stroke on="f"/>
                <v:imagedata o:title=""/>
                <o:lock v:ext="edit" aspectratio="f"/>
                <v:textbox>
                  <w:txbxContent>
                    <w:p w14:paraId="4F0D7D99">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合同价款调减</w:t>
                      </w:r>
                    </w:p>
                    <w:p w14:paraId="6CE87E32">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事件的处理</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出现合同价款调减事件时，发包人可按照本条规定的时限和要求，向承包人提交合同价款调减报告以及调减的金额，但调减部分金额应按照实际调减金额乘以承包人报价浮动率计算。</w:t>
      </w:r>
    </w:p>
    <w:p w14:paraId="3C872713">
      <w:pPr>
        <w:widowControl w:val="0"/>
        <w:adjustRightInd w:val="0"/>
        <w:snapToGrid w:val="0"/>
        <w:spacing w:line="420" w:lineRule="exact"/>
        <w:ind w:left="1491" w:right="-238" w:hanging="1491" w:hangingChars="675"/>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3C682F15">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★78  支付事项</w:t>
      </w:r>
    </w:p>
    <w:p w14:paraId="3A868619">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78.1   </w:t>
      </w:r>
    </w:p>
    <w:p w14:paraId="14177B7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332" name="文本框 335"/>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a:effectLst/>
                      </wps:spPr>
                      <wps:txbx>
                        <w:txbxContent>
                          <w:p w14:paraId="58F0E3BD">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支付工程款项</w:t>
                            </w:r>
                          </w:p>
                        </w:txbxContent>
                      </wps:txbx>
                      <wps:bodyPr vert="horz" wrap="square" anchor="t" anchorCtr="0" upright="1"/>
                    </wps:wsp>
                  </a:graphicData>
                </a:graphic>
              </wp:anchor>
            </w:drawing>
          </mc:Choice>
          <mc:Fallback>
            <w:pict>
              <v:shape id="文本框 335" o:spid="_x0000_s1026" o:spt="202" type="#_x0000_t202" style="position:absolute;left:0pt;margin-left:-9pt;margin-top:1.7pt;height:24.75pt;width:90pt;z-index:251998208;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oX0y9UAAAAIAQAADwAAAAAAAAABACAAAAAiAAAA&#10;ZHJzL2Rvd25yZXYueG1sUEsBAhQAFAAAAAgAh07iQAHmsUnRAQAAkwMAAA4AAAAAAAAAAQAgAAAA&#10;JAEAAGRycy9lMm9Eb2MueG1sUEsFBgAAAAAGAAYAWQEAAGcFAAAAAA==&#10;">
                <v:fill on="f" focussize="0,0"/>
                <v:stroke on="f"/>
                <v:imagedata o:title=""/>
                <o:lock v:ext="edit" aspectratio="f"/>
                <v:textbox>
                  <w:txbxContent>
                    <w:p w14:paraId="58F0E3BD">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支付工程款项</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发包人应按照下列规定向承包人支付工程款及其他各种款项：</w:t>
      </w:r>
    </w:p>
    <w:p w14:paraId="615B555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(1)预付款按照第79条的规定支付；</w:t>
      </w:r>
    </w:p>
    <w:p w14:paraId="2C0053C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 绿色施工安全防护费按照第80条规定支付；</w:t>
      </w:r>
    </w:p>
    <w:p w14:paraId="45C7ED8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(3)进度款按照第81条的规定支付；</w:t>
      </w:r>
    </w:p>
    <w:p w14:paraId="049B5AD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(4)结算款按照第83条的规定支付；</w:t>
      </w:r>
    </w:p>
    <w:p w14:paraId="7156D19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(5)质量保证金按照第84条的规定支付；</w:t>
      </w:r>
    </w:p>
    <w:p w14:paraId="7CD9810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(6)最终清算款按照第85条的规定支付。</w:t>
      </w:r>
    </w:p>
    <w:p w14:paraId="0D38AA37">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78.2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B82A62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333" name="文本框 336"/>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a:effectLst/>
                      </wps:spPr>
                      <wps:txbx>
                        <w:txbxContent>
                          <w:p w14:paraId="4FA8C1A8">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延迟支付的利息计算</w:t>
                            </w:r>
                          </w:p>
                        </w:txbxContent>
                      </wps:txbx>
                      <wps:bodyPr vert="horz" wrap="square" anchor="t" anchorCtr="0" upright="1"/>
                    </wps:wsp>
                  </a:graphicData>
                </a:graphic>
              </wp:anchor>
            </w:drawing>
          </mc:Choice>
          <mc:Fallback>
            <w:pict>
              <v:shape id="文本框 336" o:spid="_x0000_s1026" o:spt="202" type="#_x0000_t202" style="position:absolute;left:0pt;margin-left:-9pt;margin-top:3.45pt;height:31.35pt;width:72pt;z-index:251999232;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uCdo9QAAAAIAQAADwAAAAAAAAABACAAAAAiAAAA&#10;ZHJzL2Rvd25yZXYueG1sUEsBAhQAFAAAAAgAh07iQEgldQ/SAQAAkgMAAA4AAAAAAAAAAQAgAAAA&#10;IwEAAGRycy9lMm9Eb2MueG1sUEsFBgAAAAAGAAYAWQEAAGcFAAAAAA==&#10;">
                <v:fill on="f" focussize="0,0"/>
                <v:stroke on="f"/>
                <v:imagedata o:title=""/>
                <o:lock v:ext="edit" aspectratio="f"/>
                <v:textbox>
                  <w:txbxContent>
                    <w:p w14:paraId="4FA8C1A8">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延迟支付的利息计算</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14:paraId="7098C74C">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78.3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109803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334" name="文本框 33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a:effectLst/>
                      </wps:spPr>
                      <wps:txbx>
                        <w:txbxContent>
                          <w:p w14:paraId="7F0564F6">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承包人提供支付凭证</w:t>
                            </w:r>
                          </w:p>
                        </w:txbxContent>
                      </wps:txbx>
                      <wps:bodyPr vert="horz" wrap="square" anchor="t" anchorCtr="0" upright="1"/>
                    </wps:wsp>
                  </a:graphicData>
                </a:graphic>
              </wp:anchor>
            </w:drawing>
          </mc:Choice>
          <mc:Fallback>
            <w:pict>
              <v:shape id="文本框 337" o:spid="_x0000_s1026" o:spt="202" type="#_x0000_t202" style="position:absolute;left:0pt;margin-left:-9pt;margin-top:0.35pt;height:34.5pt;width:72pt;z-index:252000256;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qru6LUAAAABwEAAA8AAAAAAAAAAQAgAAAAIgAA&#10;AGRycy9kb3ducmV2LnhtbFBLAQIUABQAAAAIAIdO4kB3BXrY0wEAAJIDAAAOAAAAAAAAAAEAIAAA&#10;ACMBAABkcnMvZTJvRG9jLnhtbFBLBQYAAAAABgAGAFkBAABoBQAAAAA=&#10;">
                <v:fill on="f" focussize="0,0"/>
                <v:stroke on="f"/>
                <v:imagedata o:title=""/>
                <o:lock v:ext="edit" aspectratio="f"/>
                <v:textbox>
                  <w:txbxContent>
                    <w:p w14:paraId="7F0564F6">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承包人提供支付凭证</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14:paraId="2E959543">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78.4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445D03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335" name="文本框 338"/>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a:effectLst/>
                      </wps:spPr>
                      <wps:txbx>
                        <w:txbxContent>
                          <w:p w14:paraId="3EBB3187">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承包人未按规定支付款项的限制</w:t>
                            </w:r>
                          </w:p>
                        </w:txbxContent>
                      </wps:txbx>
                      <wps:bodyPr vert="horz" wrap="square" anchor="t" anchorCtr="0" upright="1"/>
                    </wps:wsp>
                  </a:graphicData>
                </a:graphic>
              </wp:anchor>
            </w:drawing>
          </mc:Choice>
          <mc:Fallback>
            <w:pict>
              <v:shape id="文本框 338" o:spid="_x0000_s1026" o:spt="202" type="#_x0000_t202" style="position:absolute;left:0pt;margin-left:-9pt;margin-top:1.75pt;height:39.7pt;width:72pt;z-index:252001280;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1Seyn1QAAAAgBAAAPAAAAAAAAAAEAIAAAACIA&#10;AABkcnMvZG93bnJldi54bWxQSwECFAAUAAAACACHTuJA/DHL5tMBAACSAwAADgAAAAAAAAABACAA&#10;AAAkAQAAZHJzL2Uyb0RvYy54bWxQSwUGAAAAAAYABgBZAQAAaQUAAAAA&#10;">
                <v:fill on="f" focussize="0,0"/>
                <v:stroke on="f"/>
                <v:imagedata o:title=""/>
                <o:lock v:ext="edit" aspectratio="f"/>
                <v:textbox>
                  <w:txbxContent>
                    <w:p w14:paraId="3EBB3187">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承包人未按规定支付款项的限制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14:paraId="0855711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（1）立即停止向承包人支付应付的款项；</w:t>
      </w:r>
    </w:p>
    <w:p w14:paraId="6F996FB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（2）在相应支付期应付的工程款范围内，直接向雇员、分包人和材料设备供应商支付承包人应付的款项。</w:t>
      </w:r>
    </w:p>
    <w:p w14:paraId="3068B4F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14:paraId="614CB762">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0F0183C8">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★79  预付款</w:t>
      </w:r>
    </w:p>
    <w:p w14:paraId="7BF37179">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336" name="文本框 339"/>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a:effectLst/>
                      </wps:spPr>
                      <wps:txbx>
                        <w:txbxContent>
                          <w:p w14:paraId="58E5FC86">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预付款的约定</w:t>
                            </w:r>
                          </w:p>
                          <w:p w14:paraId="32EE4DE9">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及管理</w:t>
                            </w:r>
                          </w:p>
                        </w:txbxContent>
                      </wps:txbx>
                      <wps:bodyPr vert="horz" wrap="square" anchor="t" anchorCtr="0" upright="1"/>
                    </wps:wsp>
                  </a:graphicData>
                </a:graphic>
              </wp:anchor>
            </w:drawing>
          </mc:Choice>
          <mc:Fallback>
            <w:pict>
              <v:shape id="文本框 339" o:spid="_x0000_s1026" o:spt="202" type="#_x0000_t202" style="position:absolute;left:0pt;margin-left:-9pt;margin-top:17.85pt;height:44.15pt;width:108pt;z-index:252002304;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ho/39cAAAAKAQAADwAAAAAAAAABACAAAAAi&#10;AAAAZHJzL2Rvd25yZXYueG1sUEsBAhQAFAAAAAgAh07iQKnVsSfSAQAAkwMAAA4AAAAAAAAAAQAg&#10;AAAAJgEAAGRycy9lMm9Eb2MueG1sUEsFBgAAAAAGAAYAWQEAAGoFAAAAAA==&#10;">
                <v:fill on="f" focussize="0,0"/>
                <v:stroke on="f"/>
                <v:imagedata o:title=""/>
                <o:lock v:ext="edit" aspectratio="f"/>
                <v:textbox>
                  <w:txbxContent>
                    <w:p w14:paraId="58E5FC86">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预付款的约定</w:t>
                      </w:r>
                    </w:p>
                    <w:p w14:paraId="32EE4DE9">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及管理</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79.1      </w:t>
      </w:r>
    </w:p>
    <w:p w14:paraId="6879B72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除专用条款另有约定外，合同双方当事人应约定预付款，并在专用条款中明确预付款金额、支付办法和抵扣方式。</w:t>
      </w:r>
    </w:p>
    <w:p w14:paraId="078DF30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10%，不高于合同价款（扣除暂列金额）的30%。</w:t>
      </w:r>
    </w:p>
    <w:p w14:paraId="20582350">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79.2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3C2AA9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337" name="文本框 340"/>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a:effectLst/>
                      </wps:spPr>
                      <wps:txbx>
                        <w:txbxContent>
                          <w:p w14:paraId="364DDB21">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预付款支付申请的提交、核实与支付</w:t>
                            </w:r>
                          </w:p>
                        </w:txbxContent>
                      </wps:txbx>
                      <wps:bodyPr vert="horz" wrap="square" anchor="t" anchorCtr="0" upright="1"/>
                    </wps:wsp>
                  </a:graphicData>
                </a:graphic>
              </wp:anchor>
            </w:drawing>
          </mc:Choice>
          <mc:Fallback>
            <w:pict>
              <v:shape id="文本框 340" o:spid="_x0000_s1026" o:spt="202" type="#_x0000_t202" style="position:absolute;left:0pt;margin-left:-9pt;margin-top:1.55pt;height:46.55pt;width:72pt;z-index:252003328;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eJ85NUAAAAIAQAADwAAAAAAAAABACAAAAAiAAAA&#10;ZHJzL2Rvd25yZXYueG1sUEsBAhQAFAAAAAgAh07iQApTk6rRAQAAkgMAAA4AAAAAAAAAAQAgAAAA&#10;JAEAAGRycy9lMm9Eb2MueG1sUEsFBgAAAAAGAAYAWQEAAGcFAAAAAA==&#10;">
                <v:fill on="f" focussize="0,0"/>
                <v:stroke on="f"/>
                <v:imagedata o:title=""/>
                <o:lock v:ext="edit" aspectratio="f"/>
                <v:textbox>
                  <w:txbxContent>
                    <w:p w14:paraId="364DDB21">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预付款支付申请的提交、核实与支付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承包人在完成下列工作后，应按照专用条款约定的期限内向造价工程师提交预付款支付申请，并抄送发包人。</w:t>
      </w:r>
    </w:p>
    <w:p w14:paraId="42542D2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（1）签订本合同；</w:t>
      </w:r>
    </w:p>
    <w:p w14:paraId="12D837C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（2）按照第28.1款规定提供履约担保；</w:t>
      </w:r>
    </w:p>
    <w:p w14:paraId="78ACC84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（3）向发包人提供与预付款等额的预付款保函的正本。</w:t>
      </w:r>
    </w:p>
    <w:p w14:paraId="3A74D94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造价工程师应对支付申请进行核实，并在收到支付申请后的7天内报发包人确认后向发包人发出支付证书，同时抄送承包人。</w:t>
      </w:r>
    </w:p>
    <w:p w14:paraId="70573C6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发包人在造价工程师签发支付证书后的30天内向承包人支付预付款，并通知造价工程师。</w:t>
      </w:r>
    </w:p>
    <w:p w14:paraId="6C433DEE">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79.3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424E7A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38" name="文本框 341"/>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a:effectLst/>
                      </wps:spPr>
                      <wps:txbx>
                        <w:txbxContent>
                          <w:p w14:paraId="094EE9F4">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预付款支付的限制</w:t>
                            </w:r>
                          </w:p>
                        </w:txbxContent>
                      </wps:txbx>
                      <wps:bodyPr vert="horz" wrap="square" anchor="t" anchorCtr="0" upright="1"/>
                    </wps:wsp>
                  </a:graphicData>
                </a:graphic>
              </wp:anchor>
            </w:drawing>
          </mc:Choice>
          <mc:Fallback>
            <w:pict>
              <v:shape id="文本框 341" o:spid="_x0000_s1026" o:spt="202" type="#_x0000_t202" style="position:absolute;left:0pt;margin-left:-9pt;margin-top:0.85pt;height:31.55pt;width:72pt;z-index:25200435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N/jDNUAAAAIAQAADwAAAAAAAAABACAAAAAiAAAA&#10;ZHJzL2Rvd25yZXYueG1sUEsBAhQAFAAAAAgAh07iQPVPrsDRAQAAkgMAAA4AAAAAAAAAAQAgAAAA&#10;JAEAAGRycy9lMm9Eb2MueG1sUEsFBgAAAAAGAAYAWQEAAGcFAAAAAA==&#10;">
                <v:fill on="f" focussize="0,0"/>
                <v:stroke on="f"/>
                <v:imagedata o:title=""/>
                <o:lock v:ext="edit" aspectratio="f"/>
                <v:textbox>
                  <w:txbxContent>
                    <w:p w14:paraId="094EE9F4">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预付款支付的限制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没有按时支付预付款的，承包人应在付款期满后的10天向发包人发出要求支付的通知；发包人收到通知后仍不按要求支付，承包人可在发出通知14天后暂停施工。发包人可与承包人协商签订延期支付协议，经承包人同意后可延期支付，承包人有权按照第78.2款规定获得延期支付的利息。发包人承担由此增加的费用和（或）延误的工期，并向承包人支付合理利润。</w:t>
      </w:r>
    </w:p>
    <w:p w14:paraId="44DE32EB">
      <w:pPr>
        <w:widowControl w:val="0"/>
        <w:tabs>
          <w:tab w:val="left" w:pos="1320"/>
        </w:tabs>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79.4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06536E8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339" name="文本框 342"/>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a:effectLst/>
                      </wps:spPr>
                      <wps:txbx>
                        <w:txbxContent>
                          <w:p w14:paraId="05FCF024">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预付款的扣回</w:t>
                            </w:r>
                          </w:p>
                        </w:txbxContent>
                      </wps:txbx>
                      <wps:bodyPr vert="horz" wrap="square" anchor="t" anchorCtr="0" upright="1"/>
                    </wps:wsp>
                  </a:graphicData>
                </a:graphic>
              </wp:anchor>
            </w:drawing>
          </mc:Choice>
          <mc:Fallback>
            <w:pict>
              <v:shape id="文本框 342" o:spid="_x0000_s1026" o:spt="202" type="#_x0000_t202" style="position:absolute;left:0pt;margin-left:-9pt;margin-top:3.65pt;height:23.95pt;width:81pt;z-index:252005376;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5cRdx1gAAAAgBAAAPAAAAAAAAAAEAIAAAACIA&#10;AABkcnMvZG93bnJldi54bWxQSwECFAAUAAAACACHTuJADYZ5hdIBAACTAwAADgAAAAAAAAABACAA&#10;AAAlAQAAZHJzL2Uyb0RvYy54bWxQSwUGAAAAAAYABgBZAQAAaQUAAAAA&#10;">
                <v:fill on="f" focussize="0,0"/>
                <v:stroke on="f"/>
                <v:imagedata o:title=""/>
                <o:lock v:ext="edit" aspectratio="f"/>
                <v:textbox>
                  <w:txbxContent>
                    <w:p w14:paraId="05FCF024">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预付款的扣回</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14:paraId="23F584EF">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79.5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00AD87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340" name="文本框 343"/>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a:effectLst/>
                      </wps:spPr>
                      <wps:txbx>
                        <w:txbxContent>
                          <w:p w14:paraId="5FB953A0">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预付款保函的有效与退还</w:t>
                            </w:r>
                          </w:p>
                        </w:txbxContent>
                      </wps:txbx>
                      <wps:bodyPr vert="horz" wrap="square" anchor="t" anchorCtr="0" upright="1"/>
                    </wps:wsp>
                  </a:graphicData>
                </a:graphic>
              </wp:anchor>
            </w:drawing>
          </mc:Choice>
          <mc:Fallback>
            <w:pict>
              <v:shape id="文本框 343" o:spid="_x0000_s1026" o:spt="202" type="#_x0000_t202" style="position:absolute;left:0pt;margin-left:-9pt;margin-top:1.05pt;height:32.15pt;width:72pt;z-index:252006400;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&#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rcUW11QAAAAgBAAAPAAAAAAAAAAEAIAAAACIAAABk&#10;cnMvZG93bnJldi54bWxQSwECFAAUAAAACACHTuJAUT5EMdABAACSAwAADgAAAAAAAAABACAAAAAk&#10;AQAAZHJzL2Uyb0RvYy54bWxQSwUGAAAAAAYABgBZAQAAZgUAAAAA&#10;">
                <v:fill on="f" focussize="0,0"/>
                <v:stroke on="f"/>
                <v:imagedata o:title=""/>
                <o:lock v:ext="edit" aspectratio="f"/>
                <v:textbox>
                  <w:txbxContent>
                    <w:p w14:paraId="5FB953A0">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预付款保函的有效与退还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承包人应保持预付款保函在预付款全部扣回之前一直有效。发包人应在预付款扣完后的14天内将预付款保函退还承包人，并不得向承包人收取预付款的任何利息。</w:t>
      </w:r>
    </w:p>
    <w:p w14:paraId="33E8A909">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543DACCC">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★80  按系数计算的绿色施工安全防护费</w:t>
      </w:r>
    </w:p>
    <w:p w14:paraId="3D3FFDCC">
      <w:pPr>
        <w:keepNext/>
        <w:keepLines/>
        <w:widowControl/>
        <w:numPr>
          <w:ilvl w:val="0"/>
          <w:numId w:val="0"/>
        </w:numPr>
        <w:tabs>
          <w:tab w:val="left" w:pos="420"/>
          <w:tab w:val="left" w:pos="1287"/>
        </w:tabs>
        <w:spacing w:before="260" w:after="260" w:line="420" w:lineRule="exact"/>
        <w:jc w:val="left"/>
        <w:outlineLvl w:val="2"/>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80.1      </w:t>
      </w:r>
    </w:p>
    <w:p w14:paraId="31D1C74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341" name="文本框 344"/>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a:effectLst/>
                      </wps:spPr>
                      <wps:txbx>
                        <w:txbxContent>
                          <w:p w14:paraId="45783A88">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内容、范围和</w:t>
                            </w:r>
                          </w:p>
                          <w:p w14:paraId="16EF366F">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金额</w:t>
                            </w:r>
                          </w:p>
                        </w:txbxContent>
                      </wps:txbx>
                      <wps:bodyPr vert="horz" wrap="square" anchor="t" anchorCtr="0" upright="1"/>
                    </wps:wsp>
                  </a:graphicData>
                </a:graphic>
              </wp:anchor>
            </w:drawing>
          </mc:Choice>
          <mc:Fallback>
            <w:pict>
              <v:shape id="文本框 344" o:spid="_x0000_s1026" o:spt="202" type="#_x0000_t202" style="position:absolute;left:0pt;margin-left:-9pt;margin-top:1.4pt;height:34.65pt;width:81pt;z-index:252007424;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tsiLdQAAAAIAQAADwAAAAAAAAABACAAAAAiAAAA&#10;ZHJzL2Rvd25yZXYueG1sUEsBAhQAFAAAAAgAh07iQOMVU6jSAQAAkwMAAA4AAAAAAAAAAQAgAAAA&#10;IwEAAGRycy9lMm9Eb2MueG1sUEsFBgAAAAAGAAYAWQEAAGcFAAAAAA==&#10;">
                <v:fill on="f" focussize="0,0"/>
                <v:stroke on="f"/>
                <v:imagedata o:title=""/>
                <o:lock v:ext="edit" aspectratio="f"/>
                <v:textbox>
                  <w:txbxContent>
                    <w:p w14:paraId="45783A88">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内容、范围和</w:t>
                      </w:r>
                    </w:p>
                    <w:p w14:paraId="16EF366F">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金额</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专用条款中约定按系数计算的绿色施工安全防护费的内容、范围和金额，并按照第45条规定实施按系数计算的绿色施工安全防护。除专用条款另有约定外，按系数计算的绿色施工安全防护费的内容和范围，应以现行广东省统一工程计价依据、省市造价管理部门发布管理文件的规定为准。</w:t>
      </w:r>
    </w:p>
    <w:p w14:paraId="5FFB76D7">
      <w:pPr>
        <w:widowControl w:val="0"/>
        <w:adjustRightInd w:val="0"/>
        <w:snapToGrid w:val="0"/>
        <w:spacing w:line="420" w:lineRule="exact"/>
        <w:jc w:val="both"/>
        <w:rPr>
          <w:rFonts w:ascii="宋体" w:hAnsi="宋体" w:eastAsia="宋体" w:cs="宋体"/>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80.2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07D4A06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342" name="文本框 345"/>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a:effectLst/>
                      </wps:spPr>
                      <wps:txbx>
                        <w:txbxContent>
                          <w:p w14:paraId="17AB6A6C">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支付申请的提交与核实</w:t>
                            </w:r>
                          </w:p>
                        </w:txbxContent>
                      </wps:txbx>
                      <wps:bodyPr vert="horz" wrap="square" anchor="t" anchorCtr="0" upright="1"/>
                    </wps:wsp>
                  </a:graphicData>
                </a:graphic>
              </wp:anchor>
            </w:drawing>
          </mc:Choice>
          <mc:Fallback>
            <w:pict>
              <v:shape id="文本框 345" o:spid="_x0000_s1026" o:spt="202" type="#_x0000_t202" style="position:absolute;left:0pt;margin-left:-9pt;margin-top:2.7pt;height:62.15pt;width:72pt;z-index:252008448;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kXix9YAAAAJAQAADwAAAAAAAAABACAAAAAi&#10;AAAAZHJzL2Rvd25yZXYueG1sUEsBAhQAFAAAAAgAh07iQBreMH3TAQAAkgMAAA4AAAAAAAAAAQAg&#10;AAAAJQEAAGRycy9lMm9Eb2MueG1sUEsFBgAAAAAGAAYAWQEAAGoFAAAAAA==&#10;">
                <v:fill on="f" focussize="0,0"/>
                <v:stroke on="f"/>
                <v:imagedata o:title=""/>
                <o:lock v:ext="edit" aspectratio="f"/>
                <v:textbox>
                  <w:txbxContent>
                    <w:p w14:paraId="17AB6A6C">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支付申请的提交与核实</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专用条款没有约定的，承包人应在接到监理工程师按照第34.2款规定发出开工令后的7天内向造价工程师提交按系数计算的绿色施工安全防护费支付申请，并抄送发包人。造价工程师应对支付申请进行核实，并在收到支付申请后的7天内报发包人确认后向发包人发出支付证书，同时抄送承包人。</w:t>
      </w:r>
    </w:p>
    <w:p w14:paraId="347F8E3D">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80.3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F0A46C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合同双方当事人应按照建设行政主管部门的规定，在专用条款中约定按系数计算的绿色施工安全防护费的支付办法和抵扣方式。除专用条款另有约定外，</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343" name="文本框 346"/>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a:effectLst/>
                      </wps:spPr>
                      <wps:txbx>
                        <w:txbxContent>
                          <w:p w14:paraId="4C8CC7FA">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wps:txbx>
                      <wps:bodyPr vert="horz" wrap="square" anchor="t" anchorCtr="0" upright="1"/>
                    </wps:wsp>
                  </a:graphicData>
                </a:graphic>
              </wp:anchor>
            </w:drawing>
          </mc:Choice>
          <mc:Fallback>
            <w:pict>
              <v:shape id="文本框 346" o:spid="_x0000_s1026" o:spt="202" type="#_x0000_t202" style="position:absolute;left:0pt;margin-left:-9pt;margin-top:5.65pt;height:27.75pt;width:81pt;z-index:252009472;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voLXfVAAAACQEAAA8AAAAAAAAAAQAgAAAAIgAA&#10;AGRycy9kb3ducmV2LnhtbFBLAQIUABQAAAAIAIdO4kDsJ2qG0gEAAJMDAAAOAAAAAAAAAAEAIAAA&#10;ACQBAABkcnMvZTJvRG9jLnhtbFBLBQYAAAAABgAGAFkBAABoBQAAAAA=&#10;">
                <v:fill on="f" focussize="0,0"/>
                <v:stroke on="f"/>
                <v:imagedata o:title=""/>
                <o:lock v:ext="edit" aspectratio="f"/>
                <v:textbox>
                  <w:txbxContent>
                    <w:p w14:paraId="4C8CC7FA">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在造价工程师签发支付证书后的7天内向承包人支付按系数计算的绿色施工安全防护费，并保证在工程开工后的28天内支付按系数计算的绿色施工安全防护费金额的50%，同时通知造价工程师。其余部分与进度款同期支付。</w:t>
      </w:r>
    </w:p>
    <w:p w14:paraId="3E312799">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80.4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77ADF02">
      <w:pPr>
        <w:widowControl w:val="0"/>
        <w:adjustRightInd w:val="0"/>
        <w:snapToGrid w:val="0"/>
        <w:spacing w:line="420" w:lineRule="exact"/>
        <w:ind w:left="1619" w:leftChars="771" w:firstLine="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44" name="文本框 347"/>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a:effectLst/>
                      </wps:spPr>
                      <wps:txbx>
                        <w:txbxContent>
                          <w:p w14:paraId="0F33B3E9">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wps:txbx>
                      <wps:bodyPr vert="horz" wrap="square" anchor="t" anchorCtr="0" upright="1"/>
                    </wps:wsp>
                  </a:graphicData>
                </a:graphic>
              </wp:anchor>
            </w:drawing>
          </mc:Choice>
          <mc:Fallback>
            <w:pict>
              <v:shape id="文本框 347" o:spid="_x0000_s1026" o:spt="202" type="#_x0000_t202" style="position:absolute;left:0pt;margin-left:-9pt;margin-top:0.85pt;height:31.55pt;width:72pt;z-index:252010496;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&#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c3+MM1QAAAAgBAAAPAAAAAAAAAAEAIAAAACIAAABk&#10;cnMvZG93bnJldi54bWxQSwECFAAUAAAACACHTuJAf4OL5tABAACSAwAADgAAAAAAAAABACAAAAAk&#10;AQAAZHJzL2Uyb0RvYy54bWxQSwUGAAAAAAYABgBZAQAAZgUAAAAA&#10;">
                <v:fill on="f" focussize="0,0"/>
                <v:stroke on="f"/>
                <v:imagedata o:title=""/>
                <o:lock v:ext="edit" aspectratio="f"/>
                <v:textbox>
                  <w:txbxContent>
                    <w:p w14:paraId="0F33B3E9">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没有按时支付按系数计算的绿色施工安全防护费的，承包人应在付款期满后的10天向发包人发出要求支付的通知；发包人收到通知后仍不按要求支付，承包人可在发出通知14天后暂停施工。发包人应承担由此增加的费用和（或）延误的工期，并向承包人支付合理利润。</w:t>
      </w:r>
    </w:p>
    <w:p w14:paraId="7FAB6613">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80.5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1FCF88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按系数计算的</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345" name="文本框 348"/>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a:effectLst/>
                      </wps:spPr>
                      <wps:txbx>
                        <w:txbxContent>
                          <w:p w14:paraId="10A7E53D">
                            <w:pPr>
                              <w:spacing w:line="240" w:lineRule="exact"/>
                              <w:rPr>
                                <w:rFonts w:ascii="宋体" w:hAnsi="Calibri" w:eastAsia="宋体" w:cs="Times New Roman"/>
                                <w:szCs w:val="21"/>
                              </w:rPr>
                            </w:pPr>
                            <w:r>
                              <w:rPr>
                                <w:rFonts w:hint="eastAsia" w:ascii="楷体_GB2312" w:hAnsi="宋体" w:eastAsia="楷体_GB2312" w:cs="楷体_GB2312"/>
                                <w:b/>
                                <w:bCs/>
                                <w:sz w:val="18"/>
                                <w:szCs w:val="18"/>
                              </w:rPr>
                              <w:t>管理要求</w:t>
                            </w:r>
                          </w:p>
                        </w:txbxContent>
                      </wps:txbx>
                      <wps:bodyPr vert="horz" wrap="square" anchor="t" anchorCtr="0" upright="1"/>
                    </wps:wsp>
                  </a:graphicData>
                </a:graphic>
              </wp:anchor>
            </w:drawing>
          </mc:Choice>
          <mc:Fallback>
            <w:pict>
              <v:shape id="文本框 348" o:spid="_x0000_s1026" o:spt="202" type="#_x0000_t202" style="position:absolute;left:0pt;margin-left:-9pt;margin-top:0.15pt;height:37.1pt;width:72pt;z-index:252011520;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cNTH1QAAAAcBAAAPAAAAAAAAAAEAIAAAACIA&#10;AABkcnMvZG93bnJldi54bWxQSwECFAAUAAAACACHTuJA8ijridMBAACSAwAADgAAAAAAAAABACAA&#10;AAAkAQAAZHJzL2Uyb0RvYy54bWxQSwUGAAAAAAYABgBZAQAAaQUAAAAA&#10;">
                <v:fill on="f" focussize="0,0"/>
                <v:stroke on="f"/>
                <v:imagedata o:title=""/>
                <o:lock v:ext="edit" aspectratio="f"/>
                <v:textbox>
                  <w:txbxContent>
                    <w:p w14:paraId="10A7E53D">
                      <w:pPr>
                        <w:spacing w:line="240" w:lineRule="exact"/>
                        <w:rPr>
                          <w:rFonts w:ascii="宋体" w:hAnsi="Calibri" w:eastAsia="宋体" w:cs="Times New Roman"/>
                          <w:szCs w:val="21"/>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绿色施工安全防护费专款专用，承包人应在财务账目中单独列项备查，不得挪作他用，否则造价工程师有权责令其限期改正；逾期未改正的，可以责令其暂停施工，由此造成的损失和延误的工期由承包人承担。</w:t>
      </w:r>
    </w:p>
    <w:p w14:paraId="6EDA3FFB">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2012544"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346" name="文本框 349"/>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a:effectLst/>
                      </wps:spPr>
                      <wps:txbx>
                        <w:txbxContent>
                          <w:p w14:paraId="4C5978B1">
                            <w:pPr>
                              <w:widowControl w:val="0"/>
                              <w:spacing w:after="120" w:line="200" w:lineRule="exact"/>
                              <w:jc w:val="both"/>
                              <w:rPr>
                                <w:rFonts w:ascii="楷体" w:hAnsi="楷体" w:eastAsia="楷体" w:cs="Times New Roman"/>
                                <w:b/>
                                <w:bCs/>
                                <w:kern w:val="2"/>
                                <w:sz w:val="18"/>
                                <w:szCs w:val="18"/>
                                <w:lang w:val="en-US" w:eastAsia="zh-CN" w:bidi="ar-SA"/>
                              </w:rPr>
                            </w:pPr>
                            <w:r>
                              <w:rPr>
                                <w:rFonts w:hint="eastAsia" w:ascii="楷体" w:hAnsi="楷体" w:eastAsia="楷体" w:cs="楷体"/>
                                <w:b/>
                                <w:bCs/>
                                <w:kern w:val="2"/>
                                <w:sz w:val="18"/>
                                <w:szCs w:val="18"/>
                                <w:lang w:val="en-US" w:eastAsia="zh-CN" w:bidi="ar-SA"/>
                              </w:rPr>
                              <w:t>工程</w:t>
                            </w:r>
                            <w:r>
                              <w:rPr>
                                <w:rFonts w:hint="eastAsia" w:ascii="楷体" w:hAnsi="楷体" w:eastAsia="楷体" w:cs="楷体"/>
                                <w:b/>
                                <w:bCs/>
                                <w:caps/>
                                <w:kern w:val="2"/>
                                <w:sz w:val="18"/>
                                <w:szCs w:val="18"/>
                                <w:lang w:val="en-US" w:eastAsia="zh-CN" w:bidi="ar-SA"/>
                              </w:rPr>
                              <w:t>文明工地增加费</w:t>
                            </w:r>
                            <w:r>
                              <w:rPr>
                                <w:rFonts w:hint="eastAsia" w:ascii="楷体" w:hAnsi="楷体" w:eastAsia="楷体" w:cs="楷体"/>
                                <w:b/>
                                <w:bCs/>
                                <w:kern w:val="2"/>
                                <w:sz w:val="18"/>
                                <w:szCs w:val="18"/>
                                <w:lang w:val="en-US" w:eastAsia="zh-CN" w:bidi="ar-SA"/>
                              </w:rPr>
                              <w:t>计提与支付</w:t>
                            </w:r>
                          </w:p>
                        </w:txbxContent>
                      </wps:txbx>
                      <wps:bodyPr vert="horz" wrap="square" anchor="t" anchorCtr="0" upright="1"/>
                    </wps:wsp>
                  </a:graphicData>
                </a:graphic>
              </wp:anchor>
            </w:drawing>
          </mc:Choice>
          <mc:Fallback>
            <w:pict>
              <v:shape id="文本框 349" o:spid="_x0000_s1026" o:spt="202" type="#_x0000_t202" style="position:absolute;left:0pt;margin-left:0pt;margin-top:23.5pt;height:48pt;width:72pt;z-index:252012544;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4YyHtIAAAAHAQAADwAAAAAAAAABACAAAAAiAAAAZHJz&#10;L2Rvd25yZXYueG1sUEsBAhQAFAAAAAgAh07iQJJ451LRAQAAkgMAAA4AAAAAAAAAAQAgAAAAIQEA&#10;AGRycy9lMm9Eb2MueG1sUEsFBgAAAAAGAAYAWQEAAGQFAAAAAA==&#10;">
                <v:fill on="f" focussize="0,0"/>
                <v:stroke on="f"/>
                <v:imagedata o:title=""/>
                <o:lock v:ext="edit" aspectratio="f"/>
                <v:textbox>
                  <w:txbxContent>
                    <w:p w14:paraId="4C5978B1">
                      <w:pPr>
                        <w:widowControl w:val="0"/>
                        <w:spacing w:after="120" w:line="200" w:lineRule="exact"/>
                        <w:jc w:val="both"/>
                        <w:rPr>
                          <w:rFonts w:ascii="楷体" w:hAnsi="楷体" w:eastAsia="楷体" w:cs="Times New Roman"/>
                          <w:b/>
                          <w:bCs/>
                          <w:kern w:val="2"/>
                          <w:sz w:val="18"/>
                          <w:szCs w:val="18"/>
                          <w:lang w:val="en-US" w:eastAsia="zh-CN" w:bidi="ar-SA"/>
                        </w:rPr>
                      </w:pPr>
                      <w:r>
                        <w:rPr>
                          <w:rFonts w:hint="eastAsia" w:ascii="楷体" w:hAnsi="楷体" w:eastAsia="楷体" w:cs="楷体"/>
                          <w:b/>
                          <w:bCs/>
                          <w:kern w:val="2"/>
                          <w:sz w:val="18"/>
                          <w:szCs w:val="18"/>
                          <w:lang w:val="en-US" w:eastAsia="zh-CN" w:bidi="ar-SA"/>
                        </w:rPr>
                        <w:t>工程</w:t>
                      </w:r>
                      <w:r>
                        <w:rPr>
                          <w:rFonts w:hint="eastAsia" w:ascii="楷体" w:hAnsi="楷体" w:eastAsia="楷体" w:cs="楷体"/>
                          <w:b/>
                          <w:bCs/>
                          <w:caps/>
                          <w:kern w:val="2"/>
                          <w:sz w:val="18"/>
                          <w:szCs w:val="18"/>
                          <w:lang w:val="en-US" w:eastAsia="zh-CN" w:bidi="ar-SA"/>
                        </w:rPr>
                        <w:t>文明工地增加费</w:t>
                      </w:r>
                      <w:r>
                        <w:rPr>
                          <w:rFonts w:hint="eastAsia" w:ascii="楷体" w:hAnsi="楷体" w:eastAsia="楷体" w:cs="楷体"/>
                          <w:b/>
                          <w:bCs/>
                          <w:kern w:val="2"/>
                          <w:sz w:val="18"/>
                          <w:szCs w:val="18"/>
                          <w:lang w:val="en-US" w:eastAsia="zh-CN" w:bidi="ar-SA"/>
                        </w:rPr>
                        <w:t>计提与支付</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80.6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CA6A82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专用条款另有约定外，获得省、市级或其它级别文明工地的文明工地增加费，招标工程的根据中标通知书日期，非招标工程的根据合同签订日期的同时期执行的广东省建设工程计价依据文明工地增加费、广州市住房和城乡建设局发布的文明工地增加费、广州市建设工程造价管理站发布的文明工地增加费计算。当合同工程同时获得上述多个奖项的，文明工地增加费只按最高奖项的额度计算。文明工地增加费列入竣工结算文件中，与竣工结算款一并支付。在竣工结算后获得奖项的，发包人应在获得奖项后的28天内支付。</w:t>
      </w:r>
    </w:p>
    <w:p w14:paraId="79D49FE9">
      <w:pPr>
        <w:widowControl w:val="0"/>
        <w:tabs>
          <w:tab w:val="left" w:pos="1620"/>
        </w:tabs>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14336565">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★81  进度款</w:t>
      </w:r>
    </w:p>
    <w:p w14:paraId="609D01CF">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81.1</w:t>
      </w:r>
    </w:p>
    <w:p w14:paraId="251EBF7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347" name="文本框 350"/>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a:effectLst/>
                      </wps:spPr>
                      <wps:txbx>
                        <w:txbxContent>
                          <w:p w14:paraId="004BB3F0">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wps:txbx>
                      <wps:bodyPr vert="horz" wrap="square" anchor="t" anchorCtr="0" upright="1"/>
                    </wps:wsp>
                  </a:graphicData>
                </a:graphic>
              </wp:anchor>
            </w:drawing>
          </mc:Choice>
          <mc:Fallback>
            <w:pict>
              <v:shape id="文本框 350" o:spid="_x0000_s1026" o:spt="202" type="#_x0000_t202" style="position:absolute;left:0pt;margin-left:-9pt;margin-top:0.65pt;height:54.05pt;width:72pt;z-index:252013568;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JW8u/VAAAACQEAAA8AAAAAAAAAAQAgAAAAIgAA&#10;AGRycy9kb3ducmV2LnhtbFBLAQIUABQAAAAIAIdO4kCHJEN+0gEAAJIDAAAOAAAAAAAAAAEAIAAA&#10;ACQBAABkcnMvZTJvRG9jLnhtbFBLBQYAAAAABgAGAFkBAABoBQAAAAA=&#10;">
                <v:fill on="f" focussize="0,0"/>
                <v:stroke on="f"/>
                <v:imagedata o:title=""/>
                <o:lock v:ext="edit" aspectratio="f"/>
                <v:textbox>
                  <w:txbxContent>
                    <w:p w14:paraId="004BB3F0">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合同双方当事人应在专用条款中明确进度款支付期的时限及比例。专用条款没有约定期限的，支付期以月为单位。涉及政府投资资金的工程，支付期、支付方法等需调整的，应在专用条款中约定。</w:t>
      </w:r>
    </w:p>
    <w:p w14:paraId="1BC4309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14592"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348" name="文本框 351"/>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a:effectLst/>
                      </wps:spPr>
                      <wps:txbx>
                        <w:txbxContent>
                          <w:p w14:paraId="531EAB5A">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安全文明施工费</w:t>
                            </w:r>
                          </w:p>
                          <w:p w14:paraId="35F6BF4B">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支付申请的提交、</w:t>
                            </w:r>
                          </w:p>
                          <w:p w14:paraId="4F5663F9">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核实与支付</w:t>
                            </w:r>
                          </w:p>
                          <w:p w14:paraId="76B93EAE">
                            <w:pPr>
                              <w:rPr>
                                <w:rFonts w:ascii="Calibri" w:hAnsi="Calibri" w:eastAsia="楷体_GB2312" w:cs="Times New Roman"/>
                                <w:b/>
                                <w:bCs/>
                                <w:sz w:val="18"/>
                                <w:szCs w:val="18"/>
                              </w:rPr>
                            </w:pPr>
                          </w:p>
                        </w:txbxContent>
                      </wps:txbx>
                      <wps:bodyPr vert="horz" wrap="square" anchor="t" anchorCtr="0" upright="1"/>
                    </wps:wsp>
                  </a:graphicData>
                </a:graphic>
              </wp:anchor>
            </w:drawing>
          </mc:Choice>
          <mc:Fallback>
            <w:pict>
              <v:shape id="文本框 351" o:spid="_x0000_s1026" o:spt="202" type="#_x0000_t202" style="position:absolute;left:0pt;margin-left:-18pt;margin-top:737pt;height:47.05pt;width:111pt;z-index:252014592;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mA4tdcAAAANAQAADwAAAAAAAAABACAAAAAi&#10;AAAAZHJzL2Rvd25yZXYueG1sUEsBAhQAFAAAAAgAh07iQOCAcLfSAQAAkwMAAA4AAAAAAAAAAQAg&#10;AAAAJgEAAGRycy9lMm9Eb2MueG1sUEsFBgAAAAAGAAYAWQEAAGoFAAAAAA==&#10;">
                <v:fill on="f" focussize="0,0"/>
                <v:stroke on="f"/>
                <v:imagedata o:title=""/>
                <o:lock v:ext="edit" aspectratio="f"/>
                <v:textbox>
                  <w:txbxContent>
                    <w:p w14:paraId="531EAB5A">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安全文明施工费</w:t>
                      </w:r>
                    </w:p>
                    <w:p w14:paraId="35F6BF4B">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支付申请的提交、</w:t>
                      </w:r>
                    </w:p>
                    <w:p w14:paraId="4F5663F9">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核实与支付</w:t>
                      </w:r>
                    </w:p>
                    <w:p w14:paraId="76B93EAE">
                      <w:pPr>
                        <w:rPr>
                          <w:rFonts w:ascii="Calibri" w:hAnsi="Calibri" w:eastAsia="楷体_GB2312" w:cs="Times New Roman"/>
                          <w:b/>
                          <w:bCs/>
                          <w:sz w:val="18"/>
                          <w:szCs w:val="18"/>
                        </w:rPr>
                      </w:pP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在每个支付期结束后的7天内向造价工程师提交由承包人代表签署的支付申请和已完工程款额报告一式四份，详细说明此支付期间自己认为有权得到的款项，包括分包人已完工程款，同时抄送发包人。该支付申请的内容包括：</w:t>
      </w:r>
    </w:p>
    <w:p w14:paraId="2920104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（1）已完工程款；</w:t>
      </w:r>
    </w:p>
    <w:p w14:paraId="2BADEA0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（2）已实际支付的工程款；</w:t>
      </w:r>
    </w:p>
    <w:p w14:paraId="7F8A302A">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（3）本期间完成的工程款；</w:t>
      </w:r>
    </w:p>
    <w:p w14:paraId="30D2FAA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（4）本期间完成的计日工费用；</w:t>
      </w:r>
    </w:p>
    <w:p w14:paraId="085DD47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（5）本期间应支付的暂列金额价款；</w:t>
      </w:r>
    </w:p>
    <w:p w14:paraId="3B7DD8A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（6）根据第66条规定本期间应扣除的误期赔偿费；</w:t>
      </w:r>
    </w:p>
    <w:p w14:paraId="5863F04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（7）根据第68条至第76条规定本期间应支付的调整工程款；</w:t>
      </w:r>
    </w:p>
    <w:p w14:paraId="2DB76B7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（8）根据第79条本期间应扣回的预付款；</w:t>
      </w:r>
    </w:p>
    <w:p w14:paraId="4CF263C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（9）根据第80条规定本期间应支付或扣回的绿色施工安全防护费；</w:t>
      </w:r>
    </w:p>
    <w:p w14:paraId="4F52248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（10）根据第84条本期间应扣留的质量保证金；</w:t>
      </w:r>
    </w:p>
    <w:p w14:paraId="081819E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（11）根据合同约定，本期间应支付或扣留（回）的其他款项；</w:t>
      </w:r>
    </w:p>
    <w:p w14:paraId="4B8AACD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本期间应支付的工程款。</w:t>
      </w:r>
    </w:p>
    <w:p w14:paraId="0985AEDD">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81.2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64D508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349" name="文本框 352"/>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a:effectLst/>
                      </wps:spPr>
                      <wps:txbx>
                        <w:txbxContent>
                          <w:p w14:paraId="1C97AB38">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wps:txbx>
                      <wps:bodyPr vert="horz" wrap="square" anchor="t" anchorCtr="0" upright="1"/>
                    </wps:wsp>
                  </a:graphicData>
                </a:graphic>
              </wp:anchor>
            </w:drawing>
          </mc:Choice>
          <mc:Fallback>
            <w:pict>
              <v:shape id="文本框 352" o:spid="_x0000_s1026" o:spt="202" type="#_x0000_t202" style="position:absolute;left:0pt;margin-left:-9pt;margin-top:0pt;height:52.8pt;width:72pt;z-index:252015616;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HYUsJ1AAAAAgBAAAPAAAAAAAAAAEAIAAAACIA&#10;AABkcnMvZG93bnJldi54bWxQSwECFAAUAAAACACHTuJAx7RN9tQBAACSAwAADgAAAAAAAAABACAA&#10;AAAjAQAAZHJzL2Uyb0RvYy54bWxQSwUGAAAAAAYABgBZAQAAaQUAAAAA&#10;">
                <v:fill on="f" focussize="0,0"/>
                <v:stroke on="f"/>
                <v:imagedata o:title=""/>
                <o:lock v:ext="edit" aspectratio="f"/>
                <v:textbox>
                  <w:txbxContent>
                    <w:p w14:paraId="1C97AB38">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造价工程师在收到上述资料后，应按照第62条的规定进行计量，并根据计量结果和合同约定对资料内容予以核实。在收到上述资料后的28天内报发包人确认后向发包人签发期中支付证书，同时抄送承包人。</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br w:type="textWrapping"/>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57EB20B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造价工程师签发期中支付证书，不应视为发包人已同意、批准或接受了承包人完成该部分工作。</w:t>
      </w:r>
    </w:p>
    <w:p w14:paraId="2867222B">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81.3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AD7A55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350" name="文本框 353"/>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a:effectLst/>
                      </wps:spPr>
                      <wps:txbx>
                        <w:txbxContent>
                          <w:p w14:paraId="2980E7FE">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wps:txbx>
                      <wps:bodyPr vert="horz" wrap="square" anchor="t" anchorCtr="0" upright="1"/>
                    </wps:wsp>
                  </a:graphicData>
                </a:graphic>
              </wp:anchor>
            </w:drawing>
          </mc:Choice>
          <mc:Fallback>
            <w:pict>
              <v:shape id="文本框 353" o:spid="_x0000_s1026" o:spt="202" type="#_x0000_t202" style="position:absolute;left:0pt;margin-left:-9pt;margin-top:0.5pt;height:21.1pt;width:81pt;z-index:252016640;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xqzLrUAAAACAEAAA8AAAAAAAAAAQAgAAAAIgAA&#10;AGRycy9kb3ducmV2LnhtbFBLAQIUABQAAAAIAIdO4kCJuZSG0wEAAJMDAAAOAAAAAAAAAAEAIAAA&#10;ACMBAABkcnMvZTJvRG9jLnhtbFBLBQYAAAAABgAGAFkBAABoBQAAAAA=&#10;">
                <v:fill on="f" focussize="0,0"/>
                <v:stroke on="f"/>
                <v:imagedata o:title=""/>
                <o:lock v:ext="edit" aspectratio="f"/>
                <v:textbox>
                  <w:txbxContent>
                    <w:p w14:paraId="2980E7FE">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发包人应在造价工程师签发期中支付证书后的14天内，按照期中支付证书列明的金额向承包人支付进度款，并通知造价工程师。</w:t>
      </w:r>
    </w:p>
    <w:p w14:paraId="45523F91">
      <w:pPr>
        <w:widowControl w:val="0"/>
        <w:tabs>
          <w:tab w:val="left" w:pos="1320"/>
        </w:tabs>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81.4</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47F72BD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351" name="文本框 354"/>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a:effectLst/>
                      </wps:spPr>
                      <wps:txbx>
                        <w:txbxContent>
                          <w:p w14:paraId="01ADF82F">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wps:txbx>
                      <wps:bodyPr vert="horz" wrap="square" anchor="t" anchorCtr="0" upright="1"/>
                    </wps:wsp>
                  </a:graphicData>
                </a:graphic>
              </wp:anchor>
            </w:drawing>
          </mc:Choice>
          <mc:Fallback>
            <w:pict>
              <v:shape id="文本框 354" o:spid="_x0000_s1026" o:spt="202" type="#_x0000_t202" style="position:absolute;left:0pt;margin-left:-9pt;margin-top:0.65pt;height:51pt;width:72pt;z-index:252017664;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d92fLVAAAACQEAAA8AAAAAAAAAAQAgAAAAIgAA&#10;AGRycy9kb3ducmV2LnhtbFBLAQIUABQAAAAIAIdO4kCgr7iU0gEAAJIDAAAOAAAAAAAAAAEAIAAA&#10;ACQBAABkcnMvZTJvRG9jLnhtbFBLBQYAAAAABgAGAFkBAABoBQAAAAA=&#10;">
                <v:fill on="f" focussize="0,0"/>
                <v:stroke on="f"/>
                <v:imagedata o:title=""/>
                <o:lock v:ext="edit" aspectratio="f"/>
                <v:textbox>
                  <w:txbxContent>
                    <w:p w14:paraId="01ADF82F">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造价工程师未在第81.2款规定的期限内签发期中支付证书的，则视为承包人提交的支付申请已被认可，承包人应及时向发包人发出要求支付的通知。发包人应在收到通知后的14天内，按照承包人支付申请列明的金额向承包人支付进度款。</w:t>
      </w:r>
    </w:p>
    <w:p w14:paraId="7E1EFC28">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81.5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DE19F6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352" name="文本框 355"/>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a:effectLst/>
                      </wps:spPr>
                      <wps:txbx>
                        <w:txbxContent>
                          <w:p w14:paraId="035B8438">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wps:txbx>
                      <wps:bodyPr vert="horz" wrap="square" anchor="t" anchorCtr="0" upright="1"/>
                    </wps:wsp>
                  </a:graphicData>
                </a:graphic>
              </wp:anchor>
            </w:drawing>
          </mc:Choice>
          <mc:Fallback>
            <w:pict>
              <v:shape id="文本框 355" o:spid="_x0000_s1026" o:spt="202" type="#_x0000_t202" style="position:absolute;left:0pt;margin-left:-9pt;margin-top:0.95pt;height:50.95pt;width:72pt;z-index:252018688;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Yxle1QAAAAkBAAAPAAAAAAAAAAEAIAAAACIA&#10;AABkcnMvZG93bnJldi54bWxQSwECFAAUAAAACACHTuJAxKS/8tMBAACSAwAADgAAAAAAAAABACAA&#10;AAAkAQAAZHJzL2Uyb0RvYy54bWxQSwUGAAAAAAYABgBZAQAAaQUAAAAA&#10;">
                <v:fill on="f" focussize="0,0"/>
                <v:stroke on="f"/>
                <v:imagedata o:title=""/>
                <o:lock v:ext="edit" aspectratio="f"/>
                <v:textbox>
                  <w:txbxContent>
                    <w:p w14:paraId="035B8438">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未按照第81.3款和第81.4款规定支付进度款的，承包人应及时向发包人发出要求支付的通知；发包人收到通知后仍不按要求支付的，可与承包人协商签订延期支付协议，经承包人同意后可延期支付，承包人有权按照第78.2款规定获得延期支付的利息。</w:t>
      </w:r>
    </w:p>
    <w:p w14:paraId="339BF18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发包人未按照按照合同约定支付进度款，合同双方当事人又未达成延期支付协议，导致无法施工的，承包人可停止施工。发包人应承担由此增加的费用和（或）延误的工期，并向承包人支付合理利润。</w:t>
      </w:r>
    </w:p>
    <w:p w14:paraId="46E29C41">
      <w:pPr>
        <w:widowControl w:val="0"/>
        <w:tabs>
          <w:tab w:val="left" w:pos="1320"/>
        </w:tabs>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81.6</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6227F41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353" name="文本框 356"/>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a:effectLst/>
                      </wps:spPr>
                      <wps:txbx>
                        <w:txbxContent>
                          <w:p w14:paraId="4A833228">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wps:txbx>
                      <wps:bodyPr vert="horz" wrap="square" anchor="t" anchorCtr="0" upright="1"/>
                    </wps:wsp>
                  </a:graphicData>
                </a:graphic>
              </wp:anchor>
            </w:drawing>
          </mc:Choice>
          <mc:Fallback>
            <w:pict>
              <v:shape id="文本框 356" o:spid="_x0000_s1026" o:spt="202" type="#_x0000_t202" style="position:absolute;left:0pt;margin-left:-9pt;margin-top:1.25pt;height:20.95pt;width:81pt;z-index:252019712;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50FTHVAAAACAEAAA8AAAAAAAAAAQAgAAAAIgAA&#10;AGRycy9kb3ducmV2LnhtbFBLAQIUABQAAAAIAIdO4kDM5lcz0gEAAJMDAAAOAAAAAAAAAAEAIAAA&#10;ACQBAABkcnMvZTJvRG9jLnhtbFBLBQYAAAAABgAGAFkBAABoBQAAAAA=&#10;">
                <v:fill on="f" focussize="0,0"/>
                <v:stroke on="f"/>
                <v:imagedata o:title=""/>
                <o:lock v:ext="edit" aspectratio="f"/>
                <v:textbox>
                  <w:txbxContent>
                    <w:p w14:paraId="4A833228">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14:paraId="07A309DB">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00DC087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★82  竣工结算</w:t>
      </w:r>
    </w:p>
    <w:p w14:paraId="09E249B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82.1      </w:t>
      </w:r>
    </w:p>
    <w:p w14:paraId="4166EEA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354" name="文本框 35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4A51A1F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wps:txbx>
                      <wps:bodyPr vert="horz" wrap="square" anchor="t" anchorCtr="0" upright="1"/>
                    </wps:wsp>
                  </a:graphicData>
                </a:graphic>
              </wp:anchor>
            </w:drawing>
          </mc:Choice>
          <mc:Fallback>
            <w:pict>
              <v:shape id="文本框 357" o:spid="_x0000_s1026" o:spt="202" type="#_x0000_t202" style="position:absolute;left:0pt;margin-left:-9pt;margin-top:3.05pt;height:31.2pt;width:72pt;z-index:252020736;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r7AwV1AAAAAgBAAAPAAAAAAAAAAEAIAAAACIA&#10;AABkcnMvZG93bnJldi54bWxQSwECFAAUAAAACACHTuJAl5l2PdQBAACSAwAADgAAAAAAAAABACAA&#10;AAAjAQAAZHJzL2Uyb0RvYy54bWxQSwUGAAAAAAYABgBZAQAAaQUAAAAA&#10;">
                <v:fill on="f" focussize="0,0"/>
                <v:stroke on="f"/>
                <v:imagedata o:title=""/>
                <o:lock v:ext="edit" aspectratio="f"/>
                <v:textbox>
                  <w:txbxContent>
                    <w:p w14:paraId="4A51A1F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合同双方当事人应按照国家标准《建设工程工程量清单计价规范》（GBGB50500-2013）规定在专用条款中明确办理竣工结算的程序和时限。专用条款没有约定的，竣工结算按照第82.2款至第82.5款规定办理。</w:t>
      </w:r>
    </w:p>
    <w:p w14:paraId="064C3911">
      <w:pPr>
        <w:spacing w:line="420" w:lineRule="exact"/>
        <w:ind w:left="1760" w:hanging="1760" w:hangingChars="80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14:paraId="1B71EF8E">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在办理竣工结算期间，发包人按照第78条规定应向承包人支付的工程款及其他款项不停止。</w:t>
      </w:r>
    </w:p>
    <w:p w14:paraId="4214517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82.2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5046DD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355" name="文本框 358"/>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a:effectLst/>
                      </wps:spPr>
                      <wps:txbx>
                        <w:txbxContent>
                          <w:p w14:paraId="30A18BF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wps:txbx>
                      <wps:bodyPr vert="horz" wrap="square" anchor="t" anchorCtr="0" upright="1"/>
                    </wps:wsp>
                  </a:graphicData>
                </a:graphic>
              </wp:anchor>
            </w:drawing>
          </mc:Choice>
          <mc:Fallback>
            <w:pict>
              <v:shape id="文本框 358" o:spid="_x0000_s1026" o:spt="202" type="#_x0000_t202" style="position:absolute;left:0pt;margin-left:-9pt;margin-top:1.85pt;height:36.15pt;width:72pt;z-index:252021760;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Qfx4rVAAAACAEAAA8AAAAAAAAAAQAgAAAAIgAA&#10;AGRycy9kb3ducmV2LnhtbFBLAQIUABQAAAAIAIdO4kBwd6oj0gEAAJIDAAAOAAAAAAAAAAEAIAAA&#10;ACQBAABkcnMvZTJvRG9jLnhtbFBLBQYAAAAABgAGAFkBAABoBQAAAAA=&#10;">
                <v:fill on="f" focussize="0,0"/>
                <v:stroke on="f"/>
                <v:imagedata o:title=""/>
                <o:lock v:ext="edit" aspectratio="f"/>
                <v:textbox>
                  <w:txbxContent>
                    <w:p w14:paraId="30A18BF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承包人应在提交竣工验收申请报告前编制完成竣工结算文件，并在提交竣工验收申请报告的同时向造价工程师递交竣工结算文件。竣工结算文件清单由双方在专用条款中约定。</w:t>
      </w:r>
    </w:p>
    <w:p w14:paraId="672A10D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4E3CB11E">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82.3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E500EB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356" name="文本框 359"/>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a:effectLst/>
                      </wps:spPr>
                      <wps:txbx>
                        <w:txbxContent>
                          <w:p w14:paraId="5E6FBAC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wps:txbx>
                      <wps:bodyPr vert="horz" wrap="square" anchor="t" anchorCtr="0" upright="1"/>
                    </wps:wsp>
                  </a:graphicData>
                </a:graphic>
              </wp:anchor>
            </w:drawing>
          </mc:Choice>
          <mc:Fallback>
            <w:pict>
              <v:shape id="文本框 359" o:spid="_x0000_s1026" o:spt="202" type="#_x0000_t202" style="position:absolute;left:0pt;margin-left:-9pt;margin-top:3.05pt;height:32.95pt;width:72pt;z-index:252022784;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xQknj1QAAAAgBAAAPAAAAAAAAAAEAIAAAACIA&#10;AABkcnMvZG93bnJldi54bWxQSwECFAAUAAAACACHTuJA3EWlsdMBAACSAwAADgAAAAAAAAABACAA&#10;AAAkAQAAZHJzL2Uyb0RvYy54bWxQSwUGAAAAAAYABgBZAQAAaQUAAAAA&#10;">
                <v:fill on="f" focussize="0,0"/>
                <v:stroke on="f"/>
                <v:imagedata o:title=""/>
                <o:lock v:ext="edit" aspectratio="f"/>
                <v:textbox>
                  <w:txbxContent>
                    <w:p w14:paraId="5E6FBAC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br w:type="textWrapping"/>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造价工程师在收到竣工结算文件后的28天内，不核实竣工结算或未提出核实意见的，视为承包人递交的竣工结算已被认可。</w:t>
      </w:r>
    </w:p>
    <w:p w14:paraId="3FB6204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承包人在收到造价工程师提出的核实意见后的28天内，不确认也未提出异议的，视为造价工程师提出的核实意见已被认可，竣工结算办理完毕。</w:t>
      </w:r>
    </w:p>
    <w:p w14:paraId="6C02CDEA">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82.4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60C443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57" name="文本框 360"/>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a:effectLst/>
                      </wps:spPr>
                      <wps:txbx>
                        <w:txbxContent>
                          <w:p w14:paraId="75DEC39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wps:txbx>
                      <wps:bodyPr vert="horz" wrap="square" anchor="t" anchorCtr="0" upright="1"/>
                    </wps:wsp>
                  </a:graphicData>
                </a:graphic>
              </wp:anchor>
            </w:drawing>
          </mc:Choice>
          <mc:Fallback>
            <w:pict>
              <v:shape id="文本框 360" o:spid="_x0000_s1026" o:spt="202" type="#_x0000_t202" style="position:absolute;left:0pt;margin-left:-9pt;margin-top:1.25pt;height:56.55pt;width:72pt;z-index:252023808;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GQgC7WAAAACQEAAA8AAAAAAAAAAQAgAAAAIgAA&#10;AGRycy9kb3ducmV2LnhtbFBLAQIUABQAAAAIAIdO4kB9iv4i0QEAAJIDAAAOAAAAAAAAAAEAIAAA&#10;ACUBAABkcnMvZTJvRG9jLnhtbFBLBQYAAAAABgAGAFkBAABoBQAAAAA=&#10;">
                <v:fill on="f" focussize="0,0"/>
                <v:stroke on="f"/>
                <v:imagedata o:title=""/>
                <o:lock v:ext="edit" aspectratio="f"/>
                <v:textbox>
                  <w:txbxContent>
                    <w:p w14:paraId="75DEC39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造价工程师应在收到承包人按照第82.3款规定再次递交的竣工结算文件后的28天内予以复核，并将复核结果通知承包人、抄报发包人。</w:t>
      </w:r>
    </w:p>
    <w:p w14:paraId="13CD0C0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（1）经复核无误的，除属于第86条规定的争议外，发包人应在7天内在竣工结算文件上签字确认，竣工结算办理完毕。</w:t>
      </w:r>
    </w:p>
    <w:p w14:paraId="62D62FD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（2）经复核认为有误的：无误部分按照本款第(1)点规定办理不完全竣工结算；有误部分由造价工程师与合同双方当事人协商解决，或按照第86条规定处理。</w:t>
      </w:r>
    </w:p>
    <w:p w14:paraId="33FD62CE">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82.5</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320118D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58" name="文本框 36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7081FE7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wps:txbx>
                      <wps:bodyPr vert="horz" wrap="square" anchor="t" anchorCtr="0" upright="1"/>
                    </wps:wsp>
                  </a:graphicData>
                </a:graphic>
              </wp:anchor>
            </w:drawing>
          </mc:Choice>
          <mc:Fallback>
            <w:pict>
              <v:shape id="文本框 361" o:spid="_x0000_s1026" o:spt="202" type="#_x0000_t202" style="position:absolute;left:0pt;margin-left:-9pt;margin-top:0.45pt;height:31.2pt;width:72pt;z-index:252024832;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kQKal1QAAAAcBAAAPAAAAAAAAAAEAIAAAACIA&#10;AABkcnMvZG93bnJldi54bWxQSwECFAAUAAAACACHTuJAUxZPw9MBAACSAwAADgAAAAAAAAABACAA&#10;AAAkAQAAZHJzL2Uyb0RvYy54bWxQSwUGAAAAAAYABgBZAQAAaQUAAAAA&#10;">
                <v:fill on="f" focussize="0,0"/>
                <v:stroke on="f"/>
                <v:imagedata o:title=""/>
                <o:lock v:ext="edit" aspectratio="f"/>
                <v:textbox>
                  <w:txbxContent>
                    <w:p w14:paraId="7081FE7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发包人应在已核实无误的竣工结算文件上签名确认，拒不签认的，承包人可不交付竣工工程。</w:t>
      </w:r>
    </w:p>
    <w:p w14:paraId="50EB14C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承包人未及时递交竣工结算文件的，发包人要求交付竣工工程，承包人应当交付；发包人不要求交付竣工工程，承包人承担照管永久工程责任。</w:t>
      </w:r>
    </w:p>
    <w:p w14:paraId="0154C60F">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5E321B06">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★83  结算款</w:t>
      </w:r>
    </w:p>
    <w:p w14:paraId="616BAAAF">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83.1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p>
    <w:p w14:paraId="7EDAB69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359" name="文本框 362"/>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a:effectLst/>
                      </wps:spPr>
                      <wps:txbx>
                        <w:txbxContent>
                          <w:p w14:paraId="4F55633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wps:txbx>
                      <wps:bodyPr vert="horz" wrap="square" anchor="t" anchorCtr="0" upright="1"/>
                    </wps:wsp>
                  </a:graphicData>
                </a:graphic>
              </wp:anchor>
            </w:drawing>
          </mc:Choice>
          <mc:Fallback>
            <w:pict>
              <v:shape id="文本框 362" o:spid="_x0000_s1026" o:spt="202" type="#_x0000_t202" style="position:absolute;left:0pt;margin-left:-9pt;margin-top:2.85pt;height:36.15pt;width:72pt;z-index:252025856;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Mq/SfVAAAACAEAAA8AAAAAAAAAAQAgAAAAIgAA&#10;AGRycy9kb3ducmV2LnhtbFBLAQIUABQAAAAIAIdO4kDMWWhO0gEAAJIDAAAOAAAAAAAAAAEAIAAA&#10;ACQBAABkcnMvZTJvRG9jLnhtbFBLBQYAAAAABgAGAFkBAABoBQAAAAA=&#10;">
                <v:fill on="f" focussize="0,0"/>
                <v:stroke on="f"/>
                <v:imagedata o:title=""/>
                <o:lock v:ext="edit" aspectratio="f"/>
                <v:textbox>
                  <w:txbxContent>
                    <w:p w14:paraId="4F55633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合同双方当事人应在专用条款中明确结算款的支付时限。专用条款没有约定的，结算款支付按照第83.2款至第83.5款规定办理。涉及政府投资资金的工程,支付期、支付方法等需调整的，应在专用条款中约定。</w:t>
      </w:r>
    </w:p>
    <w:p w14:paraId="2BB2452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应按照第82.2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14:paraId="4D0D44D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（1）根据合同完成全部或所有工程的总造价；</w:t>
      </w:r>
    </w:p>
    <w:p w14:paraId="0BD14E5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（2）根据合同约定发包人应付的所有款项。</w:t>
      </w:r>
    </w:p>
    <w:p w14:paraId="7C8E8674">
      <w:pPr>
        <w:widowControl w:val="0"/>
        <w:tabs>
          <w:tab w:val="left" w:pos="2641"/>
        </w:tabs>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83.2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DE3D68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60" name="文本框 363"/>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a:effectLst/>
                      </wps:spPr>
                      <wps:txbx>
                        <w:txbxContent>
                          <w:p w14:paraId="77F1CA7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wps:txbx>
                      <wps:bodyPr vert="horz" wrap="square" anchor="t" anchorCtr="0" upright="1"/>
                    </wps:wsp>
                  </a:graphicData>
                </a:graphic>
              </wp:anchor>
            </w:drawing>
          </mc:Choice>
          <mc:Fallback>
            <w:pict>
              <v:shape id="文本框 363" o:spid="_x0000_s1026" o:spt="202" type="#_x0000_t202" style="position:absolute;left:0pt;margin-left:-9pt;margin-top:1.25pt;height:56.55pt;width:72pt;z-index:252026880;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GQgC7WAAAACQEAAA8AAAAAAAAAAQAgAAAAIgAA&#10;AGRycy9kb3ducmV2LnhtbFBLAQIUABQAAAAIAIdO4kCq3NKd0QEAAJIDAAAOAAAAAAAAAAEAIAAA&#10;ACUBAABkcnMvZTJvRG9jLnhtbFBLBQYAAAAABgAGAFkBAABoBQAAAAA=&#10;">
                <v:fill on="f" focussize="0,0"/>
                <v:stroke on="f"/>
                <v:imagedata o:title=""/>
                <o:lock v:ext="edit" aspectratio="f"/>
                <v:textbox>
                  <w:txbxContent>
                    <w:p w14:paraId="77F1CA7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造价工程师在收到上述资料后，应按照第82.3款、第82.4款规定核实竣工结算文件，并在发包人签字确认竣工结算文件后的7天内，向发包人签发竣工结算支付证书，同时抄送承包人。</w:t>
      </w:r>
    </w:p>
    <w:p w14:paraId="7B80A958">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83.3</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6935149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61" name="文本框 3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29973D8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wps:txbx>
                      <wps:bodyPr vert="horz" wrap="square" anchor="t" anchorCtr="0" upright="1"/>
                    </wps:wsp>
                  </a:graphicData>
                </a:graphic>
              </wp:anchor>
            </w:drawing>
          </mc:Choice>
          <mc:Fallback>
            <w:pict>
              <v:shape id="文本框 364" o:spid="_x0000_s1026" o:spt="202" type="#_x0000_t202" style="position:absolute;left:0pt;margin-left:-9pt;margin-top:0.45pt;height:31.2pt;width:72pt;z-index:252027904;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kQKal1QAAAAcBAAAPAAAAAAAAAAEAIAAAACIA&#10;AABkcnMvZG93bnJldi54bWxQSwECFAAUAAAACACHTuJA1GmyXtMBAACSAwAADgAAAAAAAAABACAA&#10;AAAkAQAAZHJzL2Uyb0RvYy54bWxQSwUGAAAAAAYABgBZAQAAaQUAAAAA&#10;">
                <v:fill on="f" focussize="0,0"/>
                <v:stroke on="f"/>
                <v:imagedata o:title=""/>
                <o:lock v:ext="edit" aspectratio="f"/>
                <v:textbox>
                  <w:txbxContent>
                    <w:p w14:paraId="29973D8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发包人应在造价工程师签发竣工结算支付证书后的28天内，按照竣工结算支付证书列明的金额向承包人支付结算款，并通知造价工程师。</w:t>
      </w:r>
    </w:p>
    <w:p w14:paraId="4237704D">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83.4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D3E5EC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28928"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362" name="文本框 365"/>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a:effectLst/>
                      </wps:spPr>
                      <wps:txbx>
                        <w:txbxContent>
                          <w:p w14:paraId="4D0C53A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6F4CEDF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75851D6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wps:txbx>
                      <wps:bodyPr vert="horz" wrap="square" anchor="t" anchorCtr="0" upright="1"/>
                    </wps:wsp>
                  </a:graphicData>
                </a:graphic>
              </wp:anchor>
            </w:drawing>
          </mc:Choice>
          <mc:Fallback>
            <w:pict>
              <v:shape id="文本框 365" o:spid="_x0000_s1026" o:spt="202" type="#_x0000_t202" style="position:absolute;left:0pt;margin-left:-5.25pt;margin-top:0.95pt;height:65.3pt;width:82.5pt;z-index:252028928;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9NBqndUAAAAJAQAADwAAAAAAAAABACAAAAAi&#10;AAAAZHJzL2Rvd25yZXYueG1sUEsBAhQAFAAAAAgAh07iQC9nmLDUAQAAkwMAAA4AAAAAAAAAAQAg&#10;AAAAJAEAAGRycy9lMm9Eb2MueG1sUEsFBgAAAAAGAAYAWQEAAGoFAAAAAA==&#10;">
                <v:fill on="f" focussize="0,0"/>
                <v:stroke on="f"/>
                <v:imagedata o:title=""/>
                <o:lock v:ext="edit" aspectratio="f"/>
                <v:textbox>
                  <w:txbxContent>
                    <w:p w14:paraId="4D0C53A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6F4CEDF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75851D6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造价工程师未在第83.2款规定的期限内签发竣工结算支付证书的，则视为承包人提交的竣工支付申请已被认可，承包人应及时向发包人发出要求支付竣工结算款的通知。发包人应在收到通知后的28天内，按照承包人支付申请列明的金额向承包人支付竣工结算款。</w:t>
      </w:r>
    </w:p>
    <w:p w14:paraId="781DD3F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83.5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A9565F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363" name="文本框 366"/>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a:effectLst/>
                      </wps:spPr>
                      <wps:txbx>
                        <w:txbxContent>
                          <w:p w14:paraId="35EFE47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wps:txbx>
                      <wps:bodyPr vert="horz" wrap="square" anchor="t" anchorCtr="0" upright="1"/>
                    </wps:wsp>
                  </a:graphicData>
                </a:graphic>
              </wp:anchor>
            </w:drawing>
          </mc:Choice>
          <mc:Fallback>
            <w:pict>
              <v:shape id="文本框 366" o:spid="_x0000_s1026" o:spt="202" type="#_x0000_t202" style="position:absolute;left:0pt;margin-left:-9pt;margin-top:4.6pt;height:32.1pt;width:72pt;z-index:252029952;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ssy49YAAAAIAQAADwAAAAAAAAABACAAAAAi&#10;AAAAZHJzL2Rvd25yZXYueG1sUEsBAhQAFAAAAAgAh07iQMpqcyDTAQAAkgMAAA4AAAAAAAAAAQAg&#10;AAAAJQEAAGRycy9lMm9Eb2MueG1sUEsFBgAAAAAGAAYAWQEAAGoFAAAAAA==&#10;">
                <v:fill on="f" focussize="0,0"/>
                <v:stroke on="f"/>
                <v:imagedata o:title=""/>
                <o:lock v:ext="edit" aspectratio="f"/>
                <v:textbox>
                  <w:txbxContent>
                    <w:p w14:paraId="35EFE47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发包人未按照第83.3款和第83.4款规定支付竣工结算款的，承包人可催告发包人支付竣工结算款，如双方达成延期支付协议，承包人有权按照第78.2款规定获得延期支付的利息。</w:t>
      </w:r>
    </w:p>
    <w:p w14:paraId="3A00917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在收到竣工结算支付证书后的56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001C1006">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1552486B">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★84  质量保证金</w:t>
      </w:r>
    </w:p>
    <w:p w14:paraId="1490F306">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84.1     </w:t>
      </w:r>
    </w:p>
    <w:p w14:paraId="1E5BF91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64" name="文本框 36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6642DC8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wps:txbx>
                      <wps:bodyPr vert="horz" wrap="square" anchor="t" anchorCtr="0" upright="1"/>
                    </wps:wsp>
                  </a:graphicData>
                </a:graphic>
              </wp:anchor>
            </w:drawing>
          </mc:Choice>
          <mc:Fallback>
            <w:pict>
              <v:shape id="文本框 367" o:spid="_x0000_s1026" o:spt="202" type="#_x0000_t202" style="position:absolute;left:0pt;margin-left:-9pt;margin-top:0.65pt;height:31.2pt;width:72pt;z-index:252030976;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t2iW1QAAAAgBAAAPAAAAAAAAAAEAIAAAACIA&#10;AABkcnMvZG93bnJldi54bWxQSwECFAAUAAAACACHTuJA89nFH9MBAACSAwAADgAAAAAAAAABACAA&#10;AAAkAQAAZHJzL2Uyb0RvYy54bWxQSwUGAAAAAAYABgBZAQAAaQUAAAAA&#10;">
                <v:fill on="f" focussize="0,0"/>
                <v:stroke on="f"/>
                <v:imagedata o:title=""/>
                <o:lock v:ext="edit" aspectratio="f"/>
                <v:textbox>
                  <w:txbxContent>
                    <w:p w14:paraId="6642DC8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质量保证金用于承包人对合同工程质量的担保。承包人未按照法律有关规定和合同约定履行质量保修义务的，发包人有权从质量保证金中扣留用于质量保修的各项支出。</w:t>
      </w:r>
    </w:p>
    <w:p w14:paraId="168A60B7">
      <w:pPr>
        <w:widowControl w:val="0"/>
        <w:tabs>
          <w:tab w:val="left" w:pos="90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84.2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BFAFBA0">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合同双方当事人应在专用条款中约定质量保证金金额</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365" name="文本框 368"/>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a:effectLst/>
                      </wps:spPr>
                      <wps:txbx>
                        <w:txbxContent>
                          <w:p w14:paraId="7114E7E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wps:txbx>
                      <wps:bodyPr vert="horz" wrap="square" anchor="t" anchorCtr="0" upright="1"/>
                    </wps:wsp>
                  </a:graphicData>
                </a:graphic>
              </wp:anchor>
            </w:drawing>
          </mc:Choice>
          <mc:Fallback>
            <w:pict>
              <v:shape id="文本框 368" o:spid="_x0000_s1026" o:spt="202" type="#_x0000_t202" style="position:absolute;left:0pt;margin-left:-9pt;margin-top:1.6pt;height:40.9pt;width:72pt;z-index:252032000;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lFbxNUAAAAIAQAADwAAAAAAAAABACAAAAAi&#10;AAAAZHJzL2Rvd25yZXYueG1sUEsBAhQAFAAAAAgAh07iQJQ2Xx7UAQAAkgMAAA4AAAAAAAAAAQAg&#10;AAAAJAEAAGRycy9lMm9Eb2MueG1sUEsFBgAAAAAGAAYAWQEAAGoFAAAAAA==&#10;">
                <v:fill on="f" focussize="0,0"/>
                <v:stroke on="f"/>
                <v:imagedata o:title=""/>
                <o:lock v:ext="edit" aspectratio="f"/>
                <v:textbox>
                  <w:txbxContent>
                    <w:p w14:paraId="7114E7E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。除专用条款另有约定外，质量保证金为合同价款的3％（采取银行保函）。发包人应按照该比例从每支付期应支付给承包人的进度款或结算款中扣留，直到扣留的质量保证金总额达到专用条款约定的金额为止。</w:t>
      </w:r>
    </w:p>
    <w:p w14:paraId="67DFD075">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84.3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BC8320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6" name="文本框 369"/>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14:paraId="254F040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wps:txbx>
                      <wps:bodyPr vert="horz" wrap="square" anchor="t" anchorCtr="0" upright="1"/>
                    </wps:wsp>
                  </a:graphicData>
                </a:graphic>
              </wp:anchor>
            </w:drawing>
          </mc:Choice>
          <mc:Fallback>
            <w:pict>
              <v:shape id="文本框 369" o:spid="_x0000_s1026" o:spt="202" type="#_x0000_t202" style="position:absolute;left:0pt;margin-left:-9pt;margin-top:3.6pt;height:36.45pt;width:72pt;z-index:25203302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qV2BW1QAAAAgBAAAPAAAAAAAAAAEAIAAAACIA&#10;AABkcnMvZG93bnJldi54bWxQSwECFAAUAAAACACHTuJAARNM5tMBAACSAwAADgAAAAAAAAABACAA&#10;AAAkAQAAZHJzL2Uyb0RvYy54bWxQSwUGAAAAAAYABgBZAQAAaQUAAAAA&#10;">
                <v:fill on="f" focussize="0,0"/>
                <v:stroke on="f"/>
                <v:imagedata o:title=""/>
                <o:lock v:ext="edit" aspectratio="f"/>
                <v:textbox>
                  <w:txbxContent>
                    <w:p w14:paraId="254F040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缺陷责任期（包括第59.2款延长的期限）满时，承包人应向发包人申请到期应返还的剩余质量保证金金额。发包人如无异议，应在缺陷责任期满后的14天内将剩余的质量保证金返还给承包人。剩余质量保证金的返还，并不能免除承包人按照合同约定应承担的质量保修责任和应履行的质量保修义务。发包人在退还质量保证金的同时按照中国人民银行发布的同期同类贷款基准利率支付利息。</w:t>
      </w:r>
    </w:p>
    <w:p w14:paraId="5ADB8C2B">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84.4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2E1469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7" name="文本框 37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14:paraId="1DB5CD7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wps:txbx>
                      <wps:bodyPr vert="horz" wrap="square" anchor="t" anchorCtr="0" upright="1"/>
                    </wps:wsp>
                  </a:graphicData>
                </a:graphic>
              </wp:anchor>
            </w:drawing>
          </mc:Choice>
          <mc:Fallback>
            <w:pict>
              <v:shape id="文本框 370" o:spid="_x0000_s1026" o:spt="202" type="#_x0000_t202" style="position:absolute;left:0pt;margin-left:-9pt;margin-top:3.6pt;height:36.45pt;width:72pt;z-index:25203404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pXYFbVAAAACAEAAA8AAAAAAAAAAQAgAAAAIgAA&#10;AGRycy9kb3ducmV2LnhtbFBLAQIUABQAAAAIAIdO4kD15a6m0gEAAJIDAAAOAAAAAAAAAAEAIAAA&#10;ACQBAABkcnMvZTJvRG9jLnhtbFBLBQYAAAAABgAGAFkBAABoBQAAAAA=&#10;">
                <v:fill on="f" focussize="0,0"/>
                <v:stroke on="f"/>
                <v:imagedata o:title=""/>
                <o:lock v:ext="edit" aspectratio="f"/>
                <v:textbox>
                  <w:txbxContent>
                    <w:p w14:paraId="1DB5CD7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缺陷责任期（包括第59.2款延长的期限）满时，承包人没有完成缺陷责任的，发包人有权扣留承包人未完成缺陷责任剩余工作所需的部分质量保证金余额，并有权根据第59.2款约定要求延长缺陷责任期，直到完成剩余工作为止。</w:t>
      </w:r>
    </w:p>
    <w:p w14:paraId="242741C6">
      <w:pPr>
        <w:widowControl w:val="0"/>
        <w:adjustRightInd w:val="0"/>
        <w:snapToGrid w:val="0"/>
        <w:spacing w:line="420" w:lineRule="exact"/>
        <w:ind w:right="-238"/>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65D6899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85  最终清算款</w:t>
      </w:r>
    </w:p>
    <w:p w14:paraId="0B31089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85.1     </w:t>
      </w:r>
    </w:p>
    <w:p w14:paraId="498FEC8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368" name="文本框 37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541FC1D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wps:txbx>
                      <wps:bodyPr vert="horz" wrap="square" anchor="t" anchorCtr="0" upright="1"/>
                    </wps:wsp>
                  </a:graphicData>
                </a:graphic>
              </wp:anchor>
            </w:drawing>
          </mc:Choice>
          <mc:Fallback>
            <w:pict>
              <v:shape id="文本框 371" o:spid="_x0000_s1026" o:spt="202" type="#_x0000_t202" style="position:absolute;left:0pt;margin-left:-9pt;margin-top:5.85pt;height:31.2pt;width:72pt;z-index:252035072;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PIgVtYAAAAJAQAADwAAAAAAAAABACAAAAAi&#10;AAAAZHJzL2Rvd25yZXYueG1sUEsBAhQAFAAAAAgAh07iQCWqphbTAQAAkgMAAA4AAAAAAAAAAQAg&#10;AAAAJQEAAGRycy9lMm9Eb2MueG1sUEsFBgAAAAAGAAYAWQEAAGoFAAAAAA==&#10;">
                <v:fill on="f" focussize="0,0"/>
                <v:stroke on="f"/>
                <v:imagedata o:title=""/>
                <o:lock v:ext="edit" aspectratio="f"/>
                <v:textbox>
                  <w:txbxContent>
                    <w:p w14:paraId="541FC1D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合同双方当事人应在专用条款中明确最终清算款的支付时限。专用条款没有约定的,最终清算款按照第85.2款至第85.5款规定办理。涉及政府投资资金的工程，支付期、支付方法等需调整的，应在专用条款中约定。</w:t>
      </w:r>
    </w:p>
    <w:p w14:paraId="4E6B115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14:paraId="71937344">
      <w:pPr>
        <w:widowControl w:val="0"/>
        <w:tabs>
          <w:tab w:val="left" w:pos="900"/>
        </w:tabs>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85.2</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778F373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369" name="文本框 372"/>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a:effectLst/>
                      </wps:spPr>
                      <wps:txbx>
                        <w:txbxContent>
                          <w:p w14:paraId="5D0702A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59195332">
                            <w:pPr>
                              <w:spacing w:line="240" w:lineRule="exact"/>
                              <w:rPr>
                                <w:rFonts w:ascii="宋体" w:hAnsi="Times New Roman" w:eastAsia="宋体" w:cs="Times New Roman"/>
                                <w:b/>
                                <w:bCs/>
                                <w:sz w:val="18"/>
                                <w:szCs w:val="18"/>
                              </w:rPr>
                            </w:pPr>
                            <w:r>
                              <w:rPr>
                                <w:rFonts w:hint="eastAsia" w:ascii="楷体_GB2312" w:hAnsi="宋体" w:eastAsia="楷体_GB2312" w:cs="楷体_GB2312"/>
                                <w:b/>
                                <w:bCs/>
                                <w:sz w:val="18"/>
                                <w:szCs w:val="18"/>
                              </w:rPr>
                              <w:t>支付证书</w:t>
                            </w:r>
                          </w:p>
                        </w:txbxContent>
                      </wps:txbx>
                      <wps:bodyPr vert="horz" wrap="square" anchor="t" anchorCtr="0" upright="1"/>
                    </wps:wsp>
                  </a:graphicData>
                </a:graphic>
              </wp:anchor>
            </w:drawing>
          </mc:Choice>
          <mc:Fallback>
            <w:pict>
              <v:shape id="文本框 372" o:spid="_x0000_s1026" o:spt="202" type="#_x0000_t202" style="position:absolute;left:0pt;margin-left:-9pt;margin-top:0.7pt;height:36.45pt;width:81pt;z-index:252036096;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liTP1QAAAAgBAAAPAAAAAAAAAAEAIAAAACIA&#10;AABkcnMvZG93bnJldi54bWxQSwECFAAUAAAACACHTuJATrXmotMBAACTAwAADgAAAAAAAAABACAA&#10;AAAkAQAAZHJzL2Uyb0RvYy54bWxQSwUGAAAAAAYABgBZAQAAaQUAAAAA&#10;">
                <v:fill on="f" focussize="0,0"/>
                <v:stroke on="f"/>
                <v:imagedata o:title=""/>
                <o:lock v:ext="edit" aspectratio="f"/>
                <v:textbox>
                  <w:txbxContent>
                    <w:p w14:paraId="5D0702A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59195332">
                      <w:pPr>
                        <w:spacing w:line="240" w:lineRule="exact"/>
                        <w:rPr>
                          <w:rFonts w:ascii="宋体" w:hAnsi="Times New Roman" w:eastAsia="宋体" w:cs="Times New Roman"/>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造价工程师应在收到最终清算支付申请后的14天内予以计量、核实，并将核实结果通知承包人、抄报发包人。发包人应在收到核实结果后的7天内在最终清算文件上签字确认。造价工程师应在发包人签字确认最终清算文件后的7天内，向发包人签发最终清算支付证书，同时抄送承包人。</w:t>
      </w:r>
    </w:p>
    <w:p w14:paraId="6789CE6A">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370" name="文本框 373"/>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14:paraId="62D0AD38">
                            <w:pPr>
                              <w:spacing w:line="240" w:lineRule="exact"/>
                              <w:rPr>
                                <w:rFonts w:ascii="宋体" w:hAnsi="Calibri" w:eastAsia="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vert="horz" wrap="square" anchor="t" anchorCtr="0" upright="1"/>
                    </wps:wsp>
                  </a:graphicData>
                </a:graphic>
              </wp:anchor>
            </w:drawing>
          </mc:Choice>
          <mc:Fallback>
            <w:pict>
              <v:shape id="文本框 373" o:spid="_x0000_s1026" o:spt="202" type="#_x0000_t202" style="position:absolute;left:0pt;margin-left:-9pt;margin-top:18.15pt;height:36.45pt;width:72pt;z-index:252037120;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ljz5nYAAAACgEAAA8AAAAAAAAAAQAgAAAA&#10;IgAAAGRycy9kb3ducmV2LnhtbFBLAQIUABQAAAAIAIdO4kC3MtVk0gEAAJIDAAAOAAAAAAAAAAEA&#10;IAAAACcBAABkcnMvZTJvRG9jLnhtbFBLBQYAAAAABgAGAFkBAABrBQAAAAA=&#10;">
                <v:fill on="f" focussize="0,0"/>
                <v:stroke on="f"/>
                <v:imagedata o:title=""/>
                <o:lock v:ext="edit" aspectratio="f"/>
                <v:textbox>
                  <w:txbxContent>
                    <w:p w14:paraId="62D0AD38">
                      <w:pPr>
                        <w:spacing w:line="240" w:lineRule="exact"/>
                        <w:rPr>
                          <w:rFonts w:ascii="宋体" w:hAnsi="Calibri" w:eastAsia="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85.3</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4BE9158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发包人应在造价工程师签发最终清算支付证书后的14 天内，按照最终清算支付证书列明的金额向承包人支付最终清算款，并通知造价工程师。</w:t>
      </w:r>
    </w:p>
    <w:p w14:paraId="17D9C50C">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371" name="文本框 37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14:paraId="5BC7C8BA">
                            <w:pPr>
                              <w:spacing w:line="240" w:lineRule="exact"/>
                              <w:rPr>
                                <w:rFonts w:ascii="宋体" w:hAnsi="Calibri" w:eastAsia="宋体" w:cs="Times New Roman"/>
                                <w:b/>
                                <w:bCs/>
                                <w:sz w:val="18"/>
                                <w:szCs w:val="18"/>
                              </w:rPr>
                            </w:pPr>
                            <w:r>
                              <w:rPr>
                                <w:rFonts w:hint="eastAsia" w:ascii="楷体_GB2312" w:hAnsi="宋体" w:eastAsia="楷体_GB2312" w:cs="楷体_GB2312"/>
                                <w:b/>
                                <w:bCs/>
                                <w:sz w:val="18"/>
                                <w:szCs w:val="18"/>
                              </w:rPr>
                              <w:t>签发最终清算支付证书限制</w:t>
                            </w:r>
                          </w:p>
                        </w:txbxContent>
                      </wps:txbx>
                      <wps:bodyPr vert="horz" wrap="square" anchor="t" anchorCtr="0" upright="1"/>
                    </wps:wsp>
                  </a:graphicData>
                </a:graphic>
              </wp:anchor>
            </w:drawing>
          </mc:Choice>
          <mc:Fallback>
            <w:pict>
              <v:shape id="文本框 374" o:spid="_x0000_s1026" o:spt="202" type="#_x0000_t202" style="position:absolute;left:0pt;margin-left:-9pt;margin-top:18.45pt;height:36.45pt;width:72pt;z-index:252038144;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c/e3i2AAAAAoBAAAPAAAAAAAAAAEAIAAA&#10;ACIAAABkcnMvZG93bnJldi54bWxQSwECFAAUAAAACACHTuJAplTK9NMBAACSAwAADgAAAAAAAAAB&#10;ACAAAAAnAQAAZHJzL2Uyb0RvYy54bWxQSwUGAAAAAAYABgBZAQAAbAUAAAAA&#10;">
                <v:fill on="f" focussize="0,0"/>
                <v:stroke on="f"/>
                <v:imagedata o:title=""/>
                <o:lock v:ext="edit" aspectratio="f"/>
                <v:textbox>
                  <w:txbxContent>
                    <w:p w14:paraId="5BC7C8BA">
                      <w:pPr>
                        <w:spacing w:line="240" w:lineRule="exact"/>
                        <w:rPr>
                          <w:rFonts w:ascii="宋体" w:hAnsi="Calibri" w:eastAsia="宋体" w:cs="Times New Roman"/>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85.4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22E66F3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如果造价工程师未在第85.2款规定的期限内签发最终清算支付证书的，则视为承包人提交的最终清算支付申请已被认可，承包人应及时向发包人发出要求支付最终清算款的通知。发包人应在收到通知后的14天内，按照承包人提交最终清算支付申请列明的金额向承包人支付最终清算款。</w:t>
      </w:r>
    </w:p>
    <w:p w14:paraId="513F0192">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85.5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217FE042">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372" name="文本框 375"/>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a:effectLst/>
                      </wps:spPr>
                      <wps:txbx>
                        <w:txbxContent>
                          <w:p w14:paraId="5CCE39F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08B62BA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wps:txbx>
                      <wps:bodyPr vert="horz" wrap="square" anchor="t" anchorCtr="0" upright="1"/>
                    </wps:wsp>
                  </a:graphicData>
                </a:graphic>
              </wp:anchor>
            </w:drawing>
          </mc:Choice>
          <mc:Fallback>
            <w:pict>
              <v:shape id="文本框 375" o:spid="_x0000_s1026" o:spt="202" type="#_x0000_t202" style="position:absolute;left:0pt;margin-left:-9pt;margin-top:0.65pt;height:32.1pt;width:81pt;z-index:252039168;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Qb19NUAAAAIAQAADwAAAAAAAAABACAAAAAi&#10;AAAAZHJzL2Rvd25yZXYueG1sUEsBAhQAFAAAAAgAh07iQOt7Ac/UAQAAkwMAAA4AAAAAAAAAAQAg&#10;AAAAJAEAAGRycy9lMm9Eb2MueG1sUEsFBgAAAAAGAAYAWQEAAGoFAAAAAA==&#10;">
                <v:fill on="f" focussize="0,0"/>
                <v:stroke on="f"/>
                <v:imagedata o:title=""/>
                <o:lock v:ext="edit" aspectratio="f"/>
                <v:textbox>
                  <w:txbxContent>
                    <w:p w14:paraId="5CCE39F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08B62BA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未按照第85.3款和第85.4款规定支付最终清算款的，承包人可催告发包人支付最终清算款，如双方达成延期支付协议，承包人有权按照第78.2款规定获得延期支付的利息。若该永久工程按照第83.5款规定进行折价或依法拍卖的，承包人就该工程折价或拍卖的价款优先受偿。</w:t>
      </w:r>
    </w:p>
    <w:p w14:paraId="500F8CFB">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85.6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0288355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73" name="文本框 376"/>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14:paraId="420D52D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wps:txbx>
                      <wps:bodyPr vert="horz" wrap="square" anchor="t" anchorCtr="0" upright="1"/>
                    </wps:wsp>
                  </a:graphicData>
                </a:graphic>
              </wp:anchor>
            </w:drawing>
          </mc:Choice>
          <mc:Fallback>
            <w:pict>
              <v:shape id="文本框 376" o:spid="_x0000_s1026" o:spt="202" type="#_x0000_t202" style="position:absolute;left:0pt;margin-left:-9pt;margin-top:3.6pt;height:36.45pt;width:72pt;z-index:25204019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pXYFbVAAAACAEAAA8AAAAAAAAAAQAgAAAAIgAA&#10;AGRycy9kb3ducmV2LnhtbFBLAQIUABQAAAAIAIdO4kC9P36c0gEAAJIDAAAOAAAAAAAAAAEAIAAA&#10;ACQBAABkcnMvZTJvRG9jLnhtbFBLBQYAAAAABgAGAFkBAABoBQAAAAA=&#10;">
                <v:fill on="f" focussize="0,0"/>
                <v:stroke on="f"/>
                <v:imagedata o:title=""/>
                <o:lock v:ext="edit" aspectratio="f"/>
                <v:textbox>
                  <w:txbxContent>
                    <w:p w14:paraId="420D52D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承包人对发包人支付的最终清算款有异议的，按照第86条约定的争议处理。</w:t>
      </w:r>
    </w:p>
    <w:p w14:paraId="5D8F0E43">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7FFF955E">
      <w:pPr>
        <w:widowControl w:val="0"/>
        <w:adjustRightInd w:val="0"/>
        <w:snapToGrid w:val="0"/>
        <w:spacing w:line="420" w:lineRule="exact"/>
        <w:jc w:val="center"/>
        <w:outlineLvl w:val="1"/>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bookmarkStart w:id="525" w:name="_Toc30601"/>
      <w:bookmarkStart w:id="526" w:name="_Toc23012"/>
      <w:bookmarkStart w:id="527" w:name="_Toc27349"/>
      <w:r>
        <w:rPr>
          <w:rFonts w:hint="eastAsia" w:ascii="方正小标宋_GBK" w:hAnsi="方正小标宋_GBK" w:eastAsia="方正小标宋_GBK" w:cs="方正小标宋_GBK"/>
          <w:b/>
          <w:bCs/>
          <w:color w:val="000000" w:themeColor="text1"/>
          <w:kern w:val="2"/>
          <w:sz w:val="24"/>
          <w:szCs w:val="24"/>
          <w:highlight w:val="none"/>
          <w:lang w:val="en-US" w:eastAsia="zh-CN" w:bidi="ar-SA"/>
          <w14:textFill>
            <w14:solidFill>
              <w14:schemeClr w14:val="tx1"/>
            </w14:solidFill>
          </w14:textFill>
        </w:rPr>
        <w:t>七、合同争议、解除与终止</w:t>
      </w:r>
      <w:bookmarkEnd w:id="525"/>
      <w:bookmarkEnd w:id="526"/>
      <w:bookmarkEnd w:id="527"/>
    </w:p>
    <w:p w14:paraId="40A4A09C">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86  合同争议</w:t>
      </w:r>
    </w:p>
    <w:p w14:paraId="0C0549B8">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74" name="文本框 377"/>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a:effectLst/>
                      </wps:spPr>
                      <wps:txbx>
                        <w:txbxContent>
                          <w:p w14:paraId="1DC6A16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wps:txbx>
                      <wps:bodyPr vert="horz" wrap="square" anchor="t" anchorCtr="0" upright="1"/>
                    </wps:wsp>
                  </a:graphicData>
                </a:graphic>
              </wp:anchor>
            </w:drawing>
          </mc:Choice>
          <mc:Fallback>
            <w:pict>
              <v:shape id="文本框 377" o:spid="_x0000_s1026" o:spt="202" type="#_x0000_t202" style="position:absolute;left:0pt;margin-left:-9pt;margin-top:22.4pt;height:37pt;width:72pt;z-index:252041216;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Amw5q1wAAAAoBAAAPAAAAAAAAAAEAIAAAACIA&#10;AABkcnMvZG93bnJldi54bWxQSwECFAAUAAAACACHTuJAKZb0GNEBAACSAwAADgAAAAAAAAABACAA&#10;AAAmAQAAZHJzL2Uyb0RvYy54bWxQSwUGAAAAAAYABgBZAQAAaQUAAAAA&#10;">
                <v:fill on="f" focussize="0,0"/>
                <v:stroke on="f"/>
                <v:imagedata o:title=""/>
                <o:lock v:ext="edit" aspectratio="f"/>
                <v:textbox>
                  <w:txbxContent>
                    <w:p w14:paraId="1DC6A16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86.1    </w:t>
      </w:r>
    </w:p>
    <w:p w14:paraId="1FC8FC9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14:paraId="29179F56">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合同双方当事人在收到监理工程师或造价工程师的暂定结果之日起，超过14天，未对暂定结果予以确认也未提出意见的，视为合同双方当事人已认可暂定结果。</w:t>
      </w:r>
    </w:p>
    <w:p w14:paraId="064F122F">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86.2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BB5B97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375" name="文本框 378"/>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a:effectLst/>
                      </wps:spPr>
                      <wps:txbx>
                        <w:txbxContent>
                          <w:p w14:paraId="4C823FA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wps:txbx>
                      <wps:bodyPr vert="horz" wrap="square" anchor="t" anchorCtr="0" upright="1"/>
                    </wps:wsp>
                  </a:graphicData>
                </a:graphic>
              </wp:anchor>
            </w:drawing>
          </mc:Choice>
          <mc:Fallback>
            <w:pict>
              <v:shape id="文本框 378" o:spid="_x0000_s1026" o:spt="202" type="#_x0000_t202" style="position:absolute;left:0pt;margin-left:-9pt;margin-top:2.1pt;height:29.4pt;width:63pt;z-index:252042240;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v2ZadQAAAAIAQAADwAAAAAAAAABACAAAAAiAAAA&#10;ZHJzL2Rvd25yZXYueG1sUEsBAhQAFAAAAAgAh07iQChNLV3SAQAAkgMAAA4AAAAAAAAAAQAgAAAA&#10;IwEAAGRycy9lMm9Eb2MueG1sUEsFBgAAAAAGAAYAWQEAAGcFAAAAAA==&#10;">
                <v:fill on="f" focussize="0,0"/>
                <v:stroke on="f"/>
                <v:imagedata o:title=""/>
                <o:lock v:ext="edit" aspectratio="f"/>
                <v:textbox>
                  <w:txbxContent>
                    <w:p w14:paraId="4C823FA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争议发生后的14天内，合同双方当事人可进一步进行协商。协商达成一致的，合同双方当事人应签订书面协议，并将结果抄送监理工程师或造价工程师；协商仍不能达成一致的，按照第86.3款至第86.6款规定进行调解或认定、仲裁或诉讼。</w:t>
      </w:r>
    </w:p>
    <w:p w14:paraId="3EBA447A">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86.3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817034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76" name="文本框 379"/>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a:effectLst/>
                      </wps:spPr>
                      <wps:txbx>
                        <w:txbxContent>
                          <w:p w14:paraId="5FD3914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wps:txbx>
                      <wps:bodyPr vert="horz" wrap="square" anchor="t" anchorCtr="0" upright="1"/>
                    </wps:wsp>
                  </a:graphicData>
                </a:graphic>
              </wp:anchor>
            </w:drawing>
          </mc:Choice>
          <mc:Fallback>
            <w:pict>
              <v:shape id="文本框 379" o:spid="_x0000_s1026" o:spt="202" type="#_x0000_t202" style="position:absolute;left:0pt;margin-left:-9pt;margin-top:0.9pt;height:25.6pt;width:81pt;z-index:252043264;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1eAiHUAAAACAEAAA8AAAAAAAAAAQAgAAAAIgAA&#10;AGRycy9kb3ducmV2LnhtbFBLAQIUABQAAAAIAIdO4kBM84wy0wEAAJMDAAAOAAAAAAAAAAEAIAAA&#10;ACMBAABkcnMvZTJvRG9jLnhtbFBLBQYAAAAABgAGAFkBAABoBQAAAAA=&#10;">
                <v:fill on="f" focussize="0,0"/>
                <v:stroke on="f"/>
                <v:imagedata o:title=""/>
                <o:lock v:ext="edit" aspectratio="f"/>
                <v:textbox>
                  <w:txbxContent>
                    <w:p w14:paraId="5FD3914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没有按照第86.2款规定进一步协商的，或虽然协商但未在规定期限内达成一致的，合同双方或一方当事人可在争议发生后的28天内，将争议提交争议调解或认定机构处理，或直接按照专用条款第86.6款规定提请仲裁或诉讼。</w:t>
      </w:r>
    </w:p>
    <w:p w14:paraId="25B8CEBE">
      <w:pPr>
        <w:widowControl w:val="0"/>
        <w:tabs>
          <w:tab w:val="left" w:pos="1320"/>
        </w:tabs>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86.4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177956B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77" name="文本框 380"/>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a:effectLst/>
                      </wps:spPr>
                      <wps:txbx>
                        <w:txbxContent>
                          <w:p w14:paraId="2AF37D9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wps:txbx>
                      <wps:bodyPr vert="horz" wrap="square" anchor="t" anchorCtr="0" upright="1"/>
                    </wps:wsp>
                  </a:graphicData>
                </a:graphic>
              </wp:anchor>
            </w:drawing>
          </mc:Choice>
          <mc:Fallback>
            <w:pict>
              <v:shape id="文本框 380" o:spid="_x0000_s1026" o:spt="202" type="#_x0000_t202" style="position:absolute;left:0pt;margin-left:-9pt;margin-top:4.7pt;height:29.8pt;width:81pt;z-index:252044288;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c4X5nVAAAACAEAAA8AAAAAAAAAAQAgAAAAIgAA&#10;AGRycy9kb3ducmV2LnhtbFBLAQIUABQAAAAIAIdO4kBmwl6E0gEAAJMDAAAOAAAAAAAAAAEAIAAA&#10;ACQBAABkcnMvZTJvRG9jLnhtbFBLBQYAAAAABgAGAFkBAABoBQAAAAA=&#10;">
                <v:fill on="f" focussize="0,0"/>
                <v:stroke on="f"/>
                <v:imagedata o:title=""/>
                <o:lock v:ext="edit" aspectratio="f"/>
                <v:textbox>
                  <w:txbxContent>
                    <w:p w14:paraId="2AF37D9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4851B8A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(1)建设工程安全监督机构，负责有关工程安全方面争议的调解或认定；</w:t>
      </w:r>
    </w:p>
    <w:p w14:paraId="65E05CA7">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(2)建设工程质量监督机构，负责有关工程质量方面争议的调解或认定；</w:t>
      </w:r>
    </w:p>
    <w:p w14:paraId="3535117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(3)建设工程造价管理机构，负责有关工程造价方面争议的调解或认定。</w:t>
      </w:r>
    </w:p>
    <w:p w14:paraId="49AD9DDA">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86.5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D2EA5B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78" name="文本框 381"/>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a:effectLst/>
                      </wps:spPr>
                      <wps:txbx>
                        <w:txbxContent>
                          <w:p w14:paraId="6C91044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wps:txbx>
                      <wps:bodyPr vert="horz" wrap="square" anchor="t" anchorCtr="0" upright="1"/>
                    </wps:wsp>
                  </a:graphicData>
                </a:graphic>
              </wp:anchor>
            </w:drawing>
          </mc:Choice>
          <mc:Fallback>
            <w:pict>
              <v:shape id="文本框 381" o:spid="_x0000_s1026" o:spt="202" type="#_x0000_t202" style="position:absolute;left:0pt;margin-left:-9pt;margin-top:2.55pt;height:36.6pt;width:72pt;z-index:252045312;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W2tN1QAAAAgBAAAPAAAAAAAAAAEAIAAAACIA&#10;AABkcnMvZG93bnJldi54bWxQSwECFAAUAAAACACHTuJA5qAUG9MBAACSAwAADgAAAAAAAAABACAA&#10;AAAkAQAAZHJzL2Uyb0RvYy54bWxQSwUGAAAAAAYABgBZAQAAaQUAAAAA&#10;">
                <v:fill on="f" focussize="0,0"/>
                <v:stroke on="f"/>
                <v:imagedata o:title=""/>
                <o:lock v:ext="edit" aspectratio="f"/>
                <v:textbox>
                  <w:txbxContent>
                    <w:p w14:paraId="6C91044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合同双方当事人应在收到争议调解或认定机构书面结果后的28天内，对调解或认定结果以书面形式予以确认。</w:t>
      </w:r>
    </w:p>
    <w:p w14:paraId="417E3259">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86.6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18DE0B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379" name="文本框 382"/>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a:effectLst/>
                      </wps:spPr>
                      <wps:txbx>
                        <w:txbxContent>
                          <w:p w14:paraId="570183C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wps:txbx>
                      <wps:bodyPr vert="horz" wrap="square" anchor="t" anchorCtr="0" upright="1"/>
                    </wps:wsp>
                  </a:graphicData>
                </a:graphic>
              </wp:anchor>
            </w:drawing>
          </mc:Choice>
          <mc:Fallback>
            <w:pict>
              <v:shape id="文本框 382" o:spid="_x0000_s1026" o:spt="202" type="#_x0000_t202" style="position:absolute;left:0pt;margin-left:-9pt;margin-top:0.95pt;height:26.35pt;width:81pt;z-index:252046336;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YJ+rI1QAAAAgBAAAPAAAAAAAAAAEAIAAAACIA&#10;AABkcnMvZG93bnJldi54bWxQSwECFAAUAAAACACHTuJAv/V9S9MBAACTAwAADgAAAAAAAAABACAA&#10;AAAkAQAAZHJzL2Uyb0RvYy54bWxQSwUGAAAAAAYABgBZAQAAaQUAAAAA&#10;">
                <v:fill on="f" focussize="0,0"/>
                <v:stroke on="f"/>
                <v:imagedata o:title=""/>
                <o:lock v:ext="edit" aspectratio="f"/>
                <v:textbox>
                  <w:txbxContent>
                    <w:p w14:paraId="570183C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若合同双方或一方当事人在收到争议调解或认定机构的书面结果后明确表示不同意，或在28天内没有书面确认，任何一方均可按照专用条款约定的下列任一种方式解决争议：</w:t>
      </w:r>
    </w:p>
    <w:p w14:paraId="2216162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 向约定的仲裁委员会申请仲裁；</w:t>
      </w:r>
    </w:p>
    <w:p w14:paraId="1C6773D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 向有管辖权的人民法院提起诉讼。</w:t>
      </w:r>
    </w:p>
    <w:p w14:paraId="4F9D43E9">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86.7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487AF8F">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80" name="文本框 383"/>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a:effectLst/>
                      </wps:spPr>
                      <wps:txbx>
                        <w:txbxContent>
                          <w:p w14:paraId="76338B1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wps:txbx>
                      <wps:bodyPr vert="horz" wrap="square" anchor="t" anchorCtr="0" upright="1"/>
                    </wps:wsp>
                  </a:graphicData>
                </a:graphic>
              </wp:anchor>
            </w:drawing>
          </mc:Choice>
          <mc:Fallback>
            <w:pict>
              <v:shape id="文本框 383" o:spid="_x0000_s1026" o:spt="202" type="#_x0000_t202" style="position:absolute;left:0pt;margin-left:-9pt;margin-top:1.25pt;height:36.25pt;width:72pt;z-index:252047360;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uoOVNUAAAAIAQAADwAAAAAAAAABACAAAAAiAAAA&#10;ZHJzL2Rvd25yZXYueG1sUEsBAhQAFAAAAAgAh07iQEW6HWTRAQAAkgMAAA4AAAAAAAAAAQAgAAAA&#10;JAEAAGRycy9lMm9Eb2MueG1sUEsFBgAAAAAGAAYAWQEAAGcFAAAAAA==&#10;">
                <v:fill on="f" focussize="0,0"/>
                <v:stroke on="f"/>
                <v:imagedata o:title=""/>
                <o:lock v:ext="edit" aspectratio="f"/>
                <v:textbox>
                  <w:txbxContent>
                    <w:p w14:paraId="76338B1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争议期间，除下列情况停止施工外，合同双方当事人都应继续履行合同，保持工程连续施工，保护好已完工程：</w:t>
      </w:r>
    </w:p>
    <w:p w14:paraId="573FADE9">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 合同双方当事人协商同意；</w:t>
      </w:r>
    </w:p>
    <w:p w14:paraId="3F4F5C2D">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 合同一方当事人违约导致合同无法履行；</w:t>
      </w:r>
    </w:p>
    <w:p w14:paraId="5290E5F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 工程造价管理机构调解需要，且合同双方当事人同意；</w:t>
      </w:r>
    </w:p>
    <w:p w14:paraId="0FA523C1">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 仲裁委员会仲裁需要，且合同双方当事人同意：</w:t>
      </w:r>
    </w:p>
    <w:p w14:paraId="05CD3515">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 人民法院诉讼需要。</w:t>
      </w:r>
    </w:p>
    <w:p w14:paraId="529F4C95">
      <w:pPr>
        <w:widowControl w:val="0"/>
        <w:tabs>
          <w:tab w:val="left" w:pos="1620"/>
        </w:tabs>
        <w:adjustRightInd w:val="0"/>
        <w:snapToGrid w:val="0"/>
        <w:spacing w:line="420" w:lineRule="exact"/>
        <w:ind w:right="-240"/>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4970D144">
      <w:pPr>
        <w:widowControl w:val="0"/>
        <w:tabs>
          <w:tab w:val="left" w:pos="540"/>
        </w:tabs>
        <w:adjustRightInd w:val="0"/>
        <w:snapToGrid w:val="0"/>
        <w:spacing w:before="240" w:beforeLines="100" w:line="420" w:lineRule="exact"/>
        <w:jc w:val="both"/>
        <w:outlineLvl w:val="2"/>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87  合同解除</w:t>
      </w:r>
    </w:p>
    <w:p w14:paraId="45C238C5">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87.1   </w:t>
      </w:r>
    </w:p>
    <w:p w14:paraId="148AA3DC">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81" name="文本框 384"/>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a:effectLst/>
                      </wps:spPr>
                      <wps:txbx>
                        <w:txbxContent>
                          <w:p w14:paraId="1CA55B0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wps:txbx>
                      <wps:bodyPr vert="horz" wrap="square" anchor="t" anchorCtr="0" upright="1"/>
                    </wps:wsp>
                  </a:graphicData>
                </a:graphic>
              </wp:anchor>
            </w:drawing>
          </mc:Choice>
          <mc:Fallback>
            <w:pict>
              <v:shape id="文本框 384" o:spid="_x0000_s1026" o:spt="202" type="#_x0000_t202" style="position:absolute;left:0pt;margin-left:-9pt;margin-top:-0.3pt;height:20.75pt;width:81pt;z-index:252048384;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uybptQAAAAIAQAADwAAAAAAAAABACAAAAAiAAAA&#10;ZHJzL2Rvd25yZXYueG1sUEsBAhQAFAAAAAgAh07iQE2u/rzSAQAAkwMAAA4AAAAAAAAAAQAgAAAA&#10;IwEAAGRycy9lMm9Eb2MueG1sUEsFBgAAAAAGAAYAWQEAAGcFAAAAAA==&#10;">
                <v:fill on="f" focussize="0,0"/>
                <v:stroke on="f"/>
                <v:imagedata o:title=""/>
                <o:lock v:ext="edit" aspectratio="f"/>
                <v:textbox>
                  <w:txbxContent>
                    <w:p w14:paraId="1CA55B0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合同双方当事人协商一致，可以解除合同。</w:t>
      </w:r>
    </w:p>
    <w:p w14:paraId="607E9509">
      <w:pPr>
        <w:widowControl w:val="0"/>
        <w:tabs>
          <w:tab w:val="left" w:pos="1320"/>
        </w:tabs>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382" name="文本框 38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5FA523F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wps:txbx>
                      <wps:bodyPr vert="horz" wrap="square" anchor="t" anchorCtr="0" upright="1"/>
                    </wps:wsp>
                  </a:graphicData>
                </a:graphic>
              </wp:anchor>
            </w:drawing>
          </mc:Choice>
          <mc:Fallback>
            <w:pict>
              <v:shape id="文本框 385" o:spid="_x0000_s1026" o:spt="202" type="#_x0000_t202" style="position:absolute;left:0pt;margin-left:-9pt;margin-top:22.95pt;height:39pt;width:72pt;z-index:252049408;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6Pj51wAAAAoBAAAPAAAAAAAAAAEAIAAAACIA&#10;AABkcnMvZG93bnJldi54bWxQSwECFAAUAAAACACHTuJArQ/4ntEBAACSAwAADgAAAAAAAAABACAA&#10;AAAmAQAAZHJzL2Uyb0RvYy54bWxQSwUGAAAAAAYABgBZAQAAaQUAAAAA&#10;">
                <v:fill on="f" focussize="0,0"/>
                <v:stroke on="f"/>
                <v:imagedata o:title=""/>
                <o:lock v:ext="edit" aspectratio="f"/>
                <v:textbox>
                  <w:txbxContent>
                    <w:p w14:paraId="5FA523F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87.2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53531C6B">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因不可抗力事件致使合同无法继续履行的，合同双方当事人可以解除合同。</w:t>
      </w:r>
    </w:p>
    <w:p w14:paraId="7A20F838">
      <w:pPr>
        <w:widowControl w:val="0"/>
        <w:tabs>
          <w:tab w:val="left" w:pos="1320"/>
        </w:tabs>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87.3 </w:t>
      </w: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683D6F68">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83" name="文本框 386"/>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a:effectLst/>
                      </wps:spPr>
                      <wps:txbx>
                        <w:txbxContent>
                          <w:p w14:paraId="68B9094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wps:txbx>
                      <wps:bodyPr vert="horz" wrap="square" anchor="t" anchorCtr="0" upright="1"/>
                    </wps:wsp>
                  </a:graphicData>
                </a:graphic>
              </wp:anchor>
            </w:drawing>
          </mc:Choice>
          <mc:Fallback>
            <w:pict>
              <v:shape id="文本框 386" o:spid="_x0000_s1026" o:spt="202" type="#_x0000_t202" style="position:absolute;left:0pt;margin-left:-9pt;margin-top:2.95pt;height:31.85pt;width:72pt;z-index:252050432;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rf/PnVAAAACAEAAA8AAAAAAAAAAQAgAAAAIgAA&#10;AGRycy9kb3ducmV2LnhtbFBLAQIUABQAAAAIAIdO4kArSS8O0gEAAJIDAAAOAAAAAAAAAAEAIAAA&#10;ACQBAABkcnMvZTJvRG9jLnhtbFBLBQYAAAAABgAGAFkBAABoBQAAAAA=&#10;">
                <v:fill on="f" focussize="0,0"/>
                <v:stroke on="f"/>
                <v:imagedata o:title=""/>
                <o:lock v:ext="edit" aspectratio="f"/>
                <v:textbox>
                  <w:txbxContent>
                    <w:p w14:paraId="68B9094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承包人有下列情形之一者，发包人可以解除合同：</w:t>
      </w:r>
    </w:p>
    <w:p w14:paraId="63C7598F">
      <w:pPr>
        <w:widowControl w:val="0"/>
        <w:numPr>
          <w:ilvl w:val="0"/>
          <w:numId w:val="5"/>
        </w:numPr>
        <w:adjustRightInd w:val="0"/>
        <w:snapToGrid w:val="0"/>
        <w:spacing w:line="420" w:lineRule="exact"/>
        <w:ind w:left="1618" w:leftChars="770" w:hanging="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承包人未能按照第34.2款规定的开工期限内开工，经监理工程师催告后的28天内仍未开工的；</w:t>
      </w:r>
    </w:p>
    <w:p w14:paraId="7ED92772">
      <w:pPr>
        <w:widowControl w:val="0"/>
        <w:numPr>
          <w:ilvl w:val="0"/>
          <w:numId w:val="5"/>
        </w:numPr>
        <w:adjustRightInd w:val="0"/>
        <w:snapToGrid w:val="0"/>
        <w:spacing w:line="420" w:lineRule="exact"/>
        <w:ind w:left="1621" w:leftChars="771" w:hanging="2"/>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按照第33条规定的进度计划未表明有停工且监理工程师也未按照第35.1款规定发出暂停施工令，但承包人停止施工时间持续达56天或累计停止施工时间达70天的；</w:t>
      </w:r>
    </w:p>
    <w:p w14:paraId="74F04212">
      <w:pPr>
        <w:widowControl w:val="0"/>
        <w:numPr>
          <w:ilvl w:val="0"/>
          <w:numId w:val="5"/>
        </w:numPr>
        <w:tabs>
          <w:tab w:val="left" w:pos="1680"/>
        </w:tabs>
        <w:adjustRightInd w:val="0"/>
        <w:snapToGrid w:val="0"/>
        <w:spacing w:line="420" w:lineRule="exact"/>
        <w:ind w:left="1659" w:leftChars="770" w:hanging="42"/>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承包人违反第18.1款或第51.4款规定未经监理工程师批准，私自将已按照合同约定进入施工现场的施工设备、临时设施或材料运出施工现场的；</w:t>
      </w:r>
    </w:p>
    <w:p w14:paraId="3FC20587">
      <w:pPr>
        <w:widowControl w:val="0"/>
        <w:numPr>
          <w:ilvl w:val="0"/>
          <w:numId w:val="5"/>
        </w:numPr>
        <w:adjustRightInd w:val="0"/>
        <w:snapToGrid w:val="0"/>
        <w:spacing w:line="420" w:lineRule="exact"/>
        <w:ind w:left="1678" w:leftChars="799" w:firstLine="2"/>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 xml:space="preserve">承包人拖延完工且能偿付的误期赔偿费已达到专用条款约定最高限额的； </w:t>
      </w:r>
    </w:p>
    <w:p w14:paraId="477BFA86">
      <w:pPr>
        <w:widowControl w:val="0"/>
        <w:numPr>
          <w:ilvl w:val="0"/>
          <w:numId w:val="5"/>
        </w:numPr>
        <w:adjustRightInd w:val="0"/>
        <w:snapToGrid w:val="0"/>
        <w:spacing w:line="420" w:lineRule="exact"/>
        <w:ind w:left="2096" w:leftChars="771" w:hanging="477" w:hangingChars="199"/>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承包人转包工程、违法分包或未经许可擅自分包工程的；</w:t>
      </w:r>
    </w:p>
    <w:p w14:paraId="6D9F444D">
      <w:pPr>
        <w:widowControl w:val="0"/>
        <w:numPr>
          <w:ilvl w:val="0"/>
          <w:numId w:val="5"/>
        </w:numPr>
        <w:adjustRightInd w:val="0"/>
        <w:snapToGrid w:val="0"/>
        <w:spacing w:line="420" w:lineRule="exact"/>
        <w:ind w:left="1617" w:leftChars="770" w:firstLine="2"/>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承包人未按照合同约定或监理工程师的指令，经监理工程师书面指出后仍未按要求改正的；</w:t>
      </w:r>
    </w:p>
    <w:p w14:paraId="4123E7CA">
      <w:pPr>
        <w:widowControl w:val="0"/>
        <w:numPr>
          <w:ilvl w:val="0"/>
          <w:numId w:val="5"/>
        </w:numPr>
        <w:adjustRightInd w:val="0"/>
        <w:snapToGrid w:val="0"/>
        <w:spacing w:line="420" w:lineRule="exact"/>
        <w:ind w:left="2096" w:leftChars="771" w:hanging="477" w:hangingChars="199"/>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承包人履行合同期间有欺诈行为的；</w:t>
      </w:r>
    </w:p>
    <w:p w14:paraId="5BFF6DEC">
      <w:pPr>
        <w:widowControl w:val="0"/>
        <w:numPr>
          <w:ilvl w:val="0"/>
          <w:numId w:val="5"/>
        </w:numPr>
        <w:adjustRightInd w:val="0"/>
        <w:snapToGrid w:val="0"/>
        <w:spacing w:line="420" w:lineRule="exact"/>
        <w:ind w:left="1618" w:leftChars="770" w:hanging="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承包人向任何人付给或企图付给任何贿赂、礼品、赏金、回扣或其他贵重物品，以引诱或报偿他人，但付给承包人相关人员的奖励则属例外；</w:t>
      </w:r>
    </w:p>
    <w:p w14:paraId="23E792E2">
      <w:pPr>
        <w:widowControl w:val="0"/>
        <w:adjustRightInd w:val="0"/>
        <w:snapToGrid w:val="0"/>
        <w:spacing w:line="420" w:lineRule="exact"/>
        <w:ind w:left="1617"/>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(9)承包人在缺陷责任期内未能对发生的缺陷进行修复，且又拒绝按照监理工程师指令再进行修补的；</w:t>
      </w:r>
    </w:p>
    <w:p w14:paraId="2662E386">
      <w:pPr>
        <w:widowControl w:val="0"/>
        <w:adjustRightInd w:val="0"/>
        <w:snapToGrid w:val="0"/>
        <w:spacing w:line="420" w:lineRule="exact"/>
        <w:ind w:left="1680" w:leftChars="8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(10)承包人无法继续履行、明确表示或以行为表明不履行合同约定主要义务的；</w:t>
      </w:r>
    </w:p>
    <w:p w14:paraId="10D9F599">
      <w:pPr>
        <w:widowControl w:val="0"/>
        <w:adjustRightInd w:val="0"/>
        <w:snapToGrid w:val="0"/>
        <w:spacing w:line="420" w:lineRule="exact"/>
        <w:ind w:left="168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(11)承包人延迟履行合同约定主要义务，经催告后在合理期限内仍未履行的；</w:t>
      </w:r>
    </w:p>
    <w:p w14:paraId="004E7C29">
      <w:pPr>
        <w:widowControl w:val="0"/>
        <w:adjustRightInd w:val="0"/>
        <w:snapToGrid w:val="0"/>
        <w:spacing w:line="420" w:lineRule="exact"/>
        <w:ind w:left="1619"/>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(12)承包人破产或清偿的，但以机构重组或联合为目的的除外；</w:t>
      </w:r>
    </w:p>
    <w:p w14:paraId="065174D2">
      <w:pPr>
        <w:spacing w:line="420" w:lineRule="exact"/>
        <w:ind w:left="1760" w:hanging="1920" w:hangingChars="8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(13)承包人被认为是严重违反合同的其他违约行为。</w:t>
      </w:r>
    </w:p>
    <w:p w14:paraId="3CA2F9A7">
      <w:pPr>
        <w:widowControl w:val="0"/>
        <w:adjustRightInd w:val="0"/>
        <w:snapToGrid w:val="0"/>
        <w:spacing w:line="420" w:lineRule="exact"/>
        <w:ind w:left="1619" w:leftChars="771"/>
        <w:jc w:val="both"/>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在这种情况下，发包人可自行或委托第三方实施、完成合同工程或其任何部分，并可使用根据第18.2款留下的承包人临时工程，直至永久工程完工为止。</w:t>
      </w:r>
    </w:p>
    <w:p w14:paraId="0108D467">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87.4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D37C2A5">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384" name="文本框 387"/>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a:effectLst/>
                      </wps:spPr>
                      <wps:txbx>
                        <w:txbxContent>
                          <w:p w14:paraId="03A0DF0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wps:txbx>
                      <wps:bodyPr vert="horz" wrap="square" anchor="t" anchorCtr="0" upright="1"/>
                    </wps:wsp>
                  </a:graphicData>
                </a:graphic>
              </wp:anchor>
            </w:drawing>
          </mc:Choice>
          <mc:Fallback>
            <w:pict>
              <v:shape id="文本框 387" o:spid="_x0000_s1026" o:spt="202" type="#_x0000_t202" style="position:absolute;left:0pt;margin-left:-9pt;margin-top:2.35pt;height:39.65pt;width:72pt;z-index:252051456;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mPLjjVAAAACAEAAA8AAAAAAAAAAQAgAAAAIgAA&#10;AGRycy9kb3ducmV2LnhtbFBLAQIUABQAAAAIAIdO4kDwe0R60gEAAJIDAAAOAAAAAAAAAAEAIAAA&#10;ACQBAABkcnMvZTJvRG9jLnhtbFBLBQYAAAAABgAGAFkBAABoBQAAAAA=&#10;">
                <v:fill on="f" focussize="0,0"/>
                <v:stroke on="f"/>
                <v:imagedata o:title=""/>
                <o:lock v:ext="edit" aspectratio="f"/>
                <v:textbox>
                  <w:txbxContent>
                    <w:p w14:paraId="03A0DF0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发包人有下列情形之一者，承包人可以解除合同：</w:t>
      </w:r>
    </w:p>
    <w:p w14:paraId="01ABD712">
      <w:pPr>
        <w:widowControl w:val="0"/>
        <w:numPr>
          <w:ilvl w:val="0"/>
          <w:numId w:val="6"/>
        </w:numPr>
        <w:tabs>
          <w:tab w:val="left" w:pos="2160"/>
        </w:tabs>
        <w:adjustRightInd w:val="0"/>
        <w:snapToGrid w:val="0"/>
        <w:spacing w:line="420" w:lineRule="exact"/>
        <w:ind w:left="1619" w:leftChars="771" w:firstLine="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非承包人原因未按照第34.2款规定期限内发出开工令，经承包人催告后28天内仍未发出开工令的；</w:t>
      </w:r>
    </w:p>
    <w:p w14:paraId="5DF221A1">
      <w:pPr>
        <w:widowControl w:val="0"/>
        <w:numPr>
          <w:ilvl w:val="0"/>
          <w:numId w:val="6"/>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 xml:space="preserve">按照第35.3款规定非承包人原因造成暂停施工持续56天以上或累计停工时间超过了70天的；           </w:t>
      </w:r>
    </w:p>
    <w:p w14:paraId="392ECB97">
      <w:pPr>
        <w:widowControl w:val="0"/>
        <w:numPr>
          <w:ilvl w:val="0"/>
          <w:numId w:val="6"/>
        </w:numPr>
        <w:tabs>
          <w:tab w:val="left" w:pos="1800"/>
        </w:tabs>
        <w:adjustRightInd w:val="0"/>
        <w:snapToGrid w:val="0"/>
        <w:spacing w:line="420" w:lineRule="exact"/>
        <w:ind w:left="1620" w:leftChars="771" w:hanging="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发包人按照第5条规定提供的施工设计图纸存在缺陷或按照第48条规定供应的材料和工程设备不符合强制性标准，致使承包人无法施工，经承包人催告后28天内仍未修正或更换的；</w:t>
      </w:r>
    </w:p>
    <w:p w14:paraId="32E4D29B">
      <w:pPr>
        <w:widowControl w:val="0"/>
        <w:numPr>
          <w:ilvl w:val="0"/>
          <w:numId w:val="6"/>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 xml:space="preserve">监理工程师未按照合同约定及时发出工作指令，导致承包人无法继续施工的； </w:t>
      </w:r>
    </w:p>
    <w:p w14:paraId="62392C33">
      <w:pPr>
        <w:widowControl w:val="0"/>
        <w:numPr>
          <w:ilvl w:val="0"/>
          <w:numId w:val="6"/>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发包人未按照第78.1款规定向承包人支付工程款，经承包人催告后28天内仍未支付的；</w:t>
      </w:r>
    </w:p>
    <w:p w14:paraId="1EF232E7">
      <w:pPr>
        <w:widowControl w:val="0"/>
        <w:numPr>
          <w:ilvl w:val="0"/>
          <w:numId w:val="6"/>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发包人无法继续履行、明确表示或以行为表明不履行合同约定主要义务的；</w:t>
      </w:r>
    </w:p>
    <w:p w14:paraId="1F6CDF2A">
      <w:pPr>
        <w:widowControl w:val="0"/>
        <w:tabs>
          <w:tab w:val="left" w:pos="2160"/>
        </w:tabs>
        <w:adjustRightInd w:val="0"/>
        <w:snapToGrid w:val="0"/>
        <w:spacing w:line="420" w:lineRule="exact"/>
        <w:ind w:left="1619"/>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(7)发包人延迟履行合同约定主要义务，经催告后在合理期限内仍未履行的；</w:t>
      </w:r>
    </w:p>
    <w:p w14:paraId="792E8B3A">
      <w:pPr>
        <w:widowControl w:val="0"/>
        <w:tabs>
          <w:tab w:val="left" w:pos="2160"/>
        </w:tabs>
        <w:adjustRightInd w:val="0"/>
        <w:snapToGrid w:val="0"/>
        <w:spacing w:line="420" w:lineRule="exact"/>
        <w:ind w:left="1619"/>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(8)发包人破产或清偿的，但以机构重组或联合为目的的除外；</w:t>
      </w:r>
    </w:p>
    <w:p w14:paraId="5006BEED">
      <w:pPr>
        <w:widowControl w:val="0"/>
        <w:tabs>
          <w:tab w:val="left" w:pos="2160"/>
        </w:tabs>
        <w:adjustRightInd w:val="0"/>
        <w:snapToGrid w:val="0"/>
        <w:spacing w:line="420" w:lineRule="exact"/>
        <w:ind w:left="1619"/>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(9)发包人被认为是严重违反合同的其他违约行为。</w:t>
      </w:r>
    </w:p>
    <w:p w14:paraId="4B8189B3">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385" name="文本框 38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0F5AC5D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wps:txbx>
                      <wps:bodyPr vert="horz" wrap="square" anchor="t" anchorCtr="0" upright="1"/>
                    </wps:wsp>
                  </a:graphicData>
                </a:graphic>
              </wp:anchor>
            </w:drawing>
          </mc:Choice>
          <mc:Fallback>
            <w:pict>
              <v:shape id="文本框 388" o:spid="_x0000_s1026" o:spt="202" type="#_x0000_t202" style="position:absolute;left:0pt;margin-left:-9pt;margin-top:15.95pt;height:31.2pt;width:72pt;z-index:252052480;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ZDW4jXAAAACQEAAA8AAAAAAAAAAQAgAAAA&#10;IgAAAGRycy9kb3ducmV2LnhtbFBLAQIUABQAAAAIAIdO4kCl/bdt0wEAAJIDAAAOAAAAAAAAAAEA&#10;IAAAACYBAABkcnMvZTJvRG9jLnhtbFBLBQYAAAAABgAGAFkBAABrBQAAAAA=&#10;">
                <v:fill on="f" focussize="0,0"/>
                <v:stroke on="f"/>
                <v:imagedata o:title=""/>
                <o:lock v:ext="edit" aspectratio="f"/>
                <v:textbox>
                  <w:txbxContent>
                    <w:p w14:paraId="0F5AC5D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87.5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F53D443">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根据第87.2款至第87.4款规定要求解除合同的，解除方应以书面形式向另一方当事人发出解除合同的通知，另一方当事人收到通知时合同即告解除。对解除合同有争议的，应按照第86条规定处理。</w:t>
      </w:r>
    </w:p>
    <w:p w14:paraId="28342186">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87.6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15F90274">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386" name="文本框 389"/>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57E92A0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wps:txbx>
                      <wps:bodyPr vert="horz" wrap="square" anchor="t" anchorCtr="0" upright="1"/>
                    </wps:wsp>
                  </a:graphicData>
                </a:graphic>
              </wp:anchor>
            </w:drawing>
          </mc:Choice>
          <mc:Fallback>
            <w:pict>
              <v:shape id="文本框 389" o:spid="_x0000_s1026" o:spt="202" type="#_x0000_t202" style="position:absolute;left:0pt;margin-left:-9pt;margin-top:0.55pt;height:46.8pt;width:72pt;z-index:252053504;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xqcrUAAAACAEAAA8AAAAAAAAAAQAgAAAAIgAA&#10;AGRycy9kb3ducmV2LnhtbFBLAQIUABQAAAAIAIdO4kCx5yS/0wEAAJIDAAAOAAAAAAAAAAEAIAAA&#10;ACMBAABkcnMvZTJvRG9jLnhtbFBLBQYAAAAABgAGAFkBAABoBQAAAAA=&#10;">
                <v:fill on="f" focussize="0,0"/>
                <v:stroke on="f"/>
                <v:imagedata o:title=""/>
                <o:lock v:ext="edit" aspectratio="f"/>
                <v:textbox>
                  <w:txbxContent>
                    <w:p w14:paraId="57E92A0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14:paraId="4E743911">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0637EEDE">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88  合同解除的支付</w:t>
      </w:r>
    </w:p>
    <w:p w14:paraId="0651514F">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2054528"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387" name="文本框 39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157AFF8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wps:txbx>
                      <wps:bodyPr vert="horz" wrap="square" anchor="t" anchorCtr="0" upright="1"/>
                    </wps:wsp>
                  </a:graphicData>
                </a:graphic>
              </wp:anchor>
            </w:drawing>
          </mc:Choice>
          <mc:Fallback>
            <w:pict>
              <v:shape id="文本框 390" o:spid="_x0000_s1026" o:spt="202" type="#_x0000_t202" style="position:absolute;left:0pt;margin-left:-5.25pt;margin-top:14.85pt;height:31.2pt;width:72pt;z-index:252054528;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ZEZdYAAAAJAQAADwAAAAAAAAABACAAAAAi&#10;AAAAZHJzL2Rvd25yZXYueG1sUEsBAhQAFAAAAAgAh07iQHOZqKTTAQAAkgMAAA4AAAAAAAAAAQAg&#10;AAAAJQEAAGRycy9lMm9Eb2MueG1sUEsFBgAAAAAGAAYAWQEAAGoFAAAAAA==&#10;">
                <v:fill on="f" focussize="0,0"/>
                <v:stroke on="f"/>
                <v:imagedata o:title=""/>
                <o:lock v:ext="edit" aspectratio="f"/>
                <v:textbox>
                  <w:txbxContent>
                    <w:p w14:paraId="157AFF8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88.1     </w:t>
      </w:r>
    </w:p>
    <w:p w14:paraId="6DF0B758">
      <w:pPr>
        <w:tabs>
          <w:tab w:val="left" w:pos="4970"/>
        </w:tabs>
        <w:spacing w:line="420" w:lineRule="exact"/>
        <w:ind w:left="1619" w:leftChars="77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根据第87.1款规定解除合同的，按照达成的协议办理结算和支付工程款。</w:t>
      </w:r>
    </w:p>
    <w:p w14:paraId="5A2205BD">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88.2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54A0315F">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88" name="文本框 39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59F3242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wps:txbx>
                      <wps:bodyPr vert="horz" wrap="square" anchor="t" anchorCtr="0" upright="1"/>
                    </wps:wsp>
                  </a:graphicData>
                </a:graphic>
              </wp:anchor>
            </w:drawing>
          </mc:Choice>
          <mc:Fallback>
            <w:pict>
              <v:shape id="文本框 391" o:spid="_x0000_s1026" o:spt="202" type="#_x0000_t202" style="position:absolute;left:0pt;margin-left:-9pt;margin-top:1.25pt;height:54.6pt;width:72pt;z-index:252055552;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PuPt9YAAAAJAQAADwAAAAAAAAABACAAAAAi&#10;AAAAZHJzL2Rvd25yZXYueG1sUEsBAhQAFAAAAAgAh07iQP5nC8nTAQAAkgMAAA4AAAAAAAAAAQAg&#10;AAAAJQEAAGRycy9lMm9Eb2MueG1sUEsFBgAAAAAGAAYAWQEAAGoFAAAAAA==&#10;">
                <v:fill on="f" focussize="0,0"/>
                <v:stroke on="f"/>
                <v:imagedata o:title=""/>
                <o:lock v:ext="edit" aspectratio="f"/>
                <v:textbox>
                  <w:txbxContent>
                    <w:p w14:paraId="59F3242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根据第87.2款规定解除合同的，发包人应向承包人支付合同解除之日前已完成工程但尚未支付的工程款。此外，发包人还应支付下列款项：</w:t>
      </w:r>
    </w:p>
    <w:p w14:paraId="2AC9E559">
      <w:pPr>
        <w:widowControl w:val="0"/>
        <w:numPr>
          <w:ilvl w:val="0"/>
          <w:numId w:val="7"/>
        </w:numPr>
        <w:adjustRightInd w:val="0"/>
        <w:snapToGrid w:val="0"/>
        <w:spacing w:line="420" w:lineRule="exact"/>
        <w:ind w:left="2096" w:leftChars="771" w:hanging="477" w:hangingChars="199"/>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已实施或部分实施的措施项目应付款项；</w:t>
      </w:r>
    </w:p>
    <w:p w14:paraId="0B4F4BBA">
      <w:pPr>
        <w:widowControl w:val="0"/>
        <w:numPr>
          <w:ilvl w:val="0"/>
          <w:numId w:val="7"/>
        </w:numPr>
        <w:adjustRightInd w:val="0"/>
        <w:snapToGrid w:val="0"/>
        <w:spacing w:line="420" w:lineRule="exact"/>
        <w:ind w:left="1618" w:leftChars="770" w:hanging="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承包人为合同工程合理订购且已交付的材料和工程设备货款。发包人一经支付此项货款，该材料和工程设备即成为发包人的财产；</w:t>
      </w:r>
    </w:p>
    <w:p w14:paraId="2E62088A">
      <w:pPr>
        <w:widowControl w:val="0"/>
        <w:numPr>
          <w:ilvl w:val="0"/>
          <w:numId w:val="7"/>
        </w:numPr>
        <w:adjustRightInd w:val="0"/>
        <w:snapToGrid w:val="0"/>
        <w:spacing w:line="420" w:lineRule="exact"/>
        <w:ind w:left="1618" w:leftChars="770" w:hanging="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承包人为完成合同工程而预期开支的任何合理款项，且该项款项未包括在本款其他各项支付之内；</w:t>
      </w:r>
    </w:p>
    <w:p w14:paraId="4C1752CE">
      <w:pPr>
        <w:widowControl w:val="0"/>
        <w:numPr>
          <w:ilvl w:val="0"/>
          <w:numId w:val="7"/>
        </w:numPr>
        <w:adjustRightInd w:val="0"/>
        <w:snapToGrid w:val="0"/>
        <w:spacing w:line="420" w:lineRule="exact"/>
        <w:ind w:left="2096" w:leftChars="771" w:hanging="477" w:hangingChars="199"/>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根据第31.3款规定的任何工作应支付的款项；</w:t>
      </w:r>
    </w:p>
    <w:p w14:paraId="48262927">
      <w:pPr>
        <w:widowControl w:val="0"/>
        <w:numPr>
          <w:ilvl w:val="0"/>
          <w:numId w:val="7"/>
        </w:numPr>
        <w:tabs>
          <w:tab w:val="left" w:pos="1980"/>
        </w:tabs>
        <w:adjustRightInd w:val="0"/>
        <w:snapToGrid w:val="0"/>
        <w:spacing w:line="420" w:lineRule="exact"/>
        <w:ind w:left="1618" w:leftChars="770" w:hanging="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根据第87.6款规定承包人撤离现场所需的合理款项，包括雇员遣送费和临时工程拆除、施工设备运离现场的款项。</w:t>
      </w:r>
    </w:p>
    <w:p w14:paraId="7CAADC6F">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14:paraId="10B31C50">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88.3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A5B04E3">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389" name="文本框 39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4FC5457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wps:txbx>
                      <wps:bodyPr vert="horz" wrap="square" anchor="t" anchorCtr="0" upright="1"/>
                    </wps:wsp>
                  </a:graphicData>
                </a:graphic>
              </wp:anchor>
            </w:drawing>
          </mc:Choice>
          <mc:Fallback>
            <w:pict>
              <v:shape id="文本框 392" o:spid="_x0000_s1026" o:spt="202" type="#_x0000_t202" style="position:absolute;left:0pt;margin-left:-9pt;margin-top:3.9pt;height:54.6pt;width:72pt;z-index:252056576;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QGvndYAAAAJAQAADwAAAAAAAAABACAAAAAi&#10;AAAAZHJzL2Rvd25yZXYueG1sUEsBAhQAFAAAAAgAh07iQMeeQijTAQAAkgMAAA4AAAAAAAAAAQAg&#10;AAAAJQEAAGRycy9lMm9Eb2MueG1sUEsFBgAAAAAGAAYAWQEAAGoFAAAAAA==&#10;">
                <v:fill on="f" focussize="0,0"/>
                <v:stroke on="f"/>
                <v:imagedata o:title=""/>
                <o:lock v:ext="edit" aspectratio="f"/>
                <v:textbox>
                  <w:txbxContent>
                    <w:p w14:paraId="4FC5457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14:paraId="59E71CFD">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88.4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4932C48">
      <w:pPr>
        <w:widowControl w:val="0"/>
        <w:adjustRightInd w:val="0"/>
        <w:snapToGrid w:val="0"/>
        <w:spacing w:line="420" w:lineRule="exact"/>
        <w:ind w:left="1619" w:leftChars="771"/>
        <w:jc w:val="left"/>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390" name="文本框 393"/>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a:effectLst/>
                      </wps:spPr>
                      <wps:txbx>
                        <w:txbxContent>
                          <w:p w14:paraId="5D2DB90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wps:txbx>
                      <wps:bodyPr vert="horz" wrap="square" anchor="t" anchorCtr="0" upright="1"/>
                    </wps:wsp>
                  </a:graphicData>
                </a:graphic>
              </wp:anchor>
            </w:drawing>
          </mc:Choice>
          <mc:Fallback>
            <w:pict>
              <v:shape id="文本框 393" o:spid="_x0000_s1026" o:spt="202" type="#_x0000_t202" style="position:absolute;left:0pt;margin-left:-9pt;margin-top:3.6pt;height:36.5pt;width:72pt;z-index:252057600;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D0Tb11QAAAAgBAAAPAAAAAAAAAAEAIAAAACIA&#10;AABkcnMvZG93bnJldi54bWxQSwECFAAUAAAACACHTuJAn/u4n9MBAACSAwAADgAAAAAAAAABACAA&#10;AAAkAQAAZHJzL2Uyb0RvYy54bWxQSwUGAAAAAAYABgBZAQAAaQUAAAAA&#10;">
                <v:fill on="f" focussize="0,0"/>
                <v:stroke on="f"/>
                <v:imagedata o:title=""/>
                <o:lock v:ext="edit" aspectratio="f"/>
                <v:textbox>
                  <w:txbxContent>
                    <w:p w14:paraId="5D2DB90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14:paraId="745B652F">
      <w:pPr>
        <w:widowControl w:val="0"/>
        <w:adjustRightInd w:val="0"/>
        <w:snapToGrid w:val="0"/>
        <w:spacing w:line="420" w:lineRule="exact"/>
        <w:jc w:val="left"/>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73C5F6E8">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89  合同终止</w:t>
      </w:r>
    </w:p>
    <w:p w14:paraId="26A1E9F9">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89.1    </w:t>
      </w:r>
    </w:p>
    <w:p w14:paraId="6A047D94">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91" name="文本框 39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03FCFF3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wps:txbx>
                      <wps:bodyPr vert="horz" wrap="square" anchor="t" anchorCtr="0" upright="1"/>
                    </wps:wsp>
                  </a:graphicData>
                </a:graphic>
              </wp:anchor>
            </w:drawing>
          </mc:Choice>
          <mc:Fallback>
            <w:pict>
              <v:shape id="文本框 394" o:spid="_x0000_s1026" o:spt="202" type="#_x0000_t202" style="position:absolute;left:0pt;margin-left:-9pt;margin-top:1.25pt;height:31.2pt;width:72pt;z-index:25205862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Pz/Bw1QAAAAgBAAAPAAAAAAAAAAEAIAAAACIA&#10;AABkcnMvZG93bnJldi54bWxQSwECFAAUAAAACACHTuJAICjM9tMBAACSAwAADgAAAAAAAAABACAA&#10;AAAkAQAAZHJzL2Uyb0RvYy54bWxQSwUGAAAAAAYABgBZAQAAaQUAAAAA&#10;">
                <v:fill on="f" focussize="0,0"/>
                <v:stroke on="f"/>
                <v:imagedata o:title=""/>
                <o:lock v:ext="edit" aspectratio="f"/>
                <v:textbox>
                  <w:txbxContent>
                    <w:p w14:paraId="03FCFF3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合同解除后，除合同双方当事人享有第86条至第88条规定的权利外，本合同即告终止，但不因一方当事人在此以前的任何违约而损害另一方当事人应享有的权利，也不影响合同双方当事人履行本合同结算和清算条款的效力。</w:t>
      </w:r>
    </w:p>
    <w:p w14:paraId="3FA9DEA7">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89.2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4676875">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392" name="文本框 395"/>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a:effectLst/>
                      </wps:spPr>
                      <wps:txbx>
                        <w:txbxContent>
                          <w:p w14:paraId="1AADDBA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wps:txbx>
                      <wps:bodyPr vert="horz" wrap="square" anchor="t" anchorCtr="0" upright="1"/>
                    </wps:wsp>
                  </a:graphicData>
                </a:graphic>
              </wp:anchor>
            </w:drawing>
          </mc:Choice>
          <mc:Fallback>
            <w:pict>
              <v:shape id="文本框 395" o:spid="_x0000_s1026" o:spt="202" type="#_x0000_t202" style="position:absolute;left:0pt;margin-left:-9pt;margin-top:0.05pt;height:67.05pt;width:72pt;z-index:252059648;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fwqp+1QAAAAgBAAAPAAAAAAAAAAEAIAAAACIA&#10;AABkcnMvZG93bnJldi54bWxQSwECFAAUAAAACACHTuJAKNE2gdMBAACSAwAADgAAAAAAAAABACAA&#10;AAAkAQAAZHJzL2Uyb0RvYy54bWxQSwUGAAAAAAYABgBZAQAAaQUAAAAA&#10;">
                <v:fill on="f" focussize="0,0"/>
                <v:stroke on="f"/>
                <v:imagedata o:title=""/>
                <o:lock v:ext="edit" aspectratio="f"/>
                <v:textbox>
                  <w:txbxContent>
                    <w:p w14:paraId="1AADDBA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除第59条和第84条规定的质量保修条款外，合同双方当事人履行完本合同全部义务，发包人向承包人支付完竣工结算款，承包人向发包人交付竣工工程后，本合同即告终止。</w:t>
      </w:r>
    </w:p>
    <w:p w14:paraId="5A474104">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89.3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2B559FB">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393" name="文本框 396"/>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14:paraId="690BE03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wps:txbx>
                      <wps:bodyPr vert="horz" wrap="square" anchor="t" anchorCtr="0" upright="1"/>
                    </wps:wsp>
                  </a:graphicData>
                </a:graphic>
              </wp:anchor>
            </w:drawing>
          </mc:Choice>
          <mc:Fallback>
            <w:pict>
              <v:shape id="文本框 396" o:spid="_x0000_s1026" o:spt="202" type="#_x0000_t202" style="position:absolute;left:0pt;margin-left:-9pt;margin-top:1.05pt;height:32.75pt;width:72pt;z-index:252060672;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xMlqTVAAAACAEAAA8AAAAAAAAAAQAgAAAAIgAA&#10;AGRycy9kb3ducmV2LnhtbFBLAQIUABQAAAAIAIdO4kCwCxXn0gEAAJIDAAAOAAAAAAAAAAEAIAAA&#10;ACQBAABkcnMvZTJvRG9jLnhtbFBLBQYAAAAABgAGAFkBAABoBQAAAAA=&#10;">
                <v:fill on="f" focussize="0,0"/>
                <v:stroke on="f"/>
                <v:imagedata o:title=""/>
                <o:lock v:ext="edit" aspectratio="f"/>
                <v:textbox>
                  <w:txbxContent>
                    <w:p w14:paraId="690BE03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本合同的权利义务终止后，合同双方当事人仍应遵循诚实信用原则，继续履行合同约定的通知、协助、保密等义务。</w:t>
      </w:r>
    </w:p>
    <w:p w14:paraId="6DDCF64C">
      <w:pPr>
        <w:widowControl w:val="0"/>
        <w:adjustRightInd w:val="0"/>
        <w:snapToGrid w:val="0"/>
        <w:spacing w:line="420" w:lineRule="exact"/>
        <w:ind w:right="-238"/>
        <w:jc w:val="both"/>
        <w:rPr>
          <w:rFonts w:ascii="宋体" w:hAnsi="宋体" w:eastAsia="宋体" w:cs="宋体"/>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u w:val="single"/>
          <w:lang w:val="en-US" w:eastAsia="zh-CN" w:bidi="ar-SA"/>
          <w14:textFill>
            <w14:solidFill>
              <w14:schemeClr w14:val="tx1"/>
            </w14:solidFill>
          </w14:textFill>
        </w:rPr>
        <w:t xml:space="preserve">                                                                                             </w:t>
      </w:r>
    </w:p>
    <w:p w14:paraId="2D93F06F">
      <w:pPr>
        <w:widowControl w:val="0"/>
        <w:adjustRightInd w:val="0"/>
        <w:snapToGrid w:val="0"/>
        <w:spacing w:line="420" w:lineRule="exact"/>
        <w:ind w:right="-238"/>
        <w:jc w:val="center"/>
        <w:outlineLvl w:val="9"/>
        <w:rPr>
          <w:rFonts w:ascii="方正小标宋_GBK" w:hAnsi="方正小标宋_GBK" w:eastAsia="方正小标宋_GBK" w:cs="方正小标宋_GBK"/>
          <w:b/>
          <w:bCs/>
          <w:color w:val="000000" w:themeColor="text1"/>
          <w:kern w:val="2"/>
          <w:sz w:val="24"/>
          <w:szCs w:val="24"/>
          <w:highlight w:val="none"/>
          <w:lang w:val="en-US" w:eastAsia="zh-CN" w:bidi="ar-SA"/>
          <w14:textFill>
            <w14:solidFill>
              <w14:schemeClr w14:val="tx1"/>
            </w14:solidFill>
          </w14:textFill>
        </w:rPr>
      </w:pPr>
      <w:bookmarkStart w:id="528" w:name="_Toc32212"/>
      <w:bookmarkStart w:id="529" w:name="_Toc2262"/>
      <w:bookmarkStart w:id="530" w:name="_Toc15161"/>
      <w:r>
        <w:rPr>
          <w:rFonts w:hint="eastAsia" w:ascii="方正小标宋_GBK" w:hAnsi="方正小标宋_GBK" w:eastAsia="方正小标宋_GBK" w:cs="方正小标宋_GBK"/>
          <w:b/>
          <w:bCs/>
          <w:color w:val="000000" w:themeColor="text1"/>
          <w:kern w:val="2"/>
          <w:sz w:val="24"/>
          <w:szCs w:val="24"/>
          <w:highlight w:val="none"/>
          <w:lang w:val="en-US" w:eastAsia="zh-CN" w:bidi="ar-SA"/>
          <w14:textFill>
            <w14:solidFill>
              <w14:schemeClr w14:val="tx1"/>
            </w14:solidFill>
          </w14:textFill>
        </w:rPr>
        <w:t>八、违</w:t>
      </w:r>
      <w:r>
        <w:rPr>
          <w:rFonts w:ascii="方正小标宋_GBK" w:hAnsi="方正小标宋_GBK" w:eastAsia="方正小标宋_GBK" w:cs="方正小标宋_GBK"/>
          <w:b/>
          <w:bCs/>
          <w:color w:val="000000" w:themeColor="text1"/>
          <w:kern w:val="2"/>
          <w:sz w:val="24"/>
          <w:szCs w:val="24"/>
          <w:highlight w:val="none"/>
          <w:lang w:val="en-US" w:eastAsia="zh-CN" w:bidi="ar-SA"/>
          <w14:textFill>
            <w14:solidFill>
              <w14:schemeClr w14:val="tx1"/>
            </w14:solidFill>
          </w14:textFill>
        </w:rPr>
        <w:t xml:space="preserve"> </w:t>
      </w:r>
      <w:r>
        <w:rPr>
          <w:rFonts w:hint="eastAsia" w:ascii="方正小标宋_GBK" w:hAnsi="方正小标宋_GBK" w:eastAsia="方正小标宋_GBK" w:cs="方正小标宋_GBK"/>
          <w:b/>
          <w:bCs/>
          <w:color w:val="000000" w:themeColor="text1"/>
          <w:kern w:val="2"/>
          <w:sz w:val="24"/>
          <w:szCs w:val="24"/>
          <w:highlight w:val="none"/>
          <w:lang w:val="en-US" w:eastAsia="zh-CN" w:bidi="ar-SA"/>
          <w14:textFill>
            <w14:solidFill>
              <w14:schemeClr w14:val="tx1"/>
            </w14:solidFill>
          </w14:textFill>
        </w:rPr>
        <w:t>约</w:t>
      </w:r>
      <w:r>
        <w:rPr>
          <w:rFonts w:ascii="方正小标宋_GBK" w:hAnsi="方正小标宋_GBK" w:eastAsia="方正小标宋_GBK" w:cs="方正小标宋_GBK"/>
          <w:b/>
          <w:bCs/>
          <w:color w:val="000000" w:themeColor="text1"/>
          <w:kern w:val="2"/>
          <w:sz w:val="24"/>
          <w:szCs w:val="24"/>
          <w:highlight w:val="none"/>
          <w:lang w:val="en-US" w:eastAsia="zh-CN" w:bidi="ar-SA"/>
          <w14:textFill>
            <w14:solidFill>
              <w14:schemeClr w14:val="tx1"/>
            </w14:solidFill>
          </w14:textFill>
        </w:rPr>
        <w:t xml:space="preserve"> </w:t>
      </w:r>
      <w:r>
        <w:rPr>
          <w:rFonts w:hint="eastAsia" w:ascii="方正小标宋_GBK" w:hAnsi="方正小标宋_GBK" w:eastAsia="方正小标宋_GBK" w:cs="方正小标宋_GBK"/>
          <w:b/>
          <w:bCs/>
          <w:color w:val="000000" w:themeColor="text1"/>
          <w:kern w:val="2"/>
          <w:sz w:val="24"/>
          <w:szCs w:val="24"/>
          <w:highlight w:val="none"/>
          <w:lang w:val="en-US" w:eastAsia="zh-CN" w:bidi="ar-SA"/>
          <w14:textFill>
            <w14:solidFill>
              <w14:schemeClr w14:val="tx1"/>
            </w14:solidFill>
          </w14:textFill>
        </w:rPr>
        <w:t>责</w:t>
      </w:r>
      <w:r>
        <w:rPr>
          <w:rFonts w:ascii="方正小标宋_GBK" w:hAnsi="方正小标宋_GBK" w:eastAsia="方正小标宋_GBK" w:cs="方正小标宋_GBK"/>
          <w:b/>
          <w:bCs/>
          <w:color w:val="000000" w:themeColor="text1"/>
          <w:kern w:val="2"/>
          <w:sz w:val="24"/>
          <w:szCs w:val="24"/>
          <w:highlight w:val="none"/>
          <w:lang w:val="en-US" w:eastAsia="zh-CN" w:bidi="ar-SA"/>
          <w14:textFill>
            <w14:solidFill>
              <w14:schemeClr w14:val="tx1"/>
            </w14:solidFill>
          </w14:textFill>
        </w:rPr>
        <w:t xml:space="preserve"> </w:t>
      </w:r>
      <w:r>
        <w:rPr>
          <w:rFonts w:hint="eastAsia" w:ascii="方正小标宋_GBK" w:hAnsi="方正小标宋_GBK" w:eastAsia="方正小标宋_GBK" w:cs="方正小标宋_GBK"/>
          <w:b/>
          <w:bCs/>
          <w:color w:val="000000" w:themeColor="text1"/>
          <w:kern w:val="2"/>
          <w:sz w:val="24"/>
          <w:szCs w:val="24"/>
          <w:highlight w:val="none"/>
          <w:lang w:val="en-US" w:eastAsia="zh-CN" w:bidi="ar-SA"/>
          <w14:textFill>
            <w14:solidFill>
              <w14:schemeClr w14:val="tx1"/>
            </w14:solidFill>
          </w14:textFill>
        </w:rPr>
        <w:t>任</w:t>
      </w:r>
      <w:bookmarkEnd w:id="528"/>
      <w:bookmarkEnd w:id="529"/>
      <w:bookmarkEnd w:id="530"/>
    </w:p>
    <w:p w14:paraId="344F14A2">
      <w:pPr>
        <w:spacing w:line="420" w:lineRule="exact"/>
        <w:jc w:val="left"/>
        <w:rPr>
          <w:rFonts w:ascii="宋体" w:hAnsi="宋体" w:eastAsia="宋体" w:cs="宋体"/>
          <w:color w:val="000000" w:themeColor="text1"/>
          <w:sz w:val="22"/>
          <w:szCs w:val="22"/>
          <w:highlight w:val="none"/>
          <w14:textFill>
            <w14:solidFill>
              <w14:schemeClr w14:val="tx1"/>
            </w14:solidFill>
          </w14:textFill>
        </w:rPr>
      </w:pPr>
    </w:p>
    <w:p w14:paraId="1B075073">
      <w:pPr>
        <w:spacing w:line="420" w:lineRule="exact"/>
        <w:jc w:val="left"/>
        <w:rPr>
          <w:rFonts w:ascii="宋体" w:hAnsi="宋体" w:eastAsia="宋体" w:cs="宋体"/>
          <w:color w:val="000000" w:themeColor="text1"/>
          <w:sz w:val="22"/>
          <w:szCs w:val="22"/>
          <w:highlight w:val="none"/>
          <w14:textFill>
            <w14:solidFill>
              <w14:schemeClr w14:val="tx1"/>
            </w14:solidFill>
          </w14:textFill>
        </w:rPr>
      </w:pPr>
    </w:p>
    <w:p w14:paraId="4D937C8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★90  承包人的违约责任</w:t>
      </w:r>
    </w:p>
    <w:p w14:paraId="48A70422">
      <w:pPr>
        <w:widowControl w:val="0"/>
        <w:adjustRightInd w:val="0"/>
        <w:snapToGrid w:val="0"/>
        <w:spacing w:line="420" w:lineRule="exact"/>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90.1</w:t>
      </w:r>
    </w:p>
    <w:p w14:paraId="0D609286">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0" name="文本框 39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2163E82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wps:txbx>
                      <wps:bodyPr vert="horz" wrap="square" anchor="t" anchorCtr="0" upright="1"/>
                    </wps:wsp>
                  </a:graphicData>
                </a:graphic>
              </wp:anchor>
            </w:drawing>
          </mc:Choice>
          <mc:Fallback>
            <w:pict>
              <v:shape id="文本框 397" o:spid="_x0000_s1026" o:spt="202" type="#_x0000_t202" style="position:absolute;left:0pt;margin-left:-9pt;margin-top:1.25pt;height:31.2pt;width:72pt;z-index:25207808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Pz/Bw1QAAAAgBAAAPAAAAAAAAAAEAIAAAACIA&#10;AABkcnMvZG93bnJldi54bWxQSwECFAAUAAAACACHTuJAtp//ItMBAACSAwAADgAAAAAAAAABACAA&#10;AAAkAQAAZHJzL2Uyb0RvYy54bWxQSwUGAAAAAAYABgBZAQAAaQUAAAAA&#10;">
                <v:fill on="f" focussize="0,0"/>
                <v:stroke on="f"/>
                <v:imagedata o:title=""/>
                <o:lock v:ext="edit" aspectratio="f"/>
                <v:textbox>
                  <w:txbxContent>
                    <w:p w14:paraId="2163E82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因承包人违反本合同约定给发包人造成损失的，承包人应当赔偿发包人损失。</w:t>
      </w:r>
    </w:p>
    <w:p w14:paraId="1F789082">
      <w:pPr>
        <w:spacing w:line="420" w:lineRule="exact"/>
        <w:ind w:left="2113" w:leftChars="27" w:hanging="2056" w:hangingChars="931"/>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90.2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60C946FF">
      <w:pPr>
        <w:spacing w:line="420" w:lineRule="exact"/>
        <w:ind w:left="2291" w:leftChars="27" w:hanging="2234" w:hangingChars="931"/>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1" name="文本框 39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14:paraId="18B7191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02F87E9A">
                            <w:pPr>
                              <w:spacing w:line="240" w:lineRule="exact"/>
                              <w:rPr>
                                <w:rFonts w:ascii="楷体_GB2312" w:hAnsi="宋体" w:eastAsia="楷体_GB2312" w:cs="Times New Roman"/>
                                <w:b/>
                                <w:bCs/>
                                <w:sz w:val="18"/>
                                <w:szCs w:val="18"/>
                              </w:rPr>
                            </w:pPr>
                          </w:p>
                          <w:p w14:paraId="05A05931">
                            <w:pPr>
                              <w:spacing w:line="240" w:lineRule="exact"/>
                              <w:rPr>
                                <w:rFonts w:ascii="楷体_GB2312" w:hAnsi="宋体" w:eastAsia="楷体_GB2312" w:cs="Times New Roman"/>
                                <w:b/>
                                <w:bCs/>
                                <w:sz w:val="18"/>
                                <w:szCs w:val="18"/>
                              </w:rPr>
                            </w:pPr>
                          </w:p>
                        </w:txbxContent>
                      </wps:txbx>
                      <wps:bodyPr vert="horz" wrap="square" anchor="t" anchorCtr="0" upright="1"/>
                    </wps:wsp>
                  </a:graphicData>
                </a:graphic>
              </wp:anchor>
            </w:drawing>
          </mc:Choice>
          <mc:Fallback>
            <w:pict>
              <v:shape id="文本框 398" o:spid="_x0000_s1026" o:spt="202" type="#_x0000_t202" style="position:absolute;left:0pt;margin-left:-9pt;margin-top:1.05pt;height:32.75pt;width:72pt;z-index:252079104;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xMlqTVAAAACAEAAA8AAAAAAAAAAQAgAAAAIgAA&#10;AGRycy9kb3ducmV2LnhtbFBLAQIUABQAAAAIAIdO4kB8jyAp0gEAAJIDAAAOAAAAAAAAAAEAIAAA&#10;ACQBAABkcnMvZTJvRG9jLnhtbFBLBQYAAAAABgAGAFkBAABoBQAAAAA=&#10;">
                <v:fill on="f" focussize="0,0"/>
                <v:stroke on="f"/>
                <v:imagedata o:title=""/>
                <o:lock v:ext="edit" aspectratio="f"/>
                <v:textbox>
                  <w:txbxContent>
                    <w:p w14:paraId="18B7191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02F87E9A">
                      <w:pPr>
                        <w:spacing w:line="240" w:lineRule="exact"/>
                        <w:rPr>
                          <w:rFonts w:ascii="楷体_GB2312" w:hAnsi="宋体" w:eastAsia="楷体_GB2312" w:cs="Times New Roman"/>
                          <w:b/>
                          <w:bCs/>
                          <w:sz w:val="18"/>
                          <w:szCs w:val="18"/>
                        </w:rPr>
                      </w:pPr>
                    </w:p>
                    <w:p w14:paraId="05A05931">
                      <w:pPr>
                        <w:spacing w:line="240" w:lineRule="exact"/>
                        <w:rPr>
                          <w:rFonts w:ascii="楷体_GB2312" w:hAnsi="宋体" w:eastAsia="楷体_GB2312" w:cs="Times New Roman"/>
                          <w:b/>
                          <w:bCs/>
                          <w:sz w:val="18"/>
                          <w:szCs w:val="18"/>
                        </w:rPr>
                      </w:pP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 xml:space="preserve">              承包人向发包人的索赔不成立时，承包人应赔偿发包人由此发</w:t>
      </w:r>
    </w:p>
    <w:p w14:paraId="011A3026">
      <w:pPr>
        <w:spacing w:line="420" w:lineRule="exact"/>
        <w:ind w:left="2282" w:leftChars="825" w:hanging="549" w:hangingChars="229"/>
        <w:rPr>
          <w:rFonts w:ascii="宋体" w:hAnsi="宋体" w:eastAsia="宋体" w:cs="宋体"/>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生的费用。</w:t>
      </w:r>
    </w:p>
    <w:p w14:paraId="200AA9B1">
      <w:pPr>
        <w:spacing w:line="420" w:lineRule="exact"/>
        <w:ind w:left="2105" w:leftChars="27" w:hanging="2048" w:hangingChars="931"/>
        <w:rPr>
          <w:rFonts w:ascii="宋体" w:hAnsi="宋体" w:eastAsia="宋体" w:cs="宋体"/>
          <w:color w:val="000000" w:themeColor="text1"/>
          <w:sz w:val="22"/>
          <w:szCs w:val="22"/>
          <w:highlight w:val="none"/>
          <w14:textFill>
            <w14:solidFill>
              <w14:schemeClr w14:val="tx1"/>
            </w14:solidFill>
          </w14:textFill>
        </w:rPr>
      </w:pPr>
      <w:r>
        <w:rPr>
          <w:rFonts w:hint="eastAsia" w:ascii="Calibri" w:hAnsi="宋体" w:eastAsia="宋体" w:cs="Calibri"/>
          <w:color w:val="000000" w:themeColor="text1"/>
          <w:sz w:val="22"/>
          <w:szCs w:val="22"/>
          <w:highlight w:val="none"/>
          <w:u w:val="single"/>
          <w14:textFill>
            <w14:solidFill>
              <w14:schemeClr w14:val="tx1"/>
            </w14:solidFill>
          </w14:textFill>
        </w:rPr>
        <w:t xml:space="preserve">                                                                         </w:t>
      </w:r>
      <w:r>
        <w:rPr>
          <w:rFonts w:hint="eastAsia" w:ascii="Calibri" w:hAnsi="宋体" w:eastAsia="宋体" w:cs="Calibri"/>
          <w:color w:val="000000" w:themeColor="text1"/>
          <w:sz w:val="22"/>
          <w:szCs w:val="22"/>
          <w:highlight w:val="none"/>
          <w:u w:val="single"/>
          <w:lang w:val="en-US" w:eastAsia="zh-CN"/>
          <w14:textFill>
            <w14:solidFill>
              <w14:schemeClr w14:val="tx1"/>
            </w14:solidFill>
          </w14:textFill>
        </w:rPr>
        <w:t xml:space="preserve">   </w:t>
      </w:r>
      <w:r>
        <w:rPr>
          <w:rFonts w:hint="eastAsia" w:ascii="Calibri" w:hAnsi="宋体" w:eastAsia="宋体" w:cs="Calibri"/>
          <w:color w:val="000000" w:themeColor="text1"/>
          <w:sz w:val="22"/>
          <w:szCs w:val="22"/>
          <w:highlight w:val="none"/>
          <w:u w:val="single"/>
          <w14:textFill>
            <w14:solidFill>
              <w14:schemeClr w14:val="tx1"/>
            </w14:solidFill>
          </w14:textFill>
        </w:rPr>
        <w:t xml:space="preserve">  </w:t>
      </w:r>
      <w:r>
        <w:rPr>
          <w:rFonts w:hint="eastAsia" w:ascii="Calibri" w:hAnsi="宋体" w:eastAsia="宋体" w:cs="Calibri"/>
          <w:color w:val="000000" w:themeColor="text1"/>
          <w:sz w:val="22"/>
          <w:szCs w:val="22"/>
          <w:highlight w:val="none"/>
          <w:u w:val="single"/>
          <w:lang w:val="en-US" w:eastAsia="zh-CN"/>
          <w14:textFill>
            <w14:solidFill>
              <w14:schemeClr w14:val="tx1"/>
            </w14:solidFill>
          </w14:textFill>
        </w:rPr>
        <w:t xml:space="preserve">   </w:t>
      </w:r>
      <w:r>
        <w:rPr>
          <w:rFonts w:hint="eastAsia" w:ascii="Calibri" w:hAnsi="宋体" w:eastAsia="宋体" w:cs="Calibri"/>
          <w:color w:val="000000" w:themeColor="text1"/>
          <w:sz w:val="22"/>
          <w:szCs w:val="22"/>
          <w:highlight w:val="none"/>
          <w:u w:val="single"/>
          <w14:textFill>
            <w14:solidFill>
              <w14:schemeClr w14:val="tx1"/>
            </w14:solidFill>
          </w14:textFill>
        </w:rPr>
        <w:t xml:space="preserve">  </w:t>
      </w:r>
    </w:p>
    <w:p w14:paraId="2997729F">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★91 发包人的违约责任</w:t>
      </w:r>
    </w:p>
    <w:p w14:paraId="7839356E">
      <w:pPr>
        <w:widowControl w:val="0"/>
        <w:adjustRightInd w:val="0"/>
        <w:snapToGrid w:val="0"/>
        <w:spacing w:line="420" w:lineRule="exact"/>
        <w:ind w:firstLine="108" w:firstLineChars="49"/>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91.1 </w:t>
      </w:r>
    </w:p>
    <w:p w14:paraId="0D3DD7C6">
      <w:pPr>
        <w:adjustRightInd w:val="0"/>
        <w:snapToGrid w:val="0"/>
        <w:spacing w:line="420" w:lineRule="exact"/>
        <w:ind w:left="1035" w:leftChars="493"/>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2" name="文本框 39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7C6BFB5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wps:txbx>
                      <wps:bodyPr vert="horz" wrap="square" anchor="t" anchorCtr="0" upright="1"/>
                    </wps:wsp>
                  </a:graphicData>
                </a:graphic>
              </wp:anchor>
            </w:drawing>
          </mc:Choice>
          <mc:Fallback>
            <w:pict>
              <v:shape id="文本框 399" o:spid="_x0000_s1026" o:spt="202" type="#_x0000_t202" style="position:absolute;left:0pt;margin-left:-9pt;margin-top:1.25pt;height:31.2pt;width:72pt;z-index:25208012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Pz/Bw1QAAAAgBAAAPAAAAAAAAAAEAIAAAACIA&#10;AABkcnMvZG93bnJldi54bWxQSwECFAAUAAAACACHTuJA1VWw2dMBAACSAwAADgAAAAAAAAABACAA&#10;AAAkAQAAZHJzL2Uyb0RvYy54bWxQSwUGAAAAAAYABgBZAQAAaQUAAAAA&#10;">
                <v:fill on="f" focussize="0,0"/>
                <v:stroke on="f"/>
                <v:imagedata o:title=""/>
                <o:lock v:ext="edit" aspectratio="f"/>
                <v:textbox>
                  <w:txbxContent>
                    <w:p w14:paraId="7C6BFB5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因发包人违反本合同约定造成承包人损失的，发包人应予以赔偿。</w:t>
      </w:r>
    </w:p>
    <w:p w14:paraId="158601BB">
      <w:pPr>
        <w:adjustRightInd w:val="0"/>
        <w:snapToGrid w:val="0"/>
        <w:spacing w:line="420" w:lineRule="exact"/>
        <w:ind w:left="1035" w:leftChars="493" w:firstLine="331" w:firstLineChars="150"/>
        <w:rPr>
          <w:rFonts w:ascii="宋体" w:hAnsi="宋体" w:eastAsia="宋体" w:cs="宋体"/>
          <w:b/>
          <w:bCs/>
          <w:color w:val="000000" w:themeColor="text1"/>
          <w:sz w:val="22"/>
          <w:szCs w:val="22"/>
          <w:highlight w:val="none"/>
          <w14:textFill>
            <w14:solidFill>
              <w14:schemeClr w14:val="tx1"/>
            </w14:solidFill>
          </w14:textFill>
        </w:rPr>
      </w:pPr>
    </w:p>
    <w:p w14:paraId="238379AB">
      <w:pPr>
        <w:spacing w:line="420" w:lineRule="exact"/>
        <w:ind w:left="2113" w:leftChars="27" w:hanging="2056" w:hangingChars="931"/>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 xml:space="preserve">91.2  </w:t>
      </w:r>
      <w:r>
        <w:rPr>
          <w:rFonts w:hint="eastAsia" w:ascii="宋体" w:hAnsi="宋体" w:eastAsia="宋体" w:cs="宋体"/>
          <w:b/>
          <w:bCs/>
          <w:color w:val="000000" w:themeColor="text1"/>
          <w:sz w:val="22"/>
          <w:szCs w:val="22"/>
          <w:highlight w:val="none"/>
          <w:u w:val="dotted"/>
          <w14:textFill>
            <w14:solidFill>
              <w14:schemeClr w14:val="tx1"/>
            </w14:solidFill>
          </w14:textFill>
        </w:rPr>
        <w:t xml:space="preserve">                                                                                </w:t>
      </w:r>
    </w:p>
    <w:p w14:paraId="487FE9D8">
      <w:pPr>
        <w:adjustRightInd w:val="0"/>
        <w:snapToGrid w:val="0"/>
        <w:spacing w:line="420" w:lineRule="exact"/>
        <w:ind w:left="1534" w:leftChars="102" w:hanging="1320" w:hangingChars="60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3" name="文本框 40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14:paraId="0DBAC9D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wps:txbx>
                      <wps:bodyPr vert="horz" wrap="square" anchor="t" anchorCtr="0" upright="1"/>
                    </wps:wsp>
                  </a:graphicData>
                </a:graphic>
              </wp:anchor>
            </w:drawing>
          </mc:Choice>
          <mc:Fallback>
            <w:pict>
              <v:shape id="文本框 400" o:spid="_x0000_s1026" o:spt="202" type="#_x0000_t202" style="position:absolute;left:0pt;margin-left:-9pt;margin-top:1.05pt;height:32.75pt;width:72pt;z-index:252081152;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EyWpNUAAAAIAQAADwAAAAAAAAABACAAAAAiAAAA&#10;ZHJzL2Rvd25yZXYueG1sUEsBAhQAFAAAAAgAh07iQCd4sjzRAQAAkgMAAA4AAAAAAAAAAQAgAAAA&#10;JAEAAGRycy9lMm9Eb2MueG1sUEsFBgAAAAAGAAYAWQEAAGcFAAAAAA==&#10;">
                <v:fill on="f" focussize="0,0"/>
                <v:stroke on="f"/>
                <v:imagedata o:title=""/>
                <o:lock v:ext="edit" aspectratio="f"/>
                <v:textbox>
                  <w:txbxContent>
                    <w:p w14:paraId="0DBAC9D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发包人向承包人的索赔不成立时，发包人应赔偿承包人由此发生的费用。</w:t>
      </w:r>
    </w:p>
    <w:p w14:paraId="5D05CF04">
      <w:pPr>
        <w:adjustRightInd w:val="0"/>
        <w:snapToGrid w:val="0"/>
        <w:spacing w:line="420" w:lineRule="exact"/>
        <w:rPr>
          <w:rFonts w:ascii="宋体" w:hAnsi="宋体" w:eastAsia="宋体" w:cs="宋体"/>
          <w:b/>
          <w:bCs/>
          <w:color w:val="000000" w:themeColor="text1"/>
          <w:sz w:val="22"/>
          <w:szCs w:val="22"/>
          <w:highlight w:val="none"/>
          <w:u w:val="dotted"/>
          <w14:textFill>
            <w14:solidFill>
              <w14:schemeClr w14:val="tx1"/>
            </w14:solidFill>
          </w14:textFill>
        </w:rPr>
      </w:pPr>
      <w:r>
        <w:rPr>
          <w:rFonts w:hint="eastAsia" w:ascii="Calibri" w:hAnsi="宋体" w:eastAsia="宋体" w:cs="Calibri"/>
          <w:color w:val="000000" w:themeColor="text1"/>
          <w:sz w:val="22"/>
          <w:szCs w:val="22"/>
          <w:highlight w:val="none"/>
          <w:u w:val="single"/>
          <w14:textFill>
            <w14:solidFill>
              <w14:schemeClr w14:val="tx1"/>
            </w14:solidFill>
          </w14:textFill>
        </w:rPr>
        <w:t xml:space="preserve">                                                                             </w:t>
      </w:r>
    </w:p>
    <w:p w14:paraId="73D99442">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★92  除外责任</w:t>
      </w:r>
    </w:p>
    <w:p w14:paraId="79179164">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4" name="文本框 4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62C8C5C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wps:txbx>
                      <wps:bodyPr vert="horz" wrap="square" anchor="t" anchorCtr="0" upright="1"/>
                    </wps:wsp>
                  </a:graphicData>
                </a:graphic>
              </wp:anchor>
            </w:drawing>
          </mc:Choice>
          <mc:Fallback>
            <w:pict>
              <v:shape id="文本框 401" o:spid="_x0000_s1026" o:spt="202" type="#_x0000_t202" style="position:absolute;left:0pt;margin-left:-9pt;margin-top:1.25pt;height:31.2pt;width:72pt;z-index:25208217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P8HDVAAAACAEAAA8AAAAAAAAAAQAgAAAAIgAA&#10;AGRycy9kb3ducmV2LnhtbFBLAQIUABQAAAAIAIdO4kCQ6xxs0gEAAJIDAAAOAAAAAAAAAAEAIAAA&#10;ACQBAABkcnMvZTJvRG9jLnhtbFBLBQYAAAAABgAGAFkBAABoBQAAAAA=&#10;">
                <v:fill on="f" focussize="0,0"/>
                <v:stroke on="f"/>
                <v:imagedata o:title=""/>
                <o:lock v:ext="edit" aspectratio="f"/>
                <v:textbox>
                  <w:txbxContent>
                    <w:p w14:paraId="62C8C5C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非承包人的原因，且承包人无过错，而产生的各类损失，承包人不承担赔偿责任。</w:t>
      </w:r>
    </w:p>
    <w:p w14:paraId="3C6A79CA">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因不可抗力导致本合同全部或部分不能履行时，双方各自承担其因此而造成的损失、损害。</w:t>
      </w:r>
    </w:p>
    <w:p w14:paraId="143F1883">
      <w:pPr>
        <w:spacing w:line="420" w:lineRule="exact"/>
        <w:rPr>
          <w:rFonts w:ascii="宋体" w:hAnsi="宋体" w:eastAsia="宋体" w:cs="宋体"/>
          <w:color w:val="000000" w:themeColor="text1"/>
          <w:sz w:val="22"/>
          <w:szCs w:val="22"/>
          <w:highlight w:val="none"/>
          <w14:textFill>
            <w14:solidFill>
              <w14:schemeClr w14:val="tx1"/>
            </w14:solidFill>
          </w14:textFill>
        </w:rPr>
      </w:pPr>
    </w:p>
    <w:p w14:paraId="2E31E363">
      <w:pPr>
        <w:widowControl w:val="0"/>
        <w:adjustRightInd w:val="0"/>
        <w:snapToGrid w:val="0"/>
        <w:spacing w:line="420" w:lineRule="exact"/>
        <w:ind w:right="-238"/>
        <w:jc w:val="both"/>
        <w:rPr>
          <w:rFonts w:ascii="宋体" w:hAnsi="宋体" w:eastAsia="宋体" w:cs="宋体"/>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u w:val="single"/>
          <w:lang w:val="en-US" w:eastAsia="zh-CN" w:bidi="ar-SA"/>
          <w14:textFill>
            <w14:solidFill>
              <w14:schemeClr w14:val="tx1"/>
            </w14:solidFill>
          </w14:textFill>
        </w:rPr>
        <w:t xml:space="preserve">                                                                                 </w:t>
      </w:r>
    </w:p>
    <w:p w14:paraId="6E5C31EC">
      <w:pPr>
        <w:widowControl w:val="0"/>
        <w:adjustRightInd w:val="0"/>
        <w:snapToGrid w:val="0"/>
        <w:spacing w:line="420" w:lineRule="exact"/>
        <w:ind w:right="-238"/>
        <w:jc w:val="center"/>
        <w:outlineLvl w:val="9"/>
        <w:rPr>
          <w:rFonts w:ascii="方正小标宋_GBK" w:hAnsi="方正小标宋_GBK" w:eastAsia="方正小标宋_GBK" w:cs="方正小标宋_GBK"/>
          <w:b/>
          <w:bCs/>
          <w:color w:val="000000" w:themeColor="text1"/>
          <w:kern w:val="2"/>
          <w:sz w:val="24"/>
          <w:szCs w:val="24"/>
          <w:highlight w:val="none"/>
          <w:lang w:val="en-US" w:eastAsia="zh-CN" w:bidi="ar-SA"/>
          <w14:textFill>
            <w14:solidFill>
              <w14:schemeClr w14:val="tx1"/>
            </w14:solidFill>
          </w14:textFill>
        </w:rPr>
      </w:pPr>
      <w:bookmarkStart w:id="531" w:name="_Toc25936"/>
      <w:bookmarkStart w:id="532" w:name="_Toc5507"/>
      <w:bookmarkStart w:id="533" w:name="_Toc27745"/>
      <w:r>
        <w:rPr>
          <w:rFonts w:hint="eastAsia" w:ascii="方正小标宋_GBK" w:hAnsi="方正小标宋_GBK" w:eastAsia="方正小标宋_GBK" w:cs="方正小标宋_GBK"/>
          <w:b/>
          <w:bCs/>
          <w:color w:val="000000" w:themeColor="text1"/>
          <w:kern w:val="2"/>
          <w:sz w:val="24"/>
          <w:szCs w:val="24"/>
          <w:highlight w:val="none"/>
          <w:lang w:val="en-US" w:eastAsia="zh-CN" w:bidi="ar-SA"/>
          <w14:textFill>
            <w14:solidFill>
              <w14:schemeClr w14:val="tx1"/>
            </w14:solidFill>
          </w14:textFill>
        </w:rPr>
        <w:t>九、其  他</w:t>
      </w:r>
      <w:bookmarkEnd w:id="531"/>
      <w:bookmarkEnd w:id="532"/>
      <w:bookmarkEnd w:id="533"/>
    </w:p>
    <w:p w14:paraId="4B1E5EBB">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93  缴纳税费</w:t>
      </w:r>
    </w:p>
    <w:p w14:paraId="04667F08">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93.1      </w:t>
      </w:r>
    </w:p>
    <w:p w14:paraId="40BABB82">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合同双方当事人</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394" name="文本框 402"/>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a:effectLst/>
                      </wps:spPr>
                      <wps:txbx>
                        <w:txbxContent>
                          <w:p w14:paraId="0929F47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wps:txbx>
                      <wps:bodyPr vert="horz" wrap="square" anchor="t" anchorCtr="0" upright="1"/>
                    </wps:wsp>
                  </a:graphicData>
                </a:graphic>
              </wp:anchor>
            </w:drawing>
          </mc:Choice>
          <mc:Fallback>
            <w:pict>
              <v:shape id="文本框 402" o:spid="_x0000_s1026" o:spt="202" type="#_x0000_t202" style="position:absolute;left:0pt;margin-left:-9pt;margin-top:0.05pt;height:38.15pt;width:72pt;z-index:252061696;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CloK9QAAAAHAQAADwAAAAAAAAABACAAAAAiAAAA&#10;ZHJzL2Rvd25yZXYueG1sUEsBAhQAFAAAAAgAh07iQMv4J17SAQAAkgMAAA4AAAAAAAAAAQAgAAAA&#10;IwEAAGRycy9lMm9Eb2MueG1sUEsFBgAAAAAGAAYAWQEAAGcFAAAAAA==&#10;">
                <v:fill on="f" focussize="0,0"/>
                <v:stroke on="f"/>
                <v:imagedata o:title=""/>
                <o:lock v:ext="edit" aspectratio="f"/>
                <v:textbox>
                  <w:txbxContent>
                    <w:p w14:paraId="0929F47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应按照国家现行税法和有关部门现行规定缴纳合同工程需缴的一切税费。</w:t>
      </w:r>
    </w:p>
    <w:p w14:paraId="7A616265">
      <w:pPr>
        <w:widowControl w:val="0"/>
        <w:tabs>
          <w:tab w:val="left" w:pos="1320"/>
        </w:tabs>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93.2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AA3A02E">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395" name="文本框 40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6BC54C9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wps:txbx>
                      <wps:bodyPr vert="horz" wrap="square" anchor="t" anchorCtr="0" upright="1"/>
                    </wps:wsp>
                  </a:graphicData>
                </a:graphic>
              </wp:anchor>
            </w:drawing>
          </mc:Choice>
          <mc:Fallback>
            <w:pict>
              <v:shape id="文本框 403" o:spid="_x0000_s1026" o:spt="202" type="#_x0000_t202" style="position:absolute;left:0pt;margin-left:-9pt;margin-top:2.55pt;height:31.2pt;width:72pt;z-index:252062720;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qo/Iz1QAAAAgBAAAPAAAAAAAAAAEAIAAAACIA&#10;AABkcnMvZG93bnJldi54bWxQSwECFAAUAAAACACHTuJAzPt6pNMBAACSAwAADgAAAAAAAAABACAA&#10;AAAkAQAAZHJzL2Uyb0RvYy54bWxQSwUGAAAAAAYABgBZAQAAaQUAAAAA&#10;">
                <v:fill on="f" focussize="0,0"/>
                <v:stroke on="f"/>
                <v:imagedata o:title=""/>
                <o:lock v:ext="edit" aspectratio="f"/>
                <v:textbox>
                  <w:txbxContent>
                    <w:p w14:paraId="6BC54C9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合同任何一方当事人没交或少交合同工程需缴税费的，违法方应足额补交，并承担相应的法律责任；给另一方当事人造成损失的，违法方应赔偿损失。</w:t>
      </w:r>
    </w:p>
    <w:p w14:paraId="1BC2FA32">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628EAF68">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94  保密要求</w:t>
      </w:r>
    </w:p>
    <w:p w14:paraId="0AE78090">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94.1    </w:t>
      </w:r>
    </w:p>
    <w:p w14:paraId="76ADE808">
      <w:pPr>
        <w:widowControl w:val="0"/>
        <w:adjustRightInd w:val="0"/>
        <w:snapToGrid w:val="0"/>
        <w:spacing w:line="420" w:lineRule="exact"/>
        <w:ind w:left="1619" w:leftChars="771"/>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396" name="文本框 40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07358F9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wps:txbx>
                      <wps:bodyPr vert="horz" wrap="square" anchor="t" anchorCtr="0" upright="1"/>
                    </wps:wsp>
                  </a:graphicData>
                </a:graphic>
              </wp:anchor>
            </w:drawing>
          </mc:Choice>
          <mc:Fallback>
            <w:pict>
              <v:shape id="文本框 404" o:spid="_x0000_s1026" o:spt="202" type="#_x0000_t202" style="position:absolute;left:0pt;margin-left:-9pt;margin-top:2.7pt;height:46.8pt;width:72pt;z-index:252063744;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bZrX11QAAAAgBAAAPAAAAAAAAAAEAIAAAACIA&#10;AABkcnMvZG93bnJldi54bWxQSwECFAAUAAAACACHTuJAZDEUP9MBAACSAwAADgAAAAAAAAABACAA&#10;AAAkAQAAZHJzL2Uyb0RvYy54bWxQSwUGAAAAAAYABgBZAQAAaQUAAAAA&#10;">
                <v:fill on="f" focussize="0,0"/>
                <v:stroke on="f"/>
                <v:imagedata o:title=""/>
                <o:lock v:ext="edit" aspectratio="f"/>
                <v:textbox>
                  <w:txbxContent>
                    <w:p w14:paraId="07358F9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合同双方当事人应在专用条款约定期限内提供保密信息。自收到对方当事人提供的保密信息之日起，合同双方当事人应履行保密义务。合同双方当事人履行保密义务，并不因本合同终止而结束。</w:t>
      </w:r>
    </w:p>
    <w:p w14:paraId="3A4C039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94.2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3038A1BE">
      <w:pPr>
        <w:widowControl w:val="0"/>
        <w:adjustRightInd w:val="0"/>
        <w:snapToGrid w:val="0"/>
        <w:spacing w:line="420" w:lineRule="exact"/>
        <w:ind w:left="1619" w:leftChars="771"/>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397" name="文本框 40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7A85835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wps:txbx>
                      <wps:bodyPr vert="horz" wrap="square" anchor="t" anchorCtr="0" upright="1"/>
                    </wps:wsp>
                  </a:graphicData>
                </a:graphic>
              </wp:anchor>
            </w:drawing>
          </mc:Choice>
          <mc:Fallback>
            <w:pict>
              <v:shape id="文本框 405" o:spid="_x0000_s1026" o:spt="202" type="#_x0000_t202" style="position:absolute;left:0pt;margin-left:-9pt;margin-top:5.4pt;height:39pt;width:72pt;z-index:252064768;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BYoLvVAAAACQEAAA8AAAAAAAAAAQAgAAAAIgAA&#10;AGRycy9kb3ducmV2LnhtbFBLAQIUABQAAAAIAIdO4kCzh+/00gEAAJIDAAAOAAAAAAAAAAEAIAAA&#10;ACQBAABkcnMvZTJvRG9jLnhtbFBLBQYAAAAABgAGAFkBAABoBQAAAAA=&#10;">
                <v:fill on="f" focussize="0,0"/>
                <v:stroke on="f"/>
                <v:imagedata o:title=""/>
                <o:lock v:ext="edit" aspectratio="f"/>
                <v:textbox>
                  <w:txbxContent>
                    <w:p w14:paraId="7A85835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2FD54C72">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94.3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2B0FD3A4">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398" name="文本框 406"/>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a:effectLst/>
                      </wps:spPr>
                      <wps:txbx>
                        <w:txbxContent>
                          <w:p w14:paraId="46DE0C7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wps:txbx>
                      <wps:bodyPr vert="horz" wrap="square" anchor="t" anchorCtr="0" upright="1"/>
                    </wps:wsp>
                  </a:graphicData>
                </a:graphic>
              </wp:anchor>
            </w:drawing>
          </mc:Choice>
          <mc:Fallback>
            <w:pict>
              <v:shape id="文本框 406" o:spid="_x0000_s1026" o:spt="202" type="#_x0000_t202" style="position:absolute;left:0pt;margin-left:-9pt;margin-top:0.25pt;height:23.7pt;width:81pt;z-index:252065792;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nJgqNQAAAAHAQAADwAAAAAAAAABACAAAAAiAAAA&#10;ZHJzL2Rvd25yZXYueG1sUEsBAhQAFAAAAAgAh07iQO+bKzvSAQAAkwMAAA4AAAAAAAAAAQAgAAAA&#10;IwEAAGRycy9lMm9Eb2MueG1sUEsFBgAAAAAGAAYAWQEAAGcFAAAAAA==&#10;">
                <v:fill on="f" focussize="0,0"/>
                <v:stroke on="f"/>
                <v:imagedata o:title=""/>
                <o:lock v:ext="edit" aspectratio="f"/>
                <v:textbox>
                  <w:txbxContent>
                    <w:p w14:paraId="46DE0C7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264FB0D4">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94.4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00FF38E6">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399" name="文本框 407"/>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a:effectLst/>
                      </wps:spPr>
                      <wps:txbx>
                        <w:txbxContent>
                          <w:p w14:paraId="2453297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wps:txbx>
                      <wps:bodyPr vert="horz" wrap="square" anchor="t" anchorCtr="0" upright="1"/>
                    </wps:wsp>
                  </a:graphicData>
                </a:graphic>
              </wp:anchor>
            </w:drawing>
          </mc:Choice>
          <mc:Fallback>
            <w:pict>
              <v:shape id="文本框 407" o:spid="_x0000_s1026" o:spt="202" type="#_x0000_t202" style="position:absolute;left:0pt;margin-left:-9pt;margin-top:5.15pt;height:57.3pt;width:72pt;z-index:252066816;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ehvZ9YAAAAKAQAADwAAAAAAAAABACAAAAAi&#10;AAAAZHJzL2Rvd25yZXYueG1sUEsBAhQAFAAAAAgAh07iQC2LBPDTAQAAkgMAAA4AAAAAAAAAAQAg&#10;AAAAJQEAAGRycy9lMm9Eb2MueG1sUEsFBgAAAAAGAAYAWQEAAGoFAAAAAA==&#10;">
                <v:fill on="f" focussize="0,0"/>
                <v:stroke on="f"/>
                <v:imagedata o:title=""/>
                <o:lock v:ext="edit" aspectratio="f"/>
                <v:textbox>
                  <w:txbxContent>
                    <w:p w14:paraId="2453297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5E46986E">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94.5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785B84FE">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400" name="文本框 40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7D0CEB8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wps:txbx>
                      <wps:bodyPr vert="horz" wrap="square" anchor="t" anchorCtr="0" upright="1"/>
                    </wps:wsp>
                  </a:graphicData>
                </a:graphic>
              </wp:anchor>
            </w:drawing>
          </mc:Choice>
          <mc:Fallback>
            <w:pict>
              <v:shape id="文本框 408" o:spid="_x0000_s1026" o:spt="202" type="#_x0000_t202" style="position:absolute;left:0pt;margin-left:-9pt;margin-top:1.75pt;height:39pt;width:72pt;z-index:252067840;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gUjOjVAAAACAEAAA8AAAAAAAAAAQAgAAAAIgAAAGRy&#10;cy9kb3ducmV2LnhtbFBLAQIUABQAAAAIAIdO4kCy8L6ozwEAAJIDAAAOAAAAAAAAAAEAIAAAACQB&#10;AABkcnMvZTJvRG9jLnhtbFBLBQYAAAAABgAGAFkBAABlBQAAAAA=&#10;">
                <v:fill on="f" focussize="0,0"/>
                <v:stroke on="f"/>
                <v:imagedata o:title=""/>
                <o:lock v:ext="edit" aspectratio="f"/>
                <v:textbox>
                  <w:txbxContent>
                    <w:p w14:paraId="7D0CEB8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14:paraId="1164F703">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（1）提供前已由合同双方当事人所持有的；</w:t>
      </w:r>
    </w:p>
    <w:p w14:paraId="56CD9E35">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（2）已公开发表或非对方当事人原因向公众公开的；</w:t>
      </w:r>
    </w:p>
    <w:p w14:paraId="7931CC32">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（3）已由各相关方书面同意其公开的；</w:t>
      </w:r>
    </w:p>
    <w:p w14:paraId="3978030C">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（4）在未获取保密信息前由对方当事人独立开发的；</w:t>
      </w:r>
    </w:p>
    <w:p w14:paraId="032D5CAC">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（5）对方当事人从对保密信息不承担保密义务的第三方处合法获得的。</w:t>
      </w:r>
    </w:p>
    <w:p w14:paraId="6FA43D36">
      <w:pPr>
        <w:widowControl w:val="0"/>
        <w:tabs>
          <w:tab w:val="left" w:pos="1620"/>
        </w:tabs>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17CA474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95 廉政建设</w:t>
      </w:r>
    </w:p>
    <w:p w14:paraId="3350E64A">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95.1     </w:t>
      </w:r>
    </w:p>
    <w:p w14:paraId="199D9F16">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1" name="文本框 409"/>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261116A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wps:txbx>
                      <wps:bodyPr vert="horz" wrap="square" anchor="t" anchorCtr="0" upright="1"/>
                    </wps:wsp>
                  </a:graphicData>
                </a:graphic>
              </wp:anchor>
            </w:drawing>
          </mc:Choice>
          <mc:Fallback>
            <w:pict>
              <v:shape id="文本框 409" o:spid="_x0000_s1026" o:spt="202" type="#_x0000_t202" style="position:absolute;left:0pt;margin-left:-9pt;margin-top:1.25pt;height:23.4pt;width:63pt;z-index:252068864;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YdskdUAAAAIAQAADwAAAAAAAAABACAAAAAiAAAA&#10;ZHJzL2Rvd25yZXYueG1sUEsBAhQAFAAAAAgAh07iQJeSVdXRAQAAkgMAAA4AAAAAAAAAAQAgAAAA&#10;JAEAAGRycy9lMm9Eb2MueG1sUEsFBgAAAAAGAAYAWQEAAGcFAAAAAA==&#10;">
                <v:fill on="f" focussize="0,0"/>
                <v:stroke on="f"/>
                <v:imagedata o:title=""/>
                <o:lock v:ext="edit" aspectratio="f"/>
                <v:textbox>
                  <w:txbxContent>
                    <w:p w14:paraId="261116A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合同双方当事人在签订本合同时，应同时签订廉政合同，作为本合同的附件。合同双方当事人在合同履行期间应遵守国家和政府有关廉政方面的规定和要求，禁止任何腐败行为。</w:t>
      </w:r>
    </w:p>
    <w:p w14:paraId="53E6FB50">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95.2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4068518B">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402" name="文本框 410"/>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a:effectLst/>
                      </wps:spPr>
                      <wps:txbx>
                        <w:txbxContent>
                          <w:p w14:paraId="1302233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wps:txbx>
                      <wps:bodyPr vert="horz" wrap="square" anchor="t" anchorCtr="0" upright="1"/>
                    </wps:wsp>
                  </a:graphicData>
                </a:graphic>
              </wp:anchor>
            </w:drawing>
          </mc:Choice>
          <mc:Fallback>
            <w:pict>
              <v:shape id="文本框 410" o:spid="_x0000_s1026" o:spt="202" type="#_x0000_t202" style="position:absolute;left:0pt;margin-left:-9pt;margin-top:4.25pt;height:24.95pt;width:63pt;z-index:252069888;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zHYJ9QAAAAIAQAADwAAAAAAAAABACAAAAAiAAAAZHJz&#10;L2Rvd25yZXYueG1sUEsBAhQAFAAAAAgAh07iQOJaTCHPAQAAkgMAAA4AAAAAAAAAAQAgAAAAIwEA&#10;AGRycy9lMm9Eb2MueG1sUEsFBgAAAAAGAAYAWQEAAGQFAAAAAA==&#10;">
                <v:fill on="f" focussize="0,0"/>
                <v:stroke on="f"/>
                <v:imagedata o:title=""/>
                <o:lock v:ext="edit" aspectratio="f"/>
                <v:textbox>
                  <w:txbxContent>
                    <w:p w14:paraId="1302233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14:paraId="6D2A91DC">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1763FE9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96  禁止转让</w:t>
      </w:r>
    </w:p>
    <w:p w14:paraId="53B64D11">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96.1     </w:t>
      </w:r>
    </w:p>
    <w:p w14:paraId="5E6DBE52">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3" name="文本框 41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5D7A95A4">
                            <w:pPr>
                              <w:spacing w:line="240" w:lineRule="exact"/>
                              <w:rPr>
                                <w:rFonts w:ascii="宋体" w:hAnsi="Calibri" w:eastAsia="宋体" w:cs="Times New Roman"/>
                                <w:b/>
                                <w:bCs/>
                                <w:sz w:val="18"/>
                                <w:szCs w:val="18"/>
                              </w:rPr>
                            </w:pPr>
                            <w:r>
                              <w:rPr>
                                <w:rFonts w:hint="eastAsia" w:ascii="楷体_GB2312" w:hAnsi="宋体" w:eastAsia="楷体_GB2312" w:cs="楷体_GB2312"/>
                                <w:b/>
                                <w:bCs/>
                                <w:sz w:val="18"/>
                                <w:szCs w:val="18"/>
                              </w:rPr>
                              <w:t>履行合同</w:t>
                            </w:r>
                          </w:p>
                        </w:txbxContent>
                      </wps:txbx>
                      <wps:bodyPr vert="horz" wrap="square" anchor="t" anchorCtr="0" upright="1"/>
                    </wps:wsp>
                  </a:graphicData>
                </a:graphic>
              </wp:anchor>
            </w:drawing>
          </mc:Choice>
          <mc:Fallback>
            <w:pict>
              <v:shape id="文本框 411" o:spid="_x0000_s1026" o:spt="202" type="#_x0000_t202" style="position:absolute;left:0pt;margin-left:-9pt;margin-top:1.25pt;height:23.4pt;width:63pt;z-index:252070912;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WHbJHVAAAACAEAAA8AAAAAAAAAAQAgAAAAIgAA&#10;AGRycy9kb3ducmV2LnhtbFBLAQIUABQAAAAIAIdO4kBB9koc0gEAAJIDAAAOAAAAAAAAAAEAIAAA&#10;ACQBAABkcnMvZTJvRG9jLnhtbFBLBQYAAAAABgAGAFkBAABoBQAAAAA=&#10;">
                <v:fill on="f" focussize="0,0"/>
                <v:stroke on="f"/>
                <v:imagedata o:title=""/>
                <o:lock v:ext="edit" aspectratio="f"/>
                <v:textbox>
                  <w:txbxContent>
                    <w:p w14:paraId="5D7A95A4">
                      <w:pPr>
                        <w:spacing w:line="240" w:lineRule="exact"/>
                        <w:rPr>
                          <w:rFonts w:ascii="宋体" w:hAnsi="Calibri" w:eastAsia="宋体" w:cs="Times New Roman"/>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本合同一经签署，合同双方当事人均应按照本合同规定行使各自的权利、履行各自的义务。</w:t>
      </w:r>
    </w:p>
    <w:p w14:paraId="35A05382">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96.2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p>
    <w:p w14:paraId="66C2DC11">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404" name="文本框 41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6A06F6C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wps:txbx>
                      <wps:bodyPr vert="horz" wrap="square" anchor="t" anchorCtr="0" upright="1"/>
                    </wps:wsp>
                  </a:graphicData>
                </a:graphic>
              </wp:anchor>
            </w:drawing>
          </mc:Choice>
          <mc:Fallback>
            <w:pict>
              <v:shape id="文本框 412" o:spid="_x0000_s1026" o:spt="202" type="#_x0000_t202" style="position:absolute;left:0pt;margin-left:-9pt;margin-top:7.75pt;height:23.4pt;width:63pt;z-index:252071936;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EeyaNYAAAAJAQAADwAAAAAAAAABACAAAAAiAAAA&#10;ZHJzL2Rvd25yZXYueG1sUEsBAhQAFAAAAAgAh07iQOliIg3QAQAAkgMAAA4AAAAAAAAAAQAgAAAA&#10;JQEAAGRycy9lMm9Eb2MueG1sUEsFBgAAAAAGAAYAWQEAAGcFAAAAAA==&#10;">
                <v:fill on="f" focussize="0,0"/>
                <v:stroke on="f"/>
                <v:imagedata o:title=""/>
                <o:lock v:ext="edit" aspectratio="f"/>
                <v:textbox>
                  <w:txbxContent>
                    <w:p w14:paraId="6A06F6C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除合同另有约定外，未经另一方当事人同意，合同一方当事人不得将本合同的全部或部分权利、义务转让给第三方。</w:t>
      </w:r>
    </w:p>
    <w:p w14:paraId="31D2A20C">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5E76DEE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97  合同份数</w:t>
      </w:r>
    </w:p>
    <w:p w14:paraId="65B29838">
      <w:pPr>
        <w:widowControl w:val="0"/>
        <w:adjustRightInd w:val="0"/>
        <w:snapToGrid w:val="0"/>
        <w:spacing w:line="420" w:lineRule="exact"/>
        <w:ind w:left="1449" w:hanging="1449" w:hangingChars="656"/>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97.1        </w:t>
      </w:r>
    </w:p>
    <w:p w14:paraId="1C100A1E">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72960"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405" name="文本框 41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02FA9F9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wps:txbx>
                      <wps:bodyPr vert="horz" wrap="square" anchor="t" anchorCtr="0" upright="1"/>
                    </wps:wsp>
                  </a:graphicData>
                </a:graphic>
              </wp:anchor>
            </w:drawing>
          </mc:Choice>
          <mc:Fallback>
            <w:pict>
              <v:shape id="文本框 413" o:spid="_x0000_s1026" o:spt="202" type="#_x0000_t202" style="position:absolute;left:0pt;margin-left:-5.25pt;margin-top:0.8pt;height:31.2pt;width:72pt;z-index:252072960;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JYh/HUAAAACAEAAA8AAAAAAAAAAQAgAAAAIgAA&#10;AGRycy9kb3ducmV2LnhtbFBLAQIUABQAAAAIAIdO4kCAiL450wEAAJIDAAAOAAAAAAAAAAEAIAAA&#10;ACMBAABkcnMvZTJvRG9jLnhtbFBLBQYAAAAABgAGAFkBAABoBQAAAAA=&#10;">
                <v:fill on="f" focussize="0,0"/>
                <v:stroke on="f"/>
                <v:imagedata o:title=""/>
                <o:lock v:ext="edit" aspectratio="f"/>
                <v:textbox>
                  <w:txbxContent>
                    <w:p w14:paraId="02FA9F9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除专用条款另有约定外，发包人应按照第97.2款规定的份数免费为承包人提供合同文本。</w:t>
      </w:r>
    </w:p>
    <w:p w14:paraId="5F93B8AB">
      <w:pPr>
        <w:widowControl w:val="0"/>
        <w:adjustRightInd w:val="0"/>
        <w:snapToGrid w:val="0"/>
        <w:spacing w:line="420" w:lineRule="exact"/>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97.2  </w:t>
      </w:r>
      <w:r>
        <w:rPr>
          <w:rFonts w:hint="eastAsia" w:ascii="宋体" w:hAnsi="宋体" w:eastAsia="宋体" w:cs="宋体"/>
          <w:b/>
          <w:bCs/>
          <w:color w:val="000000" w:themeColor="text1"/>
          <w:kern w:val="2"/>
          <w:sz w:val="22"/>
          <w:szCs w:val="22"/>
          <w:highlight w:val="none"/>
          <w:u w:val="dotted"/>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2"/>
          <w:szCs w:val="22"/>
          <w:highlight w:val="none"/>
          <w:u w:val="dotted"/>
          <w:lang w:val="en-US" w:eastAsia="zh-CN" w:bidi="ar-SA"/>
          <w14:textFill>
            <w14:solidFill>
              <w14:schemeClr w14:val="tx1"/>
            </w14:solidFill>
          </w14:textFill>
        </w:rPr>
        <w:t xml:space="preserve">                                                                                      </w:t>
      </w:r>
    </w:p>
    <w:p w14:paraId="3FB07AF6">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406" name="文本框 414"/>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a:effectLst/>
                      </wps:spPr>
                      <wps:txbx>
                        <w:txbxContent>
                          <w:p w14:paraId="7F0FE4D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wps:txbx>
                      <wps:bodyPr vert="horz" wrap="square" anchor="t" anchorCtr="0" upright="1"/>
                    </wps:wsp>
                  </a:graphicData>
                </a:graphic>
              </wp:anchor>
            </w:drawing>
          </mc:Choice>
          <mc:Fallback>
            <w:pict>
              <v:shape id="文本框 414" o:spid="_x0000_s1026" o:spt="202" type="#_x0000_t202" style="position:absolute;left:0pt;margin-left:-9pt;margin-top:0.65pt;height:23.6pt;width:63pt;z-index:252073984;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&#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Mf3b61AAAAAgBAAAPAAAAAAAAAAEAIAAAACIAAABk&#10;cnMvZG93bnJldi54bWxQSwECFAAUAAAACACHTuJAlXsmIdEBAACSAwAADgAAAAAAAAABACAAAAAj&#10;AQAAZHJzL2Uyb0RvYy54bWxQSwUGAAAAAAYABgBZAQAAZgUAAAAA&#10;">
                <v:fill on="f" focussize="0,0"/>
                <v:stroke on="f"/>
                <v:imagedata o:title=""/>
                <o:lock v:ext="edit" aspectratio="f"/>
                <v:textbox>
                  <w:txbxContent>
                    <w:p w14:paraId="7F0FE4D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本合同正、副本份数，由合同双方当事人根据需要在专用条款中约定。正本与副本具有同等效力，当正本与副本不一致时，以正本为准。</w:t>
      </w:r>
    </w:p>
    <w:p w14:paraId="03BE8824">
      <w:pPr>
        <w:widowControl w:val="0"/>
        <w:adjustRightInd w:val="0"/>
        <w:snapToGrid w:val="0"/>
        <w:spacing w:line="420" w:lineRule="exact"/>
        <w:jc w:val="both"/>
        <w:rPr>
          <w:rFonts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highlight w:val="none"/>
          <w:u w:val="single"/>
          <w:lang w:val="en-US" w:eastAsia="zh-CN" w:bidi="ar-SA"/>
          <w14:textFill>
            <w14:solidFill>
              <w14:schemeClr w14:val="tx1"/>
            </w14:solidFill>
          </w14:textFill>
        </w:rPr>
        <w:t xml:space="preserve">                                                                                 </w:t>
      </w:r>
    </w:p>
    <w:p w14:paraId="762EE1EC">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color w:val="000000" w:themeColor="text1"/>
          <w:kern w:val="0"/>
          <w:sz w:val="24"/>
          <w:szCs w:val="24"/>
          <w:highlight w:val="none"/>
          <w:lang w:val="en-US" w:eastAsia="zh-CN" w:bidi="ar-SA"/>
          <w14:textFill>
            <w14:solidFill>
              <w14:schemeClr w14:val="tx1"/>
            </w14:solidFill>
          </w14:textFill>
        </w:rPr>
        <w:t>98  合同管理</w:t>
      </w:r>
    </w:p>
    <w:p w14:paraId="75381282">
      <w:pPr>
        <w:widowControl w:val="0"/>
        <w:adjustRightInd w:val="0"/>
        <w:snapToGrid w:val="0"/>
        <w:spacing w:line="420" w:lineRule="exact"/>
        <w:jc w:val="both"/>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407" name="文本框 415"/>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a:effectLst/>
                      </wps:spPr>
                      <wps:txbx>
                        <w:txbxContent>
                          <w:p w14:paraId="3E9A1EF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63F1BC66">
                            <w:pPr>
                              <w:spacing w:line="240" w:lineRule="exact"/>
                              <w:rPr>
                                <w:rFonts w:ascii="楷体_GB2312" w:hAnsi="宋体" w:eastAsia="楷体_GB2312" w:cs="Times New Roman"/>
                                <w:b/>
                                <w:bCs/>
                                <w:sz w:val="18"/>
                                <w:szCs w:val="18"/>
                              </w:rPr>
                            </w:pPr>
                          </w:p>
                        </w:txbxContent>
                      </wps:txbx>
                      <wps:bodyPr vert="horz" wrap="square" anchor="t" anchorCtr="0" upright="1"/>
                    </wps:wsp>
                  </a:graphicData>
                </a:graphic>
              </wp:anchor>
            </w:drawing>
          </mc:Choice>
          <mc:Fallback>
            <w:pict>
              <v:shape id="文本框 415" o:spid="_x0000_s1026" o:spt="202" type="#_x0000_t202" style="position:absolute;left:0pt;margin-left:-9pt;margin-top:16.45pt;height:41.7pt;width:81.85pt;z-index:252075008;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7qs2NgAAAAKAQAADwAAAAAAAAABACAA&#10;AAAiAAAAZHJzL2Rvd25yZXYueG1sUEsBAhQAFAAAAAgAh07iQAAx2u/UAQAAkwMAAA4AAAAAAAAA&#10;AQAgAAAAJwEAAGRycy9lMm9Eb2MueG1sUEsFBgAAAAAGAAYAWQEAAG0FAAAAAA==&#10;">
                <v:fill on="f" focussize="0,0"/>
                <v:stroke on="f"/>
                <v:imagedata o:title=""/>
                <o:lock v:ext="edit" aspectratio="f"/>
                <v:textbox>
                  <w:txbxContent>
                    <w:p w14:paraId="3E9A1EF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63F1BC66">
                      <w:pPr>
                        <w:spacing w:line="240" w:lineRule="exact"/>
                        <w:rPr>
                          <w:rFonts w:ascii="楷体_GB2312" w:hAnsi="宋体" w:eastAsia="楷体_GB2312" w:cs="Times New Roman"/>
                          <w:b/>
                          <w:bCs/>
                          <w:sz w:val="18"/>
                          <w:szCs w:val="18"/>
                        </w:rPr>
                      </w:pPr>
                    </w:p>
                  </w:txbxContent>
                </v:textbox>
              </v:shape>
            </w:pict>
          </mc:Fallback>
        </mc:AlternateContent>
      </w:r>
      <w:r>
        <w:rPr>
          <w:rFonts w:hint="eastAsia" w:ascii="宋体" w:hAnsi="宋体" w:eastAsia="宋体" w:cs="宋体"/>
          <w:b/>
          <w:bCs/>
          <w:color w:val="000000" w:themeColor="text1"/>
          <w:kern w:val="2"/>
          <w:sz w:val="22"/>
          <w:szCs w:val="22"/>
          <w:highlight w:val="none"/>
          <w:lang w:val="en-US" w:eastAsia="zh-CN" w:bidi="ar-SA"/>
          <w14:textFill>
            <w14:solidFill>
              <w14:schemeClr w14:val="tx1"/>
            </w14:solidFill>
          </w14:textFill>
        </w:rPr>
        <w:t xml:space="preserve">98.1  </w:t>
      </w:r>
    </w:p>
    <w:p w14:paraId="3B7555FE">
      <w:pPr>
        <w:widowControl w:val="0"/>
        <w:adjustRightInd w:val="0"/>
        <w:snapToGrid w:val="0"/>
        <w:spacing w:line="420" w:lineRule="exact"/>
        <w:ind w:left="1619" w:leftChars="771"/>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合同双方当事人应按照第22条至第25条的职责划分，督促各自人员认真履行合同管理职责，加强合同管理。</w:t>
      </w:r>
    </w:p>
    <w:p w14:paraId="213F4D1D">
      <w:pPr>
        <w:spacing w:line="420" w:lineRule="exact"/>
        <w:ind w:left="1710" w:leftChars="700" w:hanging="240" w:hangingChars="100"/>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 xml:space="preserve"> 涉及国有资金投资的工程，建设行政主管部门、工程造价管理机</w:t>
      </w:r>
    </w:p>
    <w:p w14:paraId="76D590D2">
      <w:pPr>
        <w:spacing w:line="420" w:lineRule="exact"/>
        <w:ind w:left="1676" w:leftChars="798" w:firstLine="0" w:firstLineChars="0"/>
        <w:rPr>
          <w:rFonts w:ascii="宋体" w:hAnsi="宋体" w:eastAsia="宋体" w:cs="宋体"/>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 xml:space="preserve">构应依据建设行政主管部门存档合同实施合同监督管理；合同双方当事人应随时接受执法人员对本合同的监督管理，并为监督管理活动提供配合和协助。   </w:t>
      </w:r>
    </w:p>
    <w:p w14:paraId="5111ADEA">
      <w:pPr>
        <w:rPr>
          <w:rFonts w:ascii="Calibri" w:hAnsi="Calibri" w:eastAsia="宋体" w:cs="Calibri"/>
          <w:color w:val="000000" w:themeColor="text1"/>
          <w:szCs w:val="21"/>
          <w:highlight w:val="none"/>
          <w14:textFill>
            <w14:solidFill>
              <w14:schemeClr w14:val="tx1"/>
            </w14:solidFill>
          </w14:textFill>
        </w:rPr>
      </w:pPr>
      <w:r>
        <w:rPr>
          <w:rFonts w:ascii="宋体" w:hAnsi="宋体" w:eastAsia="宋体" w:cs="宋体"/>
          <w:b/>
          <w:bCs/>
          <w:color w:val="000000" w:themeColor="text1"/>
          <w:kern w:val="0"/>
          <w:sz w:val="22"/>
          <w:szCs w:val="22"/>
          <w:highlight w:val="none"/>
          <w14:textFill>
            <w14:solidFill>
              <w14:schemeClr w14:val="tx1"/>
            </w14:solidFill>
          </w14:textFill>
        </w:rPr>
        <w:br w:type="page"/>
      </w:r>
    </w:p>
    <w:p w14:paraId="439BA9CF">
      <w:pPr>
        <w:keepNext/>
        <w:keepLines/>
        <w:widowControl/>
        <w:tabs>
          <w:tab w:val="left" w:pos="420"/>
        </w:tabs>
        <w:spacing w:before="340" w:after="330" w:line="420" w:lineRule="exact"/>
        <w:ind w:left="0" w:firstLine="0"/>
        <w:jc w:val="center"/>
        <w:outlineLvl w:val="0"/>
        <w:rPr>
          <w:rFonts w:hint="eastAsia" w:ascii="方正小标宋简体" w:hAnsi="方正小标宋简体" w:eastAsia="方正小标宋简体" w:cs="方正小标宋简体"/>
          <w:b w:val="0"/>
          <w:bCs w:val="0"/>
          <w:color w:val="000000" w:themeColor="text1"/>
          <w:kern w:val="0"/>
          <w:sz w:val="32"/>
          <w:szCs w:val="32"/>
          <w:highlight w:val="none"/>
          <w:lang w:val="en-US" w:eastAsia="zh-CN" w:bidi="ar-SA"/>
          <w14:textFill>
            <w14:solidFill>
              <w14:schemeClr w14:val="tx1"/>
            </w14:solidFill>
          </w14:textFill>
        </w:rPr>
      </w:pPr>
      <w:bookmarkStart w:id="534" w:name="_Toc28569"/>
      <w:bookmarkStart w:id="535" w:name="_Toc12628"/>
      <w:bookmarkStart w:id="536" w:name="_Toc15473"/>
      <w:bookmarkStart w:id="537" w:name="_Toc23263"/>
      <w:bookmarkStart w:id="538" w:name="_Toc10188"/>
      <w:bookmarkStart w:id="539" w:name="_Toc11488"/>
      <w:r>
        <w:rPr>
          <w:rFonts w:hint="eastAsia" w:ascii="方正小标宋简体" w:hAnsi="方正小标宋简体" w:eastAsia="方正小标宋简体" w:cs="方正小标宋简体"/>
          <w:b w:val="0"/>
          <w:bCs w:val="0"/>
          <w:color w:val="000000" w:themeColor="text1"/>
          <w:kern w:val="0"/>
          <w:sz w:val="32"/>
          <w:szCs w:val="32"/>
          <w:highlight w:val="none"/>
          <w:lang w:val="en-US" w:eastAsia="zh-CN" w:bidi="ar-SA"/>
          <w14:textFill>
            <w14:solidFill>
              <w14:schemeClr w14:val="tx1"/>
            </w14:solidFill>
          </w14:textFill>
        </w:rPr>
        <w:t>第三部分    专用条款</w:t>
      </w:r>
      <w:bookmarkEnd w:id="534"/>
      <w:bookmarkEnd w:id="535"/>
      <w:bookmarkEnd w:id="536"/>
      <w:bookmarkEnd w:id="537"/>
      <w:bookmarkEnd w:id="538"/>
      <w:bookmarkEnd w:id="539"/>
    </w:p>
    <w:p w14:paraId="78D14A85">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bookmarkStart w:id="540" w:name="_Toc13420"/>
      <w:bookmarkStart w:id="541" w:name="_Toc22811"/>
      <w:bookmarkStart w:id="542" w:name="_Toc10816"/>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1．定义</w:t>
      </w:r>
      <w:bookmarkEnd w:id="540"/>
      <w:bookmarkEnd w:id="541"/>
      <w:bookmarkEnd w:id="542"/>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 xml:space="preserve"> </w:t>
      </w:r>
    </w:p>
    <w:p w14:paraId="232DCBD8">
      <w:pPr>
        <w:autoSpaceDE w:val="0"/>
        <w:autoSpaceDN w:val="0"/>
        <w:adjustRightInd w:val="0"/>
        <w:spacing w:line="420" w:lineRule="exact"/>
        <w:jc w:val="left"/>
        <w:outlineLvl w:val="9"/>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1.43 单位工程</w:t>
      </w:r>
    </w:p>
    <w:p w14:paraId="3A46CAB0">
      <w:pPr>
        <w:autoSpaceDE w:val="0"/>
        <w:autoSpaceDN w:val="0"/>
        <w:adjustRightInd w:val="0"/>
        <w:spacing w:line="420" w:lineRule="exact"/>
        <w:ind w:firstLine="390" w:firstLineChars="150"/>
        <w:jc w:val="lef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permStart w:id="86" w:edGrp="everyone"/>
      <w:r>
        <w:rPr>
          <w:rFonts w:hint="eastAsia" w:ascii="仿宋" w:hAnsi="仿宋" w:eastAsia="仿宋" w:cs="仿宋"/>
          <w:b w:val="0"/>
          <w:bCs w:val="0"/>
          <w:color w:val="000000" w:themeColor="text1"/>
          <w:sz w:val="26"/>
          <w:szCs w:val="26"/>
          <w:highlight w:val="none"/>
          <w:lang w:val="en-US" w:eastAsia="zh-CN"/>
          <w14:textFill>
            <w14:solidFill>
              <w14:schemeClr w14:val="tx1"/>
            </w14:solidFill>
          </w14:textFill>
        </w:rPr>
        <w:sym w:font="Wingdings 2" w:char="0053"/>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8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名称：</w:t>
      </w:r>
      <w:permStart w:id="8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87"/>
    </w:p>
    <w:p w14:paraId="00129621">
      <w:pPr>
        <w:autoSpaceDE w:val="0"/>
        <w:autoSpaceDN w:val="0"/>
        <w:adjustRightInd w:val="0"/>
        <w:spacing w:line="420" w:lineRule="exact"/>
        <w:ind w:firstLine="390" w:firstLineChars="15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88" w:edGrp="everyone"/>
      <w:r>
        <w:rPr>
          <w:rFonts w:hint="eastAsia" w:ascii="仿宋" w:hAnsi="仿宋" w:eastAsia="仿宋" w:cs="仿宋"/>
          <w:b w:val="0"/>
          <w:bCs w:val="0"/>
          <w:color w:val="000000" w:themeColor="text1"/>
          <w:sz w:val="26"/>
          <w:szCs w:val="26"/>
          <w:highlight w:val="none"/>
          <w:lang w:val="en-US" w:eastAsia="zh-CN"/>
          <w14:textFill>
            <w14:solidFill>
              <w14:schemeClr w14:val="tx1"/>
            </w14:solidFill>
          </w14:textFill>
        </w:rPr>
        <w:sym w:font="Wingdings 2" w:char="0053"/>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8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内容：</w:t>
      </w:r>
      <w:permStart w:id="89"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89"/>
    </w:p>
    <w:p w14:paraId="79864AB9">
      <w:pPr>
        <w:autoSpaceDE w:val="0"/>
        <w:autoSpaceDN w:val="0"/>
        <w:adjustRightInd w:val="0"/>
        <w:spacing w:line="420" w:lineRule="exact"/>
        <w:ind w:firstLine="390" w:firstLineChars="150"/>
        <w:jc w:val="lef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permStart w:id="90" w:edGrp="everyone"/>
      <w:r>
        <w:rPr>
          <w:rFonts w:hint="eastAsia" w:ascii="仿宋" w:hAnsi="仿宋" w:eastAsia="仿宋" w:cs="仿宋"/>
          <w:b w:val="0"/>
          <w:bCs w:val="0"/>
          <w:color w:val="000000" w:themeColor="text1"/>
          <w:sz w:val="26"/>
          <w:szCs w:val="26"/>
          <w:highlight w:val="none"/>
          <w:lang w:val="en-US" w:eastAsia="zh-CN"/>
          <w14:textFill>
            <w14:solidFill>
              <w14:schemeClr w14:val="tx1"/>
            </w14:solidFill>
          </w14:textFill>
        </w:rPr>
        <w:sym w:font="Wingdings 2" w:char="0053"/>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9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范围：</w:t>
      </w:r>
      <w:permStart w:id="9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91"/>
    </w:p>
    <w:p w14:paraId="71FAF61A">
      <w:pPr>
        <w:autoSpaceDE w:val="0"/>
        <w:autoSpaceDN w:val="0"/>
        <w:adjustRightInd w:val="0"/>
        <w:spacing w:line="420" w:lineRule="exact"/>
        <w:ind w:firstLine="240" w:firstLineChars="100"/>
        <w:jc w:val="left"/>
        <w:outlineLvl w:val="9"/>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1.53  所采用的书面形式包括： </w:t>
      </w:r>
    </w:p>
    <w:p w14:paraId="6B42912E">
      <w:pPr>
        <w:autoSpaceDE w:val="0"/>
        <w:autoSpaceDN w:val="0"/>
        <w:adjustRightInd w:val="0"/>
        <w:spacing w:line="420" w:lineRule="exact"/>
        <w:ind w:firstLine="360" w:firstLineChars="15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文书； </w:t>
      </w:r>
    </w:p>
    <w:p w14:paraId="2BC55E44">
      <w:pPr>
        <w:autoSpaceDE w:val="0"/>
        <w:autoSpaceDN w:val="0"/>
        <w:adjustRightInd w:val="0"/>
        <w:spacing w:line="420" w:lineRule="exact"/>
        <w:ind w:firstLine="360" w:firstLineChars="15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信件； </w:t>
      </w:r>
    </w:p>
    <w:p w14:paraId="245E63A8">
      <w:pPr>
        <w:autoSpaceDE w:val="0"/>
        <w:autoSpaceDN w:val="0"/>
        <w:adjustRightInd w:val="0"/>
        <w:spacing w:line="420" w:lineRule="exact"/>
        <w:ind w:firstLine="360" w:firstLineChars="15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电报； </w:t>
      </w:r>
    </w:p>
    <w:p w14:paraId="6DE29C85">
      <w:pPr>
        <w:autoSpaceDE w:val="0"/>
        <w:autoSpaceDN w:val="0"/>
        <w:adjustRightInd w:val="0"/>
        <w:spacing w:line="420" w:lineRule="exact"/>
        <w:ind w:firstLine="360" w:firstLineChars="15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传真； </w:t>
      </w:r>
    </w:p>
    <w:p w14:paraId="189F60A2">
      <w:pPr>
        <w:autoSpaceDE w:val="0"/>
        <w:autoSpaceDN w:val="0"/>
        <w:adjustRightInd w:val="0"/>
        <w:spacing w:line="420" w:lineRule="exact"/>
        <w:ind w:firstLine="360" w:firstLineChars="15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电子邮件； </w:t>
      </w:r>
    </w:p>
    <w:p w14:paraId="2856F255">
      <w:pPr>
        <w:autoSpaceDE w:val="0"/>
        <w:autoSpaceDN w:val="0"/>
        <w:adjustRightInd w:val="0"/>
        <w:spacing w:line="420" w:lineRule="exact"/>
        <w:ind w:firstLine="360" w:firstLineChars="150"/>
        <w:jc w:val="lef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其他：</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489173E9">
      <w:pPr>
        <w:autoSpaceDE w:val="0"/>
        <w:autoSpaceDN w:val="0"/>
        <w:adjustRightInd w:val="0"/>
        <w:spacing w:line="420" w:lineRule="exact"/>
        <w:ind w:firstLine="240" w:firstLineChars="100"/>
        <w:jc w:val="left"/>
        <w:outlineLvl w:val="9"/>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1.55  工程价款</w:t>
      </w:r>
    </w:p>
    <w:p w14:paraId="4C2D1E94">
      <w:pPr>
        <w:spacing w:line="420" w:lineRule="exact"/>
        <w:ind w:left="105" w:leftChars="50"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指工程进度款计量支付基数，支付预付款时，工程价款为合同总承包施工费（如签订了补充协议调整金额的，按最新调整后的金额）扣除绿色施工安全防护措施费、暂列金额、专业工程暂估价、耗水费后的金额；支付进度款时，工程价款为合同总承包施工费扣除绿色施工安全防护措施费、暂列金额、未经审批的专业工程暂估价、耗水费后的金额。</w:t>
      </w:r>
    </w:p>
    <w:p w14:paraId="700B7290">
      <w:pPr>
        <w:autoSpaceDE w:val="0"/>
        <w:autoSpaceDN w:val="0"/>
        <w:adjustRightInd w:val="0"/>
        <w:spacing w:line="420" w:lineRule="exact"/>
        <w:ind w:firstLine="240" w:firstLineChars="100"/>
        <w:jc w:val="left"/>
        <w:outlineLvl w:val="9"/>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1.56  独立承包人</w:t>
      </w:r>
    </w:p>
    <w:p w14:paraId="2B13AB93">
      <w:pPr>
        <w:autoSpaceDE w:val="0"/>
        <w:autoSpaceDN w:val="0"/>
        <w:adjustRightInd w:val="0"/>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指与发包人直接订立工程承包合同，负责实施与工程有关的其他工作的当事人。</w:t>
      </w:r>
    </w:p>
    <w:p w14:paraId="2359C738">
      <w:pPr>
        <w:autoSpaceDE w:val="0"/>
        <w:autoSpaceDN w:val="0"/>
        <w:adjustRightInd w:val="0"/>
        <w:spacing w:line="420" w:lineRule="exact"/>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2F438F3C">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bookmarkStart w:id="543" w:name="_Toc20401"/>
      <w:bookmarkStart w:id="544" w:name="_Toc25471"/>
      <w:bookmarkStart w:id="545" w:name="_Toc30269"/>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2．合同文件及解释</w:t>
      </w:r>
      <w:bookmarkEnd w:id="543"/>
      <w:bookmarkEnd w:id="544"/>
      <w:bookmarkEnd w:id="545"/>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 xml:space="preserve"> </w:t>
      </w:r>
    </w:p>
    <w:p w14:paraId="6F8C39B7">
      <w:pPr>
        <w:spacing w:line="420" w:lineRule="exact"/>
        <w:ind w:firstLine="240" w:firstLineChars="100"/>
        <w:outlineLvl w:val="9"/>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2.2合同文件组成及优先顺序</w:t>
      </w:r>
    </w:p>
    <w:p w14:paraId="7AA10CD5">
      <w:pPr>
        <w:spacing w:line="420" w:lineRule="exact"/>
        <w:ind w:firstLine="240" w:firstLineChars="1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（10）合同附件</w:t>
      </w:r>
    </w:p>
    <w:p w14:paraId="7C40635B">
      <w:pPr>
        <w:spacing w:line="420" w:lineRule="exact"/>
        <w:ind w:firstLine="240" w:firstLineChars="1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（11）组成合同的其他文件：</w:t>
      </w:r>
    </w:p>
    <w:p w14:paraId="0251F80C">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广州市水务局制定的《工程变更设计管理暂行规定》《工程竣工验收管理办法》《工程竣工档案整理验收管理办法》及《关于调整工程项目结算审查工作的通知》等文件及其最新印发版本；发包人制订的关于工程管理的各项制度、规定。</w:t>
      </w:r>
    </w:p>
    <w:p w14:paraId="06F83E18">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6A2ACCFF">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bookmarkStart w:id="546" w:name="_Toc9167"/>
      <w:bookmarkStart w:id="547" w:name="_Toc14439"/>
      <w:bookmarkStart w:id="548" w:name="_Toc3793"/>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4．语言及适用的法律、标准与规范</w:t>
      </w:r>
      <w:bookmarkEnd w:id="546"/>
      <w:bookmarkEnd w:id="547"/>
      <w:bookmarkEnd w:id="548"/>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 xml:space="preserve"> </w:t>
      </w:r>
    </w:p>
    <w:p w14:paraId="7AE7EEB0">
      <w:pPr>
        <w:spacing w:line="420" w:lineRule="exact"/>
        <w:ind w:firstLine="240" w:firstLineChars="1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4.3 约定适用的标准、规范的名称：</w:t>
      </w:r>
      <w:permStart w:id="9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发包人制定的关于工程管理的各项制度、规定、技术要求等 </w:t>
      </w:r>
      <w:permEnd w:id="92"/>
    </w:p>
    <w:p w14:paraId="48E8D749">
      <w:pPr>
        <w:spacing w:line="420" w:lineRule="exac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2008A280">
      <w:pPr>
        <w:spacing w:line="420" w:lineRule="exact"/>
        <w:outlineLvl w:val="9"/>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549" w:name="_Toc17548"/>
      <w:bookmarkStart w:id="550" w:name="_Toc24120"/>
      <w:bookmarkStart w:id="551" w:name="_Toc3178"/>
      <w:r>
        <w:rPr>
          <w:rFonts w:hint="eastAsia" w:ascii="黑体" w:hAnsi="黑体" w:eastAsia="黑体" w:cs="黑体"/>
          <w:b w:val="0"/>
          <w:bCs w:val="0"/>
          <w:color w:val="000000" w:themeColor="text1"/>
          <w:sz w:val="24"/>
          <w:szCs w:val="24"/>
          <w:highlight w:val="none"/>
          <w14:textFill>
            <w14:solidFill>
              <w14:schemeClr w14:val="tx1"/>
            </w14:solidFill>
          </w14:textFill>
        </w:rPr>
        <w:t>5. 施工设计图纸</w:t>
      </w:r>
      <w:bookmarkEnd w:id="549"/>
      <w:bookmarkEnd w:id="550"/>
      <w:bookmarkEnd w:id="551"/>
    </w:p>
    <w:p w14:paraId="024B8B70">
      <w:pPr>
        <w:spacing w:line="420" w:lineRule="exact"/>
        <w:outlineLvl w:val="9"/>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5.1 发包人提供施工设计图纸</w:t>
      </w:r>
    </w:p>
    <w:p w14:paraId="13A31030">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（1）提供的时间：</w:t>
      </w:r>
      <w:permStart w:id="9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开工前。                                 </w:t>
      </w:r>
      <w:permEnd w:id="93"/>
    </w:p>
    <w:p w14:paraId="47413A8B">
      <w:pPr>
        <w:spacing w:line="420" w:lineRule="exac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（2）提供的数量：</w:t>
      </w:r>
      <w:permStart w:id="9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四套图纸（不含标准图集）。                </w:t>
      </w:r>
      <w:permEnd w:id="94"/>
    </w:p>
    <w:p w14:paraId="2C2C0DDC">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在监理工程师批准第33.1款约定的合同进度计划或者第33.3款约定的合同进度计划修改后7天内，承包人应当根据合同进度计划和本项约定的图纸提供时间和数量，编制或者修改图纸供应计划并报送监理工程师，监理工程师应当在收到图纸供应计划后7天内批复或提出修改意见，否则该图纸供应计划视为得到批准。经监理工程师批准的最新的图纸供应计划对合同双方有合同约束力，作为发包人或者监理工程师向承包人提供图纸的主要依据。发包人或者监理工程师不按照图纸供应计划提供图纸而导致承包人费用增加和（或）工期延误的，由发包人承担赔偿责任。承包人未按照本款约定的时间向监理工程师提交图纸供应计划，致使发包人或者监理工程师未能在合理的时间内提供相应图纸或者承包人未按照图纸供应计划组织施工所造成的费用增加和（或）工期延误由承包人承担。</w:t>
      </w:r>
    </w:p>
    <w:p w14:paraId="289605A0">
      <w:pPr>
        <w:spacing w:line="420" w:lineRule="exact"/>
        <w:outlineLvl w:val="9"/>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5.2 承包人提供施工设计图纸</w:t>
      </w:r>
    </w:p>
    <w:p w14:paraId="70B4A3D1">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（1）提供的文件：</w:t>
      </w:r>
      <w:permStart w:id="9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施工组织设计、专项施工方案（含深基坑支护施工方案）、施工进度计划、材料设备采购计划及发包人要求提供的其他文件等。</w:t>
      </w:r>
      <w:permEnd w:id="95"/>
    </w:p>
    <w:p w14:paraId="4F4CBB72">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（2）提供的时间：</w:t>
      </w:r>
    </w:p>
    <w:p w14:paraId="60538961">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1）</w:t>
      </w:r>
      <w:permStart w:id="9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施工组织计划、施工进度计划应当在取得开工批复前15天送监理工程师和发包人审批；</w:t>
      </w:r>
      <w:permEnd w:id="96"/>
    </w:p>
    <w:p w14:paraId="708EA539">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2）</w:t>
      </w:r>
      <w:permStart w:id="97"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专项施工方案（含深基坑支护施工方案）应当在施工前20天提交监理工程师和发包人审批，且需评审的方案应在施工开工前7天通过评审；</w:t>
      </w:r>
    </w:p>
    <w:permEnd w:id="97"/>
    <w:p w14:paraId="2AD1DEC1">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3）</w:t>
      </w:r>
      <w:permStart w:id="9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材料设备采购计划应当在项目使用前45天送监理工程师和发包人审批。</w:t>
      </w:r>
    </w:p>
    <w:permEnd w:id="98"/>
    <w:p w14:paraId="5A874BA9">
      <w:pPr>
        <w:spacing w:line="420" w:lineRule="exac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（3）提供的数量：</w:t>
      </w:r>
      <w:permStart w:id="9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一式四份。 </w:t>
      </w:r>
      <w:permEnd w:id="99"/>
    </w:p>
    <w:p w14:paraId="312F42F1">
      <w:pPr>
        <w:spacing w:line="420" w:lineRule="exact"/>
        <w:ind w:firstLine="240" w:firstLineChars="1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（4）监理工程师答复的时间：</w:t>
      </w:r>
      <w:permStart w:id="10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在收到承包人提供的文件5日内完成答复。</w:t>
      </w:r>
      <w:permEnd w:id="100"/>
    </w:p>
    <w:p w14:paraId="7037CECE">
      <w:pPr>
        <w:spacing w:line="420" w:lineRule="exact"/>
        <w:ind w:firstLine="240" w:firstLineChars="1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p>
    <w:p w14:paraId="5FED8955">
      <w:pPr>
        <w:spacing w:line="420" w:lineRule="exact"/>
        <w:outlineLvl w:val="9"/>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552" w:name="_Toc1464"/>
      <w:bookmarkStart w:id="553" w:name="_Toc20775"/>
      <w:bookmarkStart w:id="554" w:name="_Toc19280"/>
      <w:r>
        <w:rPr>
          <w:rFonts w:hint="eastAsia" w:ascii="黑体" w:hAnsi="黑体" w:eastAsia="黑体" w:cs="黑体"/>
          <w:b w:val="0"/>
          <w:bCs w:val="0"/>
          <w:color w:val="000000" w:themeColor="text1"/>
          <w:sz w:val="24"/>
          <w:szCs w:val="24"/>
          <w:highlight w:val="none"/>
          <w14:textFill>
            <w14:solidFill>
              <w14:schemeClr w14:val="tx1"/>
            </w14:solidFill>
          </w14:textFill>
        </w:rPr>
        <w:t>6. 通信联络</w:t>
      </w:r>
      <w:bookmarkEnd w:id="552"/>
      <w:bookmarkEnd w:id="553"/>
      <w:bookmarkEnd w:id="554"/>
    </w:p>
    <w:p w14:paraId="5F6A1BF1">
      <w:pPr>
        <w:spacing w:line="420" w:lineRule="exact"/>
        <w:ind w:firstLine="480" w:firstLineChars="200"/>
        <w:outlineLvl w:val="9"/>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6.2各方通讯地址、收件人及其他送达方式</w:t>
      </w:r>
    </w:p>
    <w:p w14:paraId="2D0719C1">
      <w:pPr>
        <w:tabs>
          <w:tab w:val="left" w:pos="720"/>
        </w:tabs>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（1）各方通讯地址和收件人：</w:t>
      </w:r>
    </w:p>
    <w:p w14:paraId="1F47D5BA">
      <w:pPr>
        <w:spacing w:line="420" w:lineRule="exact"/>
        <w:ind w:firstLine="960" w:firstLineChars="4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w:t>
      </w:r>
      <w:permStart w:id="10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01"/>
    </w:p>
    <w:p w14:paraId="2B78738C">
      <w:pPr>
        <w:spacing w:line="420" w:lineRule="exact"/>
        <w:ind w:firstLine="960" w:firstLineChars="4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通讯地址：</w:t>
      </w:r>
      <w:permStart w:id="10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02"/>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收件人：</w:t>
      </w:r>
      <w:permStart w:id="10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03"/>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邮政编码：</w:t>
      </w:r>
      <w:permStart w:id="10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04"/>
    </w:p>
    <w:p w14:paraId="394CA339">
      <w:pPr>
        <w:spacing w:line="420" w:lineRule="exact"/>
        <w:ind w:firstLine="960" w:firstLineChars="4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承包人： </w:t>
      </w:r>
      <w:permStart w:id="10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05"/>
    </w:p>
    <w:p w14:paraId="0B83B3DE">
      <w:pPr>
        <w:spacing w:line="420" w:lineRule="exact"/>
        <w:ind w:firstLine="960" w:firstLineChars="4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通讯地址：</w:t>
      </w:r>
      <w:permStart w:id="10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06"/>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收件人：</w:t>
      </w:r>
      <w:permStart w:id="107"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07"/>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邮政编码：</w:t>
      </w:r>
      <w:permStart w:id="10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ermEnd w:id="108"/>
    <w:p w14:paraId="0C10A9E9">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指定的接收人为合同协议书中载明的承包人代表本人或者其授权代表。承包人应在收到开工通知后7天内，按照第25.3款的约定，将授权代表其接收往来信函的承包人代表的授权代表姓名和授权范围通知监理人。除合同另有约定外，承包人施工场地管理机构的办公地点即为承包人指定的接收地点。）</w:t>
      </w:r>
    </w:p>
    <w:p w14:paraId="5949E20E">
      <w:pPr>
        <w:spacing w:line="420" w:lineRule="exact"/>
        <w:ind w:firstLine="720" w:firstLineChars="3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监理人：</w:t>
      </w:r>
      <w:permStart w:id="10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09"/>
    </w:p>
    <w:p w14:paraId="21DDE6C0">
      <w:pPr>
        <w:spacing w:line="420" w:lineRule="exact"/>
        <w:ind w:firstLine="720" w:firstLineChars="3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通讯地址：</w:t>
      </w:r>
      <w:permStart w:id="11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10"/>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收件人：</w:t>
      </w:r>
      <w:permStart w:id="11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11"/>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邮政编码：</w:t>
      </w:r>
      <w:permStart w:id="11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12"/>
    </w:p>
    <w:p w14:paraId="244A8154">
      <w:pPr>
        <w:spacing w:line="420" w:lineRule="exact"/>
        <w:ind w:firstLine="720" w:firstLineChars="3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工程造价咨询人（如有）：</w:t>
      </w:r>
      <w:permStart w:id="113"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13"/>
    </w:p>
    <w:p w14:paraId="1B0DE427">
      <w:pPr>
        <w:spacing w:line="420" w:lineRule="exact"/>
        <w:ind w:firstLine="720" w:firstLineChars="3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通讯地址：</w:t>
      </w:r>
      <w:permStart w:id="11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14"/>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收件人：</w:t>
      </w:r>
      <w:permStart w:id="11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ermEnd w:id="115"/>
      <w:r>
        <w:rPr>
          <w:rFonts w:hint="eastAsia" w:ascii="仿宋_GB2312" w:hAnsi="仿宋_GB2312" w:eastAsia="仿宋_GB2312" w:cs="仿宋_GB2312"/>
          <w:color w:val="000000" w:themeColor="text1"/>
          <w:sz w:val="24"/>
          <w:szCs w:val="24"/>
          <w:highlight w:val="none"/>
          <w14:textFill>
            <w14:solidFill>
              <w14:schemeClr w14:val="tx1"/>
            </w14:solidFill>
          </w14:textFill>
        </w:rPr>
        <w:t>邮政编码：</w:t>
      </w:r>
      <w:permStart w:id="11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16"/>
    </w:p>
    <w:p w14:paraId="5FDA5DA4">
      <w:pPr>
        <w:tabs>
          <w:tab w:val="left" w:pos="720"/>
        </w:tabs>
        <w:spacing w:line="420" w:lineRule="exact"/>
        <w:ind w:left="210" w:leftChars="100" w:firstLine="240" w:firstLineChars="1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视为送达的其他方式：一方当事人拒绝签收另一方当事人通讯，另一方当事人以特快专递、挂号信、公证方式等将通讯送至通讯地址的，视为送达。由此所造成的直接的和间接的费用增加（包括被迫采用特殊送达方式所发生的费用）和（或）延误的工期由拒绝签收的一方承担。</w:t>
      </w:r>
    </w:p>
    <w:p w14:paraId="39EC1F0D">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（3）通讯的送达期限：合同约定了发出期限的，送达期限为合同约定的发出期限后的24小时内；合同约定了通知、提供或者报送期限的，通知、提供或者报送期限即为送达期限。</w:t>
      </w:r>
    </w:p>
    <w:p w14:paraId="5F1E41D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发包人、承包人、监理人和工程造价咨询人（如有）中任何一方指定的接收人或者接收地点发生变动，应当在实际变动前提前至少1个工作日以书面方式通知另一方。发包人、承包人、监理人和工程造价咨询人（如有）应当确保其各自指定的接收人在法定的和（或）符合合同约定的工作时间内始终工作在指定的接收地点，指定接收人离开工作岗位而无法及时签收来往信函构成拒不签收。</w:t>
      </w:r>
    </w:p>
    <w:p w14:paraId="475A4816">
      <w:pPr>
        <w:widowControl w:val="0"/>
        <w:numPr>
          <w:ilvl w:val="0"/>
          <w:numId w:val="0"/>
        </w:numPr>
        <w:tabs>
          <w:tab w:val="left" w:pos="420"/>
          <w:tab w:val="left" w:pos="576"/>
        </w:tabs>
        <w:spacing w:before="0" w:line="420" w:lineRule="exact"/>
        <w:ind w:left="576" w:hanging="576"/>
        <w:jc w:val="left"/>
        <w:outlineLvl w:val="9"/>
        <w:rPr>
          <w:rFonts w:hint="eastAsia" w:ascii="仿宋_GB2312" w:hAnsi="仿宋_GB2312" w:eastAsia="仿宋_GB2312" w:cs="仿宋_GB2312"/>
          <w:b/>
          <w:bCs/>
          <w:color w:val="000000" w:themeColor="text1"/>
          <w:kern w:val="0"/>
          <w:sz w:val="24"/>
          <w:szCs w:val="24"/>
          <w:highlight w:val="none"/>
          <w:lang w:val="en-US" w:eastAsia="zh-CN" w:bidi="ar-SA"/>
          <w14:textFill>
            <w14:solidFill>
              <w14:schemeClr w14:val="tx1"/>
            </w14:solidFill>
          </w14:textFill>
        </w:rPr>
      </w:pPr>
    </w:p>
    <w:p w14:paraId="27EB6500">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bookmarkStart w:id="555" w:name="_Toc5450"/>
      <w:bookmarkStart w:id="556" w:name="_Toc32379"/>
      <w:bookmarkStart w:id="557" w:name="_Toc10250"/>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7. 工程分包</w:t>
      </w:r>
      <w:bookmarkEnd w:id="555"/>
      <w:bookmarkEnd w:id="556"/>
      <w:bookmarkEnd w:id="557"/>
    </w:p>
    <w:p w14:paraId="62ADC426">
      <w:pPr>
        <w:spacing w:line="420" w:lineRule="exact"/>
        <w:ind w:left="12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7.2 指定分包工程名称：</w:t>
      </w:r>
      <w:permStart w:id="117"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17"/>
    </w:p>
    <w:p w14:paraId="0974B5CC">
      <w:pPr>
        <w:spacing w:line="420" w:lineRule="exact"/>
        <w:ind w:firstLine="240" w:firstLineChars="1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7.4 分包工程款的支付方式：</w:t>
      </w:r>
      <w:permStart w:id="11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18"/>
    </w:p>
    <w:p w14:paraId="34D1EA70">
      <w:pPr>
        <w:tabs>
          <w:tab w:val="left" w:pos="720"/>
        </w:tabs>
        <w:spacing w:line="420" w:lineRule="exact"/>
        <w:ind w:left="220" w:leftChars="105"/>
        <w:outlineLvl w:val="9"/>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7.7关于工程分包的其他要求：</w:t>
      </w:r>
    </w:p>
    <w:p w14:paraId="751B4BAC">
      <w:pPr>
        <w:tabs>
          <w:tab w:val="left" w:pos="720"/>
        </w:tabs>
        <w:spacing w:line="420" w:lineRule="exact"/>
        <w:rPr>
          <w:rFonts w:hint="eastAsia" w:ascii="仿宋_GB2312" w:hAnsi="仿宋_GB2312" w:eastAsia="仿宋_GB2312" w:cs="仿宋_GB2312"/>
          <w:bCs/>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bCs/>
          <w:color w:val="000000" w:themeColor="text1"/>
          <w:sz w:val="24"/>
          <w:szCs w:val="24"/>
          <w:highlight w:val="none"/>
          <w14:textFill>
            <w14:solidFill>
              <w14:schemeClr w14:val="tx1"/>
            </w14:solidFill>
          </w14:textFill>
        </w:rPr>
        <w:t>（1）承包人分包出去的工程，应当分包给可靠的符合工程技术资质的施工单位，分包人的资格能力应与其分包工程的标准和规模相适应，并将分包人的技术力量、装备以及社会信誉等情况报送给发包人备案，</w:t>
      </w:r>
      <w:r>
        <w:rPr>
          <w:rFonts w:hint="eastAsia" w:ascii="仿宋_GB2312" w:hAnsi="仿宋_GB2312" w:eastAsia="仿宋_GB2312" w:cs="仿宋_GB2312"/>
          <w:color w:val="000000" w:themeColor="text1"/>
          <w:sz w:val="24"/>
          <w:szCs w:val="24"/>
          <w:highlight w:val="none"/>
          <w14:textFill>
            <w14:solidFill>
              <w14:schemeClr w14:val="tx1"/>
            </w14:solidFill>
          </w14:textFill>
        </w:rPr>
        <w:t>在相关分包合同签订后7天内，向监理人和发包人提交一份分包合同副本</w:t>
      </w:r>
      <w:r>
        <w:rPr>
          <w:rFonts w:hint="eastAsia" w:ascii="仿宋_GB2312" w:hAnsi="仿宋_GB2312" w:eastAsia="仿宋_GB2312" w:cs="仿宋_GB2312"/>
          <w:bCs/>
          <w:color w:val="000000" w:themeColor="text1"/>
          <w:sz w:val="24"/>
          <w:szCs w:val="24"/>
          <w:highlight w:val="none"/>
          <w14:textFill>
            <w14:solidFill>
              <w14:schemeClr w14:val="tx1"/>
            </w14:solidFill>
          </w14:textFill>
        </w:rPr>
        <w:t>。发包人不同意的分包人，承包人不能选用。未报经发包人同意的分包人，一律不能进场。</w:t>
      </w:r>
    </w:p>
    <w:p w14:paraId="5250395A">
      <w:pPr>
        <w:tabs>
          <w:tab w:val="left" w:pos="720"/>
        </w:tabs>
        <w:spacing w:line="420" w:lineRule="exact"/>
        <w:ind w:firstLine="480" w:firstLineChars="200"/>
        <w:rPr>
          <w:rFonts w:hint="eastAsia" w:ascii="仿宋_GB2312" w:hAnsi="仿宋_GB2312" w:eastAsia="仿宋_GB2312" w:cs="仿宋_GB2312"/>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szCs w:val="24"/>
          <w:highlight w:val="none"/>
          <w14:textFill>
            <w14:solidFill>
              <w14:schemeClr w14:val="tx1"/>
            </w14:solidFill>
          </w14:textFill>
        </w:rPr>
        <w:t>其中，涉及水务高处作业的工程项目，根据《广州市水务局关于印发水务高处作业专项治理行动方案的通知》文件要求，分包单位必须具备《安全生产许可证》及高处作业专业承包资质，并提供近3年无无高处坠落事故的安全生产证明。对分包单位管理人员、作业人员进行实名制登记，纳入承包单位安全考核体系。</w:t>
      </w:r>
      <w:r>
        <w:rPr>
          <w:rFonts w:hint="eastAsia" w:ascii="仿宋_GB2312" w:hAnsi="仿宋_GB2312" w:eastAsia="仿宋_GB2312" w:cs="仿宋_GB2312"/>
          <w:bCs/>
          <w:color w:val="000000" w:themeColor="text1"/>
          <w:sz w:val="24"/>
          <w:szCs w:val="24"/>
          <w:highlight w:val="none"/>
          <w:lang w:val="en-US" w:eastAsia="zh-CN"/>
          <w14:textFill>
            <w14:solidFill>
              <w14:schemeClr w14:val="tx1"/>
            </w14:solidFill>
          </w14:textFill>
        </w:rPr>
        <w:t xml:space="preserve">   </w:t>
      </w:r>
    </w:p>
    <w:p w14:paraId="166B330A">
      <w:pPr>
        <w:tabs>
          <w:tab w:val="left" w:pos="720"/>
        </w:tabs>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w:t>
      </w:r>
      <w:r>
        <w:rPr>
          <w:rFonts w:hint="eastAsia" w:ascii="仿宋_GB2312" w:hAnsi="仿宋_GB2312" w:eastAsia="仿宋_GB2312" w:cs="仿宋_GB2312"/>
          <w:bCs/>
          <w:color w:val="000000" w:themeColor="text1"/>
          <w:sz w:val="24"/>
          <w:szCs w:val="24"/>
          <w:highlight w:val="none"/>
          <w14:textFill>
            <w14:solidFill>
              <w14:schemeClr w14:val="tx1"/>
            </w14:solidFill>
          </w14:textFill>
        </w:rPr>
        <w:t>分包工程</w:t>
      </w:r>
      <w:r>
        <w:rPr>
          <w:rFonts w:hint="eastAsia" w:ascii="仿宋_GB2312" w:hAnsi="仿宋_GB2312" w:eastAsia="仿宋_GB2312" w:cs="仿宋_GB2312"/>
          <w:color w:val="000000" w:themeColor="text1"/>
          <w:sz w:val="24"/>
          <w:szCs w:val="24"/>
          <w:highlight w:val="none"/>
          <w14:textFill>
            <w14:solidFill>
              <w14:schemeClr w14:val="tx1"/>
            </w14:solidFill>
          </w14:textFill>
        </w:rPr>
        <w:t>价款由承包人与分包人（包括专业分包人）结算。</w:t>
      </w:r>
      <w:r>
        <w:rPr>
          <w:rFonts w:hint="eastAsia" w:ascii="仿宋_GB2312" w:hAnsi="仿宋_GB2312" w:eastAsia="仿宋_GB2312" w:cs="仿宋_GB2312"/>
          <w:bCs/>
          <w:color w:val="000000" w:themeColor="text1"/>
          <w:sz w:val="24"/>
          <w:szCs w:val="24"/>
          <w:highlight w:val="none"/>
          <w14:textFill>
            <w14:solidFill>
              <w14:schemeClr w14:val="tx1"/>
            </w14:solidFill>
          </w14:textFill>
        </w:rPr>
        <w:t>承包人与分包人签订的施工合同不能约定分包人直接向发包人申请支付工程款（进度款）。</w:t>
      </w: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承包人不得授权分包人或与分包人签订的合同中约定可以直接向发包人递交竣工结算报告等结算资料及进行工程竣工结算。承包人应保证不得以任何形式与分包人约定分包人就工程款（进度款）支付及工程结算问题直接向发包人主张民事权利。如承包人与分包人就工程价款支付和工程结算发生争议，由承包人与分包人自行解决。一旦发生诉讼，分包人直接起诉承包人、发包人的，承包人保证承担全部赔偿责任，发包人也有权直接抵扣支付给承包人的工程款（进度款）、解除承包合同，赔偿损失。如发包人代为承包人支付工程款的，发包人有权向承包人追偿。</w:t>
      </w:r>
    </w:p>
    <w:p w14:paraId="21826E00">
      <w:pPr>
        <w:tabs>
          <w:tab w:val="left" w:pos="720"/>
        </w:tabs>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（3）承包人应督促其工程分包单位及时做好竣工资料整理工作，并于分包工程竣工验收后25天内将全部档案资料移交给承包人，由承包人汇总、归档，与承包人移交的竣工文件一起提交审查和移交。</w:t>
      </w:r>
    </w:p>
    <w:p w14:paraId="3987C2C3">
      <w:pPr>
        <w:tabs>
          <w:tab w:val="left" w:pos="720"/>
        </w:tabs>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承包人取得批准分包并不解除承包人在合同约定的任何责任和义务，承包人应在分包场地派驻相应管理人员，保证本合同的履行。其分包工程费用、分包管理费用、利润以及税费，均由承包人在投标报价中充分考虑，不得以任何理由向发包人追加费用。</w:t>
      </w:r>
    </w:p>
    <w:p w14:paraId="605A3843">
      <w:pPr>
        <w:tabs>
          <w:tab w:val="left" w:pos="720"/>
        </w:tabs>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（5）未经发包人和监理工程师审批同意的分包工程和分包人，发包人有权拒绝验收分包工程和支付相应款项，由此引起的发包人费用增加和（或）延误的工期由承包人承担。</w:t>
      </w:r>
    </w:p>
    <w:p w14:paraId="5C4D3C40">
      <w:pPr>
        <w:widowControl w:val="0"/>
        <w:numPr>
          <w:ilvl w:val="0"/>
          <w:numId w:val="0"/>
        </w:numPr>
        <w:tabs>
          <w:tab w:val="left" w:pos="420"/>
          <w:tab w:val="left" w:pos="576"/>
        </w:tabs>
        <w:spacing w:before="0" w:line="420" w:lineRule="exact"/>
        <w:ind w:left="576" w:hanging="576"/>
        <w:jc w:val="left"/>
        <w:outlineLvl w:val="9"/>
        <w:rPr>
          <w:rFonts w:hint="eastAsia" w:ascii="仿宋_GB2312" w:hAnsi="仿宋_GB2312" w:eastAsia="仿宋_GB2312" w:cs="仿宋_GB2312"/>
          <w:b/>
          <w:bCs/>
          <w:color w:val="000000" w:themeColor="text1"/>
          <w:kern w:val="0"/>
          <w:sz w:val="24"/>
          <w:szCs w:val="24"/>
          <w:highlight w:val="none"/>
          <w:lang w:val="en-US" w:eastAsia="zh-CN" w:bidi="ar-SA"/>
          <w14:textFill>
            <w14:solidFill>
              <w14:schemeClr w14:val="tx1"/>
            </w14:solidFill>
          </w14:textFill>
        </w:rPr>
      </w:pPr>
    </w:p>
    <w:p w14:paraId="21B7482F">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bookmarkStart w:id="558" w:name="_Toc10171"/>
      <w:bookmarkStart w:id="559" w:name="_Toc10438"/>
      <w:bookmarkStart w:id="560" w:name="_Toc29518"/>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13. 交通运输</w:t>
      </w:r>
      <w:bookmarkEnd w:id="558"/>
      <w:bookmarkEnd w:id="559"/>
      <w:bookmarkEnd w:id="560"/>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 xml:space="preserve"> </w:t>
      </w:r>
    </w:p>
    <w:p w14:paraId="53262F1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13.1 取得道路通行权、场外设施修建权的办理人：</w:t>
      </w:r>
      <w:permStart w:id="11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承包人</w:t>
      </w:r>
      <w:permEnd w:id="119"/>
      <w:r>
        <w:rPr>
          <w:rFonts w:hint="eastAsia" w:ascii="仿宋_GB2312" w:hAnsi="仿宋_GB2312" w:eastAsia="仿宋_GB2312" w:cs="仿宋_GB2312"/>
          <w:color w:val="000000" w:themeColor="text1"/>
          <w:sz w:val="24"/>
          <w:szCs w:val="24"/>
          <w:highlight w:val="none"/>
          <w14:textFill>
            <w14:solidFill>
              <w14:schemeClr w14:val="tx1"/>
            </w14:solidFill>
          </w14:textFill>
        </w:rPr>
        <w:t>，费用已包含在合同价款中。承包人应当负责办理取得出入施工场地的专用和临时道路（含水路）的通行权，以及取得为实施合同工程所需修建场外设施的权利，办理相关手续，并承担有关费用（包括运输超大件或超重件所需的道路和桥梁临时加固改造费用、养路费等一切费用和税费），上述所有费用已包含在合同价款中，不另行计量支付。</w:t>
      </w:r>
    </w:p>
    <w:p w14:paraId="4A73EAE9">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承包人应在订立合同前查勘施工现场，并根据工程规模及技术参数合理预见工程施工所需的进出施工现场的方式、手段、路径等。因承包人未合理预见所增加的费用和（或）延误的工期由承包人承担。</w:t>
      </w:r>
    </w:p>
    <w:p w14:paraId="16D6D235">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13.2办理道路通行权和修建场外设施的费用：</w:t>
      </w:r>
      <w:permStart w:id="12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发包人委托承包人办理本合同签订时尚未完成的出入施工场地的专用和临时道路的通行权，以及为实施合同工程所需修建场外设施的权利的手续，发包人予以协助。此外承包人应承包人应负责由于自身施工原因，造成施工场地交通设施的污损、损坏，应自行清洁、修复并承担相应费用。除政府部门规定须由发包人支付的费用由发包人据实支付外，其它费用已包含在承包人的中标合同价其中合价包干价的措施项目费中。  </w:t>
      </w:r>
      <w:permEnd w:id="120"/>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367DB9B1">
      <w:pPr>
        <w:spacing w:line="420" w:lineRule="exac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13.4 运输超大件和超重件的费用：</w:t>
      </w:r>
      <w:permStart w:id="12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由承包人承担。</w:t>
      </w:r>
      <w:permEnd w:id="121"/>
    </w:p>
    <w:p w14:paraId="5F813433">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13.7 承包人退场前，对由于承包人自身原因引起的道路、桥梁、水闸、码头、堤围设施的损坏应当自费恢复原状。</w:t>
      </w:r>
    </w:p>
    <w:p w14:paraId="11A5F4B4">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13.8 承包人还应自费提供其所需要的工地以外的供工程使用的任何附加设施。承包人只能在发包人提供的施工场地范围内进行布置、安排和组织施工。承包人如需占用发包人提供的施工场地范围以外的场地，须自行办理有关手续及支付相关费用。</w:t>
      </w:r>
    </w:p>
    <w:p w14:paraId="3C885184">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13.9 在合同工程施工期间，根据政府有关环境保护的规定，承包人应采取所有合理的措施来保护现场内外的环境，并避免由于其操作方法所造成的污染、噪声或其它问题而对附近的人员、环境或公私财产造成的干扰、损失或损害。承包人已在合同价款中考虑有关费用，并保证发包人免于受到或承担应由承包人负责的上述事项所引起的或与之有关的索赔、诉讼、以及其它开支，如因承包人的行为对发包人造成损失的，发包人有权向承包人追偿。</w:t>
      </w:r>
    </w:p>
    <w:p w14:paraId="4B02F4E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83B14CC">
      <w:pPr>
        <w:spacing w:line="420" w:lineRule="exact"/>
        <w:outlineLvl w:val="9"/>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561" w:name="_Toc29385"/>
      <w:bookmarkStart w:id="562" w:name="_Toc4107"/>
      <w:bookmarkStart w:id="563" w:name="_Toc25579"/>
      <w:r>
        <w:rPr>
          <w:rFonts w:hint="eastAsia" w:ascii="黑体" w:hAnsi="黑体" w:eastAsia="黑体" w:cs="黑体"/>
          <w:b w:val="0"/>
          <w:bCs w:val="0"/>
          <w:color w:val="000000" w:themeColor="text1"/>
          <w:sz w:val="24"/>
          <w:szCs w:val="24"/>
          <w:highlight w:val="none"/>
          <w14:textFill>
            <w14:solidFill>
              <w14:schemeClr w14:val="tx1"/>
            </w14:solidFill>
          </w14:textFill>
        </w:rPr>
        <w:t>14. 专项批准事件的签认</w:t>
      </w:r>
      <w:bookmarkEnd w:id="561"/>
      <w:bookmarkEnd w:id="562"/>
      <w:bookmarkEnd w:id="563"/>
    </w:p>
    <w:p w14:paraId="518AD1EA">
      <w:pPr>
        <w:spacing w:line="420" w:lineRule="exact"/>
        <w:ind w:firstLine="480" w:firstLineChars="200"/>
        <w:outlineLvl w:val="9"/>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14.2 专项批准事件的签认人选</w:t>
      </w:r>
    </w:p>
    <w:p w14:paraId="612E38B0">
      <w:pPr>
        <w:tabs>
          <w:tab w:val="left" w:pos="960"/>
        </w:tabs>
        <w:spacing w:line="420" w:lineRule="exact"/>
        <w:ind w:firstLine="480" w:firstLineChars="200"/>
        <w:outlineLvl w:val="9"/>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（1）监理工程师：</w:t>
      </w:r>
    </w:p>
    <w:p w14:paraId="19010667">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姓名：</w:t>
      </w:r>
      <w:permStart w:id="12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22"/>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印章样式：                签字样式：</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6003C1D">
      <w:pPr>
        <w:tabs>
          <w:tab w:val="left" w:pos="960"/>
        </w:tabs>
        <w:spacing w:line="420" w:lineRule="exact"/>
        <w:ind w:firstLine="480" w:firstLineChars="200"/>
        <w:outlineLvl w:val="9"/>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（2）造价工程师：</w:t>
      </w:r>
    </w:p>
    <w:p w14:paraId="47DBE783">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姓名：</w:t>
      </w:r>
      <w:permStart w:id="12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ermEnd w:id="123"/>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印章样式：                签字样式：</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0FC93745">
      <w:pPr>
        <w:tabs>
          <w:tab w:val="left" w:pos="960"/>
        </w:tabs>
        <w:spacing w:line="420" w:lineRule="exact"/>
        <w:ind w:firstLine="480" w:firstLineChars="200"/>
        <w:outlineLvl w:val="9"/>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（3）建造师：</w:t>
      </w:r>
    </w:p>
    <w:p w14:paraId="12076618">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姓名：</w:t>
      </w:r>
      <w:permStart w:id="12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24"/>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印章样式：                签字样式：</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46C6CA98">
      <w:pPr>
        <w:spacing w:line="420" w:lineRule="exac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p>
    <w:p w14:paraId="7D5B5D42">
      <w:pPr>
        <w:spacing w:line="420" w:lineRule="exact"/>
        <w:outlineLvl w:val="9"/>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564" w:name="_Toc5543"/>
      <w:bookmarkStart w:id="565" w:name="_Toc28080"/>
      <w:bookmarkStart w:id="566" w:name="_Toc23840"/>
      <w:r>
        <w:rPr>
          <w:rFonts w:hint="eastAsia" w:ascii="黑体" w:hAnsi="黑体" w:eastAsia="黑体" w:cs="黑体"/>
          <w:b w:val="0"/>
          <w:bCs w:val="0"/>
          <w:color w:val="000000" w:themeColor="text1"/>
          <w:sz w:val="24"/>
          <w:szCs w:val="24"/>
          <w:highlight w:val="none"/>
          <w14:textFill>
            <w14:solidFill>
              <w14:schemeClr w14:val="tx1"/>
            </w14:solidFill>
          </w14:textFill>
        </w:rPr>
        <w:t>19. 发包人</w:t>
      </w:r>
      <w:bookmarkEnd w:id="564"/>
      <w:bookmarkEnd w:id="565"/>
      <w:bookmarkEnd w:id="566"/>
    </w:p>
    <w:p w14:paraId="14096961">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19.2发包人完成下列工作的约定</w:t>
      </w:r>
    </w:p>
    <w:p w14:paraId="2B6F887A">
      <w:pPr>
        <w:tabs>
          <w:tab w:val="left" w:pos="840"/>
          <w:tab w:val="left" w:pos="1560"/>
          <w:tab w:val="left" w:pos="1620"/>
        </w:tabs>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（1）办理土地征用、拆迁、平整施工场地等工作的时间：</w:t>
      </w:r>
      <w:permStart w:id="12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w:t>
      </w:r>
      <w:permEnd w:id="125"/>
    </w:p>
    <w:p w14:paraId="7FEF2489">
      <w:pPr>
        <w:tabs>
          <w:tab w:val="left" w:pos="840"/>
          <w:tab w:val="left" w:pos="1440"/>
          <w:tab w:val="left" w:pos="1620"/>
        </w:tabs>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（2）完成施工所需水、电、通讯线路接驳的时间及地点：</w:t>
      </w:r>
      <w:permStart w:id="12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w:t>
      </w:r>
      <w:permEnd w:id="126"/>
    </w:p>
    <w:p w14:paraId="2CCF6637">
      <w:pPr>
        <w:tabs>
          <w:tab w:val="left" w:pos="840"/>
          <w:tab w:val="left" w:pos="1560"/>
        </w:tabs>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（3）开通施工现场与城乡公共道路间的通道的时间：</w:t>
      </w:r>
      <w:permStart w:id="127"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w:t>
      </w:r>
      <w:permEnd w:id="127"/>
    </w:p>
    <w:p w14:paraId="5D0810FE">
      <w:pPr>
        <w:tabs>
          <w:tab w:val="left" w:pos="840"/>
          <w:tab w:val="left" w:pos="1560"/>
        </w:tabs>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（4）提供施工所需的有关资料的时间：</w:t>
      </w:r>
      <w:permStart w:id="12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开工前7天内。</w:t>
      </w:r>
      <w:permEnd w:id="128"/>
    </w:p>
    <w:p w14:paraId="21054200">
      <w:pPr>
        <w:tabs>
          <w:tab w:val="left" w:pos="840"/>
          <w:tab w:val="left" w:pos="1560"/>
        </w:tabs>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（5）办理施工所需的有关证件和批准手续的时间：</w:t>
      </w:r>
      <w:permStart w:id="12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 </w:t>
      </w:r>
      <w:permEnd w:id="129"/>
    </w:p>
    <w:p w14:paraId="17D869AF">
      <w:pPr>
        <w:tabs>
          <w:tab w:val="left" w:pos="840"/>
          <w:tab w:val="left" w:pos="1560"/>
        </w:tabs>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（6）现场交验的时间：</w:t>
      </w:r>
      <w:permStart w:id="13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w:t>
      </w:r>
      <w:permEnd w:id="130"/>
    </w:p>
    <w:p w14:paraId="265253C4">
      <w:pPr>
        <w:tabs>
          <w:tab w:val="left" w:pos="840"/>
          <w:tab w:val="left" w:pos="1560"/>
        </w:tabs>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（7）提供标准与规范的时间：</w:t>
      </w:r>
      <w:permStart w:id="13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w:t>
      </w:r>
      <w:permEnd w:id="131"/>
    </w:p>
    <w:p w14:paraId="00F9867A">
      <w:pPr>
        <w:tabs>
          <w:tab w:val="left" w:pos="840"/>
          <w:tab w:val="left" w:pos="1560"/>
        </w:tabs>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（8）组织图纸会审和设计交底的时间：</w:t>
      </w:r>
      <w:permStart w:id="13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发包人应当在第34.2款约定的开工日期前7天组织设计人向承包人进行合同工程总体设计交底（包括图纸会审）。发包人还应按照合同进度计划中载明的阶段性设计交底时间组织和安排阶段工程设计交底（包括图纸会审）。承包人可以书面方式通过监理工程师向发包人申请增加紧急的设计交底，发包人在认为确有必要且条件许可时，应当尽快组织这类设计交底。</w:t>
      </w:r>
    </w:p>
    <w:permEnd w:id="132"/>
    <w:p w14:paraId="0F415064">
      <w:pPr>
        <w:tabs>
          <w:tab w:val="left" w:pos="840"/>
          <w:tab w:val="left" w:pos="1560"/>
        </w:tabs>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（9）协调处理施工周围场地系问题和邻近建筑物等保护工作的约定：</w:t>
      </w:r>
      <w:permStart w:id="13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bCs/>
          <w:color w:val="000000" w:themeColor="text1"/>
          <w:sz w:val="24"/>
          <w:szCs w:val="24"/>
          <w:highlight w:val="none"/>
          <w:u w:val="single"/>
          <w14:textFill>
            <w14:solidFill>
              <w14:schemeClr w14:val="tx1"/>
            </w14:solidFill>
          </w14:textFill>
        </w:rPr>
        <w:t>发包人协助承包人做好上述保护工作的协调处理，除文物保护外，其它保护工作费用已包含在合同价款中。</w:t>
      </w:r>
    </w:p>
    <w:permEnd w:id="133"/>
    <w:p w14:paraId="12571B71">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（10）根据建设行政主管部门和（或）城市建设档案管理机构的规定，配合承包人收集、整理、立卷、归档工程资料，并按规定时间向建设行政主管部门或者城市建设档案管理机构移交规定的工程档案。</w:t>
      </w:r>
    </w:p>
    <w:p w14:paraId="6550EC50">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（11）应通知监理工程师派员到现场监督施工放线。</w:t>
      </w:r>
    </w:p>
    <w:p w14:paraId="1534F54D">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（12）委托承包人办理的工作有：</w:t>
      </w:r>
      <w:permStart w:id="13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34"/>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178D67E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19.3 提供施工场地的时间：施工场地应当在监理工程师发出的开工通知中载明的开工日期前</w:t>
      </w:r>
      <w:permStart w:id="13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35"/>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天基本具备施工条件，发包人最迟应当在合同约定的开工日期向承包人移交部分施工场地，并根据工程的进展情况，视情况分期移交剩余施工场地给承包人，以便承包人能按进度计划进行施工，承包人应据此调整施工进度计划。因推迟移交场地并经双方共同认定耽误施工时间的，应根据实际情况相应推迟完工日期；双方无法达成一致意见的，由发包人上级主管部门裁定。采用多个施工点施工的方式，应确保工期目标的实现，由于发包人分期提供场地而可能发生的延期费用，已包含在承包人的投标报价中，承包人不得以此为由向发包人索取停工费、误工费或多次进退场费等。如确因客观原因或不可抗力等非承包人原因导致的工期延期或费用增加，由双方另行协商。</w:t>
      </w:r>
    </w:p>
    <w:p w14:paraId="3669D93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19.4 支付款项</w:t>
      </w:r>
    </w:p>
    <w:p w14:paraId="7AC5C4C8">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 工程款支付期限</w:t>
      </w:r>
    </w:p>
    <w:p w14:paraId="311B0648">
      <w:pPr>
        <w:spacing w:line="420" w:lineRule="exact"/>
        <w:ind w:firstLine="720" w:firstLineChars="3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按专用条款第80.3款、第81.3款、第83.3款等规定期限支付。</w:t>
      </w:r>
    </w:p>
    <w:p w14:paraId="46786B62">
      <w:pPr>
        <w:spacing w:line="420" w:lineRule="exact"/>
        <w:ind w:firstLine="720" w:firstLineChars="3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p>
    <w:p w14:paraId="0C8C03F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 工程款支付方式</w:t>
      </w:r>
    </w:p>
    <w:p w14:paraId="0614888F">
      <w:pPr>
        <w:spacing w:line="420" w:lineRule="exact"/>
        <w:ind w:firstLine="720" w:firstLineChars="3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按协议书所注明的银行账户转账。</w:t>
      </w:r>
    </w:p>
    <w:p w14:paraId="3AA3F4A9">
      <w:pPr>
        <w:spacing w:line="420" w:lineRule="exact"/>
        <w:ind w:firstLine="720" w:firstLineChars="3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支票支付。</w:t>
      </w:r>
    </w:p>
    <w:p w14:paraId="4DE0C3BF">
      <w:pPr>
        <w:spacing w:line="420" w:lineRule="exact"/>
        <w:ind w:firstLine="720" w:firstLineChars="3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其他方式：</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p>
    <w:p w14:paraId="3DBB585D">
      <w:pPr>
        <w:spacing w:line="420" w:lineRule="exac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p>
    <w:p w14:paraId="45AA7A15">
      <w:pPr>
        <w:spacing w:line="420" w:lineRule="exact"/>
        <w:outlineLvl w:val="9"/>
        <w:rPr>
          <w:rFonts w:hint="eastAsia" w:ascii="黑体" w:hAnsi="黑体" w:eastAsia="黑体" w:cs="黑体"/>
          <w:b w:val="0"/>
          <w:bCs w:val="0"/>
          <w:color w:val="000000" w:themeColor="text1"/>
          <w:sz w:val="24"/>
          <w:szCs w:val="24"/>
          <w:highlight w:val="none"/>
          <w14:textFill>
            <w14:solidFill>
              <w14:schemeClr w14:val="tx1"/>
            </w14:solidFill>
          </w14:textFill>
        </w:rPr>
      </w:pPr>
      <w:bookmarkStart w:id="567" w:name="_Toc18699"/>
      <w:bookmarkStart w:id="568" w:name="_Toc2435"/>
      <w:bookmarkStart w:id="569" w:name="_Toc32564"/>
      <w:r>
        <w:rPr>
          <w:rFonts w:hint="eastAsia" w:ascii="黑体" w:hAnsi="黑体" w:eastAsia="黑体" w:cs="黑体"/>
          <w:b w:val="0"/>
          <w:bCs w:val="0"/>
          <w:color w:val="000000" w:themeColor="text1"/>
          <w:sz w:val="24"/>
          <w:szCs w:val="24"/>
          <w:highlight w:val="none"/>
          <w14:textFill>
            <w14:solidFill>
              <w14:schemeClr w14:val="tx1"/>
            </w14:solidFill>
          </w14:textFill>
        </w:rPr>
        <w:t>20. 承包人</w:t>
      </w:r>
      <w:bookmarkEnd w:id="567"/>
      <w:bookmarkEnd w:id="568"/>
      <w:bookmarkEnd w:id="569"/>
    </w:p>
    <w:p w14:paraId="2EC097CC">
      <w:pPr>
        <w:spacing w:line="420" w:lineRule="exact"/>
        <w:ind w:firstLine="480" w:firstLineChars="200"/>
        <w:outlineLvl w:val="9"/>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20.1 遵守法律</w:t>
      </w:r>
    </w:p>
    <w:p w14:paraId="11199868">
      <w:pPr>
        <w:spacing w:line="420" w:lineRule="exact"/>
        <w:ind w:firstLine="480" w:firstLineChars="200"/>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在本项目发包人的工程项目中存在通用条款20.1所列行为的，发包人按诚信评价标准对其作出评价，且该评价结果由发包人直接录入广州市水务工程企业信息库及诚信管理系统，并报市水务局按照广州市水务工程施工和监理企业诚信评价管理办法执行。</w:t>
      </w:r>
    </w:p>
    <w:p w14:paraId="7758D215">
      <w:pPr>
        <w:spacing w:line="420" w:lineRule="exact"/>
        <w:ind w:firstLine="480" w:firstLineChars="200"/>
        <w:outlineLvl w:val="9"/>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20.2 承包人完成下列工作的约定</w:t>
      </w:r>
    </w:p>
    <w:p w14:paraId="1A8F31B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 提交支付申请和工程款额报告期限</w:t>
      </w:r>
    </w:p>
    <w:p w14:paraId="3FBAFD8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按专用条款第80.2款、第81.1款、第83.1款等规定期限提交。</w:t>
      </w:r>
    </w:p>
    <w:p w14:paraId="0A44F1EA">
      <w:pPr>
        <w:spacing w:line="420" w:lineRule="exac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p>
    <w:p w14:paraId="74F7DF87">
      <w:pPr>
        <w:spacing w:line="420" w:lineRule="exact"/>
        <w:ind w:left="31" w:leftChars="15"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承包人应根据监理工程师或当地政府及发包人要求，在需要的时间和地点，提供和维持包括但不限于所有的照明灯光、护板、围墙、栅栏、警告信号标志和值班人员，对工程进行保护和为公众提供安全和方便。</w:t>
      </w:r>
    </w:p>
    <w:p w14:paraId="48DBFEB1">
      <w:pPr>
        <w:spacing w:line="420" w:lineRule="exact"/>
        <w:ind w:left="61" w:leftChars="29"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（5）向发包人提供施工场地办公和生活的房屋及设施的数量和时间等要求：</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Start w:id="13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按招标文件要求，其费用含在合同价款中。</w:t>
      </w:r>
      <w:permEnd w:id="136"/>
    </w:p>
    <w:p w14:paraId="7594B937">
      <w:pPr>
        <w:widowControl w:val="0"/>
        <w:spacing w:after="120" w:line="420" w:lineRule="exact"/>
        <w:ind w:firstLine="480" w:firstLineChars="200"/>
        <w:jc w:val="both"/>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（6）办完施工场地交通、环境保护、施工噪声、</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绿色施工安全防护</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等手续的时间：</w:t>
      </w:r>
      <w:permStart w:id="137"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严格遵守国家、省、市有关规定，负责办理施工有关手续(包括有关施工场地交通、环境保护、施工噪音、安全防护、文明施工、消防、爆破管理等)，并在开工后1个月内以书面形式报备发包人。承包人应建立相应的规章制度和防护措施，并承担造成事故的责任和发生的费用，保证发包人免受因此造成的损失。如因此给发包人造成损失的，承包人按发包人的实际增加的合理费用给予赔偿；造成竣工日期延误，由承包人承担逾期违约责任。 </w:t>
      </w:r>
      <w:permEnd w:id="137"/>
    </w:p>
    <w:p w14:paraId="4B8062C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（8）做好施工场地地下管线和邻近建筑物、构筑物（包括文物保护建筑）、古树名木保护工作的约定：</w:t>
      </w:r>
    </w:p>
    <w:p w14:paraId="1754454E">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permStart w:id="13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承包人应当贯彻落实中共中央办公厅、国务院办公厅《关于推动城乡建设绿色发展的意见》《关于在城乡建设中加强历史文化保护传承的意见》和《国务院办公厅关于科学绿化的指导意见》《住房和城乡建设部关于在实施城市更新行动中防止大拆大建问题的通知》等文件精神，注重绿化保护、文物保护，施工组织及专项保护方案需征得居民同意并报监理工程师及发包人审核，严格控制大规模拆除大规模增建、大规模搬迁，坚决防止破坏性建设行为。本项目涉及文物保护单位保护范围的，承包人应在专项方案编制完成后报当地文物行政主管部门，取得本项目文物保护单位或文物行政主管部门批复；施工现场挖掘的文物、具有考古价值的物品需妥善保管并立即报告当地文物行政部门。</w:t>
      </w:r>
    </w:p>
    <w:permEnd w:id="138"/>
    <w:p w14:paraId="60FC3BA9">
      <w:pPr>
        <w:spacing w:line="420" w:lineRule="exact"/>
        <w:ind w:left="101" w:leftChars="48"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（9）保证施工场地的清洁和做好交工前施工现场清理工作的约定：</w:t>
      </w:r>
      <w:permStart w:id="139"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由承包人负责办理场地清理、平整等工作，费用已包含在合同价款中，发包人不另行计量支付。</w:t>
      </w:r>
    </w:p>
    <w:permEnd w:id="139"/>
    <w:p w14:paraId="585A86D7">
      <w:pPr>
        <w:tabs>
          <w:tab w:val="left" w:pos="840"/>
        </w:tabs>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（10）提交竣工验收申请报告和竣工结算文件。</w:t>
      </w:r>
    </w:p>
    <w:p w14:paraId="3774A436">
      <w:pPr>
        <w:spacing w:line="420" w:lineRule="exact"/>
        <w:ind w:left="12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按通用条款第82.2款规定提交。</w:t>
      </w:r>
    </w:p>
    <w:p w14:paraId="27762850">
      <w:pPr>
        <w:spacing w:line="420" w:lineRule="exact"/>
        <w:ind w:left="360" w:leftChars="57" w:hanging="240" w:hangingChars="1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
    <w:p w14:paraId="531F3F3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11）为他人提供方便：1.承包人应当对在施工场地或者附近实施与合同工程有关的其他工作的独立承包人履行管理、协调、配合、照管和服务义务，由此发生的费用被认为已经包括在承包人的签约合同价（投标总报价）中，具体工作内容和要求包括：承包人应在签订合同后的14天内，负责（若合同发包内容不包含相应工作内容及费用的，则为配合）：完成交通疏解方案编制，并向交通管理部门办理道路开挖证；做好本工程施工范围周边的交通疏解工作，根据交警意见做好本工程试围蔽、分段夜间施工、临时修复路面恢复通车，增派临时交通协管员、路标恢复、交通疏解方案调整等一系列协助交通疏解工作，确保施工期间道路周边范围的交通安全不受影响，相关费用已包含在合同价款中。2.承包人还应按监理工程师指示为独立承包人以外的他人在施工场地或者附近实施与合同工程有关的其他工作提供可能的条件，可能发生费用由监理工程师按第23.9款商定或者确定。</w:t>
      </w:r>
    </w:p>
    <w:p w14:paraId="519ACEBC">
      <w:pPr>
        <w:pStyle w:val="15"/>
        <w:numPr>
          <w:ilvl w:val="0"/>
          <w:numId w:val="0"/>
        </w:numPr>
        <w:spacing w:line="420" w:lineRule="exact"/>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交通疏解无论是否属于本合同发包内容，</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因承包人原因导致工期延误</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而</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增加的交通疏解费用</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均</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由承包人承担，且</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发包人</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有权在结算款内扣除相关费用。</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p>
    <w:p w14:paraId="5780E4E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（12）工程完工后，应按照合同约定提交工程完工验收申请报告和完工结算申请书文件，逾期或者不按规定提交的，发包人有权依据已有资料做出判断并报送给结算审核方，以保证结算的连续性。</w:t>
      </w:r>
    </w:p>
    <w:p w14:paraId="22D412D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13）承包人必须接受政府有关部门对本工程的监督，并无条件配合政府指定的审计机构或其他有关部门对本工程的检查、审计等工作，包括并不限于提供工程或账务资料和说明。安排专人无条件配合推进综合管理系统（浪潮系统）审计工作，定时提交报表。</w:t>
      </w:r>
    </w:p>
    <w:p w14:paraId="5E448FE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（14）承包人应对施工图、技术资料做认真地复核和检查，有预见性的发现和指正设计缺陷和错误，应提出能实质性地节约资金和缩短工期的建议和措施，并书面通知发包人。</w:t>
      </w:r>
    </w:p>
    <w:p w14:paraId="7B0956D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（15）承包人应当清楚地预计到施工期间对外界可能产生的不可避免的干扰，并为此保证主动努力减少这些干扰对外界的影响，且应当积极主动负责与外界进行协调，协调不果，方可书面要求发包人出面协调。</w:t>
      </w:r>
    </w:p>
    <w:p w14:paraId="5D8EFD1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16）承包人应当清楚并充分预计到在工程前期施工场地征地拆迁工作的各种困难及其对工程进展的不利影响，甚至是严重影响。对此，承包人应积极主动做好协调、配合工作，并尽量创造各种条件和采取各种有效措施，以确保工程顺利推进及工期目标的实现。这种困难或影响不能免除承包人对工期目标未能实现的责任，并不得以此为理由要求顺延工期或增加各种费用。由于施工场地障碍条件或现场各种不利条件发生造成大型机械多次进退场的费用、怠工费、仓保费，均由承包人承担。如确因客观原因或不可抗力等非承包人原因导致的工期延期或费用增加，由双方另行协商。</w:t>
      </w:r>
    </w:p>
    <w:p w14:paraId="1776571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17）根据工程需要，承包人应采用计算机信息管理技术建立相应的信息技术网络，以便与发包人、各有关单位进行数据交换，提高工作效率。承包人应负责将网络终端接至发包人、监理人。上述所发生的费用，由承包人承担。</w:t>
      </w:r>
    </w:p>
    <w:p w14:paraId="58684AC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18）承包人应按发包人提供的冲洗方案做好新装管道的试压、冲洗及消毒工作，上述工作及其产生的管材、管件等材料的采购由承包人自行负责，相关费用已包含在合同价款（耗水费除外）中，由承包人承担；现状管道接驳点的摸查工作和不停水开叉的工作量均包含在合同价款中。</w:t>
      </w:r>
    </w:p>
    <w:p w14:paraId="2790546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（19）承包人在覆土前必须测量确定管网支管、阀门、拐点等的坐标，经监理工程师复核确认后方可填土覆盖，其费用已包含在合同价款中。</w:t>
      </w:r>
    </w:p>
    <w:p w14:paraId="1946B21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20）如项目根据设计及有关规范需要做好深基坑支护设计及施工的，承包人需充分考虑基坑支护的相关技术及安全措施等工作，如因支护措施不当引起周边地基沉降等问题，所发生的费用及责任由承包人承担。基坑支护施工方案的由承包人自行申报，并由承包人组织专家进行评审，承包人邀请的评审专家人员及资质应取得发包人同意，评审所产生的一切费用已包含在合同价款中，评审费用由承包人承担。承包人应当无条件按专家评审意见进行修改完善基坑支护施工方案。若基坑审查意见认为需进行调整的，则在保证不削弱原设计方案及基坑安全的前提下，承包人按照审查意见进行修改,费用不再另行支付；承包人须在审查批复后7天内提供修改后的实施性施工组织方案。</w:t>
      </w:r>
    </w:p>
    <w:p w14:paraId="203F7F4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21）承包人收到施工图纸后应认真进行现场勘察，积极与道路施工、设计单位和相关部门进行沟通协调，如发现阀门井标高与道路路面最终的实际标高不一致的，应在5天内提出，如在约定时间内未提出，应充分考虑因路面标高相对于施工图调整或配合道路扩建所导致已完工的阀门井需要提升或下降所产生的相关费用，发包人不再对此进行签证或增加费用。</w:t>
      </w:r>
    </w:p>
    <w:p w14:paraId="127D555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（22）承包人在施工完工后90天内根据《广州市房屋建筑工程和市政基础设施施工工程竣工验收及备案管理实施办法（试行）》（穗建筑〔2002〕61号）的规定，通过竣工验收并完成竣工验收备案工作。</w:t>
      </w:r>
    </w:p>
    <w:p w14:paraId="002E38F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（23）承包人在项目竣工验收后，6个月内完成本工程结算工作。</w:t>
      </w:r>
    </w:p>
    <w:p w14:paraId="406316F6">
      <w:pPr>
        <w:spacing w:line="420" w:lineRule="exact"/>
        <w:ind w:firstLine="480" w:firstLineChars="200"/>
        <w:rPr>
          <w:rFonts w:hint="eastAsia" w:ascii="仿宋_GB2312" w:hAnsi="仿宋_GB2312" w:eastAsia="仿宋_GB2312" w:cs="仿宋_GB2312"/>
          <w:bCs/>
          <w:i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（24）</w:t>
      </w:r>
      <w:r>
        <w:rPr>
          <w:rFonts w:hint="eastAsia" w:ascii="仿宋_GB2312" w:hAnsi="仿宋_GB2312" w:eastAsia="仿宋_GB2312" w:cs="仿宋_GB2312"/>
          <w:bCs/>
          <w:iCs/>
          <w:color w:val="000000" w:themeColor="text1"/>
          <w:kern w:val="0"/>
          <w:sz w:val="24"/>
          <w:szCs w:val="24"/>
          <w:highlight w:val="none"/>
          <w14:textFill>
            <w14:solidFill>
              <w14:schemeClr w14:val="tx1"/>
            </w14:solidFill>
          </w14:textFill>
        </w:rPr>
        <w:t>由承包人负责办理施工许可证、余泥排放证等各种施工证件，并办理</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质量安全监督登记</w:t>
      </w:r>
      <w:r>
        <w:rPr>
          <w:rFonts w:hint="eastAsia" w:ascii="仿宋_GB2312" w:hAnsi="仿宋_GB2312" w:eastAsia="仿宋_GB2312" w:cs="仿宋_GB2312"/>
          <w:bCs/>
          <w:iCs/>
          <w:color w:val="000000" w:themeColor="text1"/>
          <w:kern w:val="0"/>
          <w:sz w:val="24"/>
          <w:szCs w:val="24"/>
          <w:highlight w:val="none"/>
          <w14:textFill>
            <w14:solidFill>
              <w14:schemeClr w14:val="tx1"/>
            </w14:solidFill>
          </w14:textFill>
        </w:rPr>
        <w:t>手续。上述所发生的费用，除政府有关规定须由发包人缴付的部分以外，其余部分已</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包含在合同价款中，</w:t>
      </w:r>
      <w:r>
        <w:rPr>
          <w:rFonts w:hint="eastAsia" w:ascii="仿宋_GB2312" w:hAnsi="仿宋_GB2312" w:eastAsia="仿宋_GB2312" w:cs="仿宋_GB2312"/>
          <w:bCs/>
          <w:iCs/>
          <w:color w:val="000000" w:themeColor="text1"/>
          <w:kern w:val="0"/>
          <w:sz w:val="24"/>
          <w:szCs w:val="24"/>
          <w:highlight w:val="none"/>
          <w14:textFill>
            <w14:solidFill>
              <w14:schemeClr w14:val="tx1"/>
            </w14:solidFill>
          </w14:textFill>
        </w:rPr>
        <w:t>由承包人承担。</w:t>
      </w:r>
    </w:p>
    <w:p w14:paraId="31B70BC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（25）由承包人负责自行解决施工临时用水、临时用电、通讯设施等问题，费用已包含在合同价款中，发包人不另行计量支付。</w:t>
      </w:r>
    </w:p>
    <w:p w14:paraId="6B69CA5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（26）承包人负责委托具备勘察测量资质的单位对所提供的道路测量控制桩、水准点和标高进行现场复测，按第46.4款规定执行，其费用已包含在合同价款中。</w:t>
      </w:r>
    </w:p>
    <w:p w14:paraId="2EDD32F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27）跨城区的管线工程在施工验收及档案资料移交阶段，承包人提供的地下管线竣工测量数据除了满足当地规划部门、城建档案馆的坐标要求外，还需向发包人提供带有广州市城建坐标系的竣工测量数据。承包人编制的竣工图、提供的竣工测量册应完成测量坐标成果转换的，其费用已包含在合同价款中，发包人不另行支付。</w:t>
      </w:r>
    </w:p>
    <w:p w14:paraId="418A3D2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28）承包人应根据《广东省住房和城乡建设厅转发住房城乡建设部办公厅关于严格落实建筑工程质量终身责任承诺制的通知》（粤建质〔2014〕218号）《住房城乡建设部办公厅关于严格落实建筑工程质量终身责任承诺制的通知》（建办质〔2014〕44号）及其最新版本的要求，办理施工单位法人授权代表书及工程质量终身承诺书。</w:t>
      </w:r>
    </w:p>
    <w:p w14:paraId="5BF217D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（29）管道敷设后，承包人应按照施工图纸要求对管坑马上进行回填，如因回填不及时所引起的责任及经济损失，由承包人承担。</w:t>
      </w:r>
    </w:p>
    <w:p w14:paraId="4E51E17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30）承包人在施工过程中，应遵守有关环境保护、水土保持的法律、法规和规章，按发包人委托的第三方监测单位的要求，做好施工期及植被恢复期的环境监测、水土保持等配合工作，由此产生的一切费用已包含在合同价款中，不另行计量支付。</w:t>
      </w:r>
    </w:p>
    <w:p w14:paraId="5B19C0A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（31）承包人应与发包人委派的第三方质量监督检测监测单位积极合作，紧密联系，及时提供工作计划和便利条件。结合国家法规、施工图纸、上级行政主管部门的要求完成质量监督工作。</w:t>
      </w:r>
    </w:p>
    <w:p w14:paraId="1630BB5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（32）在合同完成签订的两周内，承包人应按工程质量安全监督的要求完成开工报批手续。</w:t>
      </w:r>
    </w:p>
    <w:p w14:paraId="40DBA80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（33）在项目实施期间，因非承包人原因导致项目需变更的，承包人应在5天内将变更资料报送监理人审批。</w:t>
      </w:r>
    </w:p>
    <w:p w14:paraId="3F41D2FD">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（34）承包人在主体完工后10天内提交经监理工程师审核的完工图等完工管网资料，并在工程完工后的20天内，向发包人提交竣工图。</w:t>
      </w:r>
    </w:p>
    <w:p w14:paraId="32618AB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35）承包人应当贯彻落实《国务院办公厅关于生态环境保护综合行政执法有关事项的通知》、《广东省人民政府办公厅关于明确生态环境保护综合行政执法有关事项的通知》及《广州市生态环境局关于印发广州市生态环境保护综合行政执法事项指导目录（2021年版）》等文件精神，依法按规落实生态环境保护，项目实施前提交环境保护具体落实方案报监理工程师及发包人审核，项目实施过程中落实环境监察制度，每日上报现场施工环境情况，对于由于施工暂时性造成居民环境影响情况落实整改时限及整改措施，确保施工过程中产生的气体排放物、粉尘、噪声、地面排水及排污等，符合法律规定和发包人要求。</w:t>
      </w:r>
    </w:p>
    <w:p w14:paraId="02F5ECA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（36）承包人应做好开工前的准备工作，包括但不限于做好施工放线工作，做好地下管线会签交底，</w:t>
      </w:r>
      <w:r>
        <w:rPr>
          <w:rFonts w:hint="eastAsia" w:ascii="仿宋_GB2312" w:hAnsi="仿宋_GB2312" w:eastAsia="仿宋_GB2312" w:cs="仿宋_GB2312"/>
          <w:color w:val="000000" w:themeColor="text1"/>
          <w:sz w:val="24"/>
          <w:szCs w:val="24"/>
          <w:highlight w:val="none"/>
          <w14:textFill>
            <w14:solidFill>
              <w14:schemeClr w14:val="tx1"/>
            </w14:solidFill>
          </w14:textFill>
        </w:rPr>
        <w:t>负责（若合同发包内容不包含相应工作内容及费用的，则为配合）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编制交通疏导方案（含交通疏导流量评估）报项目所在交通管理部门审批并取得批复意见；</w:t>
      </w:r>
      <w:r>
        <w:rPr>
          <w:rFonts w:hint="eastAsia" w:ascii="仿宋_GB2312" w:hAnsi="仿宋_GB2312" w:eastAsia="仿宋_GB2312" w:cs="仿宋_GB2312"/>
          <w:color w:val="000000" w:themeColor="text1"/>
          <w:sz w:val="24"/>
          <w:szCs w:val="24"/>
          <w:highlight w:val="none"/>
          <w14:textFill>
            <w14:solidFill>
              <w14:schemeClr w14:val="tx1"/>
            </w14:solidFill>
          </w14:textFill>
        </w:rPr>
        <w:t>负责（若合同发包内容不包含相应工作内容及费用的，则为配合）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根据道路行政管理部门的要求委托有资质的道路安全评估单位出具项目涉路、桥梁、隧道等安全评估报告，取得本项目涉路、桥梁、隧道等权属单位的意见，并按照所属道路行政管理部门要求，编制符合要求的专项施工组织方案、路面修复方案等，报所属道路行政管理部门，并取得项目占道挖掘申请等行政许可；承包人负责办理本项目质量登记监督备案及并办理取得项目监管部门的开工批复；项目涉及地铁、河涌、城市绿化范围的，承包人应编制专项评估及保护方案，报相应权属单位审批，完善开工前准备工作。承包人应根据广州市水务局等上级管理部门相关要求，做好各项水务质监在建工地的视频监控等信息化建设，落实扬尘防治六个百分百要求，落实海绵城市建设等要求，落实行政部门关于安全文明施工、标准化围蔽</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疫情防控</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等要求（详见附件十、十一、十二），以上费用由承包人综合考虑在投标报价的下浮率中，不再单独计取。</w:t>
      </w:r>
    </w:p>
    <w:p w14:paraId="2BEA109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37）承包人应根据项目特点及相应行政管理部门批准的施工时段，编制符合实际作业时长的标准化施工方案（详见附件十一、十二），流水施工作业环节须满足项目施工安全、进度质量、文明施工围蔽、扬尘防治、噪音控制等要求，做好沿线管线的保护，以确保施工进度、质量及安全。项目所在路段有日间恢复通车等要求的，承包人切实按照交警部门审批要求落实，</w:t>
      </w:r>
      <w:r>
        <w:rPr>
          <w:rFonts w:hint="eastAsia" w:ascii="仿宋_GB2312" w:hAnsi="仿宋_GB2312" w:eastAsia="仿宋_GB2312" w:cs="仿宋_GB2312"/>
          <w:color w:val="000000" w:themeColor="text1"/>
          <w:sz w:val="24"/>
          <w:szCs w:val="24"/>
          <w:highlight w:val="none"/>
          <w14:textFill>
            <w14:solidFill>
              <w14:schemeClr w14:val="tx1"/>
            </w14:solidFill>
          </w14:textFill>
        </w:rPr>
        <w:t>负责（若合同发包内容不包含相应工作内容及费用的，则为配合）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做好凌晨路面的临时修复及交通标线恢复。</w:t>
      </w:r>
    </w:p>
    <w:p w14:paraId="1A16E83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（38）承包人应负责施工期间的周边管线现场交底及保护，按编制专项涉地下管线及涉及的产权设施的专项保护方案实施，施工期间做好于沿线管线及涉及产权设施保护单位的交底工作。</w:t>
      </w:r>
    </w:p>
    <w:p w14:paraId="4B8393D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（39）承包人应</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根据</w:t>
      </w:r>
      <w:r>
        <w:rPr>
          <w:rFonts w:hint="eastAsia" w:ascii="仿宋_GB2312" w:hAnsi="仿宋_GB2312" w:eastAsia="仿宋_GB2312" w:cs="仿宋_GB2312"/>
          <w:strike w:val="0"/>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广州市水务局关于</w:t>
      </w:r>
      <w:r>
        <w:rPr>
          <w:rFonts w:hint="eastAsia" w:ascii="仿宋_GB2312" w:hAnsi="仿宋_GB2312" w:eastAsia="仿宋_GB2312" w:cs="仿宋_GB2312"/>
          <w:strike w:val="0"/>
          <w:color w:val="000000" w:themeColor="text1"/>
          <w:kern w:val="0"/>
          <w:sz w:val="24"/>
          <w:szCs w:val="24"/>
          <w:highlight w:val="none"/>
          <w:lang w:val="en-US" w:eastAsia="zh-CN"/>
          <w14:textFill>
            <w14:solidFill>
              <w14:schemeClr w14:val="tx1"/>
            </w14:solidFill>
          </w14:textFill>
        </w:rPr>
        <w:t>进一步规范</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在</w:t>
      </w:r>
      <w:r>
        <w:rPr>
          <w:rFonts w:hint="eastAsia" w:ascii="仿宋_GB2312" w:hAnsi="仿宋_GB2312" w:eastAsia="仿宋_GB2312" w:cs="仿宋_GB2312"/>
          <w:strike w:val="0"/>
          <w:color w:val="000000" w:themeColor="text1"/>
          <w:kern w:val="0"/>
          <w:sz w:val="24"/>
          <w:szCs w:val="24"/>
          <w:highlight w:val="none"/>
          <w:lang w:val="en-US" w:eastAsia="zh-CN"/>
          <w14:textFill>
            <w14:solidFill>
              <w14:schemeClr w14:val="tx1"/>
            </w14:solidFill>
          </w14:textFill>
        </w:rPr>
        <w:t>建</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水务工程施工现场视频监控系统</w:t>
      </w:r>
      <w:r>
        <w:rPr>
          <w:rFonts w:hint="eastAsia" w:ascii="仿宋_GB2312" w:hAnsi="仿宋_GB2312" w:eastAsia="仿宋_GB2312" w:cs="仿宋_GB2312"/>
          <w:strike w:val="0"/>
          <w:color w:val="000000" w:themeColor="text1"/>
          <w:kern w:val="0"/>
          <w:sz w:val="24"/>
          <w:szCs w:val="24"/>
          <w:highlight w:val="none"/>
          <w:lang w:val="en-US" w:eastAsia="zh-CN"/>
          <w14:textFill>
            <w14:solidFill>
              <w14:schemeClr w14:val="tx1"/>
            </w14:solidFill>
          </w14:textFill>
        </w:rPr>
        <w:t>安装工作</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的通知</w:t>
      </w:r>
      <w:r>
        <w:rPr>
          <w:rFonts w:hint="eastAsia" w:ascii="仿宋_GB2312" w:hAnsi="仿宋_GB2312" w:eastAsia="仿宋_GB2312" w:cs="仿宋_GB2312"/>
          <w:strike w:val="0"/>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要求，做好各项水务质监在建工地的视频监控等信息化建设，</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包括但不限于发包人及上级管理部门、水务质监、各级行政部门的建设工程领域的信息化收集及报送工作，包括纸质的电子化、数据处理及上报资料归集等工作。</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承包人在厂站类建筑物建设工程开工前必须在施工点、办公区域、出入口、塔吊等重点部位安装视频监控；在市政管网类建设工程开工前必须配置现场移动视频监控，并上线发包人施工现场远程监控系统，视频监控点位置应尽量满足监控视野覆盖整个施工工程，确保能够实时监控施工过程</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相关费用已包含在</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绿色施工安全防护措施费中，发包人不再另行支付相关费用</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30EC37D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1）施工组织方案应包含管线测量工作方案，需明确测量工作计划，使用器具等。</w:t>
      </w:r>
    </w:p>
    <w:p w14:paraId="532E6C2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2）应在管线敷设后，覆土前对其进行测量；</w:t>
      </w:r>
    </w:p>
    <w:p w14:paraId="1F02863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3）提交试压验收申请时，提交测量成果表和CAD文件提交至属地分公司，其中测量成果表按照公司的测量数据模板文件格式进行提交。要求文件可导入至公司管网GIS系统，符合公司GIS数据标准。</w:t>
      </w:r>
    </w:p>
    <w:p w14:paraId="08B7BDC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分公司对测量成果进行初审合格后，方予以组织验收。如在数据导入后发现有不准确、不合理或无法成图的数据，必须对提交的数据进行重新处理提交，直到由分公司管网档案组人员确认数据完整、无误为止。</w:t>
      </w:r>
    </w:p>
    <w:p w14:paraId="08892F7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5）现场验收环节，需配合分公司现场对关键位置进行抽检，如发现数据与现场复测误差较大情况，必须完成数据修正合格后方予以通过试压验收。</w:t>
      </w:r>
    </w:p>
    <w:p w14:paraId="59D720A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40）承包人应负责施工现场范围及周边的树木保护工作，根据发包人提供的树木保护专章，按绿化园林行政部门要求，编制本工程专项树木保护方案，经监理工程师审核后报发包人审批后方可实施，如承包人不具备相应施工资质的，承包人可根据合同分包条款约定，委托具备相关专业资质的单位实施。由此发生的树木保护迁移费用，经发包人或委托的第三方咨询机构审定后，由发包人列入合同价款中，支付给承包人。</w:t>
      </w:r>
    </w:p>
    <w:p w14:paraId="4EA07C2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（41）承包人应加强施工现场管理，严格按照《中华人民共和国公路法》《中华人民共和国道路交通安全法》《道路交通标志标线第 4 部分：作业区》GB5768.4-2017)《城市道路占道施工交通组织和安全措施设置》《广州市交通运输局关于进一步规范设置占道施工公示牌的通知》(穗交运函 〔2022〕523 号《机动车道挖掘修复技术方案指引(试行)》(穗交运函 〔2022〕691号)《广州市建设工程绿色施工围蔽指导图集 (V2.0 版)》《广州水投集团关于印发建设工程绿色施工围蔽指导图集 (试行)的通知》等相关法律法规、技术规范、标准</w:t>
      </w:r>
      <w:r>
        <w:rPr>
          <w:rFonts w:hint="eastAsia" w:ascii="仿宋_GB2312" w:hAnsi="仿宋_GB2312" w:eastAsia="仿宋_GB2312" w:cs="仿宋_GB2312"/>
          <w:color w:val="000000" w:themeColor="text1"/>
          <w:sz w:val="24"/>
          <w:szCs w:val="24"/>
          <w:highlight w:val="none"/>
          <w14:textFill>
            <w14:solidFill>
              <w14:schemeClr w14:val="tx1"/>
            </w14:solidFill>
          </w14:textFill>
        </w:rPr>
        <w:t>负责（若合同发包内容不包含相应工作内容及费用的，则为配合）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做好施工围蔽，设置占道施工公示牌、占道施工信息二维码公示牌，安装警示灯、车辆导向牌等施工标识，做好扬尘控制、噪声污染防治、道路修复等工作。</w:t>
      </w:r>
    </w:p>
    <w:p w14:paraId="341C58F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42）承包人应做好占道施工作业现场安全文明施工管理。严格按照批准的施工组织方案实施，不得擅自扩大开挖和围蔽范围，在围蔽范围内规范摆放施工材料及机具，按规定设置必要临时设施:严格落实经审批通过的交通疏解方案做好围蔽施工、亮证施工，</w:t>
      </w:r>
      <w:r>
        <w:rPr>
          <w:rFonts w:hint="eastAsia" w:ascii="仿宋_GB2312" w:hAnsi="仿宋_GB2312" w:eastAsia="仿宋_GB2312" w:cs="仿宋_GB2312"/>
          <w:color w:val="000000" w:themeColor="text1"/>
          <w:sz w:val="24"/>
          <w:szCs w:val="24"/>
          <w:highlight w:val="none"/>
          <w14:textFill>
            <w14:solidFill>
              <w14:schemeClr w14:val="tx1"/>
            </w14:solidFill>
          </w14:textFill>
        </w:rPr>
        <w:t>负责（若合同发包内容不包含相应工作内容及费用的，则为配合）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按规定设置交通导向标志，做好交通疏导措施;严格按照《广州市交通运输局 广州市公安局交通警察支队关于印发占道工程施工路段责任管理工作意见的通知》(穗交运函 〔2022〕102 号) 要求,明确施工路段段长安全员、交通协管员，落实施工路段段长制，确保施工范围及施工影响范围内的交通安全和畅通:严格做好施工路段保洁工作，保证作业现场符合安全文明施工相关规定。</w:t>
      </w:r>
    </w:p>
    <w:p w14:paraId="1A0FABF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（43）如需占道施工，承包人应按国家、地方、行业主管部门关于占道施工道路修复的最新规定或技术规范、标准等以及发包人要求进行施工及现场管理，做好道路修复工作。</w:t>
      </w:r>
    </w:p>
    <w:p w14:paraId="3119ACB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（44）承包人应当按《广州市自来水有限公司外包事项安全管理办法》做好相关安全工作。</w:t>
      </w:r>
    </w:p>
    <w:p w14:paraId="6DBD8E5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（45）工程完工后1个月内，承包人应当完成资产清单的编制，工程完工后3个月内，承包人应当与发包人完成资产实物清点工作，如逾期未完成上述资产实物清点工作的，承包人应当向发包人支付合同价款的</w:t>
      </w:r>
      <w:permStart w:id="14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1‰/天 </w:t>
      </w:r>
      <w:permEnd w:id="14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031D6CA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（46）对于承包人各类别的主要负责人，如承包人代表、技术负责人、安全负责人等在施工过程资料中负责签名审核的人员，应当在合同签订后 5 天内提交上述人员的签名备案表至发包人备案，如逾期未提供的，承包人应当向发包人支付合同价款的</w:t>
      </w:r>
      <w:permStart w:id="14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1‰ </w:t>
      </w:r>
      <w:permEnd w:id="14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12A1DA4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（47）承包人应将施工日报、月报、施工日志、工程量计量等施工过程资料在 5 天内及时录入发包人综合管理系统进行统一管理，如逾期未及时录入上述资料的，承包人应当向发包人支付合同价款的</w:t>
      </w:r>
      <w:permStart w:id="14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0.1‰</w:t>
      </w:r>
      <w:permEnd w:id="14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3A11313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48）承包人应按照《广州市水务局关于做好水务建设工地务工人员健康管理的通知》文件要求，做好建设工地务工人员现场健康管理相关工作，包括但不限于统筹相关费用、落实务工人员进场前健康体检、配备工地现场务工人员健康管理员、根据务工人员实际身体健康情况安排相对应岗位工作、根据工程项目务工人员实际情况选择符合要求的医疗机构开展每年不少于1次的体检工作、重视施工过程中日常健康检查配备血压计体温测量仪等医疗日常检查设备及相关急救药品和定期对务工人员进行血压测量健康状况观察等例行检查、对务工人员录入实名制管理系统等。</w:t>
      </w:r>
    </w:p>
    <w:p w14:paraId="741FEE4E">
      <w:pPr>
        <w:spacing w:line="420" w:lineRule="exact"/>
        <w:ind w:firstLine="480" w:firstLineChars="200"/>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49</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）承包人应按照《广州市水务局关于印发水务高处作业专项治理行动方案的通知》文件要求，做好高处作业人员资质与证件核查、安全培训与教育、健康与行为管理等相关工作。</w:t>
      </w:r>
    </w:p>
    <w:p w14:paraId="7C434CA2">
      <w:pPr>
        <w:spacing w:line="420" w:lineRule="exact"/>
        <w:ind w:firstLine="480" w:firstLineChars="200"/>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50</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承包人应充分保证雇员的健康和安全，涉及工地的健康管理费用（包括但不限于进场前的健康体检和进场后的日常健康监测等）由承包人综合考虑在投标报价的下浮率中，不再单独计取，发包人不再单独向承包人方支付相关费用。</w:t>
      </w:r>
    </w:p>
    <w:p w14:paraId="262609D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51）根据《广州市水务局关于全市水务工程项目专职安全生产管理人员配备使用安全生产检查记录仪的通知》（穗水建管〔2025〕47号）的要求，专职安全生产管理人员应当配备使用检查记录仪，承包人应当根据《企业安全生产费用提取和使用管理办法》要求，将检查记录仪配备、通信、存储和运维的费用列入安全文明施工措施费予以保障，以上费用由承包人综合考虑在投标报价的下浮率中，不再单独计取，发包人不再单独向承包人方支付相关费用。</w:t>
      </w:r>
    </w:p>
    <w:p w14:paraId="6F9AF87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20.3 承包人提供施工所需劳务、材料、国产设备、施工设备和其他物品的约定： 除第48条、第51条约定的应由发包人供应的材料和工程设备，以及由发包人提供的施工设备和临时设施外，承包人应负责提供为完成合同工作所需的劳务、材料、施工设备、工程设备和其他物品，并按合同约定负责临时设施的设计、建造、运行、维护、管理和拆除等工作。</w:t>
      </w:r>
    </w:p>
    <w:p w14:paraId="5F86BED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20.4 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和发包人同意。</w:t>
      </w:r>
    </w:p>
    <w:p w14:paraId="592FDFA0">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1935C727">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21. 现场管理人员任命和更换</w:t>
      </w:r>
    </w:p>
    <w:p w14:paraId="4F06941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21.1 发包人现场管理人员任命和更换：</w:t>
      </w:r>
      <w:permStart w:id="14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按通用条款21.1款约定    </w:t>
      </w:r>
      <w:permEnd w:id="143"/>
    </w:p>
    <w:p w14:paraId="38EB336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21.2 承包人代表任命和更换：在本工程验收前承包人不得更换承包人代表。如承包人代表发生人身意外、突发重大疾病、行政或刑事拘留等特殊情况，承包人确需更换承包人代表的，应至少提前7天以书面形式通知发包人，并征得发包人书面同意，通知中应当载明继任承包人代表的注册执业资格或职称、管理经验等资料，继任承包人代表应继续履行</w:t>
      </w:r>
      <w:r>
        <w:rPr>
          <w:rFonts w:hint="eastAsia" w:ascii="仿宋_GB2312" w:hAnsi="仿宋_GB2312" w:eastAsia="仿宋_GB2312" w:cs="仿宋_GB2312"/>
          <w:color w:val="000000" w:themeColor="text1"/>
          <w:sz w:val="24"/>
          <w:szCs w:val="24"/>
          <w:highlight w:val="none"/>
          <w14:textFill>
            <w14:solidFill>
              <w14:schemeClr w14:val="tx1"/>
            </w14:solidFill>
          </w14:textFill>
        </w:rPr>
        <w:t>合同约定的承包人代表的职权及相应义务。</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拟更换人员的资质、学历、职称、业绩、实际工作能力不得低于原投标书中所承诺人员的综合素质，且不得同时在其他工程项目中担任承包人代表。</w:t>
      </w:r>
    </w:p>
    <w:p w14:paraId="66A680F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21.3 监理工程师代表任命和撤回：</w:t>
      </w:r>
      <w:permStart w:id="14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按通用条款21.3约定   </w:t>
      </w:r>
      <w:permEnd w:id="144"/>
    </w:p>
    <w:p w14:paraId="4F92FF10">
      <w:pPr>
        <w:spacing w:line="420" w:lineRule="exact"/>
        <w:ind w:left="12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造价工程师代表任命和撤回：</w:t>
      </w:r>
      <w:permStart w:id="14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按通用条款21.3约定  </w:t>
      </w:r>
      <w:permEnd w:id="145"/>
    </w:p>
    <w:p w14:paraId="73C83A0D">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21.4 承包人代表授权人选任命和撤回：</w:t>
      </w:r>
      <w:permStart w:id="14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承包人代表授权人未经监理人及发包人同意，不得更换。如确属特殊情况需更换的，须提前7天书面向总监理工程师及发包人申请，并附拟更换人员的详细资料，待监理人及发包人审核批准后才可更换。承包人必须保证所更换人员的资质、资历、业绩、实际工作能力不低于原投标所承诺的人员素质。 </w:t>
      </w:r>
      <w:permEnd w:id="146"/>
    </w:p>
    <w:p w14:paraId="63843BF1">
      <w:pPr>
        <w:spacing w:line="420" w:lineRule="exac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p>
    <w:p w14:paraId="3290D5FE">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22. 发包人代表</w:t>
      </w:r>
    </w:p>
    <w:p w14:paraId="1B234C86">
      <w:pPr>
        <w:spacing w:line="420" w:lineRule="exact"/>
        <w:ind w:left="120"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22.1 发包人代表及其权力的限制</w:t>
      </w:r>
    </w:p>
    <w:p w14:paraId="32998EA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（1）发包人任命（</w:t>
      </w:r>
      <w:permStart w:id="147"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14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）为发包人代表，其通讯方式为</w:t>
      </w:r>
    </w:p>
    <w:p w14:paraId="419B26EF">
      <w:pPr>
        <w:spacing w:line="420" w:lineRule="exact"/>
        <w:ind w:left="12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通讯地址：</w:t>
      </w:r>
      <w:permStart w:id="14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4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邮政编码：</w:t>
      </w:r>
      <w:permStart w:id="149"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49"/>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7865E2FF">
      <w:pPr>
        <w:spacing w:line="420" w:lineRule="exact"/>
        <w:ind w:firstLine="240" w:firstLineChars="1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联系电话：</w:t>
      </w:r>
      <w:permStart w:id="15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50"/>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传真号码：</w:t>
      </w:r>
      <w:permStart w:id="15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51"/>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564CF221">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（2）发包人对发包人代表权力做如下限制：</w:t>
      </w:r>
      <w:permStart w:id="15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发包人代表行使发包人的权利，包括组织施工现场发包人的工作、对监理工作的检查及代表发包人行使本合同授予发包人的相关权力。具体包括：①确认承包人提出顺延工期的签证；②对发生的不可抗力造成工程无法继续施工的处置；③设计变更等有关签证的确认；④工程竣工验收及甩项验收的报告确认；⑤工程最终造价的确认；⑥督促指导监理工程师行使职权，协调施工现场各方面的关系、审核工程进度报表等；⑦行使合同约定的权利，履行合同约定的职责。  </w:t>
      </w:r>
      <w:permEnd w:id="152"/>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398E40B2">
      <w:pPr>
        <w:spacing w:line="420" w:lineRule="exact"/>
        <w:ind w:firstLine="482"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385ED13F">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23. 监理工程师</w:t>
      </w:r>
    </w:p>
    <w:p w14:paraId="6BE17B7F">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23.1 负责合同工程的监理人及任命的监理工程师</w:t>
      </w:r>
    </w:p>
    <w:p w14:paraId="21F415EB">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（1）监理人：</w:t>
      </w:r>
      <w:permStart w:id="15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53"/>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法定代表人：</w:t>
      </w:r>
      <w:permStart w:id="15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54"/>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3826749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（2）任命（</w:t>
      </w:r>
      <w:permStart w:id="155"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ermEnd w:id="155"/>
      <w:r>
        <w:rPr>
          <w:rFonts w:hint="eastAsia" w:ascii="仿宋_GB2312" w:hAnsi="仿宋_GB2312" w:eastAsia="仿宋_GB2312" w:cs="仿宋_GB2312"/>
          <w:color w:val="000000" w:themeColor="text1"/>
          <w:sz w:val="24"/>
          <w:szCs w:val="24"/>
          <w:highlight w:val="none"/>
          <w14:textFill>
            <w14:solidFill>
              <w14:schemeClr w14:val="tx1"/>
            </w14:solidFill>
          </w14:textFill>
        </w:rPr>
        <w:t>）为监理工程师，其通讯方式为</w:t>
      </w:r>
    </w:p>
    <w:p w14:paraId="031FF549">
      <w:pPr>
        <w:spacing w:line="420" w:lineRule="exact"/>
        <w:ind w:left="12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通讯地址：</w:t>
      </w:r>
      <w:permStart w:id="15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5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邮政编码：</w:t>
      </w:r>
      <w:permStart w:id="15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57"/>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1500B09A">
      <w:pPr>
        <w:spacing w:line="420" w:lineRule="exact"/>
        <w:ind w:firstLine="240" w:firstLineChars="1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联系电话：</w:t>
      </w:r>
      <w:permStart w:id="15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58"/>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传真号码：</w:t>
      </w:r>
      <w:permStart w:id="15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59"/>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40EBDDD1">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23.3 (12)需要发包人批准的其他事项：</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0F9DA263">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23.8 监理工程师的宽恕</w:t>
      </w:r>
    </w:p>
    <w:p w14:paraId="13ADD795">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理工程师或者发包人就承包人对合同约定的任何责任和义务的某种违约行为的宽恕，不影响监理工程师和发包人在此后的任何时间严格按合同约定处理承包人的其它违约行为，也不意味发包人放弃合同约定的发包人与上述违约有关的任何权利和赔偿要求。</w:t>
      </w:r>
    </w:p>
    <w:p w14:paraId="4D94B950">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23.9 商定或确定</w:t>
      </w:r>
    </w:p>
    <w:p w14:paraId="5DABB549">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（1）合同约定监理工程师应按照本款对任何事项进行商定或确定时，监理工程师应与合同当事人协商，尽量达成一致。不能达成一致的，监理工程师应认真研究后审慎确定。</w:t>
      </w:r>
    </w:p>
    <w:p w14:paraId="6705A5FD">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监理工程师应将商定或确定的事项通知合同当事人，并附详细依据。对监理工程师的确定有异议的，构成争议，按照第86条的约定处理。在争议解决前，双方应暂按监理工程师的确定执行，按照第86条的约定对监理工程师的确定作出修改的，按修改后的结果执行。</w:t>
      </w:r>
    </w:p>
    <w:p w14:paraId="7464246D">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23.10 发包人委托的建设管理方及派驻的工程师（如有，应当按双方约定的职责执行）发包人委托建设管理方承担工程建设管理。</w:t>
      </w:r>
    </w:p>
    <w:p w14:paraId="2D064C57">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建设管理方：</w:t>
      </w:r>
      <w:permStart w:id="16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60"/>
    </w:p>
    <w:p w14:paraId="1A7ABF68">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建设管理方派驻的工程师：</w:t>
      </w:r>
      <w:permStart w:id="16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61"/>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职务：</w:t>
      </w:r>
      <w:permStart w:id="16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工程师 </w:t>
      </w:r>
      <w:permEnd w:id="162"/>
    </w:p>
    <w:p w14:paraId="60A477F1">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发包人委托的职权：在授权范围内处理现场相关事宜，检查和监督承包人和监理人执行合同，会同相关部门协调组织技术交底、审批施工组织设计、组织计量工作及办理合同支付、参与设计变更会审、组织竣工验收等，详见双方约定的职责和委托人下发的《工程建设管理办法》。 </w:t>
      </w:r>
    </w:p>
    <w:p w14:paraId="18D6037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23BF167">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24. 造价工程师</w:t>
      </w:r>
    </w:p>
    <w:p w14:paraId="12A8C104">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24.1 负责合同工程的造价咨询单位及任命的造价工程师</w:t>
      </w:r>
    </w:p>
    <w:p w14:paraId="19F4C05D">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（1）工程造价咨询人（如有）：</w:t>
      </w:r>
      <w:permStart w:id="16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63"/>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法定代表人：</w:t>
      </w:r>
      <w:permStart w:id="16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64"/>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80391F5">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（2）任命（</w:t>
      </w:r>
      <w:permStart w:id="165"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ermEnd w:id="165"/>
      <w:r>
        <w:rPr>
          <w:rFonts w:hint="eastAsia" w:ascii="仿宋_GB2312" w:hAnsi="仿宋_GB2312" w:eastAsia="仿宋_GB2312" w:cs="仿宋_GB2312"/>
          <w:color w:val="000000" w:themeColor="text1"/>
          <w:sz w:val="24"/>
          <w:szCs w:val="24"/>
          <w:highlight w:val="none"/>
          <w14:textFill>
            <w14:solidFill>
              <w14:schemeClr w14:val="tx1"/>
            </w14:solidFill>
          </w14:textFill>
        </w:rPr>
        <w:t>）为造价工程师，其通讯方式为</w:t>
      </w:r>
    </w:p>
    <w:p w14:paraId="7ED1FA3A">
      <w:pPr>
        <w:spacing w:line="420" w:lineRule="exact"/>
        <w:ind w:left="120"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通讯地址：</w:t>
      </w:r>
      <w:permStart w:id="16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6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邮政编码：</w:t>
      </w:r>
      <w:permStart w:id="16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67"/>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4DDE75BB">
      <w:pPr>
        <w:spacing w:line="420" w:lineRule="exact"/>
        <w:ind w:firstLine="120" w:firstLineChars="5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联系电话：</w:t>
      </w:r>
      <w:permStart w:id="16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68"/>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传真号码：</w:t>
      </w:r>
      <w:permStart w:id="16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69"/>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0E546A8C">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24.3 （7）需要发包人批准的其他事项：</w:t>
      </w:r>
      <w:permStart w:id="17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70"/>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57CA69CB">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p>
    <w:p w14:paraId="1D2E3054">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25. 承包人代表</w:t>
      </w:r>
    </w:p>
    <w:p w14:paraId="63C1085F">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25.1 承包人任命（</w:t>
      </w:r>
      <w:permStart w:id="171"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ermEnd w:id="171"/>
      <w:r>
        <w:rPr>
          <w:rFonts w:hint="eastAsia" w:ascii="仿宋_GB2312" w:hAnsi="仿宋_GB2312" w:eastAsia="仿宋_GB2312" w:cs="仿宋_GB2312"/>
          <w:color w:val="000000" w:themeColor="text1"/>
          <w:sz w:val="24"/>
          <w:szCs w:val="24"/>
          <w:highlight w:val="none"/>
          <w14:textFill>
            <w14:solidFill>
              <w14:schemeClr w14:val="tx1"/>
            </w14:solidFill>
          </w14:textFill>
        </w:rPr>
        <w:t>）为承包人代表，其通讯方式为</w:t>
      </w:r>
    </w:p>
    <w:p w14:paraId="2BD50094">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通讯地址：</w:t>
      </w:r>
      <w:permStart w:id="17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7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邮政编码：</w:t>
      </w:r>
      <w:permStart w:id="17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73"/>
    </w:p>
    <w:p w14:paraId="2CDE25BF">
      <w:pPr>
        <w:widowControl w:val="0"/>
        <w:spacing w:after="120" w:line="420" w:lineRule="exact"/>
        <w:ind w:firstLine="480" w:firstLineChars="200"/>
        <w:jc w:val="both"/>
        <w:rPr>
          <w:rFonts w:hint="eastAsia" w:ascii="仿宋_GB2312" w:hAnsi="仿宋_GB2312" w:eastAsia="仿宋_GB2312" w:cs="仿宋_GB2312"/>
          <w:color w:val="000000" w:themeColor="text1"/>
          <w:kern w:val="2"/>
          <w:sz w:val="24"/>
          <w:szCs w:val="24"/>
          <w:highlight w:val="none"/>
          <w:u w:val="singl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联系电话：</w:t>
      </w:r>
      <w:permStart w:id="174" w:edGrp="everyone"/>
      <w:r>
        <w:rPr>
          <w:rFonts w:hint="eastAsia" w:ascii="仿宋_GB2312" w:hAnsi="仿宋_GB2312" w:eastAsia="仿宋_GB2312" w:cs="仿宋_GB2312"/>
          <w:color w:val="000000" w:themeColor="text1"/>
          <w:kern w:val="2"/>
          <w:sz w:val="24"/>
          <w:szCs w:val="24"/>
          <w:highlight w:val="none"/>
          <w:u w:val="single"/>
          <w:lang w:val="en-US" w:eastAsia="zh-CN" w:bidi="ar-SA"/>
          <w14:textFill>
            <w14:solidFill>
              <w14:schemeClr w14:val="tx1"/>
            </w14:solidFill>
          </w14:textFill>
        </w:rPr>
        <w:t xml:space="preserve">                              </w:t>
      </w:r>
      <w:permEnd w:id="174"/>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 xml:space="preserve"> 传真号码：</w:t>
      </w:r>
      <w:permStart w:id="175" w:edGrp="everyone"/>
      <w:r>
        <w:rPr>
          <w:rFonts w:hint="eastAsia" w:ascii="仿宋_GB2312" w:hAnsi="仿宋_GB2312" w:eastAsia="仿宋_GB2312" w:cs="仿宋_GB2312"/>
          <w:color w:val="000000" w:themeColor="text1"/>
          <w:kern w:val="2"/>
          <w:sz w:val="24"/>
          <w:szCs w:val="24"/>
          <w:highlight w:val="none"/>
          <w:u w:val="single"/>
          <w:lang w:val="en-US" w:eastAsia="zh-CN" w:bidi="ar-SA"/>
          <w14:textFill>
            <w14:solidFill>
              <w14:schemeClr w14:val="tx1"/>
            </w14:solidFill>
          </w14:textFill>
        </w:rPr>
        <w:t xml:space="preserve">              </w:t>
      </w:r>
      <w:permEnd w:id="175"/>
    </w:p>
    <w:p w14:paraId="1256D44F">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25.5承包人代表应当在合同约定的开工日期前到任。在监理工程师向承包人颁发（出具）工程接收证书前，承包人代表不得同时兼任其他任何项目的承包人代表。承包人代表的姓名、职称、身份证号、执业资格证书号、注册证书号、执业印章号、安全生产考核合格证书号等细节资料应当在合同协议书中载明。承包人代表应保证全过程负责本工程的各项施工管理工作，不得授权他人代理。</w:t>
      </w:r>
    </w:p>
    <w:p w14:paraId="35CCA00B">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25.6由发包人组织的工程会议或监理人组织的每周工地例会，承包人代表（注册建造师）和项目技术负责人必须出席（经发包人批准除外）。</w:t>
      </w:r>
    </w:p>
    <w:p w14:paraId="54E3B331">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25.7承包人代表（注册建造师）、副经理以及主要行政与技术领导等，必须常驻工地，不得兼职。合同对承包人的各种人员的到位情况和任职是作为一种条件来要求的（特别是承包人的主要管理人员、主要技术人员）。必须保证投标文件中拟定的承包人代表（注册建造师）及其主要管理人员和技术人员能及时地、始终地参与本工程的施工管理。合同签订后，承包人代表（注册建造师）、项目班子主要成员不到位，则监理工程师不签发开工令，工期不顺延；施工中班子主要成员离开工地应向监理工程师请假，经批准后才能离开，擅自离开工地，监理工程师将发出停工令，待人员回到岗位后才批准复工，由此产生的工期及经济损失由承包人自负，造成发包人和建设管理方（如有）损失的，发包人保留索赔的权利。</w:t>
      </w:r>
    </w:p>
    <w:p w14:paraId="0698A9F9">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25.8</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在本工程验收前承包人不得更换</w:t>
      </w:r>
      <w:r>
        <w:rPr>
          <w:rFonts w:hint="eastAsia" w:ascii="仿宋_GB2312" w:hAnsi="仿宋_GB2312" w:eastAsia="仿宋_GB2312" w:cs="仿宋_GB2312"/>
          <w:color w:val="000000" w:themeColor="text1"/>
          <w:sz w:val="24"/>
          <w:szCs w:val="24"/>
          <w:highlight w:val="none"/>
          <w14:textFill>
            <w14:solidFill>
              <w14:schemeClr w14:val="tx1"/>
            </w14:solidFill>
          </w14:textFill>
        </w:rPr>
        <w:t>其投标文件中承诺的管理团队人员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。如</w:t>
      </w:r>
      <w:r>
        <w:rPr>
          <w:rFonts w:hint="eastAsia" w:ascii="仿宋_GB2312" w:hAnsi="仿宋_GB2312" w:eastAsia="仿宋_GB2312" w:cs="仿宋_GB2312"/>
          <w:color w:val="000000" w:themeColor="text1"/>
          <w:sz w:val="24"/>
          <w:szCs w:val="24"/>
          <w:highlight w:val="none"/>
          <w14:textFill>
            <w14:solidFill>
              <w14:schemeClr w14:val="tx1"/>
            </w14:solidFill>
          </w14:textFill>
        </w:rPr>
        <w:t>管理团队人员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发生人身意外、突发重大疾病、行政或刑事拘留等特殊情况，承包人确需更换</w:t>
      </w:r>
      <w:r>
        <w:rPr>
          <w:rFonts w:hint="eastAsia" w:ascii="仿宋_GB2312" w:hAnsi="仿宋_GB2312" w:eastAsia="仿宋_GB2312" w:cs="仿宋_GB2312"/>
          <w:color w:val="000000" w:themeColor="text1"/>
          <w:sz w:val="24"/>
          <w:szCs w:val="24"/>
          <w:highlight w:val="none"/>
          <w14:textFill>
            <w14:solidFill>
              <w14:schemeClr w14:val="tx1"/>
            </w14:solidFill>
          </w14:textFill>
        </w:rPr>
        <w:t>管理团队人员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的，应至少提前7天以书面形式通知发包人，并征得发包人书面同意，通知中应当载明继任</w:t>
      </w:r>
      <w:r>
        <w:rPr>
          <w:rFonts w:hint="eastAsia" w:ascii="仿宋_GB2312" w:hAnsi="仿宋_GB2312" w:eastAsia="仿宋_GB2312" w:cs="仿宋_GB2312"/>
          <w:color w:val="000000" w:themeColor="text1"/>
          <w:sz w:val="24"/>
          <w:szCs w:val="24"/>
          <w:highlight w:val="none"/>
          <w14:textFill>
            <w14:solidFill>
              <w14:schemeClr w14:val="tx1"/>
            </w14:solidFill>
          </w14:textFill>
        </w:rPr>
        <w:t>管理团队人员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的注册执业资格或职称、管理经验等资料，继任</w:t>
      </w:r>
      <w:r>
        <w:rPr>
          <w:rFonts w:hint="eastAsia" w:ascii="仿宋_GB2312" w:hAnsi="仿宋_GB2312" w:eastAsia="仿宋_GB2312" w:cs="仿宋_GB2312"/>
          <w:color w:val="000000" w:themeColor="text1"/>
          <w:sz w:val="24"/>
          <w:szCs w:val="24"/>
          <w:highlight w:val="none"/>
          <w14:textFill>
            <w14:solidFill>
              <w14:schemeClr w14:val="tx1"/>
            </w14:solidFill>
          </w14:textFill>
        </w:rPr>
        <w:t>管理团队人员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应继续履行</w:t>
      </w:r>
      <w:r>
        <w:rPr>
          <w:rFonts w:hint="eastAsia" w:ascii="仿宋_GB2312" w:hAnsi="仿宋_GB2312" w:eastAsia="仿宋_GB2312" w:cs="仿宋_GB2312"/>
          <w:color w:val="000000" w:themeColor="text1"/>
          <w:sz w:val="24"/>
          <w:szCs w:val="24"/>
          <w:highlight w:val="none"/>
          <w14:textFill>
            <w14:solidFill>
              <w14:schemeClr w14:val="tx1"/>
            </w14:solidFill>
          </w14:textFill>
        </w:rPr>
        <w:t>合同约定的管理团队人员的职权及相应义务。</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拟更换人员的资质、学历、职称、业绩、实际工作能力不得低于原投标书中所承诺人员的综合素质。</w:t>
      </w:r>
    </w:p>
    <w:p w14:paraId="5275A1C9">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25.9管理团队考勤</w:t>
      </w:r>
    </w:p>
    <w:p w14:paraId="4068C9F0">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承包人一致同意，承包人应允许发包人或监理人对其投标文件中承诺的管理团队人员施工现场考勤情况进行检查，并记录考勤检查结果。管理团队人员（含承包人代表）每人每月应有25天或以上的出勤记录。</w:t>
      </w:r>
    </w:p>
    <w:p w14:paraId="288EDE85">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25.10撤换承包人代表和其他人员</w:t>
      </w:r>
    </w:p>
    <w:p w14:paraId="3565829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对于不胜任工作的承包人人员，当监理工程师要求更换时，承包人必须立即予以更换，并不得继续在本合同工程供职。若承包人代表（注册建造师）或现场管理机构主要部门负责人的实际工作能力和工作表现达不到招标文件明确要求、或工作态度存在严重不足，不适应现场工作需要，发包人有权向承包人提出撤换。承包人可以提出整改意见；如发包人不予接受，则承包人必须在7天内无条件撤换，所调换来人员的资质、资历、学历、职称、业绩、实际工作能力不低于原投标书中所承诺人员的综合素质。对于不胜任工作的承包人人员，当监理工程师要求更换时，承包人必须立即予以更换，并不得继续在本合同工程供职。</w:t>
      </w:r>
    </w:p>
    <w:p w14:paraId="7F65D927">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（2）承包人人员资格的特别规定：所有特殊工种人员、各种领班以上人员均应符合有关规定的资质，并且应持有该项工作的上岗证，在施工期间佩带其上岗证供驻地监理工程师随时检查。</w:t>
      </w:r>
    </w:p>
    <w:p w14:paraId="510FB49D">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（3）上述扣款发包人可以在履约金或者工程款中直接扣除，并在结算前办理合同变更。</w:t>
      </w:r>
    </w:p>
    <w:p w14:paraId="2D6E6C65">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53C8AF3">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26. 指定分包人</w:t>
      </w:r>
    </w:p>
    <w:p w14:paraId="25A4E39F">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26.1 依法指定的分包人</w:t>
      </w:r>
    </w:p>
    <w:p w14:paraId="691B45E8">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 实施、完成部分永久工程的分包人：</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w:t>
      </w:r>
    </w:p>
    <w:p w14:paraId="0D042796">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 提供材料和工程设备、服务的分包人：</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w:t>
      </w:r>
    </w:p>
    <w:p w14:paraId="72BA2286">
      <w:pPr>
        <w:spacing w:line="420" w:lineRule="exac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p>
    <w:p w14:paraId="0BBE580B">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27. 承包人劳务</w:t>
      </w:r>
    </w:p>
    <w:p w14:paraId="6389BBB3">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27.1</w:t>
      </w: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承包人提交施工机构安排报告</w:t>
      </w:r>
    </w:p>
    <w:p w14:paraId="36BA58BC">
      <w:pPr>
        <w:spacing w:line="420" w:lineRule="exact"/>
        <w:ind w:firstLine="480" w:firstLineChars="20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14:textFill>
            <w14:solidFill>
              <w14:schemeClr w14:val="tx1"/>
            </w14:solidFill>
          </w14:textFill>
        </w:rPr>
        <w:t>管理机构的设置</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除了根据</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投标文件中的“项目管理机构组成表”</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设置外，还需根据下表的要求进行设置：</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5"/>
      </w:tblGrid>
      <w:tr w14:paraId="7B63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0BD55A5">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14:textFill>
                  <w14:solidFill>
                    <w14:schemeClr w14:val="tx1"/>
                  </w14:solidFill>
                </w14:textFill>
              </w:rPr>
              <w:t>序</w:t>
            </w: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号</w:t>
            </w:r>
          </w:p>
        </w:tc>
        <w:tc>
          <w:tcPr>
            <w:tcW w:w="1704" w:type="dxa"/>
            <w:vAlign w:val="center"/>
          </w:tcPr>
          <w:p w14:paraId="47B94619">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14:textFill>
                  <w14:solidFill>
                    <w14:schemeClr w14:val="tx1"/>
                  </w14:solidFill>
                </w14:textFill>
              </w:rPr>
              <w:t>岗位</w:t>
            </w:r>
          </w:p>
        </w:tc>
        <w:tc>
          <w:tcPr>
            <w:tcW w:w="1704" w:type="dxa"/>
            <w:vAlign w:val="center"/>
          </w:tcPr>
          <w:p w14:paraId="2B1C3BC2">
            <w:pPr>
              <w:spacing w:before="0" w:line="420" w:lineRule="exact"/>
              <w:ind w:left="0" w:leftChars="0" w:right="0" w:righ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14:textFill>
                  <w14:solidFill>
                    <w14:schemeClr w14:val="tx1"/>
                  </w14:solidFill>
                </w14:textFill>
              </w:rPr>
              <w:t>资格要求</w:t>
            </w:r>
          </w:p>
        </w:tc>
        <w:tc>
          <w:tcPr>
            <w:tcW w:w="1704" w:type="dxa"/>
            <w:vAlign w:val="center"/>
          </w:tcPr>
          <w:p w14:paraId="46937FFC">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14:textFill>
                  <w14:solidFill>
                    <w14:schemeClr w14:val="tx1"/>
                  </w14:solidFill>
                </w14:textFill>
              </w:rPr>
              <w:t>数量</w:t>
            </w:r>
          </w:p>
        </w:tc>
        <w:tc>
          <w:tcPr>
            <w:tcW w:w="1705" w:type="dxa"/>
            <w:vAlign w:val="center"/>
          </w:tcPr>
          <w:p w14:paraId="6BA129E6">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14:textFill>
                  <w14:solidFill>
                    <w14:schemeClr w14:val="tx1"/>
                  </w14:solidFill>
                </w14:textFill>
              </w:rPr>
              <w:t>备注</w:t>
            </w:r>
          </w:p>
        </w:tc>
      </w:tr>
      <w:tr w14:paraId="4D7F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6680C64">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1</w:t>
            </w:r>
          </w:p>
        </w:tc>
        <w:tc>
          <w:tcPr>
            <w:tcW w:w="1704" w:type="dxa"/>
            <w:vAlign w:val="center"/>
          </w:tcPr>
          <w:p w14:paraId="05340424">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14:textFill>
                  <w14:solidFill>
                    <w14:schemeClr w14:val="tx1"/>
                  </w14:solidFill>
                </w14:textFill>
              </w:rPr>
              <w:t>预结算员</w:t>
            </w:r>
          </w:p>
        </w:tc>
        <w:tc>
          <w:tcPr>
            <w:tcW w:w="1704" w:type="dxa"/>
            <w:vAlign w:val="center"/>
          </w:tcPr>
          <w:p w14:paraId="50D90D95">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具有二级或以上注册造价师职业资格</w:t>
            </w:r>
          </w:p>
        </w:tc>
        <w:tc>
          <w:tcPr>
            <w:tcW w:w="1704" w:type="dxa"/>
            <w:vAlign w:val="center"/>
          </w:tcPr>
          <w:p w14:paraId="306F54BD">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不少于</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p>
        </w:tc>
        <w:tc>
          <w:tcPr>
            <w:tcW w:w="1705" w:type="dxa"/>
            <w:vAlign w:val="center"/>
          </w:tcPr>
          <w:p w14:paraId="776E586E">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p>
        </w:tc>
      </w:tr>
      <w:tr w14:paraId="6B1A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6E0B2E4">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2</w:t>
            </w:r>
          </w:p>
        </w:tc>
        <w:tc>
          <w:tcPr>
            <w:tcW w:w="1704" w:type="dxa"/>
            <w:vAlign w:val="center"/>
          </w:tcPr>
          <w:p w14:paraId="07BFB6AF">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14:textFill>
                  <w14:solidFill>
                    <w14:schemeClr w14:val="tx1"/>
                  </w14:solidFill>
                </w14:textFill>
              </w:rPr>
              <w:t>资料员</w:t>
            </w:r>
          </w:p>
        </w:tc>
        <w:tc>
          <w:tcPr>
            <w:tcW w:w="1704" w:type="dxa"/>
            <w:vAlign w:val="center"/>
          </w:tcPr>
          <w:p w14:paraId="1B7B6D95">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w:t>
            </w:r>
          </w:p>
        </w:tc>
        <w:tc>
          <w:tcPr>
            <w:tcW w:w="1704" w:type="dxa"/>
            <w:vAlign w:val="center"/>
          </w:tcPr>
          <w:p w14:paraId="0B7FA85B">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不少于</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p>
        </w:tc>
        <w:tc>
          <w:tcPr>
            <w:tcW w:w="1705" w:type="dxa"/>
            <w:vAlign w:val="center"/>
          </w:tcPr>
          <w:p w14:paraId="6D5783E5">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p>
        </w:tc>
      </w:tr>
      <w:tr w14:paraId="34FA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7A30B46D">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3</w:t>
            </w:r>
          </w:p>
        </w:tc>
        <w:tc>
          <w:tcPr>
            <w:tcW w:w="1704" w:type="dxa"/>
            <w:vAlign w:val="center"/>
          </w:tcPr>
          <w:p w14:paraId="16461C43">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14:textFill>
                  <w14:solidFill>
                    <w14:schemeClr w14:val="tx1"/>
                  </w14:solidFill>
                </w14:textFill>
              </w:rPr>
              <w:t>施工员</w:t>
            </w:r>
          </w:p>
        </w:tc>
        <w:tc>
          <w:tcPr>
            <w:tcW w:w="1704" w:type="dxa"/>
            <w:vAlign w:val="center"/>
          </w:tcPr>
          <w:p w14:paraId="4327D1EF">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w:t>
            </w:r>
          </w:p>
        </w:tc>
        <w:tc>
          <w:tcPr>
            <w:tcW w:w="1704" w:type="dxa"/>
            <w:vAlign w:val="center"/>
          </w:tcPr>
          <w:p w14:paraId="49B301F6">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不少于</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p>
        </w:tc>
        <w:tc>
          <w:tcPr>
            <w:tcW w:w="1705" w:type="dxa"/>
            <w:vAlign w:val="center"/>
          </w:tcPr>
          <w:p w14:paraId="0BF6A0A5">
            <w:pPr>
              <w:spacing w:before="0" w:line="420" w:lineRule="exact"/>
              <w:ind w:left="0" w:leftChars="0" w:firstLine="0" w:firstLineChars="0"/>
              <w:jc w:val="center"/>
              <w:rPr>
                <w:rFonts w:hint="eastAsia" w:ascii="仿宋_GB2312" w:hAnsi="仿宋_GB2312" w:eastAsia="仿宋_GB2312" w:cs="仿宋_GB2312"/>
                <w:color w:val="000000" w:themeColor="text1"/>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p>
        </w:tc>
      </w:tr>
    </w:tbl>
    <w:p w14:paraId="50AD9A50">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27.2承包人人员的雇佣</w:t>
      </w:r>
    </w:p>
    <w:p w14:paraId="55C0FD24">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除应雇佣投标文件中“主要人员一览表”中指明的人员外，也可以雇佣经监理工程师批准的其他人员，但不得从发包人或服务于发包人的人员中雇佣人员。承包人安排在施工场地的主要管理人员和技术骨干应相对稳定。特殊岗位的工作人员均应持有相应的资格证明，监理工程师有权随时检查。监理工程师认为有必要时，可进行现场考核。</w:t>
      </w:r>
    </w:p>
    <w:p w14:paraId="24C719AB">
      <w:pPr>
        <w:keepNext w:val="0"/>
        <w:keepLines w:val="0"/>
        <w:pageBreakBefore w:val="0"/>
        <w:widowControl/>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27.9建设工地务工人员健康管理</w:t>
      </w:r>
    </w:p>
    <w:p w14:paraId="0F77C85E">
      <w:pPr>
        <w:keepNext w:val="0"/>
        <w:keepLines w:val="0"/>
        <w:pageBreakBefore w:val="0"/>
        <w:widowControl/>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根据《中华人民共和国职业病防治法》《职业健康监护管理办法》等有关规定，承包人应结合水务建设工地现场作业环境、人员年龄结构等实际情况，做好水务建设工地务工人员健康管理工作。相关费用已包含在合同价款中，发包人不另行计量支付。具体要求如下：</w:t>
      </w:r>
    </w:p>
    <w:p w14:paraId="6F22CF85">
      <w:pPr>
        <w:keepNext w:val="0"/>
        <w:keepLines w:val="0"/>
        <w:pageBreakBefore w:val="0"/>
        <w:widowControl/>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（1）承包人应组织做好建设工地务工人员进场前的健康体检及进场后的日常健康监测等，同时应配备工地现场务工人员健康管理员，负责各项工作的具体落实。</w:t>
      </w:r>
    </w:p>
    <w:p w14:paraId="2594D7EA">
      <w:pPr>
        <w:keepNext w:val="0"/>
        <w:keepLines w:val="0"/>
        <w:pageBreakBefore w:val="0"/>
        <w:widowControl/>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承包人应根据工程项目务工人员实际情况，选择符合要求的医疗卫生机构开展体检工作。每年体检应不少于1次，体检报告超过一年的应重新进行体检。体检项目具体由承包人结合岗位工作内容、务工人员年龄及健康状况等确定。</w:t>
      </w:r>
    </w:p>
    <w:p w14:paraId="5802FF85">
      <w:pPr>
        <w:keepNext w:val="0"/>
        <w:keepLines w:val="0"/>
        <w:pageBreakBefore w:val="0"/>
        <w:widowControl/>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（3）承包人应重视施工过程中日常健康检查，工程项目应配备血压计、体温测量仪等医疗日常检查设备及相关急救药品，鼓励配备AED除颤仪，定期对务工人员进行血压测量和健康状况观察等例行检查。</w:t>
      </w:r>
    </w:p>
    <w:p w14:paraId="0569236F">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DE6464D">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28. 工程担保</w:t>
      </w:r>
    </w:p>
    <w:p w14:paraId="5E4DA93C">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28.1 承包人提供履约担保的约定</w:t>
      </w:r>
    </w:p>
    <w:p w14:paraId="7E0605B0">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（1）履约担保的金额按照中标合同额</w:t>
      </w:r>
      <w:permStart w:id="17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10%</w:t>
      </w:r>
      <w:permEnd w:id="176"/>
      <w:r>
        <w:rPr>
          <w:rFonts w:hint="eastAsia" w:ascii="仿宋_GB2312" w:hAnsi="仿宋_GB2312" w:eastAsia="仿宋_GB2312" w:cs="仿宋_GB2312"/>
          <w:color w:val="000000" w:themeColor="text1"/>
          <w:sz w:val="24"/>
          <w:szCs w:val="24"/>
          <w:highlight w:val="none"/>
          <w14:textFill>
            <w14:solidFill>
              <w14:schemeClr w14:val="tx1"/>
            </w14:solidFill>
          </w14:textFill>
        </w:rPr>
        <w:t>提交（具体由发包人视工程重要性、合同金额等情况确定，但不得高于中标合同额的10%）。</w:t>
      </w:r>
    </w:p>
    <w:p w14:paraId="1BA7138F">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履约担保的金额：（大写）</w:t>
      </w:r>
      <w:permStart w:id="177"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77"/>
      <w:r>
        <w:rPr>
          <w:rFonts w:hint="eastAsia" w:ascii="仿宋_GB2312" w:hAnsi="仿宋_GB2312" w:eastAsia="仿宋_GB2312" w:cs="仿宋_GB2312"/>
          <w:color w:val="000000" w:themeColor="text1"/>
          <w:sz w:val="24"/>
          <w:szCs w:val="24"/>
          <w:highlight w:val="none"/>
          <w14:textFill>
            <w14:solidFill>
              <w14:schemeClr w14:val="tx1"/>
            </w14:solidFill>
          </w14:textFill>
        </w:rPr>
        <w:t>（小写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Start w:id="17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78"/>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p w14:paraId="642C4320">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 提供履约担保的时间：</w:t>
      </w:r>
    </w:p>
    <w:p w14:paraId="51D6FF9C">
      <w:pPr>
        <w:spacing w:line="420" w:lineRule="exact"/>
        <w:ind w:firstLine="960" w:firstLineChars="4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签订本合同时；</w:t>
      </w:r>
    </w:p>
    <w:p w14:paraId="6C9BDC3C">
      <w:pPr>
        <w:spacing w:line="420" w:lineRule="exact"/>
        <w:ind w:firstLine="120" w:firstLineChars="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permStart w:id="179"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签订合同后30天内。  </w:t>
      </w:r>
      <w:permEnd w:id="179"/>
    </w:p>
    <w:p w14:paraId="7F2AD21F">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承包人应当按照发包人在招标文件中规定的格式或者其他经过发包人认可的格式向发包人递交一份履约担保。经过发包人事先书面认可的其他格式的履约担保，其担保条款的实质性内容应当与发包人在招标文件中规定的格式内容保持一致。承包人逾期提交履约担保的，发包人有权顺延支付预付款和进度款的时间，且不视为发包人违约。</w:t>
      </w:r>
    </w:p>
    <w:p w14:paraId="6E967E33">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承包人以履约银行保函或担保保函或保证保险形式提交履约保证金的，在银行保函或担保保函或保证保险到期前，承包人应提前7天向发包人提交新的保函或保险以替换即将到期的保函或保险，且新提交的保函或保险的期限延长不得少于6个月。如承包人未及时提交的，发包人有权直接要求担保银行或担保机构或保险机构支付其担保的全部金额。当发生违约情形而导致履约保证金被扣罚或因其他原因，而导致履约保证金余额少于剩余工程量的10%,或者少于合同总价的2%的，承包人应在收到发包人通知之日起在7天内补足，补足后的履约保证金金额应相当于剩余工程量的10%，且不得低于合同总价的2%，否则按两者较高者补足。对于未按时限要求补足的，发包人有权扣罚剩余的全部履约保证金并有权解除合同。</w:t>
      </w:r>
    </w:p>
    <w:p w14:paraId="11333C17">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w:t>
      </w:r>
      <w:permStart w:id="18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10万元/次</w:t>
      </w:r>
      <w:permEnd w:id="180"/>
      <w:r>
        <w:rPr>
          <w:rFonts w:hint="eastAsia" w:ascii="仿宋_GB2312" w:hAnsi="仿宋_GB2312" w:eastAsia="仿宋_GB2312" w:cs="仿宋_GB2312"/>
          <w:color w:val="000000" w:themeColor="text1"/>
          <w:sz w:val="24"/>
          <w:szCs w:val="24"/>
          <w:highlight w:val="none"/>
          <w14:textFill>
            <w14:solidFill>
              <w14:schemeClr w14:val="tx1"/>
            </w14:solidFill>
          </w14:textFill>
        </w:rPr>
        <w:t>作为违约金。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14:paraId="71AAFC82">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28.4 发包人提供支付担保的约定</w:t>
      </w:r>
    </w:p>
    <w:p w14:paraId="76B23908">
      <w:pPr>
        <w:spacing w:line="420" w:lineRule="exact"/>
        <w:ind w:firstLine="120" w:firstLineChars="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w:t>
      </w:r>
      <w:permStart w:id="181"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permEnd w:id="181"/>
      <w:r>
        <w:rPr>
          <w:rFonts w:hint="eastAsia" w:ascii="仿宋_GB2312" w:hAnsi="仿宋_GB2312" w:eastAsia="仿宋_GB2312" w:cs="仿宋_GB2312"/>
          <w:color w:val="000000" w:themeColor="text1"/>
          <w:sz w:val="24"/>
          <w:szCs w:val="24"/>
          <w:highlight w:val="none"/>
          <w14:textFill>
            <w14:solidFill>
              <w14:schemeClr w14:val="tx1"/>
            </w14:solidFill>
          </w14:textFill>
        </w:rPr>
        <w:t>支付担保的金额：（大写）</w:t>
      </w:r>
      <w:permStart w:id="18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82"/>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（小写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Start w:id="18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83"/>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元</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514EA9ED">
      <w:pPr>
        <w:spacing w:line="420" w:lineRule="exact"/>
        <w:ind w:firstLine="120" w:firstLineChars="5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（2） 提供支付担保的时间：</w:t>
      </w:r>
    </w:p>
    <w:p w14:paraId="187E2810">
      <w:pPr>
        <w:spacing w:line="420" w:lineRule="exact"/>
        <w:ind w:firstLine="120" w:firstLineChars="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ermStart w:id="184"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permEnd w:id="18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签订本合同时；</w:t>
      </w:r>
    </w:p>
    <w:p w14:paraId="644347B0">
      <w:pPr>
        <w:spacing w:line="420" w:lineRule="exact"/>
        <w:ind w:firstLine="120" w:firstLineChars="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Start w:id="185"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18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另作约定：</w:t>
      </w:r>
      <w:permStart w:id="18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86"/>
    </w:p>
    <w:p w14:paraId="6452CA78">
      <w:pPr>
        <w:spacing w:line="420" w:lineRule="exact"/>
        <w:ind w:firstLine="120" w:firstLineChars="5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（3） </w:t>
      </w:r>
      <w:permStart w:id="187"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permEnd w:id="18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出具支付保函的担保人：</w:t>
      </w:r>
      <w:permStart w:id="18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88"/>
    </w:p>
    <w:p w14:paraId="0AA564EA">
      <w:pPr>
        <w:spacing w:line="420" w:lineRule="exact"/>
        <w:ind w:firstLine="120" w:firstLineChars="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Start w:id="189"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permEnd w:id="18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出具</w:t>
      </w:r>
      <w:r>
        <w:rPr>
          <w:rFonts w:hint="eastAsia" w:ascii="仿宋_GB2312" w:hAnsi="仿宋_GB2312" w:eastAsia="仿宋_GB2312" w:cs="仿宋_GB2312"/>
          <w:color w:val="000000" w:themeColor="text1"/>
          <w:sz w:val="24"/>
          <w:szCs w:val="24"/>
          <w:highlight w:val="none"/>
          <w:shd w:val="clear" w:color="auto" w:fill="FFFFFF"/>
          <w14:textFill>
            <w14:solidFill>
              <w14:schemeClr w14:val="tx1"/>
            </w14:solidFill>
          </w14:textFill>
        </w:rPr>
        <w:t>支付担保</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的担保人：</w:t>
      </w:r>
      <w:permStart w:id="19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90"/>
    </w:p>
    <w:p w14:paraId="5BF8741E">
      <w:pPr>
        <w:spacing w:line="420" w:lineRule="exact"/>
        <w:ind w:firstLine="120" w:firstLineChars="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Start w:id="191"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permEnd w:id="19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出具</w:t>
      </w:r>
      <w:r>
        <w:rPr>
          <w:rFonts w:hint="eastAsia" w:ascii="仿宋_GB2312" w:hAnsi="仿宋_GB2312" w:eastAsia="仿宋_GB2312" w:cs="仿宋_GB2312"/>
          <w:color w:val="000000" w:themeColor="text1"/>
          <w:sz w:val="24"/>
          <w:szCs w:val="24"/>
          <w:highlight w:val="none"/>
          <w:shd w:val="clear" w:color="auto" w:fill="FFFFFF"/>
          <w14:textFill>
            <w14:solidFill>
              <w14:schemeClr w14:val="tx1"/>
            </w14:solidFill>
          </w14:textFill>
        </w:rPr>
        <w:t>支付保证保险</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的担保人：</w:t>
      </w:r>
      <w:permStart w:id="19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92"/>
    </w:p>
    <w:p w14:paraId="46A3411B">
      <w:pPr>
        <w:spacing w:line="420" w:lineRule="exact"/>
        <w:ind w:firstLine="1080" w:firstLineChars="4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193"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permEnd w:id="19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其它：</w:t>
      </w:r>
      <w:permStart w:id="19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以发包人办理为准。                          </w:t>
      </w:r>
      <w:permEnd w:id="194"/>
    </w:p>
    <w:p w14:paraId="2770470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28.8 担保内容、方式和责任等事项的约定：</w:t>
      </w:r>
      <w:permStart w:id="19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不管保函条款中如何约定，发包人根据保函条款提出索赔或兑现要求28天前，应通知承包人并说明导致此类索赔或兑现的违约性质或原因。相应地，承包人根据保函条款提出索赔或兑现要求28天前，也应通知发包人并说明导致此类索赔或兑现的违约性质或原因。但是，本项约定的通知不应理解为是在任何意义上寻求承包人或者发包人的同意。  </w:t>
      </w:r>
      <w:permEnd w:id="195"/>
    </w:p>
    <w:p w14:paraId="5016B6FE">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31. 不可抗力</w:t>
      </w:r>
    </w:p>
    <w:p w14:paraId="7472A830">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31.1（1）其他不可抗力情形：</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w:t>
      </w:r>
    </w:p>
    <w:p w14:paraId="737453B2">
      <w:pPr>
        <w:spacing w:line="420" w:lineRule="exact"/>
        <w:ind w:firstLine="960" w:firstLineChars="4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（2）不可抗力的等级范围约定：指不能预见、不能避免并不能克服的客观情况。本合同双方约定为10级（不含本数）以上大风和5级（不含本数）以上地震；以国家、省、市气象局或地震局公布信息为准。</w:t>
      </w:r>
    </w:p>
    <w:p w14:paraId="2C214B32">
      <w:pPr>
        <w:widowControl w:val="0"/>
        <w:numPr>
          <w:ilvl w:val="0"/>
          <w:numId w:val="0"/>
        </w:numPr>
        <w:tabs>
          <w:tab w:val="left" w:pos="420"/>
          <w:tab w:val="left" w:pos="576"/>
        </w:tabs>
        <w:spacing w:before="260" w:line="420" w:lineRule="exact"/>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32. 保险</w:t>
      </w:r>
    </w:p>
    <w:p w14:paraId="5EB1450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32.1 委托承包人办理保险的事项有：</w:t>
      </w:r>
    </w:p>
    <w:p w14:paraId="295000C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通用条款第32.1款的第（1）项；</w:t>
      </w:r>
    </w:p>
    <w:p w14:paraId="3ECBD88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通用条款第32.1款的第（2）项；</w:t>
      </w:r>
    </w:p>
    <w:p w14:paraId="628FBBA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通用条款第32.1款的第（3）项。</w:t>
      </w:r>
    </w:p>
    <w:p w14:paraId="0ABF8E0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32.8 投保内容、保险金、保险期限和责任等事项的约定：</w:t>
      </w:r>
    </w:p>
    <w:p w14:paraId="32BC022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投保人为承包人，通用条款第32.1款的第（1）、（3）项由发包人委托承包人办理的保险，承包人应当在对应的不可竞争性费用预算范围内办理，并在办理前报发包人确认；通用条款第32.2款由承包人办理的保险，保险费用已包含在合同价款中，其中安全生产责任险的费用已包括在安全生产措施费中。</w:t>
      </w:r>
    </w:p>
    <w:p w14:paraId="47653F6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（2）保险期限：工程质量保险自工程开工之日起至工程缺陷责任期终止证书颁发之日止；其余保险自工程开工之日起至工程竣工验收合格之日止。</w:t>
      </w:r>
    </w:p>
    <w:p w14:paraId="7DF0EC5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（3）承包人应在工程开工前完成办理，并于办理后</w:t>
      </w:r>
      <w:permStart w:id="19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5 </w:t>
      </w:r>
      <w:permEnd w:id="19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日内将办理保险的相关资料及情况向发包人备案，否则，承包人应向发包人支付合同价的</w:t>
      </w:r>
      <w:permStart w:id="19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10% </w:t>
      </w:r>
      <w:permEnd w:id="19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（不高于100万元）作为违约金。由于承包人未按本条约定办理保险，导致受益人未能得到保险人的赔偿，则该项保险赔偿金由承包人支付。</w:t>
      </w:r>
    </w:p>
    <w:p w14:paraId="19C8488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28741DF7">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33. 进度计划和报告</w:t>
      </w:r>
    </w:p>
    <w:p w14:paraId="7D24DCD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33.1 提交工程进度计划</w:t>
      </w:r>
    </w:p>
    <w:p w14:paraId="4D1DC45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（1）承包人应当在收到监理工程师发出的开工通知后</w:t>
      </w:r>
      <w:permStart w:id="19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7天 </w:t>
      </w:r>
      <w:permEnd w:id="19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内，编制详细的施工组织设计和施工进度计划并报送监理工程师和发包人审批。承包人编制施工组织设计和施工进度计划的内容：</w:t>
      </w:r>
      <w:permStart w:id="199"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按有关规定、规范要求编制，包括但不限于施工组织方案、地下管线设施保护专项方案、双重预防机制工作方案、安全文明施工措施费用使用计划。三防专项方案、进度计划控制进度控制、施工机具进场及使用管理制度、生产安全应急救援预案、专项交通疏导方案、施工现场安全防护设施搭设(设置)计划、夜间施工方案、占道施工事前、事中宣传告知方案等 </w:t>
      </w:r>
      <w:permEnd w:id="19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，施工进度计划中还应载明要求发包人组织设计人进行阶段性工程设计交底的时间，并于每月15日前报送下月“工程进度计划表”。</w:t>
      </w:r>
    </w:p>
    <w:p w14:paraId="51DE1A9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（2）监理工程师批复或对施工组织设计和施工进度计划提出修改意见的期限：自监理工程师收到承包人报送的相关施工组织设计和进度计划后5天内，并于每月18日前批复“工程进度计划表”。</w:t>
      </w:r>
    </w:p>
    <w:p w14:paraId="44EBB84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（3）承包人编制分阶段或分项施工进度计划的内容：</w:t>
      </w:r>
      <w:permStart w:id="20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在合同总进度计划基础上编制，包括分阶段或分部分项工程的施工进度计划编制说明、施工进度计划表(包括总进度及分进度)、分阶段或分部分项项工程的计划分析及控制措施、网络计划及控制节点等内容；施工方案包括分阶段或分部分项工程概况、施工部署方案、施工工序流程及布置图、分部分项工程的施工方案、机械人员投入计划及应急预案等内容  </w:t>
      </w:r>
      <w:permEnd w:id="20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167D41B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承包人报送分阶段或分项施工进度计划的期限：</w:t>
      </w:r>
      <w:permStart w:id="20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开工前7天内   </w:t>
      </w:r>
      <w:permEnd w:id="20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583F8D0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（4）单位工程分期进行施工的，承包人应按照发包人提供图纸及有关资料的时间，按单位工程编制进度计划。有关进度计划的要求：按单位工程编制进度计划执行。</w:t>
      </w:r>
    </w:p>
    <w:p w14:paraId="038D113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承包人开工前提供的施工组织设计和施工总进度计划必须详细、全面、切实可行且符合总工期的要求，并且应充分考虑气候、机械设备、各种材料、劳动力、现场条件与状况等一切足以影响工期的因素。经监理工程师和发包人确认的施工组织设计和施工总进度计划开始实施后，除不可抗力或经发包人批准外，将不予调整。</w:t>
      </w:r>
    </w:p>
    <w:p w14:paraId="7E81424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承包人编制的实施性施工组织设计（施工方案）应切实可行，满足发包人对该工程质量及工期的要求，并不得违反国家及政府有关部门关于安全施工、文明施工和环境保护的相关规定。若与相关规定相抵触或因此而产生其他任何不良后果，即使该施工组织设计（施工方案）得到监理工程师、发包人的认可，承包人仍须承担由此而引至的一切经济赔偿、损失和法律责任。</w:t>
      </w:r>
    </w:p>
    <w:p w14:paraId="6B39171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承包人应当加强计划管理，严格按照监理工程师确认的施工组织设计（施工方案）和工程进度计划组织施工，并接受监理工程师对工程进度的检查、监督。为便于监理工程师掌握和控制工期，承包人应于每月20日前向监理工程师填报工程（含各分部、分项工程）的当月进度计划完成情况（未完成计划的必须说明原因），并在此基础上更新工程进度计划、资金计划和其它工作计划。监理工程师在接到报告后应当予以确认或提出书面意见，承包人必须按照监理工程师的确认或者书面意见执行。</w:t>
      </w:r>
    </w:p>
    <w:p w14:paraId="03099A59">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33.3 承包人编制月度施工进度报告和修订进度计划的约定：</w:t>
      </w:r>
      <w:permStart w:id="20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承包人接到发包方书面通知规定的时间内必须完成施工进度计划或修订进度计划。发包人提供正式的施工图纸、设计交底和移交施工场地后的15天内承包人提交符合本工程特点且具有可操作性的总施工组织设计(包含总进度计划，总进度计划用时标网络图及横道图表示)，同时在每月的25日提供月进度计划报表。承包人应当加强计划管理，严格按照工程师确认的工程进度计划组织施工，并接受工程师对工程进度的检查、监督。</w:t>
      </w:r>
    </w:p>
    <w:p w14:paraId="011E353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为了便于工程师掌握和控制工期，承包人应于每月25日前向工程师填报工程(含各分部、分项工程)的当月进度计划完成情况(未完成计划的必须说明原因)，并在此基础上更新工程进度计划、资金计划和其它工作计划。工程师在接到报告后应当予以确认或提出书面意见,承包人必须按照工程师的确认或者书面意见执行。  </w:t>
      </w:r>
      <w:permEnd w:id="202"/>
    </w:p>
    <w:p w14:paraId="2F1279D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33.4 如果监理工程师指出承包人的实际进度和经确认的计划进度不符时，承包人应按照监理工程师的要求提出改进措施，经监理工程师确认后执行。因承包人的原因导致实际进度迟于计划进度的，承包人非但无权就改进措施要求发包人支付任何附加费用，且应按照第66.2款规定向发包人支付由此产生的误期赔偿费。工程进度计划即使经监理工程师确认，也不能免除承包人按照合同约定应承担的任何责任和应履行的任何义务。如承包人未能在监理工程师发布指令后10天内采取有效措施，工程进度仍然无明显改进，发包人有权解除部分或全部合同，将未完工程另行发包或者划拨给其他有能力的第三方，承包人必须无条件服从，由此所造成的损失全部由承包人承担，并不免除承包人的违约赔偿责任。有关部分或全部解除合同按第87条的约定执行。</w:t>
      </w:r>
    </w:p>
    <w:p w14:paraId="6574BE9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（1）承包人报送修订合同进度计划申请报告和相关资料的期限：</w:t>
      </w:r>
      <w:permStart w:id="20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经总监理工程师同意后15个工作日 </w:t>
      </w:r>
      <w:permEnd w:id="20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6735DCF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（2）监理工程师批复修订合同进度计划申请报告的期限：</w:t>
      </w:r>
      <w:permStart w:id="20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收到申请报告后7日内   </w:t>
      </w:r>
      <w:permEnd w:id="20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64DB2B41">
      <w:pPr>
        <w:numPr>
          <w:ilvl w:val="0"/>
          <w:numId w:val="0"/>
        </w:numPr>
        <w:spacing w:line="420" w:lineRule="exact"/>
        <w:ind w:firstLine="480"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（3）监理工程师批复修订合同进度计划的期限：</w:t>
      </w:r>
      <w:permStart w:id="20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批复申请报告后7日内  </w:t>
      </w:r>
      <w:permEnd w:id="20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0EA95001">
      <w:pPr>
        <w:widowControl w:val="0"/>
        <w:numPr>
          <w:ilvl w:val="0"/>
          <w:numId w:val="0"/>
        </w:numPr>
        <w:tabs>
          <w:tab w:val="left" w:pos="420"/>
          <w:tab w:val="left" w:pos="576"/>
        </w:tabs>
        <w:spacing w:before="260" w:line="420" w:lineRule="exact"/>
        <w:ind w:left="576" w:firstLine="120" w:firstLineChars="50"/>
        <w:jc w:val="left"/>
        <w:outlineLvl w:val="1"/>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lang w:val="en-US" w:eastAsia="zh-CN" w:bidi="ar-SA"/>
          <w14:textFill>
            <w14:solidFill>
              <w14:schemeClr w14:val="tx1"/>
            </w14:solidFill>
          </w14:textFill>
        </w:rPr>
        <w:t>34. 开工</w:t>
      </w:r>
    </w:p>
    <w:p w14:paraId="3A2EE06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34.2 监理工程师在本合同签订后的（</w:t>
      </w:r>
      <w:permStart w:id="206"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0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）天内签发开工令。</w:t>
      </w:r>
    </w:p>
    <w:p w14:paraId="22CBDCFB">
      <w:pPr>
        <w:spacing w:line="420" w:lineRule="exact"/>
        <w:ind w:firstLine="600" w:firstLineChars="2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按通用条款规定的时间。</w:t>
      </w:r>
    </w:p>
    <w:p w14:paraId="73676B33">
      <w:pPr>
        <w:spacing w:line="420" w:lineRule="exact"/>
        <w:ind w:firstLine="600" w:firstLineChars="2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2FB0161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34.3 </w:t>
      </w:r>
      <w:r>
        <w:rPr>
          <w:rFonts w:hint="eastAsia" w:ascii="仿宋_GB2312" w:hAnsi="仿宋_GB2312" w:eastAsia="仿宋_GB2312" w:cs="仿宋_GB2312"/>
          <w:color w:val="000000" w:themeColor="text1"/>
          <w:sz w:val="24"/>
          <w:szCs w:val="24"/>
          <w:highlight w:val="none"/>
          <w14:textFill>
            <w14:solidFill>
              <w14:schemeClr w14:val="tx1"/>
            </w14:solidFill>
          </w14:textFill>
        </w:rPr>
        <w:t>因承包人原因不能按照协议书约定的开工日期开工，承包人不迟于协议书约定的开工日期前7天，以书面形式向监理工程师提出延期开工的理由和要求。监理工程师应当在接到延期开工申请后的24小时内以书面形式报送发包人，征得发包人书面同意后，工期方能相应顺延。若监理工程师不同意延期要求或承包人未在规定时间内提出延期开工要求，工期不予顺延。</w:t>
      </w:r>
    </w:p>
    <w:p w14:paraId="7608175E">
      <w:pPr>
        <w:spacing w:line="420" w:lineRule="exac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79C31D1C">
      <w:pPr>
        <w:spacing w:line="420" w:lineRule="exact"/>
        <w:rPr>
          <w:rFonts w:hint="eastAsia" w:ascii="黑体" w:hAnsi="黑体" w:eastAsia="黑体" w:cs="黑体"/>
          <w:b w:val="0"/>
          <w:bCs w:val="0"/>
          <w:color w:val="000000" w:themeColor="text1"/>
          <w:kern w:val="0"/>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35.暂停施工和复工</w:t>
      </w:r>
    </w:p>
    <w:p w14:paraId="7F7B6E2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35.4 承包人原因造成暂停施工的其他原因：</w:t>
      </w:r>
    </w:p>
    <w:p w14:paraId="40371FD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（1）质量事故；</w:t>
      </w:r>
    </w:p>
    <w:p w14:paraId="058EA20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（2）安全生产事故；</w:t>
      </w:r>
    </w:p>
    <w:p w14:paraId="4F4A1CB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（3）拒绝监理工程师管理；</w:t>
      </w:r>
    </w:p>
    <w:p w14:paraId="00279A7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（4）施工组织计划（方案）未获监理工程师批准而进行施工；</w:t>
      </w:r>
    </w:p>
    <w:p w14:paraId="056DF37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（5）未经监理工程师检验而进行下一道工序作业者；</w:t>
      </w:r>
    </w:p>
    <w:p w14:paraId="7955E7F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（6）擅自采用未经监理工程师及发包人认可获批准的材料，或者使用的原材料、构配件不合格或未经检查确认，或者擅自采用未经认可的代用材料的；</w:t>
      </w:r>
    </w:p>
    <w:p w14:paraId="4AB96C4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（7）擅自变更实际图纸的要求；</w:t>
      </w:r>
    </w:p>
    <w:p w14:paraId="7C8C5F7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（8）转包工程；</w:t>
      </w:r>
    </w:p>
    <w:p w14:paraId="149311D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（9）未经监理工程师、发包人同意，擅自让分包单位进场作业；</w:t>
      </w:r>
    </w:p>
    <w:p w14:paraId="59C1A1B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（10）存在安全隐患，未按监理工程师要求及时进行整改。</w:t>
      </w:r>
    </w:p>
    <w:p w14:paraId="23A1C73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35.7 暂停施工持续56天以上，按合同约定由承包人提供的材料和工程设备，由于暂停施工原因导致承包人在暂停施工前已经订购但被暂停运至施工现场的，发包人应按照承包人订购合同的约定支付相应的订购款项。</w:t>
      </w:r>
    </w:p>
    <w:p w14:paraId="47418B6E">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785717E6">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36. 工期及工期延误</w:t>
      </w:r>
    </w:p>
    <w:p w14:paraId="74407CD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36.1 合同工程的工期约定为（</w:t>
      </w:r>
      <w:permStart w:id="207"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按协议书第三条约定 </w:t>
      </w:r>
      <w:permEnd w:id="20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）天。</w:t>
      </w:r>
    </w:p>
    <w:p w14:paraId="2609E977">
      <w:pPr>
        <w:spacing w:line="420" w:lineRule="exact"/>
        <w:ind w:firstLine="120" w:firstLineChars="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w:t>
      </w:r>
      <w:permStart w:id="20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208"/>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（工程名称）单位工程的工期约定为</w:t>
      </w:r>
      <w:permStart w:id="20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209"/>
      <w:r>
        <w:rPr>
          <w:rFonts w:hint="eastAsia" w:ascii="仿宋_GB2312" w:hAnsi="仿宋_GB2312" w:eastAsia="仿宋_GB2312" w:cs="仿宋_GB2312"/>
          <w:color w:val="000000" w:themeColor="text1"/>
          <w:sz w:val="24"/>
          <w:szCs w:val="24"/>
          <w:highlight w:val="none"/>
          <w14:textFill>
            <w14:solidFill>
              <w14:schemeClr w14:val="tx1"/>
            </w14:solidFill>
          </w14:textFill>
        </w:rPr>
        <w:t>天。</w:t>
      </w:r>
    </w:p>
    <w:p w14:paraId="16DEF624">
      <w:pPr>
        <w:spacing w:line="420" w:lineRule="exact"/>
        <w:ind w:firstLine="120" w:firstLineChars="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（2）</w:t>
      </w:r>
      <w:permStart w:id="21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210"/>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（工程名称）单位工程的工期约定为</w:t>
      </w:r>
      <w:permStart w:id="21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211"/>
      <w:r>
        <w:rPr>
          <w:rFonts w:hint="eastAsia" w:ascii="仿宋_GB2312" w:hAnsi="仿宋_GB2312" w:eastAsia="仿宋_GB2312" w:cs="仿宋_GB2312"/>
          <w:color w:val="000000" w:themeColor="text1"/>
          <w:sz w:val="24"/>
          <w:szCs w:val="24"/>
          <w:highlight w:val="none"/>
          <w14:textFill>
            <w14:solidFill>
              <w14:schemeClr w14:val="tx1"/>
            </w14:solidFill>
          </w14:textFill>
        </w:rPr>
        <w:t>天。</w:t>
      </w:r>
    </w:p>
    <w:p w14:paraId="16AFEFCA">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36.3工期顺延</w:t>
      </w:r>
    </w:p>
    <w:p w14:paraId="7C51A11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（5）设计变更和工程量增加超过原工程量的10%及以上时（按合同价计算，下同），并经监理工程师确认的。</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如因发包人原因致使承包人暂时无法进行正常施工时，所延误的工期，承包人想方设法弥补，对影响部分经发包人核准并视影响程度再另定顺延期限。</w:t>
      </w:r>
    </w:p>
    <w:p w14:paraId="1225BA8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36.8承包人的工期延误</w:t>
      </w:r>
    </w:p>
    <w:p w14:paraId="592D5C4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本工程工期实行节点工期和总工期双控制。节点工期完成时间经发包人、监理工程师确认后做为控制阶段工期的依据。当承包人实际完成节点进度时间比计划时间拖迟但少于7天的，视为承包人按计划完成，但承包人必须采取有效措施，保证在下一节点工作完成时符合计划进度时间。节点工期拖迟超过7天的，从第八天开始，其所延误的工期赔偿为每天收取工程合同价的1%，整改无效或节点工期延迟超过10天以上，发包人有权解除部分合同，并追究承包人的违约责任。</w:t>
      </w:r>
    </w:p>
    <w:p w14:paraId="3B92CE9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承包人的实际工程进度曲线在规定的安全区域下限之外时，监理工程师有权认为合同工程的进度过慢，承包人应采取措施（包括但不限于增加人员机械设备投入、增加施工作业面及施工点等）加快进度，并承担加快进度所增加的费用。由于承包人原因造成的关键工序进度严重滞后时，经监理工程师核实，发包人有权对承包人发出限期改正通知，承包人应调整计划工程进度，报监理工程师审批后，经发包人同意调整工程进度排期。</w:t>
      </w:r>
    </w:p>
    <w:p w14:paraId="50E248D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对于承包人的原因造成的工期延误，即使采取了赶工措施，但仍不能按合同规定的完工日期完工时，发包人即使同意承包人提出的调整工程进度排期计划的，发包人仍保留因承包人原因造成本合同工程超原计划工期未能按合同约定完工日期完工造成发包人损失的一切追偿索赔权利，承包人还应支付逾期竣工违约金。</w:t>
      </w:r>
    </w:p>
    <w:p w14:paraId="75006A38">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36.9 赶工措施费</w:t>
      </w:r>
    </w:p>
    <w:p w14:paraId="448EE287">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发包人要求的合同工程工期小于定额工期的</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%时，根据广东省建设工程计价依据规定的赶工措施费率为</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%计算</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15BEDEE4">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发包人要求的合同工程工期小于定额工期的</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%时，根据广州市住房和城乡建设局发布的赶工措施费规定的赶工措施费率为</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%计算；</w:t>
      </w:r>
    </w:p>
    <w:p w14:paraId="7AF0FBEA">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发包人要求的合同工程工期小于定额工期的</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%时，根据广州市建设工程造价管理站发布的赶工措施费规定的赶工措施费率为</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%计算</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1729ED7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发包人要求的合同工程工期小于定额工期的</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%时，发包人、承包人约定赶工措施费率按</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%计算</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132EAF2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35ACE2A3">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38. 竣工日期</w:t>
      </w:r>
    </w:p>
    <w:p w14:paraId="3442B655">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38.1 计划竣工日期：</w:t>
      </w:r>
      <w:permStart w:id="21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2027年7月11日</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212"/>
    </w:p>
    <w:p w14:paraId="59466F3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38.3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由于承包人原因造成不能按期竣工的，在按合同约定确定的竣工日期（包括按合同延长的工期）后7天内，监理工程师应当书面通知承包人，说明发包人有权得到按本款约定的下列标准和方法计算的逾期竣工违约金，但最终违约金的金额不应超过本款约定的逾期竣工违约金最高限额。监理工程师未在规定的期限内发出本款约定的书面通知的，发包人丧失主张逾期竣工违约金的权利。</w:t>
      </w:r>
    </w:p>
    <w:p w14:paraId="287D211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逾期竣工违约金的计算标准：每天收取工程合同价的1.5‰，且不低于每天1万元。</w:t>
      </w:r>
    </w:p>
    <w:p w14:paraId="626336B3">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逾期竣工违约金最高限额：合同价的20%。</w:t>
      </w:r>
    </w:p>
    <w:p w14:paraId="7F231413">
      <w:pPr>
        <w:spacing w:line="420" w:lineRule="exact"/>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p>
    <w:p w14:paraId="3E9472BB">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kern w:val="0"/>
          <w:sz w:val="24"/>
          <w:szCs w:val="24"/>
          <w:highlight w:val="none"/>
          <w14:textFill>
            <w14:solidFill>
              <w14:schemeClr w14:val="tx1"/>
            </w14:solidFill>
          </w14:textFill>
        </w:rPr>
        <w:t>41.质量与安全</w:t>
      </w:r>
    </w:p>
    <w:p w14:paraId="74B88F48">
      <w:pPr>
        <w:spacing w:line="420" w:lineRule="exact"/>
        <w:ind w:left="359" w:leftChars="171"/>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41.7承包人的施工安全责任</w:t>
      </w:r>
    </w:p>
    <w:p w14:paraId="68FAB801">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（1）承包人向监理工程师报送施工安全措施计划的期限：开工前15天。</w:t>
      </w:r>
    </w:p>
    <w:p w14:paraId="4A34AD63">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监理工程师收到承包人报送的施工安全措施计划后应当在5天内给予批复。</w:t>
      </w:r>
    </w:p>
    <w:p w14:paraId="039F10BA">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（2）承包人应当按照相关法律法规、规范的要求实施安全文明施工，履行《</w:t>
      </w:r>
      <w:r>
        <w:rPr>
          <w:rFonts w:hint="eastAsia" w:ascii="仿宋_GB2312" w:hAnsi="宋体" w:eastAsia="仿宋_GB2312" w:cs="宋体"/>
          <w:color w:val="000000" w:themeColor="text1"/>
          <w:kern w:val="0"/>
          <w:sz w:val="24"/>
          <w:szCs w:val="24"/>
          <w:highlight w:val="none"/>
          <w14:textFill>
            <w14:solidFill>
              <w14:schemeClr w14:val="tx1"/>
            </w14:solidFill>
          </w14:textFill>
        </w:rPr>
        <w:t>工程项目安全生产管理协议书</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》的约定（见附件五）。安全生产和文明施工中的履约保证金管理制度承包人违反《</w:t>
      </w:r>
      <w:r>
        <w:rPr>
          <w:rFonts w:hint="eastAsia" w:ascii="仿宋_GB2312" w:hAnsi="宋体" w:eastAsia="仿宋_GB2312" w:cs="宋体"/>
          <w:color w:val="000000" w:themeColor="text1"/>
          <w:kern w:val="0"/>
          <w:sz w:val="24"/>
          <w:szCs w:val="24"/>
          <w:highlight w:val="none"/>
          <w14:textFill>
            <w14:solidFill>
              <w14:schemeClr w14:val="tx1"/>
            </w14:solidFill>
          </w14:textFill>
        </w:rPr>
        <w:t>工程项目安全生产管理协议书</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》约定扣款行为的，由发包人直接从履约保证金中扣除。</w:t>
      </w:r>
    </w:p>
    <w:p w14:paraId="7CE208DE">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（3）安全生产责任事故追加扣款</w:t>
      </w:r>
    </w:p>
    <w:p w14:paraId="6D2CA432">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对发生安全生产死亡事故的施工承包人，每死亡一人扣款50万元，由发包人直接从履约保证金中扣除，履约保证金不足的，从应支付的工程款扣除。</w:t>
      </w:r>
    </w:p>
    <w:p w14:paraId="5963CA92">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（4）承担施工安全保卫工作及非夜间施工照明的责任和要求：</w:t>
      </w:r>
    </w:p>
    <w:p w14:paraId="58AE598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承包人应负责现场全部作业的安全，在合同工程施工、完工及修补缺陷的整个工程期限内：全面负责所有留在现场上的人员的安全，保护其管辖范围的现场（包括某些尚未完工的和发包人尚未接管的工程）处于有条不紊和良好的状态。</w:t>
      </w:r>
    </w:p>
    <w:p w14:paraId="255235D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根据监理工程师或当地政府要求，在需要的时间和地点，提供和维持所有的照明灯光、护板、围墙、栅栏、警告信号标志和值班人员，对工程进行保护和为公众提供安全和方便，施工围蔽按《广州市住房和城乡建设局等9部门关于印发广州市建设工程绿色施工围蔽指导图集（V2.0版）的通知》（穗建质〔2020〕1号）、《关于修订并重新印发&lt;广州市建设工程现场文明施工管理办法&gt;的通知》（穗建质〔2008〕937号）《广州市市政工程文明施工规范实施细则—2004》和广州市水务投资集团有限公司制定《关于印发&lt;广州市水务投资集团有限公司建设工程文明施工管理方案及措施&gt;的通知》的要求执行。</w:t>
      </w:r>
    </w:p>
    <w:p w14:paraId="68F4B4AB">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3）遵守和执行防火、安全文明施工和夜间施工规定。</w:t>
      </w:r>
    </w:p>
    <w:p w14:paraId="6893B4A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承包人应保证施工期间行人、车辆等的通行，除非得到有关部门批准，否则不能进行全封闭施工。施工临时占用人行道、车道等设施，由承包人办理有关手续，发包人协助，所需费用由承包人负责。同时承包人有责任协助公安、交通等部门维护所在现场地段的交通与人流，既保证施工安全，也保护车辆和行人的畅通和安全。</w:t>
      </w:r>
    </w:p>
    <w:p w14:paraId="591F49BA">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承包人应严格按照规范回填，如经发现回填密度不符合规范必须立即返工，合格后才可继续施工。回填完成后由承包人负责检验测定，并提交有效检测报告。如发包人委托第三方对检测结果进行复测，检测合格的，费用由发包人承担；检测不合格的，承包人必须重新进行整改，并负责第三方的检测费用。</w:t>
      </w:r>
      <w:r>
        <w:rPr>
          <w:rFonts w:hint="eastAsia" w:ascii="仿宋_GB2312" w:hAnsi="仿宋_GB2312" w:eastAsia="仿宋_GB2312" w:cs="仿宋_GB2312"/>
          <w:color w:val="000000" w:themeColor="text1"/>
          <w:sz w:val="24"/>
          <w:szCs w:val="24"/>
          <w:highlight w:val="none"/>
          <w14:textFill>
            <w14:solidFill>
              <w14:schemeClr w14:val="tx1"/>
            </w14:solidFill>
          </w14:textFill>
        </w:rPr>
        <w:t>承</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包人应严格按照经审查的施工图纸施工，每道焊缝落实编号标记并提供完整的影像记录（包括内外焊缝）并经监理工程师验收确认。</w:t>
      </w:r>
    </w:p>
    <w:p w14:paraId="2426C632">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工程竣工后，承包人应及时清理施工现场，并移交场地；场地移交前，承包人应做好施工现场的维护工作。承包人应在投标报价中考虑有关费用，并保证发包人免于受到或承担应由承包人负责的上述事项所引起的或与之有关的行政处罚、索赔、诉讼以及其它开支，如因承包人的行为对发包人造成损失的，发包人有权向承包人追偿。</w:t>
      </w:r>
    </w:p>
    <w:p w14:paraId="4C393B35">
      <w:pPr>
        <w:spacing w:line="420" w:lineRule="exact"/>
        <w:ind w:firstLine="240" w:firstLineChars="1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（5）安全施工与检查</w:t>
      </w:r>
    </w:p>
    <w:p w14:paraId="49BA8622">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1）承包人建立安全责任制，明确各部门安全工作的岗位责任人，建立健全正常运转的各种安全工作保证体系和规章制度，将安全生产目标分解落实到实处。</w:t>
      </w:r>
    </w:p>
    <w:p w14:paraId="6D79C1AC">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2)承包人应根据现场情况，同步作业涉及多个作业点时，须配置足够的具备资质的安全员</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每名安全员只能监管2个作业点</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。项目管理机构的专职安全员不得兼任其他工作的人员，不得同时负责两个以上工程项目的安全生产管理工作。</w:t>
      </w:r>
    </w:p>
    <w:p w14:paraId="24E0788D">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3)承包人在开工前须向质量安全监督机构提交备案的书面资料。</w:t>
      </w:r>
    </w:p>
    <w:p w14:paraId="2E7426D0">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4)承包人在编制施工组织设计时，应当根据工程的特点编制相应的安全技术措施。</w:t>
      </w:r>
    </w:p>
    <w:p w14:paraId="77A3F03C">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5)承包人按有关技术安全和防护的规定组织施工生产，不得使用不合标准的防护器材、机具和材料。</w:t>
      </w:r>
    </w:p>
    <w:p w14:paraId="051F2F6E">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现场安全文明施工必须严格按《建筑施工安全检查标准》（JGJ59-99）《关于修订并重新印发&lt;广州市建设工程现场文明施工管理办法&gt;的通知》（穗建质〔2008〕937号）《广州市市政工程文明施工规范实施细则—2004》等法律法规及本合同专用条款有关安全文明施工条款的规定执行，如有违反或承包人在任何检查中被发现存在安全事故隐患、违章行为或管理不到位现象的，根据专用条款有关规定及《</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工程项目安全生产管理协议书</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》的规定进行整改、扣罚。</w:t>
      </w:r>
    </w:p>
    <w:p w14:paraId="603AAED0">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7)承包人应落实外来施工人员实名制，施工前按发包人要求为进场施工人员制作《外来人员工作证》（样式见附件九），并督促现场施工人员必须证件方可进场施工。</w:t>
      </w:r>
    </w:p>
    <w:p w14:paraId="004D56C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乙方应负责为任何用工形式员工配备个人劳动保护用品（包括工作服、安全帽、安全带、安全鞋、工作手套等），乙方应穿着本单位统一的工作服装。乙方施工负责人和安全员应随时检查劳动保护用品的穿戴情况，不按规定穿戴保护用品的人员不得上岗。</w:t>
      </w:r>
    </w:p>
    <w:p w14:paraId="2BB38344">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41.8治安保卫</w:t>
      </w:r>
    </w:p>
    <w:p w14:paraId="475F9D49">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（1）承包人应当负责统一管理施工场地的治安保卫事项，履行合同工程的治安保卫职责。</w:t>
      </w:r>
    </w:p>
    <w:p w14:paraId="5F0DE17F">
      <w:pPr>
        <w:spacing w:line="420" w:lineRule="exact"/>
        <w:ind w:left="959" w:leftChars="228" w:hanging="480" w:hangingChars="200"/>
        <w:jc w:val="left"/>
        <w:rPr>
          <w:rFonts w:hint="default" w:ascii="仿宋_GB2312" w:hAnsi="仿宋_GB2312" w:eastAsia="仿宋_GB2312" w:cs="仿宋_GB2312"/>
          <w:color w:val="000000" w:themeColor="text1"/>
          <w:kern w:val="0"/>
          <w:sz w:val="24"/>
          <w:szCs w:val="24"/>
          <w:highlight w:val="none"/>
          <w:u w:val="single"/>
          <w:lang w:val="en-US"/>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（2）施工场地治安管理计划和突发治安事件紧急预案的编制责任</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人：</w:t>
      </w:r>
      <w:permStart w:id="213" w:edGrp="everyone"/>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    </w:t>
      </w:r>
      <w:permEnd w:id="213"/>
    </w:p>
    <w:p w14:paraId="6E039633">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41.9环境保护</w:t>
      </w:r>
    </w:p>
    <w:p w14:paraId="381C8C8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（1）施工环保措施计划报送监理工程师审批的时间：开工前7天。监理工程师收到承包人报送的施工环保措施计划后应当在5天内给予批复。</w:t>
      </w:r>
    </w:p>
    <w:p w14:paraId="66936B0D">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（2）施工场地清洁卫生的要求：</w:t>
      </w:r>
    </w:p>
    <w:p w14:paraId="06D4C3EE">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本合同工程现场文明施工必须严格按以下文件执行，并挂牌施工接受监督：</w:t>
      </w:r>
    </w:p>
    <w:p w14:paraId="709DBD45">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1)《广州市建设工程文明施工管理规定》（广州市人民政府令第62号）；</w:t>
      </w:r>
    </w:p>
    <w:p w14:paraId="2DE5B3D8">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2)广州市水务局制定的《广州市水务局关于印发广州市2018年水务工程扬尘污染控制行动方案的通知》（穗水质安〔2018〕45号）；</w:t>
      </w:r>
    </w:p>
    <w:p w14:paraId="3D6BA768">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应保持现场整洁，保证卫生要求，合理地安排临时设施，存放和处置好设备及材料，及时清运垃圾和余泥，处理好污水、余泥排放，施工范围应定期洒水，减少施工扬尘。工程完工后，承包人应立即从施工现场搬走或清除承包人的设备、材料、垃圾以及各种临时设施，并保持施工现场和工程清洁整齐，但承包人应保留他为在缺陷责任期内履行其义务而需要的材料、设备和临时设施。承包人要组织建立扬尘及施工机械污染防治自我保障体系，编制建设工程扬尘污染防治专项方案，明确控制措施，列明施工机械使用情况;配备相关管理人员，建立扬尘及施工机械污染防治检查制度;建立检查台账，确保各项扬尘及施工机械污染防治措施落实。其费用已包含在合同价款中，不另行计量支付。承包人要在工地图档外公示扬尘及施工机械污染防治措施、负责人、扬尘及施工机械监督管理主管部门等信息，明确投诉举报方式。</w:t>
      </w:r>
    </w:p>
    <w:p w14:paraId="702427DC">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承包人应根据《广东省建设工程施工扬尘污染防治管理办法（试行）的通知》（粤办函〔2017〕708号）《广州市2018年度大气污染综合防治工作计划》（穗水质安〔2018〕45号）《广州市水务局关于印发广州市2018年水务工程扬尘污染控制行动方案的通知》（穗水质安〔2018〕45号）《广州市住房和城乡建设局等8部门关于印发广州市建设工程扬尘防治“6个100%”管理标准图集（V2.0版）的通知》的要求，制定施工现场扬尘污染防治方案并报发包人和监理人审核，审核通过后，承包人应落实方案的实施。</w:t>
      </w:r>
    </w:p>
    <w:p w14:paraId="4E241340">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应根据《广州市住房和城乡建设局等8部门关于印发广州市建设工程扬尘防治“6个100%”管理标准图集（V2.0版）的通知》、《市水投集团关于进一步加强工地扬尘防治“六个100%”管理要求的通知》（穗水投业务〔2018〕160号），做好施工现场100%围蔽、工地砂土100%覆盖、工地路面100%硬地化、拆除工程100%洒水压尘、出工地车辆100%冲净车轮车身、暂不开发的场地100%绿化等工作。</w:t>
      </w:r>
    </w:p>
    <w:p w14:paraId="147D7E73">
      <w:pPr>
        <w:numPr>
          <w:ilvl w:val="0"/>
          <w:numId w:val="0"/>
        </w:num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4)</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应严格执行《广州市建设工程扬尘整治联席会议办公室关于印发广州市建设工程扬尘治理和文明施工严格管理6条措施的通知》（穗建质〔2021〕512号），落实参建单位责任，落实工地扬尘防治“六个100%”管理要求，加强余泥运输车辆管理，加强工程信息化建设监督管理等工作，承包人未按规定落实《广州市建设工程扬尘整治联席会议办公室关于印发广州市建设工程扬尘治理和文明施工严格管理6条措施的通知》（穗建质〔2021〕512号）要求的，发包人有权将相关承包单位列入失信企业名单，在履约诚信评价中给予扣分。</w:t>
      </w:r>
    </w:p>
    <w:p w14:paraId="0D9FBA7E">
      <w:pPr>
        <w:numPr>
          <w:ilvl w:val="0"/>
          <w:numId w:val="0"/>
        </w:num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承包人应严格执行广州市水务局制定的《广州市水务工程建设项目建筑废弃物监督管理工作细则》，落实参建单位责任，承包人应当雇请具有《广州市建筑废弃物处置证（运输）》的运输单位，编制建筑废弃物处理方案、建筑废弃物处理方案并配备施工现场建筑废弃物排放管理人员，配合完成排放证件办理；承包人应严格落实运输车辆“一不准进、三不准出”管理，安装运输联单电子设备，落实电子联单制度，并在现场张贴建筑废弃物排放公示牌</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p>
    <w:p w14:paraId="574EEC16">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（3）施工场地周围地下管线和邻近建筑物、构筑物（含文物保护建筑）、古树名木的保护要求及费用承担：</w:t>
      </w:r>
    </w:p>
    <w:p w14:paraId="3E3F481B">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施工期间发现文物，应按国家文物和省、市有关文物管理规定保护现场，并通知有关部门。否则，因此造成的损失或被有关部门处罚，均由承包人负责。除文物保护外，其它保护工作费用已包含在合同价款中，不另行计量支付。</w:t>
      </w:r>
    </w:p>
    <w:p w14:paraId="3976825D">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已明确地下管线，承包人有责任保护其安全，如因施工损坏，由承包人承担相关责任并负责经济赔偿。凡标明有地下管线的地方，应挖探坑查明管线的具体位置并作出保护措施后方可施工。为保护好地下管线和构筑物，要求承包人在钻桩开钻及排水沟、基坑开挖前，先进行勘探性探测（钻孔桩施工时应挖相当桩截面不少于3.0米深的探坑），确认没有遇到地下任何管线和构筑物后，才允许开钻及开挖，否则由此引起的一切损失由承包人负责。</w:t>
      </w:r>
    </w:p>
    <w:p w14:paraId="45E59D7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针对涉及军用公路、铁路专用线，军用输电线路，军用输油、输水、输气管道等国防基础设施的建设内容，承包人应严格按照地下管线保护管理要求以及政府制度和相关权属单位要求做好设施保护工作；对涉及管线的勘察、口头与单据通知、施工前的准备与告知工作、施工过程旁站落实工作等情况，承包人应第一时间通知</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发包人</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，应与权属单位明确好施工工作后，由发包人发出指令方可入场施工。对于</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承包人</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瞒报、漏报的情况，由此引起的一切损失由承包人负责。</w:t>
      </w:r>
    </w:p>
    <w:p w14:paraId="18F3F8A6">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（4）承包人须做好沿线居民用水保障工作，施工过程影响沿线用水的，应严格按照发包人相关规定办理相关手续。</w:t>
      </w:r>
    </w:p>
    <w:p w14:paraId="7D2F98B2">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41.10事故处理</w:t>
      </w:r>
    </w:p>
    <w:p w14:paraId="0E2EDA75">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如发生安全事故，除按法定程序办理有关事宜外，还必须按以下程序进行处理：</w:t>
      </w:r>
    </w:p>
    <w:p w14:paraId="2FEFCE83">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（1）报告安全事故：安全事故发生后，承包人应在1小时内用最快的信息传递方式，将发生事故的时间、地点、伤亡人数、事故原因等情况，报监理工程师和发包人。</w:t>
      </w:r>
    </w:p>
    <w:p w14:paraId="4DB6726F">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（2）事故处理：承包人负责抢救伤员、排除险情，防止事故蔓延扩大，保护好现场，并做好标识；并启动保险理赔程序。</w:t>
      </w:r>
    </w:p>
    <w:p w14:paraId="139A3986">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（3）事故调查：承包人应组织内部技术安全、质量部门的人员组成调查组，开展调查，并配合做好发包人或政府有关部门组织的调查工作。</w:t>
      </w:r>
    </w:p>
    <w:p w14:paraId="58552EEC">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（4）调查报告：承包人应把事故发生经过、原因、性质、损失、责任、处理意见、纠正和预防措施撰写成调查报告，送监理工程师会审后报发包人。</w:t>
      </w:r>
    </w:p>
    <w:p w14:paraId="3416F308">
      <w:pPr>
        <w:spacing w:line="420" w:lineRule="exact"/>
        <w:ind w:firstLine="480" w:firstLineChars="200"/>
        <w:jc w:val="left"/>
        <w:rPr>
          <w:rFonts w:hint="eastAsia" w:ascii="仿宋_GB2312" w:hAnsi="仿宋_GB2312" w:eastAsia="仿宋_GB2312" w:cs="仿宋_GB2312"/>
          <w:b w:val="0"/>
          <w:bCs w:val="0"/>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41.1</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kern w:val="0"/>
          <w:sz w:val="24"/>
          <w:szCs w:val="24"/>
          <w:highlight w:val="none"/>
          <w:lang w:val="en-US" w:eastAsia="zh-CN"/>
          <w14:textFill>
            <w14:solidFill>
              <w14:schemeClr w14:val="tx1"/>
            </w14:solidFill>
          </w14:textFill>
        </w:rPr>
        <w:t>工地施工现场安装视频监控设备</w:t>
      </w:r>
    </w:p>
    <w:p w14:paraId="052E01DA">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按照《广州市安全生产委员会办公室关于印发广州市创建国家安全发展示范城市实施方案的通知》及《广州市水务局关于在水务建设工程施工现场安装视频监控系统的通知》要求，承包人结合智慧水务综合管理系统，应按《关于工程建设视频监控信号接入的技术要求》提供的参数要求及时购置相应数量的视频监控设备。相关费用已包含在合同价款中，发包人不另行计量支付。具体要求如下：</w:t>
      </w:r>
    </w:p>
    <w:p w14:paraId="40D0466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（1）视频监控设备安装范围：工地均应在施工现场安装视频监控设备，安装后同步接入发包人指定的视频集中管控平台。</w:t>
      </w:r>
    </w:p>
    <w:p w14:paraId="044CAFE0">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承包人于取得《施工许可证》后5个工作日内落实视频监控设备安装及配合接入等相关工作。</w:t>
      </w:r>
    </w:p>
    <w:p w14:paraId="56BCF47D">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（2）视频监控设备安装要求：</w:t>
      </w:r>
    </w:p>
    <w:p w14:paraId="1B22D70E">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原则上项目每个施工点应配置视频监控设备且数量不少于2个(含2个)。工程造价0.1～1亿元的项目安装视频监控设备不少于3个；工程造价1～3亿元的项目安装视频监控设备不少于4个；工程造价3亿元以上的项目安装视频监控设备不少于5个。</w:t>
      </w:r>
    </w:p>
    <w:p w14:paraId="09DFFFDD">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2）线性管道工程视频监控设备安装位置须确保能够清晰看到工程施工情况的全景和近景，如正在施工位置(开挖的基坑、管井下作业情况)及围蔽范围内具体情况，优先安装在危险性较大、人员较密集或施工周期较长的位置，可结合实际情况安装在管井旁边，安装位置应确保不影响正常的施工作业及安全。</w:t>
      </w:r>
    </w:p>
    <w:p w14:paraId="6955D4A8">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3）监管部门、发包人要求安装的其他位置。</w:t>
      </w:r>
    </w:p>
    <w:p w14:paraId="46363DAF">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4）视频监控命名规则：施工现场安装的视频监控设备统一按照“项目简称+安装位置”进行命名，如“江高净水厂配套管网1标7#顶管井”。</w:t>
      </w:r>
    </w:p>
    <w:p w14:paraId="742399E6">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5）因施工现场位置限制或其他客观条件影响安装的，具体安装位置由发包人现场勘踏后结合实际情况确定。</w:t>
      </w:r>
    </w:p>
    <w:p w14:paraId="169D462A">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（3）视频设备选型及技术参数要求</w:t>
      </w:r>
    </w:p>
    <w:p w14:paraId="13566C42">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1）视频设备选型</w:t>
      </w:r>
    </w:p>
    <w:p w14:paraId="06679A71">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原则上建设工地现场安装的摄像头应支持360°旋转，如采用高速球机等。满足视频设备安装条件及安全施工的条件下，厂区、泵站等建设工程首选有线视频监控设备安装，具体视频设备技术参数要求详见第七章 技术标准和要求附件1；线性管道工程首选移动式监控设备安装，可在围蔽内安装，且减少不必要的占道，具体视频设备技术参数要求详见第七章 技术标准和要求附件2。</w:t>
      </w:r>
    </w:p>
    <w:p w14:paraId="60CA445B">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2）各工地视频监控设备的建设、应用和管理，应符合《广州市公共安全视频系统管理规定》的要求，并采取切实有效措施确保施工作业时间段内，视频图像连续、稳定、清晰。工地视频监控需具有本地存储功能，且存储时间应不少于3个月。</w:t>
      </w:r>
    </w:p>
    <w:p w14:paraId="331F10BD">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（4）承包人应至少确定1名视频监控设备管理人员。负责或配合视频监控设备现场安装、调试、维护、保养、更换及日常管理(防盗、防人为损坏)等工作，保证监控系统全天24 小时开机运行；监理人负责对视频监控系统的维护、运行情况进行检查，及时发现问题，并督促整改落实。</w:t>
      </w:r>
    </w:p>
    <w:p w14:paraId="25C3C4BA">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（5）工程实体结构完工前，任何人不得随意拆卸、移动视频设备或改变拍摄角度，严禁随意拆卸设备上的接口，严禁擅自修改监控设置，严禁遮挡视频摄像头。</w:t>
      </w:r>
    </w:p>
    <w:p w14:paraId="7B0D9192">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p>
    <w:p w14:paraId="733176B5">
      <w:pPr>
        <w:spacing w:line="420" w:lineRule="exact"/>
        <w:jc w:val="lef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★42. 质量标准、目标</w:t>
      </w:r>
    </w:p>
    <w:p w14:paraId="4C6E0CF5">
      <w:pPr>
        <w:spacing w:line="420" w:lineRule="exact"/>
        <w:ind w:firstLine="120" w:firstLineChars="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42.1 约定的工程质量标准</w:t>
      </w:r>
    </w:p>
    <w:p w14:paraId="75AA0F0F">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 合同工程质量标准：</w:t>
      </w:r>
      <w:permStart w:id="21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按协议书第四条约定</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214"/>
    </w:p>
    <w:p w14:paraId="38186E6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创优目标：</w:t>
      </w:r>
    </w:p>
    <w:p w14:paraId="2A259656">
      <w:pPr>
        <w:autoSpaceDE w:val="0"/>
        <w:autoSpaceDN w:val="0"/>
        <w:adjustRightInd w:val="0"/>
        <w:spacing w:line="420" w:lineRule="exact"/>
        <w:ind w:firstLine="52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15" w:edGrp="everyone"/>
      <w:r>
        <w:rPr>
          <w:rFonts w:hint="eastAsia" w:ascii="仿宋" w:hAnsi="仿宋" w:eastAsia="仿宋" w:cs="仿宋"/>
          <w:b w:val="0"/>
          <w:bCs w:val="0"/>
          <w:color w:val="000000" w:themeColor="text1"/>
          <w:sz w:val="26"/>
          <w:szCs w:val="26"/>
          <w:highlight w:val="none"/>
          <w:lang w:val="en-US" w:eastAsia="zh-CN"/>
          <w14:textFill>
            <w14:solidFill>
              <w14:schemeClr w14:val="tx1"/>
            </w14:solidFill>
          </w14:textFill>
        </w:rPr>
        <w:sym w:font="Wingdings 2" w:char="0053"/>
      </w:r>
      <w:permEnd w:id="21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市级工程优质奖</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10D9B5B3">
      <w:pPr>
        <w:autoSpaceDE w:val="0"/>
        <w:autoSpaceDN w:val="0"/>
        <w:adjustRightInd w:val="0"/>
        <w:spacing w:line="420" w:lineRule="exact"/>
        <w:ind w:firstLine="52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16" w:edGrp="everyone"/>
      <w:r>
        <w:rPr>
          <w:rFonts w:hint="eastAsia" w:ascii="仿宋" w:hAnsi="仿宋" w:eastAsia="仿宋" w:cs="仿宋"/>
          <w:b w:val="0"/>
          <w:bCs w:val="0"/>
          <w:color w:val="000000" w:themeColor="text1"/>
          <w:sz w:val="26"/>
          <w:szCs w:val="26"/>
          <w:highlight w:val="none"/>
          <w:lang w:val="en-US" w:eastAsia="zh-CN"/>
          <w14:textFill>
            <w14:solidFill>
              <w14:schemeClr w14:val="tx1"/>
            </w14:solidFill>
          </w14:textFill>
        </w:rPr>
        <w:sym w:font="Wingdings 2" w:char="0053"/>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16"/>
      <w:r>
        <w:rPr>
          <w:rFonts w:hint="eastAsia" w:ascii="仿宋_GB2312" w:hAnsi="仿宋_GB2312" w:eastAsia="仿宋_GB2312" w:cs="仿宋_GB2312"/>
          <w:color w:val="000000" w:themeColor="text1"/>
          <w:sz w:val="24"/>
          <w:szCs w:val="24"/>
          <w:highlight w:val="none"/>
          <w14:textFill>
            <w14:solidFill>
              <w14:schemeClr w14:val="tx1"/>
            </w14:solidFill>
          </w14:textFill>
        </w:rPr>
        <w:t>省级工程优质奖</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474F4D98">
      <w:pPr>
        <w:spacing w:line="420" w:lineRule="exact"/>
        <w:ind w:firstLine="52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17" w:edGrp="everyone"/>
      <w:r>
        <w:rPr>
          <w:rFonts w:hint="eastAsia" w:ascii="仿宋" w:hAnsi="仿宋" w:eastAsia="仿宋" w:cs="仿宋"/>
          <w:b w:val="0"/>
          <w:bCs w:val="0"/>
          <w:color w:val="000000" w:themeColor="text1"/>
          <w:sz w:val="26"/>
          <w:szCs w:val="26"/>
          <w:highlight w:val="none"/>
          <w:lang w:val="en-US" w:eastAsia="zh-CN"/>
          <w14:textFill>
            <w14:solidFill>
              <w14:schemeClr w14:val="tx1"/>
            </w14:solidFill>
          </w14:textFill>
        </w:rPr>
        <w:sym w:font="Wingdings 2" w:char="0053"/>
      </w:r>
      <w:permEnd w:id="21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国家级工程优质奖</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388EEC2A">
      <w:pPr>
        <w:spacing w:line="420" w:lineRule="exact"/>
        <w:ind w:firstLine="520" w:firstLineChars="200"/>
        <w:rPr>
          <w:rFonts w:hint="default"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pPr>
      <w:permStart w:id="218" w:edGrp="everyone"/>
      <w:r>
        <w:rPr>
          <w:rFonts w:hint="eastAsia" w:ascii="仿宋" w:hAnsi="仿宋" w:eastAsia="仿宋" w:cs="仿宋"/>
          <w:b w:val="0"/>
          <w:bCs w:val="0"/>
          <w:color w:val="000000" w:themeColor="text1"/>
          <w:sz w:val="26"/>
          <w:szCs w:val="26"/>
          <w:highlight w:val="none"/>
          <w:lang w:val="en-US" w:eastAsia="zh-CN"/>
          <w14:textFill>
            <w14:solidFill>
              <w14:schemeClr w14:val="tx1"/>
            </w14:solidFill>
          </w14:textFill>
        </w:rPr>
        <w:sym w:font="Wingdings 2" w:char="0053"/>
      </w:r>
      <w:permEnd w:id="21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其它</w:t>
      </w:r>
      <w:permStart w:id="219" w:edGrp="everyone"/>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 / </w:t>
      </w:r>
    </w:p>
    <w:permEnd w:id="219"/>
    <w:p w14:paraId="123245CD">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特殊质量标准和要求：</w:t>
      </w:r>
      <w:permStart w:id="22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220"/>
    </w:p>
    <w:p w14:paraId="2043A370">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 工程质量验收标准：</w:t>
      </w:r>
      <w:permStart w:id="22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按照设计文件和有关技术标准、规范和合同规定施工，确保符合最新的《建筑工程施工质量验收统一标准》(GB50300-2013):《给水排水管道工程施工及验收规范》(GB50268-2008)《水利水电建设工程验收规程》(SL223-2008)等合格标准。  </w:t>
      </w:r>
      <w:permEnd w:id="221"/>
    </w:p>
    <w:p w14:paraId="60614F35">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42.3 质量保证体系</w:t>
      </w:r>
    </w:p>
    <w:p w14:paraId="31179813">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承包人应当完善质量管理制度，建立质量控制流程，建立并保持一个有效的工程质量管理体系。</w:t>
      </w:r>
    </w:p>
    <w:p w14:paraId="6332B09E">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79924195">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（2）承包人提交监理工程师批准的施工组织设计或者施工方案必须附有完备的工程质量保证措施，包括：</w:t>
      </w:r>
      <w:permStart w:id="22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工程质量预控措施，工序质量控制点，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permEnd w:id="222"/>
    </w:p>
    <w:p w14:paraId="0F836FE5">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（3）单项工程开工前，承包人必须按要求对职工分级进行技术交底，组织学习有关规程、标准、规范和工艺要求，在施工中必须按规程及工艺进行操作。</w:t>
      </w:r>
    </w:p>
    <w:p w14:paraId="6E0A123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单项工程和重要部位必须遵循先试验后铺开施工的程序，开工前承包人应熟悉施工图纸和图纸会审、设计变更内容，并完成施工组织设计和必要的施工准备，送监理工程师审查批准后方可进行实验性施工，完工后由监理工程师检验，符合要求后才能铺开施工或者批量生产。</w:t>
      </w:r>
    </w:p>
    <w:p w14:paraId="4617E0F4">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42.4工程质量有争议的处理</w:t>
      </w:r>
    </w:p>
    <w:p w14:paraId="1B4007A5">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合同双方当事人对工程质量有争议的，除按照第86.4款规定调解或认定外，监理工程师可提请合同双方委托有相应资质的工程质量检测机构进行鉴定，所需的费用及由此造成的损失，由责任方承担。双方均有责任的，由双方根据其责任划分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14:paraId="10160F87">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42.5承包人的质量管理</w:t>
      </w:r>
    </w:p>
    <w:p w14:paraId="7BA4D5B3">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（1）承包人向监理人提交工程质量保证措施文件的期限：本合同签订后</w:t>
      </w:r>
      <w:permStart w:id="22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10个 </w:t>
      </w:r>
      <w:permEnd w:id="223"/>
      <w:r>
        <w:rPr>
          <w:rFonts w:hint="eastAsia" w:ascii="仿宋_GB2312" w:hAnsi="仿宋_GB2312" w:eastAsia="仿宋_GB2312" w:cs="仿宋_GB2312"/>
          <w:color w:val="000000" w:themeColor="text1"/>
          <w:sz w:val="24"/>
          <w:szCs w:val="24"/>
          <w:highlight w:val="none"/>
          <w14:textFill>
            <w14:solidFill>
              <w14:schemeClr w14:val="tx1"/>
            </w14:solidFill>
          </w14:textFill>
        </w:rPr>
        <w:t>日历天内，向监理工程师提交一式四份工程质量保证措施文件。监理工程师审批工程质量保证措施文件的期限：</w:t>
      </w:r>
      <w:permStart w:id="22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5个 </w:t>
      </w:r>
      <w:permEnd w:id="224"/>
      <w:r>
        <w:rPr>
          <w:rFonts w:hint="eastAsia" w:ascii="仿宋_GB2312" w:hAnsi="仿宋_GB2312" w:eastAsia="仿宋_GB2312" w:cs="仿宋_GB2312"/>
          <w:color w:val="000000" w:themeColor="text1"/>
          <w:sz w:val="24"/>
          <w:szCs w:val="24"/>
          <w:highlight w:val="none"/>
          <w14:textFill>
            <w14:solidFill>
              <w14:schemeClr w14:val="tx1"/>
            </w14:solidFill>
          </w14:textFill>
        </w:rPr>
        <w:t>日历天内。</w:t>
      </w:r>
    </w:p>
    <w:p w14:paraId="33D9B5F5">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（2）承包人必须对工程质量全面负责，工程质量标准应达到承包人投标时承诺的工程质量标准。</w:t>
      </w:r>
    </w:p>
    <w:p w14:paraId="000CE1DE">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承包人应按施工图纸施工，确保各类工序上的施工质量，配合监理人做好各阶段的隐蔽验收及中间验收工作，确保工程施工质量满足设计图纸、相关规范、上级行政管理部门及质量监督部门检查要求，各项隐蔽验收及中间验收工作应在施工日志中有图片或影像予以记录。</w:t>
      </w:r>
    </w:p>
    <w:p w14:paraId="6C9FB0EC">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（4）承包人应在管道完工接驳并网前将管道内腔视频内容提供发包人。</w:t>
      </w:r>
    </w:p>
    <w:p w14:paraId="0807CEAC">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42.6工程路面底层的水泥石屑稳定层必须按配比拌制，并及时摊铺辗压形成板块，人行道道床必须经过压路机辗压达到密度要求并检平再铺砌混凝土预制块。凡不按上述要求施工的都必须返工重做，承包人负责返工重做的所有费用（由此发生的工期不得顺延），直至达到要求为止，否则发包人将不验收，并拒绝付该部分工程进度款。</w:t>
      </w:r>
    </w:p>
    <w:p w14:paraId="54A463F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42.7若工程所在地的政府、业主或其他相关部门对本工程提出工程进度、质量方面的要求，且此要求符合本合同的约定时，以工程所在地的政府、发包人或其他相关部门对本工程提出工程进度、质量方面的要求为准。承包人不得以此提出任何工程价款增加的要求。</w:t>
      </w:r>
    </w:p>
    <w:p w14:paraId="13710B22">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42.8承包人应严格按《广州市水务局关于严格规范落实水务工程建设质量终身责任制有关规定的通知》、《广州市水务局转发关于水利工程建设质量终身责任的管理办法（试行）的通知》(穗水质安〔2018〕139号)等文件要求,落实工程质量终身责任管理工作。</w:t>
      </w:r>
    </w:p>
    <w:p w14:paraId="53AF7EA4">
      <w:pPr>
        <w:widowControl w:val="0"/>
        <w:numPr>
          <w:ilvl w:val="0"/>
          <w:numId w:val="0"/>
        </w:numPr>
        <w:tabs>
          <w:tab w:val="left" w:pos="420"/>
          <w:tab w:val="left" w:pos="576"/>
        </w:tabs>
        <w:spacing w:before="260" w:line="420" w:lineRule="exact"/>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★45. 绿色施工安全防护</w:t>
      </w:r>
    </w:p>
    <w:p w14:paraId="76C1216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45.1绿色施工安全防护的要求：</w:t>
      </w:r>
    </w:p>
    <w:p w14:paraId="2FBCF40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按通用条款的规定以及第20.2款相关要求。</w:t>
      </w:r>
    </w:p>
    <w:p w14:paraId="2D4F5CE0">
      <w:pPr>
        <w:spacing w:line="420" w:lineRule="exact"/>
        <w:ind w:firstLine="480" w:firstLineChars="200"/>
        <w:rPr>
          <w:rFonts w:hint="eastAsia" w:ascii="仿宋_GB2312" w:hAnsi="仿宋_GB2312" w:eastAsia="仿宋_GB2312" w:cs="仿宋_GB2312"/>
          <w:color w:val="000000" w:themeColor="text1"/>
          <w:kern w:val="0"/>
          <w:sz w:val="24"/>
          <w:szCs w:val="24"/>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
          <w14:textFill>
            <w14:solidFill>
              <w14:schemeClr w14:val="tx1"/>
            </w14:solidFill>
          </w14:textFill>
        </w:rPr>
        <w:sym w:font="Wingdings" w:char="00FE"/>
      </w:r>
      <w:r>
        <w:rPr>
          <w:rFonts w:hint="eastAsia" w:ascii="仿宋_GB2312" w:hAnsi="仿宋_GB2312" w:eastAsia="仿宋_GB2312" w:cs="仿宋_GB2312"/>
          <w:color w:val="000000" w:themeColor="text1"/>
          <w:kern w:val="0"/>
          <w:sz w:val="24"/>
          <w:szCs w:val="24"/>
          <w:highlight w:val="none"/>
          <w:lang w:val="en-US" w:eastAsia="zh-CN" w:bidi="ar"/>
          <w14:textFill>
            <w14:solidFill>
              <w14:schemeClr w14:val="tx1"/>
            </w14:solidFill>
          </w14:textFill>
        </w:rPr>
        <w:t>符合《企业安全生产费用提取和使用管理办法》（财资〔2022〕136号）的规定。</w:t>
      </w:r>
    </w:p>
    <w:p w14:paraId="7CF3EA01">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4494AD76">
      <w:pPr>
        <w:spacing w:line="420" w:lineRule="exact"/>
        <w:ind w:firstLine="840" w:firstLineChars="3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其中：</w:t>
      </w:r>
      <w:r>
        <w:rPr>
          <w:rFonts w:hint="eastAsia" w:ascii="仿宋_GB2312" w:hAnsi="仿宋_GB2312" w:eastAsia="仿宋_GB2312" w:cs="仿宋_GB2312"/>
          <w:color w:val="000000" w:themeColor="text1"/>
          <w:sz w:val="24"/>
          <w:szCs w:val="24"/>
          <w:highlight w:val="none"/>
          <w14:textFill>
            <w14:solidFill>
              <w14:schemeClr w14:val="tx1"/>
            </w14:solidFill>
          </w14:textFill>
        </w:rPr>
        <w:t>施工扬尘污染防治措施：</w:t>
      </w:r>
      <w:permStart w:id="22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25"/>
    </w:p>
    <w:p w14:paraId="3D18BCBB">
      <w:pPr>
        <w:spacing w:line="420" w:lineRule="exact"/>
        <w:ind w:firstLine="1680" w:firstLineChars="7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用工实名管理：</w:t>
      </w:r>
      <w:permStart w:id="22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26"/>
    </w:p>
    <w:p w14:paraId="45F321B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45.2</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用工实名制、工人工资支付分账管理</w:t>
      </w:r>
    </w:p>
    <w:p w14:paraId="128AF599">
      <w:pPr>
        <w:spacing w:line="420" w:lineRule="exact"/>
        <w:ind w:firstLine="360" w:firstLineChars="1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按通用条款的规定以及以下文件规定：</w:t>
      </w:r>
    </w:p>
    <w:p w14:paraId="4D2DAAD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（1）《住房和城乡建设部人力资源社会保障部关于修改&lt;建筑工人实名制管理办法（试行）&gt;的通知》（建市〔2022〕59号）</w:t>
      </w:r>
    </w:p>
    <w:p w14:paraId="35A4F8C3">
      <w:pPr>
        <w:spacing w:line="420" w:lineRule="exact"/>
        <w:ind w:firstLine="960" w:firstLineChars="4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《住房城乡建设部 人力资源社会保障部关于印发建筑工人实名管理办法（试行）的通知》（建市〔2019〕18号）</w:t>
      </w:r>
    </w:p>
    <w:p w14:paraId="54E3CF62">
      <w:pPr>
        <w:widowControl/>
        <w:spacing w:before="0" w:beforeAutospacing="0" w:after="0" w:afterAutospacing="0" w:line="420" w:lineRule="exact"/>
        <w:ind w:firstLine="960" w:firstLineChars="400"/>
        <w:jc w:val="left"/>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《工程建设领域农民工工资专用账户管理暂行办法》（人社部发〔2021〕53号）</w:t>
      </w:r>
    </w:p>
    <w:p w14:paraId="0A3F81E2">
      <w:pPr>
        <w:widowControl/>
        <w:spacing w:before="0" w:beforeAutospacing="0" w:after="0" w:afterAutospacing="0" w:line="420" w:lineRule="exact"/>
        <w:ind w:firstLine="960" w:firstLineChars="400"/>
        <w:jc w:val="left"/>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《广州市住房和城乡建设局关于印发广州市建筑施工实名制管理办法的通知》（穗建规字〔2020〕18号）</w:t>
      </w:r>
    </w:p>
    <w:p w14:paraId="57AB92DF">
      <w:pPr>
        <w:widowControl/>
        <w:spacing w:before="0" w:beforeAutospacing="0" w:after="0" w:afterAutospacing="0" w:line="420" w:lineRule="exact"/>
        <w:ind w:firstLine="960" w:firstLineChars="400"/>
        <w:jc w:val="left"/>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《关于印发广州市建设领域工人工资支付分账管理实施细则的通知》（穗建规字〔2020〕37号）</w:t>
      </w:r>
    </w:p>
    <w:p w14:paraId="6519BD2B">
      <w:pPr>
        <w:widowControl/>
        <w:spacing w:before="0" w:beforeAutospacing="0" w:after="0" w:afterAutospacing="0" w:line="420" w:lineRule="exact"/>
        <w:ind w:firstLine="960" w:firstLineChars="400"/>
        <w:jc w:val="left"/>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《广州市住房和城乡建设局关于公布第五批广州市建设领域工人工资支付分账管理业务银行名录的通知》（穗建筑〔2022〕1号）</w:t>
      </w:r>
    </w:p>
    <w:p w14:paraId="16147968">
      <w:pPr>
        <w:spacing w:line="420" w:lineRule="exact"/>
        <w:ind w:left="15" w:leftChars="7" w:firstLine="960" w:firstLineChars="4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《广州市住房和城乡建设局关于进一步征集广州市建设领域工人工资支付分账业务银行的通知》（穗建筑〔2021〕673号）</w:t>
      </w:r>
    </w:p>
    <w:p w14:paraId="06DCCC3A">
      <w:pPr>
        <w:spacing w:line="420" w:lineRule="exact"/>
        <w:ind w:firstLine="960" w:firstLineChars="4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《广州市水务局转发广州市根治拖欠农民工工资工作领导小组办公室关于广州市建设领域工程项目全面实施农民工工资总包代发制度的通知》（穗水投收字〔2020〕5031号）</w:t>
      </w:r>
    </w:p>
    <w:p w14:paraId="1B0716E5">
      <w:pPr>
        <w:spacing w:line="420" w:lineRule="exact"/>
        <w:ind w:firstLine="960" w:firstLineChars="4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《保障农民工工资支付条例》</w:t>
      </w:r>
    </w:p>
    <w:p w14:paraId="05C3566C">
      <w:pPr>
        <w:spacing w:line="420" w:lineRule="exact"/>
        <w:ind w:firstLine="960" w:firstLineChars="4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《广州市水务投资集团有限公司农民工工资纠纷突发事件应急处置工作指引（试行）》</w:t>
      </w:r>
    </w:p>
    <w:p w14:paraId="6D48938D">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（2）</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其他文件：</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19607CFC">
      <w:pPr>
        <w:spacing w:line="420" w:lineRule="exact"/>
        <w:ind w:firstLine="360" w:firstLineChars="1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330D5BC1">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45.6 治安管理：</w:t>
      </w:r>
    </w:p>
    <w:p w14:paraId="13ADEF13">
      <w:pPr>
        <w:spacing w:line="420" w:lineRule="exact"/>
        <w:ind w:firstLine="240" w:firstLineChars="1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按通用条款的规定以及第20.2款相关要求。</w:t>
      </w:r>
    </w:p>
    <w:p w14:paraId="1663F814">
      <w:pPr>
        <w:spacing w:line="420" w:lineRule="exact"/>
        <w:ind w:firstLine="120" w:firstLineChars="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0735895A">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45.8</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创文明工地目标：</w:t>
      </w:r>
    </w:p>
    <w:p w14:paraId="16AD6222">
      <w:pPr>
        <w:autoSpaceDE w:val="0"/>
        <w:autoSpaceDN w:val="0"/>
        <w:adjustRightInd w:val="0"/>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27"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27"/>
      <w:r>
        <w:rPr>
          <w:rFonts w:hint="eastAsia" w:ascii="仿宋_GB2312" w:hAnsi="仿宋_GB2312" w:eastAsia="仿宋_GB2312" w:cs="仿宋_GB2312"/>
          <w:color w:val="000000" w:themeColor="text1"/>
          <w:sz w:val="24"/>
          <w:szCs w:val="24"/>
          <w:highlight w:val="none"/>
          <w14:textFill>
            <w14:solidFill>
              <w14:schemeClr w14:val="tx1"/>
            </w14:solidFill>
          </w14:textFill>
        </w:rPr>
        <w:t>市级安全文明绿色施工样板工地</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353822D0">
      <w:pPr>
        <w:autoSpaceDE w:val="0"/>
        <w:autoSpaceDN w:val="0"/>
        <w:adjustRightInd w:val="0"/>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28"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2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省级安全文明示范工地；</w:t>
      </w:r>
    </w:p>
    <w:p w14:paraId="7211DC4F">
      <w:pPr>
        <w:autoSpaceDE w:val="0"/>
        <w:autoSpaceDN w:val="0"/>
        <w:adjustRightInd w:val="0"/>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29"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29"/>
      <w:r>
        <w:rPr>
          <w:rFonts w:hint="eastAsia" w:ascii="仿宋_GB2312" w:hAnsi="仿宋_GB2312" w:eastAsia="仿宋_GB2312" w:cs="仿宋_GB2312"/>
          <w:color w:val="000000" w:themeColor="text1"/>
          <w:sz w:val="24"/>
          <w:szCs w:val="24"/>
          <w:highlight w:val="none"/>
          <w14:textFill>
            <w14:solidFill>
              <w14:schemeClr w14:val="tx1"/>
            </w14:solidFill>
          </w14:textFill>
        </w:rPr>
        <w:t>国家级安全文明工地</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58CC441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30"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3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广州市建筑业绿色施工示范工程；</w:t>
      </w:r>
    </w:p>
    <w:p w14:paraId="0414CC5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31"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3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广东省建筑业绿色施工示范工程；</w:t>
      </w:r>
    </w:p>
    <w:p w14:paraId="750528C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32"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3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全国建筑业绿色施工示范工程；</w:t>
      </w:r>
    </w:p>
    <w:p w14:paraId="5AD1997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33"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3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其它</w:t>
      </w:r>
      <w:permStart w:id="234" w:edGrp="everyone"/>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3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
    <w:p w14:paraId="3FCB619E">
      <w:pPr>
        <w:spacing w:line="420" w:lineRule="exact"/>
        <w:ind w:firstLine="482"/>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45.9</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特别安全生产事项</w:t>
      </w:r>
    </w:p>
    <w:p w14:paraId="41F54186">
      <w:pPr>
        <w:spacing w:line="420" w:lineRule="exact"/>
        <w:ind w:firstLine="482"/>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危险性较大分部分项专项工程施工技术措施标准、要求：</w:t>
      </w:r>
      <w:permStart w:id="23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施工开始前应向发包人和监理人提出安全防护措施，经发包人认可后实施 </w:t>
      </w:r>
      <w:permEnd w:id="235"/>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049A2197">
      <w:pPr>
        <w:spacing w:line="420" w:lineRule="exact"/>
        <w:ind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危险性较大分部分项专项工程施工技术措施费：</w:t>
      </w:r>
      <w:permStart w:id="23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相关费用已包含在合同合价包干的措施费综合合价内，承包人在施工组织设计涉及的施工技术措施费用，不论施工组织设计是否得到发包人或监理人的认可和批准，该费用发包人一概不予另行考虑</w:t>
      </w:r>
      <w:permEnd w:id="236"/>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4D08919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B86B176">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46. 测量放线</w:t>
      </w:r>
    </w:p>
    <w:p w14:paraId="74596B7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46.1 发包人通过监理工程师提供测量基准点、基准线和水准点及其书面资料的期限：</w:t>
      </w:r>
      <w:permStart w:id="23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开工前30天。</w:t>
      </w:r>
      <w:permEnd w:id="237"/>
    </w:p>
    <w:p w14:paraId="551ADEE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承包人测设施工控制网的要求：根据国家测绘基准、测绘系统和工程测量技术规范，经监理工程师审批报发包人同意后按上述基准点、基准线，根据项目工程测设控制有关规范及精度要求，测绘施工控制网，</w:t>
      </w:r>
      <w:permStart w:id="23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在开工前15天内，</w:t>
      </w:r>
      <w:permEnd w:id="23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将施工控制网资料报监理工程师审批。</w:t>
      </w:r>
    </w:p>
    <w:p w14:paraId="1F4990E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46.4 测量放线误差的约定：监理工程师有权对承包人施工测量放线工作进行检查验收。如果发现永久工程任何部分的位置、标高、尺寸或定线存在偏差并造成损失的，发包人通过监理工程师提供的工程地质和地下管线资料仅供参考。承包人应当在施工前对资料数据自行核实，并承担由于施工过程地质数据偏差而引起的责任和损失。</w:t>
      </w:r>
    </w:p>
    <w:p w14:paraId="648A432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负责委托具备勘察测量资质的单位对所提供的道路测量控制桩、水准点和标高进行现场复测，并填妥《测量复核记录》签字备案，然后将用地边线标识后提交给发包人委托的拆迁单位作为控制边线，其费用已包含在合同价款中。</w:t>
      </w:r>
    </w:p>
    <w:p w14:paraId="21EB87B6">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51BBD829">
      <w:pPr>
        <w:numPr>
          <w:ilvl w:val="0"/>
          <w:numId w:val="8"/>
        </w:num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发包人供应材料和工程设备</w:t>
      </w:r>
    </w:p>
    <w:p w14:paraId="26C3A4A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发包人不供应材料和工程设备的，本条不适用。</w:t>
      </w:r>
    </w:p>
    <w:p w14:paraId="43D74E81">
      <w:pPr>
        <w:spacing w:line="420" w:lineRule="exact"/>
        <w:ind w:firstLine="600" w:firstLineChars="2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48.1 约定供应的材料和工程设备</w:t>
      </w:r>
    </w:p>
    <w:p w14:paraId="118B171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发包人供应材料和工程设备的，应与承包人约定“发包人供应材料和工程设备一览表”，作为本合同的附件。承包人应根据发包人供应材料、设备的有关管理规定办理项目招标文件中关于本项目由发包人供应材料、设备的领用、验收、退料等工作，领用的材料名称、规格、数量详见招标文件中发包人提供的材料和工程设备一览表。承包人每月应当与发包人核对确认当月材料设备的领用情况，同时在工程完工后1个月内，与发包人确认该工程的所有发包人供应材料设备的领用、退料、验收情况。如未按照合同约定时限进行确认的，承包人应当向发包人支付合同价款的</w:t>
      </w:r>
      <w:permStart w:id="239"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1 ‰</w:t>
      </w:r>
      <w:permEnd w:id="23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1871BF9C">
      <w:pPr>
        <w:spacing w:line="420" w:lineRule="exact"/>
        <w:ind w:firstLine="720" w:firstLineChars="3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48.3发包人供应材料和工程设备的交货方式：由发包人委托设备供应商运至施工现场，如需承包人到指定地点运输材料时，按第48.8（1）项支付材料运输费，并不再支付承包人其他与发包人供应材料和工程设备相关费用（包括但不限于保管费）。</w:t>
      </w:r>
    </w:p>
    <w:p w14:paraId="2E638F31">
      <w:pPr>
        <w:spacing w:line="420" w:lineRule="exact"/>
        <w:ind w:firstLine="720" w:firstLineChars="3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48.5由发包人提供的材料和工程设备验收后，由承包人负责接收、运输（如需要）和保管。发包人供应材料和工程设备的，经合同双方当事人共同清点后由承包人妥善保管，相应保管费用包含在承包人的投标报价中。因承包人保管不善或承包人其他原因导致丢失或损害的，承包人应予赔偿。发包人未通知承包人清点，承包人不负责材料设备的保管，丢失或损害由发包人负责。</w:t>
      </w:r>
    </w:p>
    <w:p w14:paraId="25AC6FA2">
      <w:pPr>
        <w:spacing w:line="420" w:lineRule="exact"/>
        <w:ind w:firstLine="720" w:firstLineChars="3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48.8 发包人供应材料和工程设备的结算方式：</w:t>
      </w:r>
    </w:p>
    <w:p w14:paraId="3C3B8921">
      <w:pPr>
        <w:spacing w:line="420" w:lineRule="exact"/>
        <w:ind w:firstLine="720" w:firstLineChars="300"/>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如发包人需要承包人到指定地点运输材料时，运输费用按发包人确认的台班签认实际工程量计算。承包人应将运输费发生的原因和自运材料数量以签证的形式报发包人审核确认，作为工程量结算依据。</w:t>
      </w:r>
    </w:p>
    <w:p w14:paraId="31D1CCFE">
      <w:pPr>
        <w:spacing w:line="420" w:lineRule="exact"/>
        <w:ind w:firstLine="720" w:firstLineChars="300"/>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（2）由发包人运到施工现场的材料，承包人不能发生大宗退料情况（因工程变更而发生的大宗退料除外），退料数量不得超过原计划数量的10%。</w:t>
      </w:r>
    </w:p>
    <w:p w14:paraId="2F1FC8B6">
      <w:pPr>
        <w:spacing w:line="420" w:lineRule="exact"/>
        <w:ind w:firstLine="720" w:firstLineChars="3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各项材料工程的剩余材料，应按发包人材料管理的相关制度办理退料。承包人超出定额规定的正常消耗量多领或错领材料，且不退料的，将在审核工程费用结算时依据材料实际耗用量确认表确认的差异量，按照工程领料或工程开工时发包人当期材料的中标综合单价1.0倍进行扣罚。基准扣罚单价的确定原则如下：领料时有《收货清单》的，按《收货清单》上的综合单价；领料时没有《收货清单》的，按工程开工时当期发包人材料年度标中标综合单价；当领用相同规格型号的材料涉及不同年度标或同一年度标不同厂家而出现2个或以上综合单价的，取最高综合单价。退料时限：工程材料的退料时间需在完成该项工程形象100%后的90日以内。</w:t>
      </w:r>
    </w:p>
    <w:p w14:paraId="039891E4">
      <w:pPr>
        <w:widowControl w:val="0"/>
        <w:adjustRightInd w:val="0"/>
        <w:spacing w:line="420" w:lineRule="exact"/>
        <w:ind w:firstLine="720" w:firstLineChars="3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（4）本工程如设置了发包人供应材料和工程设备保管费，按协议书合价包干，不再执行专用条款第48.8（1）项中发包人供应材料和工程设备运输费用的约定。</w:t>
      </w:r>
    </w:p>
    <w:p w14:paraId="7C89BCC3">
      <w:pPr>
        <w:adjustRightInd w:val="0"/>
        <w:spacing w:line="420" w:lineRule="exact"/>
        <w:ind w:firstLine="720" w:firstLineChars="300"/>
        <w:textAlignment w:val="baseline"/>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（5）如因客观原因导致发包人无法提供甲供</w:t>
      </w:r>
      <w:r>
        <w:rPr>
          <w:rFonts w:hint="eastAsia" w:ascii="仿宋_GB2312" w:hAnsi="仿宋_GB2312" w:eastAsia="仿宋_GB2312" w:cs="仿宋_GB2312"/>
          <w:strike w:val="0"/>
          <w:color w:val="000000" w:themeColor="text1"/>
          <w:kern w:val="0"/>
          <w:sz w:val="24"/>
          <w:szCs w:val="24"/>
          <w:highlight w:val="none"/>
          <w:lang w:val="en-US" w:eastAsia="zh-CN"/>
          <w14:textFill>
            <w14:solidFill>
              <w14:schemeClr w14:val="tx1"/>
            </w14:solidFill>
          </w14:textFill>
        </w:rPr>
        <w:t>设备、</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主材，经发包人批准甲转乙后，</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乙供</w:t>
      </w:r>
      <w:r>
        <w:rPr>
          <w:rFonts w:hint="eastAsia" w:ascii="仿宋_GB2312" w:hAnsi="仿宋_GB2312" w:eastAsia="仿宋_GB2312" w:cs="仿宋_GB2312"/>
          <w:strike w:val="0"/>
          <w:color w:val="000000" w:themeColor="text1"/>
          <w:kern w:val="0"/>
          <w:sz w:val="24"/>
          <w:szCs w:val="24"/>
          <w:highlight w:val="none"/>
          <w:lang w:val="en-US" w:eastAsia="zh-CN"/>
          <w14:textFill>
            <w14:solidFill>
              <w14:schemeClr w14:val="tx1"/>
            </w14:solidFill>
          </w14:textFill>
        </w:rPr>
        <w:t>设备、</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主材</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价格按以下优先顺序确定：</w:t>
      </w:r>
    </w:p>
    <w:p w14:paraId="0957F3EA">
      <w:pPr>
        <w:adjustRightInd w:val="0"/>
        <w:spacing w:line="420" w:lineRule="exact"/>
        <w:ind w:firstLine="720" w:firstLineChars="300"/>
        <w:textAlignment w:val="baseline"/>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kern w:val="0"/>
          <w:sz w:val="24"/>
          <w:szCs w:val="24"/>
          <w:highlight w:val="none"/>
          <w:lang w:eastAsia="zh-CN" w:bidi="ar-SA"/>
          <w14:textFill>
            <w14:solidFill>
              <w14:schemeClr w14:val="tx1"/>
            </w14:solidFill>
          </w14:textFill>
        </w:rPr>
        <w:t>（</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5.1）</w:t>
      </w:r>
      <w:r>
        <w:rPr>
          <w:rFonts w:hint="eastAsia" w:ascii="仿宋_GB2312" w:hAnsi="仿宋_GB2312" w:eastAsia="仿宋_GB2312" w:cs="仿宋_GB2312"/>
          <w:color w:val="000000" w:themeColor="text1"/>
          <w:spacing w:val="0"/>
          <w:kern w:val="0"/>
          <w:sz w:val="24"/>
          <w:szCs w:val="24"/>
          <w:highlight w:val="none"/>
          <w:lang w:bidi="ar-SA"/>
          <w14:textFill>
            <w14:solidFill>
              <w14:schemeClr w14:val="tx1"/>
            </w14:solidFill>
          </w14:textFill>
        </w:rPr>
        <w:t>按《广州地区建设工程材料综合价格》计算</w:t>
      </w:r>
      <w:r>
        <w:rPr>
          <w:rFonts w:hint="eastAsia" w:ascii="仿宋_GB2312" w:hAnsi="仿宋_GB2312" w:eastAsia="仿宋_GB2312" w:cs="仿宋_GB2312"/>
          <w:color w:val="000000" w:themeColor="text1"/>
          <w:spacing w:val="0"/>
          <w:kern w:val="0"/>
          <w:sz w:val="24"/>
          <w:szCs w:val="24"/>
          <w:highlight w:val="none"/>
          <w:lang w:eastAsia="zh-CN" w:bidi="ar-SA"/>
          <w14:textFill>
            <w14:solidFill>
              <w14:schemeClr w14:val="tx1"/>
            </w14:solidFill>
          </w14:textFill>
        </w:rPr>
        <w:t>，</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参与清单综合下浮；</w:t>
      </w:r>
    </w:p>
    <w:p w14:paraId="2D957D9D">
      <w:pPr>
        <w:adjustRightInd w:val="0"/>
        <w:spacing w:line="420" w:lineRule="exact"/>
        <w:ind w:firstLine="720" w:firstLineChars="300"/>
        <w:textAlignment w:val="baseline"/>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0"/>
          <w:sz w:val="24"/>
          <w:szCs w:val="24"/>
          <w:highlight w:val="none"/>
          <w:lang w:eastAsia="zh-CN" w:bidi="ar-SA"/>
          <w14:textFill>
            <w14:solidFill>
              <w14:schemeClr w14:val="tx1"/>
            </w14:solidFill>
          </w14:textFill>
        </w:rPr>
        <w:t>（</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5.2）</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经发包人确认，</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与发包人</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物资类年度标采购</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品牌一致且同档次的</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乙供</w:t>
      </w:r>
      <w:r>
        <w:rPr>
          <w:rFonts w:hint="eastAsia" w:ascii="仿宋_GB2312" w:hAnsi="仿宋_GB2312" w:eastAsia="仿宋_GB2312" w:cs="仿宋_GB2312"/>
          <w:strike w:val="0"/>
          <w:color w:val="000000" w:themeColor="text1"/>
          <w:kern w:val="0"/>
          <w:sz w:val="24"/>
          <w:szCs w:val="24"/>
          <w:highlight w:val="none"/>
          <w:lang w:val="en-US" w:eastAsia="zh-CN"/>
          <w14:textFill>
            <w14:solidFill>
              <w14:schemeClr w14:val="tx1"/>
            </w14:solidFill>
          </w14:textFill>
        </w:rPr>
        <w:t>设备、</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主材</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采用</w:t>
      </w:r>
      <w:r>
        <w:rPr>
          <w:rFonts w:hint="eastAsia" w:ascii="仿宋_GB2312" w:hAnsi="仿宋_GB2312" w:eastAsia="仿宋_GB2312" w:cs="仿宋_GB2312"/>
          <w:strike w:val="0"/>
          <w:color w:val="000000" w:themeColor="text1"/>
          <w:kern w:val="0"/>
          <w:sz w:val="24"/>
          <w:szCs w:val="24"/>
          <w:highlight w:val="none"/>
          <w:lang w:eastAsia="zh-CN"/>
          <w14:textFill>
            <w14:solidFill>
              <w14:schemeClr w14:val="tx1"/>
            </w14:solidFill>
          </w14:textFill>
        </w:rPr>
        <w:t>不高于</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施工期发包人对应年份的</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物资类年度标采购价格</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strike w:val="0"/>
          <w:color w:val="000000" w:themeColor="text1"/>
          <w:kern w:val="0"/>
          <w:sz w:val="24"/>
          <w:szCs w:val="24"/>
          <w:highlight w:val="none"/>
          <w:lang w:eastAsia="zh-CN"/>
          <w14:textFill>
            <w14:solidFill>
              <w14:schemeClr w14:val="tx1"/>
            </w14:solidFill>
          </w14:textFill>
        </w:rPr>
        <w:t>（如有多个中标价格，按平均价计算），</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不再参与清单综合下浮。</w:t>
      </w:r>
    </w:p>
    <w:p w14:paraId="7815ECAA">
      <w:pPr>
        <w:adjustRightInd w:val="0"/>
        <w:spacing w:line="420" w:lineRule="exact"/>
        <w:ind w:firstLine="720" w:firstLineChars="300"/>
        <w:textAlignment w:val="baseline"/>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0"/>
          <w:sz w:val="24"/>
          <w:szCs w:val="24"/>
          <w:highlight w:val="none"/>
          <w:lang w:eastAsia="zh-CN" w:bidi="ar-SA"/>
          <w14:textFill>
            <w14:solidFill>
              <w14:schemeClr w14:val="tx1"/>
            </w14:solidFill>
          </w14:textFill>
        </w:rPr>
        <w:t>（</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5.3）</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经发包人确认，</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与发包人物资类历史采购同品牌或者同档次的</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乙供材料</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但发包人无采购价格，则按历史招标中的最高投标价作为最高限价，承包人提交</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第三方采购发票，经</w:t>
      </w:r>
      <w:r>
        <w:rPr>
          <w:rFonts w:hint="eastAsia" w:ascii="仿宋_GB2312" w:hAnsi="仿宋_GB2312" w:eastAsia="仿宋_GB2312" w:cs="仿宋_GB2312"/>
          <w:color w:val="000000" w:themeColor="text1"/>
          <w:spacing w:val="0"/>
          <w:kern w:val="0"/>
          <w:sz w:val="24"/>
          <w:szCs w:val="24"/>
          <w:highlight w:val="none"/>
          <w:lang w:bidi="ar-SA"/>
          <w14:textFill>
            <w14:solidFill>
              <w14:schemeClr w14:val="tx1"/>
            </w14:solidFill>
          </w14:textFill>
        </w:rPr>
        <w:t>业主项目负责人审核确认</w:t>
      </w:r>
      <w:r>
        <w:rPr>
          <w:rFonts w:hint="eastAsia" w:ascii="仿宋_GB2312" w:hAnsi="仿宋_GB2312" w:eastAsia="仿宋_GB2312" w:cs="仿宋_GB2312"/>
          <w:color w:val="000000" w:themeColor="text1"/>
          <w:spacing w:val="0"/>
          <w:kern w:val="0"/>
          <w:sz w:val="24"/>
          <w:szCs w:val="24"/>
          <w:highlight w:val="none"/>
          <w:lang w:eastAsia="zh-CN" w:bidi="ar-SA"/>
          <w14:textFill>
            <w14:solidFill>
              <w14:schemeClr w14:val="tx1"/>
            </w14:solidFill>
          </w14:textFill>
        </w:rPr>
        <w:t>，</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不再参与清单综合下浮。</w:t>
      </w:r>
    </w:p>
    <w:p w14:paraId="46281EEF">
      <w:pPr>
        <w:adjustRightInd w:val="0"/>
        <w:spacing w:line="420" w:lineRule="exact"/>
        <w:ind w:firstLine="720" w:firstLineChars="300"/>
        <w:textAlignment w:val="baseline"/>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kern w:val="0"/>
          <w:sz w:val="24"/>
          <w:szCs w:val="24"/>
          <w:highlight w:val="none"/>
          <w:lang w:eastAsia="zh-CN" w:bidi="ar-SA"/>
          <w14:textFill>
            <w14:solidFill>
              <w14:schemeClr w14:val="tx1"/>
            </w14:solidFill>
          </w14:textFill>
        </w:rPr>
        <w:t>（</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5.4）</w:t>
      </w:r>
      <w:r>
        <w:rPr>
          <w:rFonts w:hint="eastAsia" w:ascii="仿宋_GB2312" w:hAnsi="仿宋_GB2312" w:eastAsia="仿宋_GB2312" w:cs="仿宋_GB2312"/>
          <w:color w:val="000000" w:themeColor="text1"/>
          <w:spacing w:val="0"/>
          <w:kern w:val="0"/>
          <w:sz w:val="24"/>
          <w:szCs w:val="24"/>
          <w:highlight w:val="none"/>
          <w:lang w:bidi="ar-SA"/>
          <w14:textFill>
            <w14:solidFill>
              <w14:schemeClr w14:val="tx1"/>
            </w14:solidFill>
          </w14:textFill>
        </w:rPr>
        <w:t>综合价格没有的材料单价但品牌符合《广州地区建设工程材料（设备）厂商价格信息》中的价格下浮 20%</w:t>
      </w:r>
      <w:r>
        <w:rPr>
          <w:rFonts w:hint="eastAsia" w:ascii="仿宋_GB2312" w:hAnsi="仿宋_GB2312" w:eastAsia="仿宋_GB2312" w:cs="仿宋_GB2312"/>
          <w:color w:val="000000" w:themeColor="text1"/>
          <w:spacing w:val="0"/>
          <w:kern w:val="0"/>
          <w:sz w:val="24"/>
          <w:szCs w:val="24"/>
          <w:highlight w:val="none"/>
          <w:lang w:eastAsia="zh-CN" w:bidi="ar-SA"/>
          <w14:textFill>
            <w14:solidFill>
              <w14:schemeClr w14:val="tx1"/>
            </w14:solidFill>
          </w14:textFill>
        </w:rPr>
        <w:t>，</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参与清单综合下浮；</w:t>
      </w:r>
    </w:p>
    <w:p w14:paraId="3343C1A1">
      <w:pPr>
        <w:adjustRightInd w:val="0"/>
        <w:spacing w:line="420" w:lineRule="exact"/>
        <w:ind w:firstLine="720" w:firstLineChars="300"/>
        <w:textAlignment w:val="baseline"/>
        <w:rPr>
          <w:rFonts w:hint="eastAsia" w:ascii="仿宋_GB2312" w:hAnsi="仿宋_GB2312" w:eastAsia="仿宋_GB2312" w:cs="仿宋_GB2312"/>
          <w:color w:val="000000" w:themeColor="text1"/>
          <w:spacing w:val="0"/>
          <w:kern w:val="0"/>
          <w:sz w:val="24"/>
          <w:szCs w:val="24"/>
          <w:highlight w:val="none"/>
          <w:lang w:eastAsia="zh-CN" w:bidi="ar-SA"/>
          <w14:textFill>
            <w14:solidFill>
              <w14:schemeClr w14:val="tx1"/>
            </w14:solidFill>
          </w14:textFill>
        </w:rPr>
      </w:pPr>
      <w:r>
        <w:rPr>
          <w:rFonts w:hint="eastAsia" w:ascii="仿宋_GB2312" w:hAnsi="仿宋_GB2312" w:eastAsia="仿宋_GB2312" w:cs="仿宋_GB2312"/>
          <w:color w:val="000000" w:themeColor="text1"/>
          <w:spacing w:val="0"/>
          <w:kern w:val="0"/>
          <w:sz w:val="24"/>
          <w:szCs w:val="24"/>
          <w:highlight w:val="none"/>
          <w:lang w:eastAsia="zh-CN" w:bidi="ar-SA"/>
          <w14:textFill>
            <w14:solidFill>
              <w14:schemeClr w14:val="tx1"/>
            </w14:solidFill>
          </w14:textFill>
        </w:rPr>
        <w:t>（</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5.5）</w:t>
      </w:r>
      <w:r>
        <w:rPr>
          <w:rFonts w:hint="eastAsia" w:ascii="仿宋_GB2312" w:hAnsi="仿宋_GB2312" w:eastAsia="仿宋_GB2312" w:cs="仿宋_GB2312"/>
          <w:color w:val="000000" w:themeColor="text1"/>
          <w:spacing w:val="0"/>
          <w:kern w:val="0"/>
          <w:sz w:val="24"/>
          <w:szCs w:val="24"/>
          <w:highlight w:val="none"/>
          <w:lang w:bidi="ar-SA"/>
          <w14:textFill>
            <w14:solidFill>
              <w14:schemeClr w14:val="tx1"/>
            </w14:solidFill>
          </w14:textFill>
        </w:rPr>
        <w:t>《广州地区建设工程材料（设备）厂商价格信息》没有的，依据经业主确认的设备、材料的规格、参数</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经发包人或发包人委托的第三方咨询机构</w:t>
      </w:r>
      <w:r>
        <w:rPr>
          <w:rFonts w:hint="eastAsia" w:ascii="仿宋_GB2312" w:hAnsi="仿宋_GB2312" w:eastAsia="仿宋_GB2312" w:cs="仿宋_GB2312"/>
          <w:color w:val="000000" w:themeColor="text1"/>
          <w:spacing w:val="0"/>
          <w:kern w:val="0"/>
          <w:sz w:val="24"/>
          <w:szCs w:val="24"/>
          <w:highlight w:val="none"/>
          <w:lang w:bidi="ar-SA"/>
          <w14:textFill>
            <w14:solidFill>
              <w14:schemeClr w14:val="tx1"/>
            </w14:solidFill>
          </w14:textFill>
        </w:rPr>
        <w:t>市场询价确认</w:t>
      </w:r>
      <w:r>
        <w:rPr>
          <w:rFonts w:hint="eastAsia" w:ascii="仿宋_GB2312" w:hAnsi="仿宋_GB2312" w:eastAsia="仿宋_GB2312" w:cs="仿宋_GB2312"/>
          <w:color w:val="000000" w:themeColor="text1"/>
          <w:spacing w:val="0"/>
          <w:kern w:val="0"/>
          <w:sz w:val="24"/>
          <w:szCs w:val="24"/>
          <w:highlight w:val="none"/>
          <w:lang w:eastAsia="zh-CN" w:bidi="ar-SA"/>
          <w14:textFill>
            <w14:solidFill>
              <w14:schemeClr w14:val="tx1"/>
            </w14:solidFill>
          </w14:textFill>
        </w:rPr>
        <w:t>，</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不再参与清单综合下浮</w:t>
      </w:r>
      <w:r>
        <w:rPr>
          <w:rFonts w:hint="eastAsia" w:ascii="仿宋_GB2312" w:hAnsi="仿宋_GB2312" w:eastAsia="仿宋_GB2312" w:cs="仿宋_GB2312"/>
          <w:color w:val="000000" w:themeColor="text1"/>
          <w:spacing w:val="0"/>
          <w:kern w:val="0"/>
          <w:sz w:val="24"/>
          <w:szCs w:val="24"/>
          <w:highlight w:val="none"/>
          <w:lang w:eastAsia="zh-CN" w:bidi="ar-SA"/>
          <w14:textFill>
            <w14:solidFill>
              <w14:schemeClr w14:val="tx1"/>
            </w14:solidFill>
          </w14:textFill>
        </w:rPr>
        <w:t>。</w:t>
      </w:r>
    </w:p>
    <w:p w14:paraId="69C4EE71">
      <w:pPr>
        <w:adjustRightInd w:val="0"/>
        <w:spacing w:line="420" w:lineRule="exact"/>
        <w:ind w:firstLine="720" w:firstLineChars="300"/>
        <w:textAlignment w:val="baseline"/>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结算时，还需提交凭</w:t>
      </w:r>
      <w:r>
        <w:rPr>
          <w:rFonts w:hint="eastAsia" w:ascii="仿宋_GB2312" w:hAnsi="仿宋_GB2312" w:eastAsia="仿宋_GB2312" w:cs="仿宋_GB2312"/>
          <w:color w:val="000000" w:themeColor="text1"/>
          <w:spacing w:val="0"/>
          <w:kern w:val="0"/>
          <w:sz w:val="24"/>
          <w:szCs w:val="24"/>
          <w:highlight w:val="none"/>
          <w:lang w:bidi="ar-SA"/>
          <w14:textFill>
            <w14:solidFill>
              <w14:schemeClr w14:val="tx1"/>
            </w14:solidFill>
          </w14:textFill>
        </w:rPr>
        <w:t>业主项目负责人审核确认的有效发票</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作为结算依据，且不得高于经审定的设计变更</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乙供</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主材、设备价格</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w:t>
      </w:r>
    </w:p>
    <w:p w14:paraId="1A45ED08">
      <w:pPr>
        <w:adjustRightInd w:val="0"/>
        <w:spacing w:line="420" w:lineRule="exact"/>
        <w:ind w:firstLine="720" w:firstLineChars="300"/>
        <w:textAlignment w:val="baseline"/>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（5.6）不适用以上条款的乙供</w:t>
      </w:r>
      <w:r>
        <w:rPr>
          <w:rFonts w:hint="eastAsia" w:ascii="仿宋_GB2312" w:hAnsi="仿宋_GB2312" w:eastAsia="仿宋_GB2312" w:cs="仿宋_GB2312"/>
          <w:strike w:val="0"/>
          <w:color w:val="000000" w:themeColor="text1"/>
          <w:kern w:val="0"/>
          <w:sz w:val="24"/>
          <w:szCs w:val="24"/>
          <w:highlight w:val="none"/>
          <w:lang w:val="en-US" w:eastAsia="zh-CN"/>
          <w14:textFill>
            <w14:solidFill>
              <w14:schemeClr w14:val="tx1"/>
            </w14:solidFill>
          </w14:textFill>
        </w:rPr>
        <w:t>设备、</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主材</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，承包人提交不少于三家的有效询价和第三方采购发票，经</w:t>
      </w:r>
      <w:r>
        <w:rPr>
          <w:rFonts w:hint="eastAsia" w:ascii="仿宋_GB2312" w:hAnsi="仿宋_GB2312" w:eastAsia="仿宋_GB2312" w:cs="仿宋_GB2312"/>
          <w:color w:val="000000" w:themeColor="text1"/>
          <w:spacing w:val="0"/>
          <w:kern w:val="0"/>
          <w:sz w:val="24"/>
          <w:szCs w:val="24"/>
          <w:highlight w:val="none"/>
          <w:lang w:bidi="ar-SA"/>
          <w14:textFill>
            <w14:solidFill>
              <w14:schemeClr w14:val="tx1"/>
            </w14:solidFill>
          </w14:textFill>
        </w:rPr>
        <w:t>业主项目负责人审核确认</w:t>
      </w:r>
      <w:r>
        <w:rPr>
          <w:rFonts w:hint="eastAsia" w:ascii="仿宋_GB2312" w:hAnsi="仿宋_GB2312" w:eastAsia="仿宋_GB2312" w:cs="仿宋_GB2312"/>
          <w:color w:val="000000" w:themeColor="text1"/>
          <w:spacing w:val="0"/>
          <w:kern w:val="0"/>
          <w:sz w:val="24"/>
          <w:szCs w:val="24"/>
          <w:highlight w:val="none"/>
          <w:lang w:eastAsia="zh-CN" w:bidi="ar-SA"/>
          <w14:textFill>
            <w14:solidFill>
              <w14:schemeClr w14:val="tx1"/>
            </w14:solidFill>
          </w14:textFill>
        </w:rPr>
        <w:t>，</w:t>
      </w:r>
      <w:r>
        <w:rPr>
          <w:rFonts w:hint="eastAsia" w:ascii="仿宋_GB2312" w:hAnsi="仿宋_GB2312" w:eastAsia="仿宋_GB2312" w:cs="仿宋_GB2312"/>
          <w:color w:val="000000" w:themeColor="text1"/>
          <w:spacing w:val="0"/>
          <w:kern w:val="0"/>
          <w:sz w:val="24"/>
          <w:szCs w:val="24"/>
          <w:highlight w:val="none"/>
          <w:lang w:val="en-US" w:eastAsia="zh-CN" w:bidi="ar-SA"/>
          <w14:textFill>
            <w14:solidFill>
              <w14:schemeClr w14:val="tx1"/>
            </w14:solidFill>
          </w14:textFill>
        </w:rPr>
        <w:t>参与清单综合下浮</w:t>
      </w:r>
      <w:r>
        <w:rPr>
          <w:rFonts w:hint="eastAsia" w:ascii="仿宋_GB2312" w:hAnsi="仿宋_GB2312" w:eastAsia="仿宋_GB2312" w:cs="仿宋_GB2312"/>
          <w:color w:val="000000" w:themeColor="text1"/>
          <w:spacing w:val="0"/>
          <w:kern w:val="0"/>
          <w:sz w:val="24"/>
          <w:szCs w:val="24"/>
          <w:highlight w:val="none"/>
          <w:lang w:bidi="ar-SA"/>
          <w14:textFill>
            <w14:solidFill>
              <w14:schemeClr w14:val="tx1"/>
            </w14:solidFill>
          </w14:textFill>
        </w:rPr>
        <w:t>。</w:t>
      </w:r>
    </w:p>
    <w:p w14:paraId="3E7D04C2">
      <w:pPr>
        <w:widowControl w:val="0"/>
        <w:adjustRightInd w:val="0"/>
        <w:spacing w:line="420" w:lineRule="exact"/>
        <w:ind w:firstLine="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p>
    <w:p w14:paraId="3CAA975E">
      <w:pPr>
        <w:widowControl w:val="0"/>
        <w:adjustRightInd w:val="0"/>
        <w:spacing w:line="420" w:lineRule="exact"/>
        <w:ind w:firstLine="0"/>
        <w:jc w:val="both"/>
        <w:textAlignment w:val="baseline"/>
        <w:rPr>
          <w:rFonts w:hint="eastAsia" w:ascii="黑体" w:hAnsi="黑体" w:eastAsia="黑体" w:cs="黑体"/>
          <w:b w:val="0"/>
          <w:bCs w:val="0"/>
          <w:color w:val="000000" w:themeColor="text1"/>
          <w:kern w:val="2"/>
          <w:sz w:val="24"/>
          <w:szCs w:val="24"/>
          <w:highlight w:val="none"/>
          <w:lang w:val="en-US" w:eastAsia="zh-CN" w:bidi="ar-SA"/>
          <w14:textFill>
            <w14:solidFill>
              <w14:schemeClr w14:val="tx1"/>
            </w14:solidFill>
          </w14:textFill>
        </w:rPr>
      </w:pPr>
      <w:r>
        <w:rPr>
          <w:rFonts w:hint="eastAsia" w:ascii="黑体" w:hAnsi="黑体" w:eastAsia="黑体" w:cs="黑体"/>
          <w:b w:val="0"/>
          <w:bCs w:val="0"/>
          <w:color w:val="000000" w:themeColor="text1"/>
          <w:kern w:val="2"/>
          <w:sz w:val="24"/>
          <w:szCs w:val="24"/>
          <w:highlight w:val="none"/>
          <w:lang w:val="en-US" w:eastAsia="zh-CN" w:bidi="ar-SA"/>
          <w14:textFill>
            <w14:solidFill>
              <w14:schemeClr w14:val="tx1"/>
            </w14:solidFill>
          </w14:textFill>
        </w:rPr>
        <w:t>49. 承包人采购材料和工程设备</w:t>
      </w:r>
    </w:p>
    <w:p w14:paraId="2B0A7C2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49.1 承包人采购材料和工程设备</w:t>
      </w:r>
    </w:p>
    <w:p w14:paraId="74D831C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按通用条款规定，由承包人负责采购、运输和保管。</w:t>
      </w:r>
    </w:p>
    <w:p w14:paraId="619A2D3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p>
    <w:p w14:paraId="4637AB22">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49.2 承包人供货要求： 承包人在采购每一种类的主要材料前（如钢材、钢绞线、水泥、橡胶支座、收缩缝、管材等），须将拟定采购供应的材料生产或供应的厂家的企业概况（包括名称、注册资金、生产许可证、年产量和近三年服务于市政工程业绩等）、产品质量合格证书以及反映厂家实力的证明材料等报给监理工程师和发包人，待发包人批准后才能采购使用。否则，将认为其提供不合格材料。承包人将由其提供的材料和工程设备的供货人及品种、规格、数量和供货时间等报送监理工程师审批的期限：</w:t>
      </w:r>
      <w:permStart w:id="24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3个工作日之内 。</w:t>
      </w:r>
    </w:p>
    <w:permEnd w:id="240"/>
    <w:p w14:paraId="24A3FC41">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49.6 使用替换材料的申请与批准：</w:t>
      </w:r>
      <w:permStart w:id="24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承包人需要使用替换材料的，应经监理工程师同意并由其报发包人批准后方可实施，由此引起合同价款增加的费用由承包人承担，减少的费用由发包人从合同价款中相应扣减。</w:t>
      </w:r>
    </w:p>
    <w:permEnd w:id="241"/>
    <w:p w14:paraId="424C1BD9">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49.8 发包人依法指定的生产厂家和供应商：</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p>
    <w:p w14:paraId="2ABD3570">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发包人要求的材料和工程设备建设标准、质量等级：</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p>
    <w:p w14:paraId="5B29035D">
      <w:pPr>
        <w:spacing w:line="420" w:lineRule="exact"/>
        <w:ind w:firstLine="480" w:firstLineChars="200"/>
        <w:rPr>
          <w:rFonts w:hint="eastAsia" w:ascii="仿宋_GB2312" w:hAnsi="仿宋_GB2312" w:eastAsia="宋体" w:cs="仿宋_GB2312"/>
          <w:color w:val="000000" w:themeColor="text1"/>
          <w:kern w:val="0"/>
          <w:sz w:val="24"/>
          <w:szCs w:val="24"/>
          <w:highlight w:val="none"/>
          <w:lang w:eastAsia="zh-CN"/>
          <w14:textFill>
            <w14:solidFill>
              <w14:schemeClr w14:val="tx1"/>
            </w14:solidFill>
          </w14:textFill>
        </w:rPr>
      </w:pPr>
      <w:permStart w:id="242"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投标人填报附件设备、材料表中的“投标单位拟使用品牌”，如未填报，则视为发包人可采用附件设备、材料表中的任一推荐品牌。填报品牌必须是“推荐品牌”之一或者不低于“推荐品牌”的档次，采购前需报发包人审核；如填报品牌档次或者最终实际采用材料品牌档次低于“推荐品牌”,发包人有权在结算阶段按协议书调整中标综合单价</w:t>
      </w:r>
      <w:r>
        <w:rPr>
          <w:rFonts w:hint="eastAsia"/>
          <w:color w:val="000000" w:themeColor="text1"/>
          <w:highlight w:val="none"/>
          <w:lang w:eastAsia="zh-CN"/>
          <w14:textFill>
            <w14:solidFill>
              <w14:schemeClr w14:val="tx1"/>
            </w14:solidFill>
          </w14:textFill>
        </w:rPr>
        <w:t>。</w:t>
      </w:r>
      <w:permEnd w:id="242"/>
    </w:p>
    <w:p w14:paraId="226A44A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49.9政府质量安全监督部门和监理工程师有权安排抽检，承包人应积极配合。政府质量安全监督部门出具的检验报告书作为工程竣工验收所需要文件的组成部分。在施工过程中，监理工程师有权随时对工程材料、设备的使用进行抽查，包括成品、半成品、器具、设备、附件、小五金等。抽查范围、比例、数量、批次及检查深度可比照国家现行施工质量验收规范和相关规定。如抽查部分经检测为合格的检测费用由发包人承担；如抽查部分经检测为不合格的检测费用由承包人承担，并按照第90条（13）项承担违约责任。同时，监理工程师还必须扩大对该批材料的抽查范围、增加数量抽检，若仍不合格的，承包人必须在监理工程师书面通知的限期内全部无条件拆除、更换，并运出施工现场，由此所造成的工期延误、费用增加等一切损失均由承包人承担。同时，承包人还应当按照第90条（13）项承担违约责任。</w:t>
      </w:r>
    </w:p>
    <w:p w14:paraId="68736A5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49.10工程材料、设备的质量依据下列顺序之标准认定：</w:t>
      </w:r>
    </w:p>
    <w:p w14:paraId="18359BE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（1）本工程设计图纸规定的设计标准；</w:t>
      </w:r>
    </w:p>
    <w:p w14:paraId="31BB47A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（2）招投标时确定的规格、技术指标、质量标准、品牌等；</w:t>
      </w:r>
    </w:p>
    <w:p w14:paraId="01AA44C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（3）经设计人、监理人、发包人、承包人共同认定的产品封样、样板；</w:t>
      </w:r>
    </w:p>
    <w:p w14:paraId="3D0D469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（4）国家或行业强制执行的技术标准、技术规范。</w:t>
      </w:r>
    </w:p>
    <w:p w14:paraId="6AF54589">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24406A36">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50. 材料和工程设备的检验试验</w:t>
      </w:r>
    </w:p>
    <w:p w14:paraId="1EED54A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50.1 承包人应协助第三方材料检测机构做好配件加工工作。其费用已包含在合同价款中，不另行计量支付。</w:t>
      </w:r>
    </w:p>
    <w:p w14:paraId="23F5276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50.2 见证取样检验试验的材料和工程设备</w:t>
      </w:r>
    </w:p>
    <w:p w14:paraId="267EF223">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 种类：</w:t>
      </w:r>
    </w:p>
    <w:p w14:paraId="12C41ED2">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1）厂站类工程项目：常规材料检测，包括但不限于水泥、粗集料、细集料、钢筋、钢板、砖、混凝土、砂浆、电力套管用HDPE管、镀锌钢管、镀锌圆钢及扁钢、电缆桥架、混凝土管、聚乙烯波纹管、球墨铸铁管、钢管、阀门、高密度聚乙烯给水管、UPVC管、灰砂砖、井盖、墙砖、PE给水管、铝合金、饰面砖、橡胶止水带、镀锌钢板止水带、防水涂料等；</w:t>
      </w:r>
    </w:p>
    <w:p w14:paraId="667EE6F7">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2）管网类工程项目：常规材料检测，包括但不限于水泥、砂、粗集料、细集料、钢筋、砼试块、沥青混合料、钢板、砖、混凝土、砂浆、外加剂、砂浆试块、钢筋接头等；</w:t>
      </w:r>
    </w:p>
    <w:p w14:paraId="6D482A8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甲供管材复验检测，包括但不限于钢管、球墨铸铁管、钢塑复合压力管、阀门类、井盖等。</w:t>
      </w:r>
    </w:p>
    <w:p w14:paraId="66A4089C">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（2）检测机构：</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由发包人另行通知。  </w:t>
      </w:r>
    </w:p>
    <w:p w14:paraId="55B647C0">
      <w:pPr>
        <w:spacing w:line="420" w:lineRule="exact"/>
        <w:ind w:firstLine="600" w:firstLineChars="2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50.7 发包人可委托第三方检验试验单位负责本合同工程材料、设备、桩基、CCTV等检测和检验试验。</w:t>
      </w:r>
    </w:p>
    <w:p w14:paraId="0713F5A1">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1EB72121">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51. 施工设备和临时设施</w:t>
      </w:r>
    </w:p>
    <w:p w14:paraId="4B040BE3">
      <w:pPr>
        <w:spacing w:line="420" w:lineRule="exact"/>
        <w:ind w:firstLine="600" w:firstLineChars="2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51.1 承包人配置施工设备和临时设施</w:t>
      </w:r>
    </w:p>
    <w:p w14:paraId="2AA258DD">
      <w:pPr>
        <w:spacing w:line="420" w:lineRule="exact"/>
        <w:ind w:firstLine="600" w:firstLineChars="2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按通用条款规定，承包人承担修建临时设施的费用。</w:t>
      </w:r>
    </w:p>
    <w:p w14:paraId="619BFA35">
      <w:pPr>
        <w:spacing w:line="420" w:lineRule="exact"/>
        <w:ind w:firstLine="600" w:firstLineChars="2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p>
    <w:p w14:paraId="70E583E6">
      <w:pPr>
        <w:spacing w:line="420" w:lineRule="exact"/>
        <w:ind w:firstLine="600" w:firstLineChars="25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51.2 发包人提供的施工设备和临时设施：</w:t>
      </w:r>
      <w:permStart w:id="24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43"/>
    </w:p>
    <w:p w14:paraId="1204690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发包人提供的施工设备和临时设施的运行、维护、拆除、清运费用的承担人：</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承包人</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。费用已包含在合同价款中。</w:t>
      </w:r>
    </w:p>
    <w:p w14:paraId="63C5B42F">
      <w:pPr>
        <w:widowControl w:val="0"/>
        <w:numPr>
          <w:ilvl w:val="0"/>
          <w:numId w:val="0"/>
        </w:numPr>
        <w:tabs>
          <w:tab w:val="left" w:pos="576"/>
        </w:tabs>
        <w:spacing w:before="260" w:line="420" w:lineRule="exact"/>
        <w:ind w:left="574" w:hanging="624" w:hangingChars="260"/>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52.工程质量检查</w:t>
      </w:r>
    </w:p>
    <w:p w14:paraId="2730A522">
      <w:pPr>
        <w:widowControl w:val="0"/>
        <w:spacing w:after="120"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52.2工程质量检查的要求</w:t>
      </w:r>
    </w:p>
    <w:p w14:paraId="4D5B6560">
      <w:pPr>
        <w:widowControl w:val="0"/>
        <w:spacing w:after="120"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（1）承包人向监理工程师报送工程质量报表的期限：开工后每月20日前。</w:t>
      </w:r>
    </w:p>
    <w:p w14:paraId="08813123">
      <w:pPr>
        <w:widowControl w:val="0"/>
        <w:spacing w:after="120" w:line="420" w:lineRule="exact"/>
        <w:ind w:firstLine="480" w:firstLineChars="200"/>
        <w:jc w:val="lef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（2）承包人向监理工程师报送工程质量报表的要求：同时提交施工方案及质量控制措施，材料设备应提交材料设备的质检报告（产品合格证）等资料。</w:t>
      </w:r>
    </w:p>
    <w:p w14:paraId="6E506F94">
      <w:pPr>
        <w:widowControl w:val="0"/>
        <w:spacing w:after="120" w:line="420" w:lineRule="exact"/>
        <w:ind w:firstLine="480" w:firstLineChars="200"/>
        <w:jc w:val="left"/>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（3）监理工程师审查工程质量报表的期限：收到质量报表后5个日历天内。</w:t>
      </w:r>
    </w:p>
    <w:p w14:paraId="3BAB1F84">
      <w:pPr>
        <w:widowControl w:val="0"/>
        <w:numPr>
          <w:ilvl w:val="0"/>
          <w:numId w:val="0"/>
        </w:numPr>
        <w:tabs>
          <w:tab w:val="left" w:pos="420"/>
          <w:tab w:val="left" w:pos="576"/>
        </w:tabs>
        <w:spacing w:before="260" w:line="420" w:lineRule="exact"/>
        <w:ind w:left="574" w:hanging="624" w:hangingChars="260"/>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53. 隐蔽工程和中间验收</w:t>
      </w:r>
    </w:p>
    <w:p w14:paraId="370D556F">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隐蔽工程或中间验收部位未经专业监理工程师验收合格，不得隐蔽或继续施工，否则该部分工程被视为不合格，由此所产生的返工费用由承包人承担。</w:t>
      </w:r>
    </w:p>
    <w:p w14:paraId="4890E9C3">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53.1 中间验收的部位有：包括但不限于沟槽承载力、压实度等质量、管材焊缝质量检测、防水涂层检测、管坑分层回填压实度、工作井、阀门井等结构工程的质量、路面修复质量等，还包括发包人、监理单位及工程质量监督单位根据规范以及本工程特点提出的隐蔽、设计结构安全、重要施工功能、关键施工部位的分部分项工程。</w:t>
      </w:r>
    </w:p>
    <w:p w14:paraId="2235EC0C">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当工程进度达到本款约定的中间验收部位时，承包人应当进行自检，并在中间验收前48小时以书面形式通知监理工程师验收，书面通知应包括中间验收的内容、验收时间和地点，并做好验收记录。只有监理工程师验收合格并在验收记录上签字后，承包人方可继续施工；验收不合格的，承包人在3天期限内进行修改后重新验收。</w:t>
      </w:r>
    </w:p>
    <w:p w14:paraId="60C5473A">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监理工程师不能按时进行验收的，应在验收前24小时以书面形式向承包人提出延期要求，延期不能超过48小时。监理工程师未能按本款约定的时限提出延期要求，又未按期进行验收的，承包人可自行组织验收，监理工程师必须认同验收记录。</w:t>
      </w:r>
    </w:p>
    <w:p w14:paraId="6F6CB7C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经监理工程师验收后工程质量符合约定的验收标准，但验收24小时后监理工程师仍不在验收记录上签字的，视为监理工程师已经认可验收记录，承包人可继续施工。</w:t>
      </w:r>
    </w:p>
    <w:p w14:paraId="1A3EE913">
      <w:pPr>
        <w:spacing w:line="420" w:lineRule="exact"/>
        <w:jc w:val="lef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p>
    <w:p w14:paraId="7959F14E">
      <w:pPr>
        <w:spacing w:line="420" w:lineRule="exact"/>
        <w:jc w:val="lef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55. 工程试车</w:t>
      </w:r>
    </w:p>
    <w:p w14:paraId="2FD339D1">
      <w:pPr>
        <w:spacing w:line="420" w:lineRule="exact"/>
        <w:ind w:firstLine="480" w:firstLineChars="200"/>
        <w:jc w:val="left"/>
        <w:rPr>
          <w:rFonts w:hint="eastAsia" w:ascii="仿宋_GB2312" w:hAnsi="仿宋_GB2312" w:eastAsia="仿宋_GB2312" w:cs="仿宋_GB2312"/>
          <w:b w:val="0"/>
          <w:bCs w:val="0"/>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sym w:font="Wingdings 2" w:char="0053"/>
      </w:r>
      <w:r>
        <w:rPr>
          <w:rFonts w:hint="eastAsia" w:ascii="仿宋_GB2312" w:hAnsi="仿宋_GB2312" w:eastAsia="仿宋_GB2312" w:cs="仿宋_GB2312"/>
          <w:b w:val="0"/>
          <w:bCs w:val="0"/>
          <w:color w:val="000000" w:themeColor="text1"/>
          <w:kern w:val="0"/>
          <w:sz w:val="24"/>
          <w:szCs w:val="24"/>
          <w:highlight w:val="none"/>
          <w:lang w:val="en-US" w:eastAsia="zh-CN"/>
          <w14:textFill>
            <w14:solidFill>
              <w14:schemeClr w14:val="tx1"/>
            </w14:solidFill>
          </w14:textFill>
        </w:rPr>
        <w:t xml:space="preserve"> 不需要试车的，本条不适用。</w:t>
      </w:r>
    </w:p>
    <w:p w14:paraId="5C821C41">
      <w:pPr>
        <w:spacing w:line="420" w:lineRule="exact"/>
        <w:ind w:firstLine="480" w:firstLineChars="200"/>
        <w:jc w:val="left"/>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lang w:val="en-US" w:eastAsia="zh-CN"/>
          <w14:textFill>
            <w14:solidFill>
              <w14:schemeClr w14:val="tx1"/>
            </w14:solidFill>
          </w14:textFill>
        </w:rPr>
        <w:t>☑ 需要试车的，试车的内容和要求：</w:t>
      </w:r>
    </w:p>
    <w:p w14:paraId="6EDFC9F3">
      <w:pPr>
        <w:spacing w:line="420" w:lineRule="exact"/>
        <w:ind w:firstLine="480" w:firstLineChars="200"/>
        <w:jc w:val="left"/>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t>55.1.1双方约定需要试车的，试车内容应与承包人承包的安装范围相一致。</w:t>
      </w:r>
    </w:p>
    <w:p w14:paraId="010EC95C">
      <w:pPr>
        <w:spacing w:line="420" w:lineRule="exact"/>
        <w:ind w:firstLine="480" w:firstLineChars="200"/>
        <w:jc w:val="left"/>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t xml:space="preserve">55.1.2设备安装工程具备单机无负荷试车条件，承包人组织试车，并在试车前48小时以书面形式通知监理人。通知包括试车内容、时间、地点。承包人准备试车记录，发包人根据承包人要求为试车提供必要条件。试车合格，工程师在试车记录上签字。 </w:t>
      </w:r>
    </w:p>
    <w:p w14:paraId="1CF351F0">
      <w:pPr>
        <w:spacing w:line="420" w:lineRule="exact"/>
        <w:ind w:firstLine="480" w:firstLineChars="200"/>
        <w:jc w:val="left"/>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t xml:space="preserve">55.1.3监理人不能按时参加试车，须在开始试车前24小时以书面形式向承包人提出延期要求，不参加试车，应承认试车记录。 </w:t>
      </w:r>
    </w:p>
    <w:p w14:paraId="54E33931">
      <w:pPr>
        <w:spacing w:line="420" w:lineRule="exact"/>
        <w:ind w:firstLine="480" w:firstLineChars="200"/>
        <w:jc w:val="left"/>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t xml:space="preserve">55.1.4设备安装工程具备无负荷联动试车条件，发包人组织试车，并在试车内容、时间、地点和对承包人的要求，承包人按要求做好准备工作。试车合格，双方在试车记录上签字。 </w:t>
      </w:r>
    </w:p>
    <w:p w14:paraId="70AAC17A">
      <w:pPr>
        <w:spacing w:line="420" w:lineRule="exact"/>
        <w:ind w:firstLine="480" w:firstLineChars="200"/>
        <w:jc w:val="left"/>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t xml:space="preserve">55.1.5双方责任 </w:t>
      </w:r>
    </w:p>
    <w:p w14:paraId="471C1F11">
      <w:pPr>
        <w:spacing w:line="420" w:lineRule="exact"/>
        <w:ind w:firstLine="480" w:firstLineChars="200"/>
        <w:jc w:val="left"/>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t>（1）由于设计原因试车达不到验收要求，发包人应要求设计单位修改设计，承包人按修改后的设计重新安装。发包人承担修改设计、拆除及重新安装的全部费用和追加合同价款，工期相应顺延。</w:t>
      </w:r>
    </w:p>
    <w:p w14:paraId="37F4BBDB">
      <w:pPr>
        <w:spacing w:line="420" w:lineRule="exact"/>
        <w:ind w:firstLine="480" w:firstLineChars="200"/>
        <w:jc w:val="left"/>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t xml:space="preserve">（2）由于设备制造原因试车达不到验收要求，由该设备采购一方负责重新购置或修理，承包人负责拆除和重新安装。设备由承包人采购的，由承包人承担修理或重新购置、拆除及重新安装的费用，工期不予顺延；设备由发包人采购的，发包人承担上述各项追加合同价款，工期相应顺延。 </w:t>
      </w:r>
    </w:p>
    <w:p w14:paraId="3100B839">
      <w:pPr>
        <w:spacing w:line="420" w:lineRule="exact"/>
        <w:ind w:firstLine="480" w:firstLineChars="200"/>
        <w:jc w:val="left"/>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t xml:space="preserve">（3）由于承包人施工原因试车不到验收要求，承包人按工程师要求重新安装和试车，并承担重新安装和试车的费用，工期不予顺延。 </w:t>
      </w:r>
    </w:p>
    <w:p w14:paraId="3716C3AD">
      <w:pPr>
        <w:spacing w:line="420" w:lineRule="exact"/>
        <w:ind w:firstLine="480" w:firstLineChars="200"/>
        <w:jc w:val="left"/>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t xml:space="preserve">（4）试车费用除已包括投标价内，发包人不另行计量支付。 </w:t>
      </w:r>
    </w:p>
    <w:p w14:paraId="1C29DF09">
      <w:pPr>
        <w:spacing w:line="420" w:lineRule="exact"/>
        <w:ind w:firstLine="480" w:firstLineChars="200"/>
        <w:jc w:val="left"/>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t xml:space="preserve">（5）监理人在试车合格后不在试车记录上签字，试车结束24小时后，视为监理人已经认可试车记录，承包人可继续施工或办理竣工手续。 </w:t>
      </w:r>
    </w:p>
    <w:p w14:paraId="764290DF">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u w:val="none"/>
          <w:lang w:val="en-US" w:eastAsia="zh-CN" w:bidi="ar-SA"/>
          <w14:textFill>
            <w14:solidFill>
              <w14:schemeClr w14:val="tx1"/>
            </w14:solidFill>
          </w14:textFill>
        </w:rPr>
        <w:t>55.1.6投料试车应在工程竣工验收后由发包人负责，如发包人要求在工程竣工验收前进行或需要承包人配合时，应征得承包人同意，另行签订补充协议。</w:t>
      </w:r>
    </w:p>
    <w:p w14:paraId="68984819">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56．工程变更</w:t>
      </w:r>
    </w:p>
    <w:p w14:paraId="79CF03A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56.1工程变更应当按照《关于印发&lt;广州市水务建设工程设计变更工作指引&gt;的通知》以及发包人关于设计变更的管理办法及其他相关规定履行报批手续后方可变更。工程变更还应遵循相关法律法规和政策规定以及发包人制定的其他设计变更相关管理办法。</w:t>
      </w:r>
    </w:p>
    <w:p w14:paraId="448FE72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56.2工程变更内容</w:t>
      </w:r>
    </w:p>
    <w:p w14:paraId="495885CB">
      <w:pPr>
        <w:widowControl w:val="0"/>
        <w:spacing w:after="120"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（5）工程量偏差</w:t>
      </w:r>
    </w:p>
    <w:p w14:paraId="690B2C0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（6）改变合同中任何一项工作已批准的施工工艺；</w:t>
      </w:r>
    </w:p>
    <w:p w14:paraId="16249E0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（7）图纸范围的增加或减少；</w:t>
      </w:r>
    </w:p>
    <w:p w14:paraId="2AC9ED3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（8）以下情形不属于工程变更范围：</w:t>
      </w:r>
    </w:p>
    <w:p w14:paraId="62356E0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1）发包人在工程招标文件及其配套的补充通知、设计图纸等文件中已明确应由承包人承担的工作内容、义务和风险，如工程实体的实施（含临时工程）、现场安全生产措施、物价正常波动等。</w:t>
      </w:r>
    </w:p>
    <w:p w14:paraId="79B09C2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2）因承包人自身技术力量、施工机械、流动资金以及其他应由承包人自身解决的问题等原因导致的工程无法实施或难以实施。</w:t>
      </w:r>
    </w:p>
    <w:p w14:paraId="2982301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w:t>
      </w:r>
      <w:permStart w:id="244" w:edGrp="everyone"/>
      <w:r>
        <w:rPr>
          <w:rFonts w:hint="eastAsia" w:ascii="宋体" w:hAnsi="宋体" w:eastAsia="宋体" w:cs="宋体"/>
          <w:color w:val="000000" w:themeColor="text1"/>
          <w:sz w:val="22"/>
          <w:szCs w:val="22"/>
          <w:highlight w:val="none"/>
          <w14:textFill>
            <w14:solidFill>
              <w14:schemeClr w14:val="tx1"/>
            </w14:solidFill>
          </w14:textFill>
        </w:rPr>
        <w:t>☒</w:t>
      </w:r>
      <w:permEnd w:id="24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如发包人使用施工图招标的，勾选此项；使用招标图招标的，则不勾选）施工图纸与工程量清单不一致（存在漏项或计量不准确等），但未超出相关合同计量条款约定的调整界限。</w:t>
      </w:r>
    </w:p>
    <w:p w14:paraId="62509E6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4）承包人投标失误，如工程量、单价、总价计算错误，对现场施工组织考虑不周等。</w:t>
      </w:r>
    </w:p>
    <w:p w14:paraId="313EC8C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5）属于合同约定由承包人统筹包干使用费用的项目（如一般临时工程、一般拆除工程、排水、承包人驻地建设、施工道路与通道、围蔽、支护等）。</w:t>
      </w:r>
    </w:p>
    <w:p w14:paraId="7A531E6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6）其他不属于变更的情形：</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145A949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（9）单项工程合同变更追加工程用款金额涉及招投标事项的，按相关规定执行。</w:t>
      </w:r>
    </w:p>
    <w:p w14:paraId="1E1BD46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将被取消的合同中的工作转由发包人或其他人实施的，承包人可向监理工程师发出通知，要求发包人采取有效措施纠正违约行为，发包人在监理人收到承包人通知后28天内仍不纠正违约行为的，应当赔偿承包人损失（包括合理的利润）并承担由此引起的其他责任。承包人应当按第74.2款的约定，在上述28天期限到期后的28 天内，向监理人递交索赔意向通知书，并按第74.2款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14:paraId="7820E2B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56.3工程变更程序</w:t>
      </w:r>
    </w:p>
    <w:p w14:paraId="74639889">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在工程实施过程中，合同工程发生变更，</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属于设计变更的合同双方当事人以及监理工程师、造价工程师应遵循发包人关于设计变更的管理办法实施，如承包人提出的设计变更，承包人应当在3天内完成资料并报至监理工程师，监理工程师应在2天内出具变更初步意见，并由发包人、监理人、设计人在工程联系单中明确是否同意进入设计变更审批程序的意见，同时由发包人组织召开设计变更专题会议并出具会议纪要，如会议同意设计变更方案的，由发包人填写洽商记录并盖章确认后发出设计变更通知，承包人在收到设计变更文件后14日内根据施工合同、招投标文件及相关技术标准、规范要求，编制变更预算报监理工程师及发包人审核，发包人在设计变更批准后，通知监理人向承包人下达现场变更的指令，承包人据此实施设计变更。</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如承包人逾期未向发包人提出，或未经发包人同意答复的设计变更实施方案，或该项变更无专题会议纪要等相关过程资料，涉及承包人原因导致增加的费用原则上不纳入结算范围。</w:t>
      </w:r>
    </w:p>
    <w:p w14:paraId="12D7341D">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除上述设计变更外其余的工程变更，</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合同双方当事人以及监理工程师、造价工程师应遵循下列程序实施工程变更的相关工作。</w:t>
      </w:r>
    </w:p>
    <w:p w14:paraId="0E78FB01">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(1)合同工程可能发生或发生工程变更时，监理工程师或承包人可依据下列情况及时提出。</w:t>
      </w:r>
    </w:p>
    <w:p w14:paraId="32041F04">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经监理工程师审核后，报发包人，发包人应在收到实施方案后的7天内予以答复，同意承包人提交的实施方案的，监理工程师应在收到实施方案后的14天内发出变更指令。</w:t>
      </w:r>
    </w:p>
    <w:p w14:paraId="1C3CBDD5">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2）合同工程发生第56.2款所列情形的，监理工程师应至少提前14天以书面形式向承包人发出变更指令，并提供变更的施工设计图纸及其说明等资料。</w:t>
      </w:r>
    </w:p>
    <w:p w14:paraId="796172F0">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14:paraId="3B6C16FF">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4）若承包人收到监理工程师的变更意向书后认为难以实施此项变更的，应立即通知监理工程师，说明原因并附详细依据。监理工程师与合同双方当事人协商后确定撤销、改变或不改变原变更意向书。</w:t>
      </w:r>
    </w:p>
    <w:p w14:paraId="09D898BA">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变更工作影响工期的，承包人应提出调整工期的要求。发包人认为有必要时，可要求承包人提交提前或者延长工期的施工进度计划或相应施工措施等资料。</w:t>
      </w:r>
    </w:p>
    <w:p w14:paraId="5A80B0A0">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14:paraId="7A8DD455">
      <w:pPr>
        <w:widowControl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(4)承包人应在发包人确定工程变更报告后的7天内，按照监理工程师发出的变更指令及时组织实施变更工作。否则，由此引起的损失和（或）延误的工期由承包人承担。</w:t>
      </w:r>
    </w:p>
    <w:p w14:paraId="04EDB9A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56.4 承包人提出工程变更建议</w:t>
      </w:r>
    </w:p>
    <w:p w14:paraId="4779D6AD">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采纳承包人建议带来利益的计奖方法：（1）监理工程师同意采用承包人提出的工程变更建议的，所发生的费用和获得的收益，由发包人、承包人另行约定分担或分享；（2）承包人在施工中提出的工程变更建议涉及到对设计图纸或施工组织设计的更改及对材料、设备的换用，须经监理工程师同意。未经同意擅自更改或换用时，承包人承担由此发生的费用，并赔偿发包人的有关损失，延误的工期不予顺延</w:t>
      </w:r>
      <w:r>
        <w:rPr>
          <w:rFonts w:hint="eastAsia" w:ascii="仿宋_GB2312" w:hAnsi="仿宋_GB2312" w:eastAsia="仿宋_GB2312" w:cs="仿宋_GB2312"/>
          <w:color w:val="000000" w:themeColor="text1"/>
          <w:kern w:val="0"/>
          <w:sz w:val="24"/>
          <w:szCs w:val="24"/>
          <w:highlight w:val="none"/>
          <w:u w:val="none"/>
          <w14:textFill>
            <w14:solidFill>
              <w14:schemeClr w14:val="tx1"/>
            </w14:solidFill>
          </w14:textFill>
        </w:rPr>
        <w:t>。</w:t>
      </w:r>
    </w:p>
    <w:p w14:paraId="2794A46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56.6 对于造成合同价款增加的变更，承包人在监理工程师发出变更指示后28天内不向监理工程师提出变更工程价款报告时，视为该项变更不涉及合同价款的变更。对于造成合同价款减少的变更，承包人在监理工程师发出变更指示后28天内不向监理工程师提出变更工程价款报告时，由发包人责成监理工程师制定变更价款报告，视为承包人接受该合同价款的变更。</w:t>
      </w:r>
    </w:p>
    <w:p w14:paraId="432D76CA">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1865D5E7">
      <w:pPr>
        <w:numPr>
          <w:ilvl w:val="0"/>
          <w:numId w:val="9"/>
        </w:num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竣工验收条件</w:t>
      </w:r>
    </w:p>
    <w:p w14:paraId="1BE12AF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57.2提交竣工验收申请报告</w:t>
      </w:r>
    </w:p>
    <w:p w14:paraId="7BD417A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（1）承包人负责整理和提交的竣工验收资料应当符合工程所在地建设行政主管部门和（或）城市建设档案管理机构有关施工资料的要求，具体内容包括：</w:t>
      </w:r>
    </w:p>
    <w:p w14:paraId="6F95B14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1）竣工验收资料的份数：</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一式三份。</w:t>
      </w:r>
    </w:p>
    <w:p w14:paraId="5AA22E9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2）竣工验收资料的费用支付方式：</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已包含在合同价款中。</w:t>
      </w:r>
    </w:p>
    <w:p w14:paraId="48D3C6D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2）工程竣工验收及竣工验收备案管理应严格按以下文件执行，承包人应按《市政工程施工技术资料管理规定》要求严格认真填写广东省市政工程施工质量技术资料统一用表，按广州市城建档案馆要求整编，作为工程档案资料在竣工时报送发包人。                                                                                                                       </w:t>
      </w:r>
    </w:p>
    <w:p w14:paraId="058BDB0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1）住房城乡建设部文件《房屋建筑和市政基础设施工程竣工验收规定》（建质〔2013〕171号）；</w:t>
      </w:r>
    </w:p>
    <w:p w14:paraId="11AC784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2）建设部令第78号《房屋建筑工程和市政基础设施工程竣工验收备案管理暂行办法》；</w:t>
      </w:r>
    </w:p>
    <w:p w14:paraId="09CE948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3）建设部办公厅《关于&lt;房屋建筑工程和市政基础设施工程竣工验收备案表&gt;的通知》（建办建〔2001〕18号）；</w:t>
      </w:r>
    </w:p>
    <w:p w14:paraId="2AEBD1A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4）广州市建设委员会文件——《广州市房屋建筑工程和市政基础设施工程竣工验收及备案管理实施办法》（穗建筑〔2002〕61号）；</w:t>
      </w:r>
    </w:p>
    <w:p w14:paraId="5BA2D32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5）广州地区建设工程质量安全监督站、广州市市政工程安全质量监督站编制的贯彻《建设工程质量管理条例》文件汇编（一）～（八）；</w:t>
      </w:r>
    </w:p>
    <w:p w14:paraId="20844AE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6）广州市市场监督管理局《建设工程档案编制规范》(DB 4401/T 55-2020）。</w:t>
      </w:r>
    </w:p>
    <w:p w14:paraId="76D6FC50">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677A69C6">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★58. 竣工验收</w:t>
      </w:r>
    </w:p>
    <w:p w14:paraId="1CE1D160">
      <w:pPr>
        <w:spacing w:line="420" w:lineRule="exact"/>
        <w:ind w:firstLine="120" w:firstLineChars="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58.1 竣工验收标准</w:t>
      </w:r>
    </w:p>
    <w:p w14:paraId="2FF274B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（1）合同工程竣工验收标准：</w:t>
      </w:r>
      <w:permStart w:id="24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按照国家或行业的质量验收标准执行。    </w:t>
      </w:r>
      <w:permEnd w:id="245"/>
    </w:p>
    <w:p w14:paraId="7360AFE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承包人提供竣工档案的约定：承包人应按照广州市城建档案馆及广州市自来水有限公司工程项目档案归档管理的最新规定要求，在工程完工20天内将竣工资料和竣工图报发包人进行档案验收，通过发包人组织的档案竣工验收。在完成了工程建设项目竣工联合验收合格后6个月内，先向城建档案馆报送一套符合规范要求的建设工程档案并取得城建档案馆的接收证明，再将竣工资料及竣工图（均为原件，一式两套）移交给发包人并取得移交凭证；工程竣工验收后30天内必须将结算资料（原件，一式两份）移交给发包人。</w:t>
      </w:r>
    </w:p>
    <w:p w14:paraId="658A846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（3）承包人应按照《建设工程文件归档规范》（GB/T 50328-2019）、《建设工程档案编制规范》(DB 4401/T 55-2020）、《广州市建设工程档案归档范围（试行）》和广州市自来水有限公司工程项目档案归档管理的最新规定等要求，在工程施工期间及时收集、汇总、整理、编制竣工档案，并于工程竣工验收后向发包人完整移交竣工档案。</w:t>
      </w:r>
    </w:p>
    <w:p w14:paraId="5923FB0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承包人移交竣工档案的时限：承包人应于工程竣工验收后5天内将竣工档案提交监理工程师签认，监理工程师应在收到竣工档案后5天内签认。经监理工程师签认后，承包人应及时将竣工档案移交给发包人归档并同时移交有关归档的证明文件。发包人经审查合格的，应在收到竣工档案后10天内签署档案验收意见；不合格的，要求承包人限期补正，直至合格为止。</w:t>
      </w:r>
    </w:p>
    <w:p w14:paraId="7B7073B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电子版竣工图的编制，以发包人提供的电子版施工图为基础。承包人在移交竣工档案时，应一并移交发包人提供的电子版施工图及电子版的竣工图。电子版施工图和电子版竣工图的知识产权归属发包人所有，非经发包人许可，承包人不得以任何方式复制、备份、转让和利用。否则，由此引起的任何纠纷和责任由承包人承担。</w:t>
      </w:r>
    </w:p>
    <w:p w14:paraId="5B9EF37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3）承包人应督促其工程分包单位及时做好竣工资料整理工作，于分包工程竣工验收后25天内将全部档案资料移交给承包人，由承包人汇总、归档，并在承包人移交竣工档案时一并移交。</w:t>
      </w:r>
    </w:p>
    <w:p w14:paraId="6064295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4）承包人在工程实施过程中必须根据广州市建设委员会文件《关于印发&lt;广州市房屋建筑工程和市政基础设施工程竣工验收及备案管理实施办法（试行）&gt;的通知》（穗建筑〔2002〕61号</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的规定做好相关资料，在通过工程竣工验收后1个月内，承包人必须办理工程竣工验收备案。</w:t>
      </w:r>
    </w:p>
    <w:p w14:paraId="6983758D">
      <w:pPr>
        <w:spacing w:line="420" w:lineRule="exact"/>
        <w:ind w:firstLine="120" w:firstLineChars="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58.8 单位工程和工程部位验收</w:t>
      </w:r>
    </w:p>
    <w:p w14:paraId="410C31AF">
      <w:pPr>
        <w:spacing w:line="420" w:lineRule="exact"/>
        <w:ind w:firstLine="120" w:firstLineChars="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Start w:id="246" w:edGrp="everyone"/>
      <w:r>
        <w:rPr>
          <w:rFonts w:hint="eastAsia" w:ascii="仿宋" w:hAnsi="仿宋" w:eastAsia="仿宋" w:cs="仿宋"/>
          <w:b w:val="0"/>
          <w:bCs w:val="0"/>
          <w:color w:val="000000" w:themeColor="text1"/>
          <w:sz w:val="26"/>
          <w:szCs w:val="26"/>
          <w:highlight w:val="none"/>
          <w:lang w:val="en-US" w:eastAsia="zh-CN"/>
          <w14:textFill>
            <w14:solidFill>
              <w14:schemeClr w14:val="tx1"/>
            </w14:solidFill>
          </w14:textFill>
        </w:rPr>
        <w:sym w:font="Wingdings 2" w:char="0052"/>
      </w:r>
      <w:permEnd w:id="24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合同工程无单位工程、无工程部位提前验收的，本款不适用。</w:t>
      </w:r>
    </w:p>
    <w:p w14:paraId="115B6FEC">
      <w:pPr>
        <w:spacing w:line="420" w:lineRule="exact"/>
        <w:ind w:firstLine="120" w:firstLineChars="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Start w:id="247"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4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合同工程单位工程或工程部位需提前验收的，各单位工程或工程部位的名称、竣工验收时间和范围如下：</w:t>
      </w:r>
    </w:p>
    <w:p w14:paraId="59AC55C5">
      <w:pPr>
        <w:spacing w:line="420" w:lineRule="exact"/>
        <w:ind w:firstLine="120" w:firstLineChars="5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（1）</w:t>
      </w:r>
      <w:permStart w:id="24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4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（名称）工程或部位，竣工验收时间为 </w:t>
      </w:r>
      <w:permStart w:id="249"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4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，其范围包括：</w:t>
      </w:r>
      <w:permStart w:id="25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ermEnd w:id="250"/>
    <w:p w14:paraId="5B80582F">
      <w:pPr>
        <w:spacing w:line="420" w:lineRule="exac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w:t>
      </w:r>
      <w:permStart w:id="25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5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（名称）工程或部位，竣工验收时间为</w:t>
      </w:r>
      <w:permStart w:id="25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5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，其范围包括：</w:t>
      </w:r>
      <w:permStart w:id="25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ermEnd w:id="253"/>
    <w:p w14:paraId="23D6DC9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58.9 施工期运行</w:t>
      </w:r>
    </w:p>
    <w:p w14:paraId="74892A46">
      <w:pPr>
        <w:spacing w:line="420" w:lineRule="exact"/>
        <w:ind w:firstLine="52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54" w:edGrp="everyone"/>
      <w:r>
        <w:rPr>
          <w:rFonts w:hint="eastAsia" w:ascii="仿宋" w:hAnsi="仿宋" w:eastAsia="仿宋" w:cs="仿宋"/>
          <w:b w:val="0"/>
          <w:bCs w:val="0"/>
          <w:color w:val="000000" w:themeColor="text1"/>
          <w:sz w:val="26"/>
          <w:szCs w:val="26"/>
          <w:highlight w:val="none"/>
          <w:lang w:val="en-US" w:eastAsia="zh-CN"/>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5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合同工程无单位工程、无工程部位在施工期运行的，本款不适用。</w:t>
      </w:r>
    </w:p>
    <w:p w14:paraId="165E93E4">
      <w:pPr>
        <w:widowControl w:val="0"/>
        <w:spacing w:after="120"/>
        <w:jc w:val="both"/>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 xml:space="preserve">    </w:t>
      </w:r>
      <w:permStart w:id="255"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55"/>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合同工程单位工程或工程部位需在施工期运行的，各单位工程或工程部位的名称、运行时间如下：</w:t>
      </w:r>
    </w:p>
    <w:p w14:paraId="4FCAD42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w:t>
      </w:r>
      <w:permStart w:id="25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5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（名称）工程或部位，运行时间为</w:t>
      </w:r>
      <w:permStart w:id="25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5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42AEB43A">
      <w:pPr>
        <w:spacing w:line="420" w:lineRule="exact"/>
        <w:ind w:firstLine="480" w:firstLineChars="200"/>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w:t>
      </w:r>
      <w:permStart w:id="25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5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（名称）工程或部位，运行时间为</w:t>
      </w:r>
      <w:permStart w:id="259"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none"/>
          <w:lang w:val="en-US" w:eastAsia="zh-CN"/>
          <w14:textFill>
            <w14:solidFill>
              <w14:schemeClr w14:val="tx1"/>
            </w14:solidFill>
          </w14:textFill>
        </w:rPr>
        <w:t xml:space="preserve"> </w:t>
      </w:r>
      <w:permEnd w:id="259"/>
      <w:r>
        <w:rPr>
          <w:rFonts w:hint="eastAsia" w:ascii="仿宋_GB2312" w:hAnsi="仿宋_GB2312" w:eastAsia="仿宋_GB2312" w:cs="仿宋_GB2312"/>
          <w:color w:val="000000" w:themeColor="text1"/>
          <w:kern w:val="0"/>
          <w:sz w:val="24"/>
          <w:szCs w:val="24"/>
          <w:highlight w:val="none"/>
          <w:u w:val="none"/>
          <w:lang w:val="en-US" w:eastAsia="zh-CN"/>
          <w14:textFill>
            <w14:solidFill>
              <w14:schemeClr w14:val="tx1"/>
            </w14:solidFill>
          </w14:textFill>
        </w:rPr>
        <w:t>。</w:t>
      </w:r>
    </w:p>
    <w:p w14:paraId="36B8621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58.10 竣工清场</w:t>
      </w:r>
    </w:p>
    <w:p w14:paraId="6936BF8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按通用条款规定。</w:t>
      </w:r>
    </w:p>
    <w:p w14:paraId="372354E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 </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
    <w:p w14:paraId="7302963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58.11施工队伍的撤离</w:t>
      </w:r>
    </w:p>
    <w:p w14:paraId="4382140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按通用条款规定，承包人的人员和施工设备全部撤离施工现场。</w:t>
      </w:r>
    </w:p>
    <w:p w14:paraId="529B90F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按通用条款规定，承包人的人员和施工设备全部撤离施工现场。承包人撤离施工场地时，监理人和承包人应当办理永久工程和施工场地移交手续，移交手续以书面方式出具，并分别经过发包人、监理工程师和承包人签认。但是监理工程师和发包人未按合同约定的期限办清竣工结算和竣工付款的，本工程不得交付使用，发包人和监理工程师也不得要求承包人按合同约定的期限撤离施工场地和办理工程移交手续。</w:t>
      </w:r>
    </w:p>
    <w:p w14:paraId="5EF8E8D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58.14 试运行</w:t>
      </w:r>
    </w:p>
    <w:p w14:paraId="68F1505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（1）工程及工程设备试运行的组织与费用承担本合同：</w:t>
      </w:r>
    </w:p>
    <w:p w14:paraId="69E1A66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60"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permEnd w:id="26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（可选择项）不需要试运行的，本条不适用。</w:t>
      </w:r>
    </w:p>
    <w:p w14:paraId="4DD9553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61"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6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（可选择项）需要试运行的，按发包人的要求配合发包人完成工程试运行工作，所产生的费用已包含在合同价款中，试运行的内容和要求根据如下条款执行：</w:t>
      </w:r>
    </w:p>
    <w:p w14:paraId="1AC6066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1）工程设备安装具备单机无负荷试运行条件，由承包人组织试运行，试运行结果应由监理工程师确认，试运行费用由承包人承担。</w:t>
      </w:r>
    </w:p>
    <w:p w14:paraId="3FDA2CF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如本合同及工程设备需要办理无负荷联动试运行，工程设备安装具备无负荷联动试运行条件，由发包人组织试运行，承包人应根据发包人要求配合做好无负荷联动试运行，试运行结果应由监理工程师确认，试运行费用由承包人承担。</w:t>
      </w:r>
    </w:p>
    <w:p w14:paraId="74B9DD8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如本合同及工程设备需办理投料试运行，投料试运行应在工程竣工验收前由承包人申请，试运行方案经监理工程师、发包人审批同意后，发包人配合组织实施，试运行结果应由监理工程师确认，投料试运行产生的相关费用由承包人承担。</w:t>
      </w:r>
    </w:p>
    <w:p w14:paraId="1721F6B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05C9B478">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10B19A76">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59. 缺陷责任与质量保修</w:t>
      </w:r>
    </w:p>
    <w:p w14:paraId="40E068C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59.1 （1）缺陷责任期计算</w:t>
      </w:r>
    </w:p>
    <w:p w14:paraId="54FAEFC9">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缺陷责任期：</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24个月。   </w:t>
      </w:r>
    </w:p>
    <w:p w14:paraId="3725CFA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（2）缺陷责任期从工程通过竣工验收之日起计算。</w:t>
      </w:r>
    </w:p>
    <w:p w14:paraId="64EFC9A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41D0AA3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（3）在本条约定的缺陷责任期，包括根据第59.2款延长的期限终止后14 天内，由监理工程师向承包人出具经发包人签认的缺陷责任期终止证书。</w:t>
      </w:r>
    </w:p>
    <w:p w14:paraId="7911A75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59.8 质量保修期计算</w:t>
      </w:r>
    </w:p>
    <w:p w14:paraId="699B88B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质量保修期： 质量保修期限按照国务院279号《建设工程质量管理条例》执行，具体如下：</w:t>
      </w:r>
    </w:p>
    <w:p w14:paraId="4FA03EC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（1）基础设施工程、房屋建筑的地基基础工程和主体结构工程：设计文件规定的该工程的合理使用年限；</w:t>
      </w:r>
    </w:p>
    <w:p w14:paraId="7029FE0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（2）屋面防水工程、有防水要求的卫生间、房间和外墙面的防渗漏：5年；</w:t>
      </w:r>
    </w:p>
    <w:p w14:paraId="0235DD0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（3）供热与供冷系统：2个采暖期、供冷期；</w:t>
      </w:r>
    </w:p>
    <w:p w14:paraId="6DDA74F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 电气管线、给排水管道、设备安装和装修工程：2年；</w:t>
      </w:r>
    </w:p>
    <w:p w14:paraId="6612656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（5）其他项目：</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4BB696B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59.11保修期内在正常使用的条件下，确因施工方面的原因而发生的工程质量问题，其返修工作及修复费均由承包人负责，并对造成的损失承担赔偿责任；为了保证设施的正常使用功能，避免发生事故，承包人在接到返修通知后一星期内必须进场返修，否则，发包人有权安排其它施工单位进场返修，所发生的费用由承包人负责支付。工程验收合格之前，工程的保管责任由承包人负责，工程质量按国务院279号《建设工程质量管理条例》执行。</w:t>
      </w:r>
    </w:p>
    <w:p w14:paraId="3B22B8A9">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61. 工程量</w:t>
      </w:r>
    </w:p>
    <w:p w14:paraId="3EDEFF4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61.1 清单工程量包括的工作内容</w:t>
      </w:r>
    </w:p>
    <w:p w14:paraId="3E28B67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按通用条款规定。</w:t>
      </w:r>
    </w:p>
    <w:p w14:paraId="5326CA6B">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3717E11E">
      <w:pPr>
        <w:widowControl w:val="0"/>
        <w:spacing w:after="12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p>
    <w:p w14:paraId="1F461BD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61.2 清单工程量</w:t>
      </w:r>
    </w:p>
    <w:p w14:paraId="1B0DA1A4">
      <w:pPr>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按照专用条款第73条执行。</w:t>
      </w:r>
    </w:p>
    <w:p w14:paraId="2E69C6C7">
      <w:pPr>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18C69485">
      <w:pPr>
        <w:numPr>
          <w:ilvl w:val="0"/>
          <w:numId w:val="10"/>
        </w:numPr>
        <w:ind w:firstLine="240" w:firstLineChars="100"/>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工程计量和计价</w:t>
      </w:r>
    </w:p>
    <w:p w14:paraId="0EC054BD">
      <w:pPr>
        <w:spacing w:line="420" w:lineRule="exact"/>
        <w:ind w:left="0" w:leftChars="0" w:firstLine="480" w:firstLineChars="200"/>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62.1工程计量和计价的依据</w:t>
      </w:r>
    </w:p>
    <w:p w14:paraId="759FFE4F">
      <w:pPr>
        <w:spacing w:line="420" w:lineRule="exact"/>
        <w:ind w:left="0" w:leftChars="0" w:firstLine="480" w:firstLineChars="200"/>
        <w:rPr>
          <w:rFonts w:hint="default"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工程的计量规则和计价办法，以国家标准《建设工程工程量清单计价标准》为准；《建设工程工程量清单计价标准》没有规定的，以广东省统一工程计价依据为准；广东省统一工程计价依据没有规定的，可参照专业部门颁发的工程计价</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依据</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p>
    <w:p w14:paraId="7211E698">
      <w:pPr>
        <w:spacing w:line="420" w:lineRule="exact"/>
        <w:ind w:left="218" w:leftChars="104" w:firstLine="120" w:firstLineChars="5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62.2按本合同第一部分《协议书》第六条约定的结算方式对应以下计量方法：</w:t>
      </w:r>
    </w:p>
    <w:p w14:paraId="48564D80">
      <w:pPr>
        <w:spacing w:line="420" w:lineRule="exact"/>
        <w:ind w:left="323" w:leftChars="154"/>
        <w:rPr>
          <w:rFonts w:hint="eastAsia" w:ascii="仿宋_GB2312" w:hAnsi="仿宋_GB2312" w:eastAsia="仿宋_GB2312" w:cs="仿宋_GB2312"/>
          <w:strike/>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（1）计量方法</w:t>
      </w:r>
    </w:p>
    <w:p w14:paraId="03E4D69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本合同项目的工程承包价是由承包人以招标文件的图纸和工程量清单以及招标文件的规定等为依据，采用工程量清单计价法，根据投标人自身的条件和能力，结合工程现场实际情况，考虑风险后编制。合同价款包括完成该工程项目的成本、利润、税金、技术措施费、其他措施费、大型机械进出场费、意外伤害风险费、各类保险费、政策性文件规定费用以及办理施工许可证、余泥排放证等各种施工证件，并办理报监手续等所有费用。根据中华人民共和国国家标准《建设工程工程量清单计价</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标准</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》（GB</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50500—</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2024</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及工程计价办法，《广东省住房和城乡建设厅关于营业税改征增值税后调整广东省建设工程计划依据的通知》（粤建市函〔2016〕1113号）《广州市建设工程造价管理站关于营业税改征增值税后广州市建设工程计价有关问题的通知》（穗建造价〔2016〕31号）、《广东省建设工程计价依据（2018）》</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、《关于调整《广东省建设工程计价依据2018》计价规则的通知》（粤标定函〔2025〕22号）</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等</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文件进行计价，按招标文件中工程量清单所开列的工作内容和估计工程量填报相应的综合单价后，累计合价并加上合价包干的总价措施项目及综合单价包干的措施项目、其他项目费、规费和税金而计算的合同价。结算时发包人以工程师依据中华人民共和国国家标准《建设工程工程量清单计价</w:t>
      </w:r>
      <w:r>
        <w:rPr>
          <w:rFonts w:hint="eastAsia" w:ascii="仿宋_GB2312" w:hAnsi="仿宋_GB2312" w:eastAsia="仿宋_GB2312" w:cs="仿宋_GB2312"/>
          <w:strike/>
          <w:color w:val="000000" w:themeColor="text1"/>
          <w:kern w:val="0"/>
          <w:sz w:val="24"/>
          <w:szCs w:val="24"/>
          <w:highlight w:val="none"/>
          <w14:textFill>
            <w14:solidFill>
              <w14:schemeClr w14:val="tx1"/>
            </w14:solidFill>
          </w14:textFill>
        </w:rPr>
        <w:t>规范</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标准</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》（GB</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50500—</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2024</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工程计价办法、《广东省住房和城乡建设厅关于营业税改征增值税后调整广东省建设工程计划依据的通知》（粤建市函〔2016〕1113号）、《广州市建设工程造价管理站关于营业税改征增值税后广州市建设工程计价有关问题的通知》（穗建造价〔2016〕31号）、《广东省建设工程计价依据（2018）》</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、《关于调整《广东省建设工程计价依据2018》计价规则的通知》（粤标定函〔2025〕22号）</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工程量计算规则、图纸等规定计量确认的实际工程量乘以中标的综合单价（原设计没有发生变更时，中标的综合单价则成为工程结算的依据，不得调整）并加上合价包干的措施项目、其他项目费、规费和税金作为结算和支付依据（招标文件约定措施项目费可调整的按约定的调整方法调整）。承包人提供的建筑业增值税发票应与工程计税方式一致。</w:t>
      </w:r>
    </w:p>
    <w:p w14:paraId="03B9EB5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本工程采用的计税方式为：</w:t>
      </w:r>
      <w:permStart w:id="262"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E"/>
      </w:r>
      <w:permEnd w:id="26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简易计税，</w:t>
      </w:r>
      <w:permStart w:id="263"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6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一般计税。</w:t>
      </w:r>
    </w:p>
    <w:p w14:paraId="44C2494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（2）计量周期</w:t>
      </w:r>
    </w:p>
    <w:p w14:paraId="7F2C10D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1）本合同的计量周期为月，每月日为当月计量截止日期（不含当日）和下月计量起始日期（含当日）。</w:t>
      </w:r>
    </w:p>
    <w:p w14:paraId="5D3BC31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2）本合同执行通用合同条款本项约定的单价子目计量。总价子目计量方法按第62.2（4）项总价子目的计量——按实际完成工程量计量。</w:t>
      </w:r>
    </w:p>
    <w:p w14:paraId="7D86151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（3）单价子目的计量</w:t>
      </w:r>
    </w:p>
    <w:p w14:paraId="6449C04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承包人每月20日前向监理人提交已完工程量报告。</w:t>
      </w:r>
    </w:p>
    <w:p w14:paraId="75350F5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w:t>
      </w:r>
      <w:permStart w:id="264"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6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总价子目的计量——支付分解报告（发包人使用招标图招标的，不勾选此项）</w:t>
      </w:r>
    </w:p>
    <w:p w14:paraId="4F3406C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总价子目按照有合同约束力的支付分解表支付。承包人应根据合同进度计划和总价子目的总价构成、费用性质、计划发生时间和相应工作量等因素对各个总价子目的总价按月进行分解，形成支付分解报告。承包人应当在收到经过监理工程师批复的合同进度计划后7天内，将支付分解报告以及形成支付分解报告的分项计量和总价分解等支持性资料报监理工程师审批，监理工程师应当在收到承包人报送的支付分解报告后7天内给予批复或提出修改意见，经监理工程师批准的支付分解报告为有合同约束力的支付分解表。支付分解表应根据合同约定的修订合同进度计划进行修正，修正的程序和期限应当依照本项上述约定，经修正的支付分解表为有合同约束力的支付分解表。</w:t>
      </w:r>
    </w:p>
    <w:p w14:paraId="6927D5B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总价子目的价格调整方法：中标的投标报价除发包人同意的设计变更和招标文件、招标答疑会议纪要中允许的调整范围外，其余不因市场价格变化、工程造价管理部门公布的价格调整、人员工资福利调整而调整（建设行政主管部门文件下达必须调整的除外）。</w:t>
      </w:r>
    </w:p>
    <w:p w14:paraId="1C4A4BE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2）列入每月进度付款申请单中各总价子目的价值为有合同约束力的支付分解表中对应月份的总价子目总价值。</w:t>
      </w:r>
    </w:p>
    <w:p w14:paraId="41E0A0E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3）监理工程师根据有合同约束力的支付分解表复核列入每月进度付款申请单中的总价子目的总价值。</w:t>
      </w:r>
    </w:p>
    <w:p w14:paraId="7D635F6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4）除按照第56条约定的变更外，在竣工结算时总价子目的工程量不应当重新计量，签约合同价所基于的工程量即是用于竣工结算的最终工程量。</w:t>
      </w:r>
    </w:p>
    <w:p w14:paraId="6EEF7D0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65"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permEnd w:id="26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总价子目的计量——按实际完成工程量计量</w:t>
      </w:r>
    </w:p>
    <w:p w14:paraId="4A10E35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总价子目的价格调整方法：中标的投标报价除发包人同意的设计变更和招标文件、招标答疑会议纪要中允许的调整范围外，其余不因市场价格变化、工程造价管理部门公布的价格调整、人员工资福利调整而调整（建设行政主管部门文件下达必须调整的除外）。</w:t>
      </w:r>
    </w:p>
    <w:p w14:paraId="2BA545B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总价子目的计量和支付应以总价为基础，对承包人实际完成的工程量进行计量，是进行工程目标管理和控制进度款支付的依据。</w:t>
      </w:r>
    </w:p>
    <w:p w14:paraId="674CAC0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承包人在第62.2（2）项约定的每月计量截止日期后，对已完成的分部分项工程的子目（包括在工程量清单中给出具体工程量的措施项目的相关子目），按照第62.2（1）项约定的计量方法进行计量，对已完成的工程量清单中没有给出具体工程量的措施项目的相关子目，按其总价构成、费用性质和实际发生比例进行计量，向监理工程师提交进度付款申请单、已完成工程量报表和有关计量资料。</w:t>
      </w:r>
    </w:p>
    <w:p w14:paraId="1E1B8A2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监理工程师对承包人提交的工程量报表进行复核，以确定实际完成的工程量。对数量有异议的，可要求承包人进行共同复核。承包人应协助监理人进行复核并按监理工程师要求提供补充计量资料。承包人未按监理工程师要求参加复核，监理工程师复核或修正的工程量视为承包人实际完成的工程量。</w:t>
      </w:r>
    </w:p>
    <w:p w14:paraId="494C889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4）监理工程师应在收到承包人提交的工程量报表后的7天内进行复核，未取得监理工程师确认的承包人已完成工程量，不能作为工程价款计价依据。</w:t>
      </w:r>
    </w:p>
    <w:p w14:paraId="14C9D3A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（5）工程量清单计价相关要求</w:t>
      </w:r>
    </w:p>
    <w:p w14:paraId="6842993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在红线范围内施工的</w:t>
      </w:r>
      <w:r>
        <w:rPr>
          <w:rFonts w:hint="eastAsia" w:ascii="仿宋_GB2312" w:hAnsi="仿宋_GB2312" w:eastAsia="仿宋_GB2312" w:cs="仿宋_GB2312"/>
          <w:strike w:val="0"/>
          <w:color w:val="000000" w:themeColor="text1"/>
          <w:kern w:val="0"/>
          <w:sz w:val="24"/>
          <w:szCs w:val="24"/>
          <w:highlight w:val="none"/>
          <w:lang w:val="en-US" w:eastAsia="zh-CN"/>
          <w14:textFill>
            <w14:solidFill>
              <w14:schemeClr w14:val="tx1"/>
            </w14:solidFill>
          </w14:textFill>
        </w:rPr>
        <w:t>非管网类项目，</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施工围挡</w:t>
      </w:r>
      <w:r>
        <w:rPr>
          <w:rFonts w:hint="eastAsia" w:ascii="仿宋_GB2312" w:hAnsi="仿宋_GB2312" w:eastAsia="仿宋_GB2312" w:cs="仿宋_GB2312"/>
          <w:strike w:val="0"/>
          <w:color w:val="000000" w:themeColor="text1"/>
          <w:kern w:val="0"/>
          <w:sz w:val="24"/>
          <w:szCs w:val="24"/>
          <w:highlight w:val="none"/>
          <w:lang w:val="en-US" w:eastAsia="zh-CN"/>
          <w14:textFill>
            <w14:solidFill>
              <w14:schemeClr w14:val="tx1"/>
            </w14:solidFill>
          </w14:textFill>
        </w:rPr>
        <w:t>在</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结算时，需提供相关签证、具有日期的有效相片和发包人确认的当日记录</w:t>
      </w:r>
      <w:r>
        <w:rPr>
          <w:rFonts w:hint="eastAsia" w:ascii="仿宋_GB2312" w:hAnsi="仿宋_GB2312" w:eastAsia="仿宋_GB2312" w:cs="仿宋_GB2312"/>
          <w:strike w:val="0"/>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按清单计价和按签证工程量及相应规格的当期水马单价计价两者相比，取低值。</w:t>
      </w:r>
    </w:p>
    <w:p w14:paraId="790F4A7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）若发包人提供水电，结算时扣除相应水电费，提供已安装用电用水计量并单独计费或承包人自行供电供水相关证明除外。</w:t>
      </w:r>
    </w:p>
    <w:p w14:paraId="6E0EBFC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）本项目结算造价 = 根据协议书第六条及</w:t>
      </w:r>
      <w:permStart w:id="266"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E"/>
      </w:r>
      <w:permEnd w:id="26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（招标图招标）招标图纸</w:t>
      </w:r>
      <w:permStart w:id="267"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6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施工图</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招标）施工图纸计价的工程造价+变更项目的工程造价+现场签证工程造价-原招标未完项目的工程造价-扣罚款项</w:t>
      </w:r>
    </w:p>
    <w:p w14:paraId="0DC4DDF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ermStart w:id="268"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E"/>
      </w:r>
      <w:permEnd w:id="26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土方开挖、回填、支护（包括但不限于挡土板、钢板桩、拉森钢板桩等）等隐蔽工程，需在首次提交结算资料时提供按分段完工里程相关现场工程量确认表及对应计量照片（带花尺）。每个分段完工里程的相片数量不少于8张，照片中小白板需写明项目名称、时间、地点。</w:t>
      </w:r>
    </w:p>
    <w:p w14:paraId="1947ACE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ermStart w:id="269"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E"/>
      </w:r>
      <w:permEnd w:id="26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拆除部分，需提供经业主认可的工程量确认表方可结算。</w:t>
      </w:r>
    </w:p>
    <w:p w14:paraId="1482375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）交通疏导员，须在首次提交结算资料时提供以下资料，未能按要求提供的，相应工程量发包人有权不予计量：</w:t>
      </w:r>
    </w:p>
    <w:p w14:paraId="380DBE0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①</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对应人员姓名、每班的上岗照片，相片要求有明确的时间、地点、项目名称，工程编号，按实际签证计取工程量；</w:t>
      </w:r>
    </w:p>
    <w:p w14:paraId="5D46C41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②</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现场签到表，要求每班上岗人员手写签到，提交原件，</w:t>
      </w:r>
      <w:r>
        <w:rPr>
          <w:rFonts w:hint="eastAsia" w:ascii="仿宋_GB2312" w:hAnsi="仿宋_GB2312" w:eastAsia="仿宋_GB2312" w:cs="仿宋_GB2312"/>
          <w:strike w:val="0"/>
          <w:color w:val="000000" w:themeColor="text1"/>
          <w:kern w:val="0"/>
          <w:sz w:val="24"/>
          <w:szCs w:val="24"/>
          <w:highlight w:val="none"/>
          <w:lang w:val="en-US" w:eastAsia="zh-CN"/>
          <w14:textFill>
            <w14:solidFill>
              <w14:schemeClr w14:val="tx1"/>
            </w14:solidFill>
          </w14:textFill>
        </w:rPr>
        <w:t>格式详见附件《</w:t>
      </w:r>
      <w:r>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t>交通疏导员现场签到表》</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68A843C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）消毒冲洗部分，需在首次提交结算资料时提供现场图片，相片要求有明确的时间、地点、项目名称，工程编号、每个消毒冲洗位置材料的安装、拆除，按实际签证计取工程量。</w:t>
      </w:r>
    </w:p>
    <w:p w14:paraId="47003106">
      <w:pPr>
        <w:widowControl w:val="0"/>
        <w:adjustRightInd w:val="0"/>
        <w:spacing w:line="360" w:lineRule="auto"/>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8）相片未按要求提供的，项目收审后不得任意重新提交，相关工程量不予计价。</w:t>
      </w:r>
    </w:p>
    <w:p w14:paraId="4DEAC0C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照经审批的施工组织方案进行施工，且因施工条件不允许，只能夜间施工的项目（不含非夜间施工项目）：大型机械进退场及停滞须在首次提交结算资料时提供签证记录作为结算依据。签证记录要求包括照片，照片应当清晰展示每台大型机械的进场日期、型号、数量等关键信息，其中：大型机械进退场按经核算的机具实际台班发生量扣减1个台班后记取。在施工现场附近停滞的大型机械，停滞期间仅计算停滞费用，不重复计算进退场费用。</w:t>
      </w:r>
    </w:p>
    <w:p w14:paraId="7792DBA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基坑二次开挖须在首次提交结算资料时提供签证记录作为结算依据。签证记录包括照片，照片要求包括但不限于以下信息：开挖的区域、深度、回填厚度、回填材料等。如因客观条件中断施工离场，可提供相关依据，包括但不限于图片、洽商记录等，工程量依据相关依据另行计算。</w:t>
      </w:r>
    </w:p>
    <w:p w14:paraId="4BA8697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11</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）经审批的现场签证应纳入结算资料一次性提交，结算过程内后不得调整补充、替换。</w:t>
      </w:r>
    </w:p>
    <w:p w14:paraId="54ECDD9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12</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）发包人需要承包人到指定地点运输材料时发生的运输费用，签证台班原则上按0.5台班/次签认，且需列明日期。</w:t>
      </w:r>
    </w:p>
    <w:p w14:paraId="7C97339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13</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位于发包人红线内的项目，经三方确认的专项土方平衡施工组织方案、进退场测绘成果及其现场工程量确认表，办理对应现场签证。现场发包人代表及监理人应做好车辆出入原始记录以备核查。场地内的土方调配由承包人按照工序开展，不再签认场地内的土方二次运输。</w:t>
      </w:r>
    </w:p>
    <w:p w14:paraId="019FD740">
      <w:pPr>
        <w:spacing w:line="420" w:lineRule="exac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default" w:ascii="仿宋_GB2312" w:hAnsi="仿宋_GB2312" w:eastAsia="仿宋_GB2312" w:cs="仿宋_GB2312"/>
          <w:color w:val="000000" w:themeColor="text1"/>
          <w:kern w:val="0"/>
          <w:sz w:val="24"/>
          <w:szCs w:val="24"/>
          <w:highlight w:val="none"/>
          <w14:textFill>
            <w14:solidFill>
              <w14:schemeClr w14:val="tx1"/>
            </w14:solidFill>
          </w14:textFill>
        </w:rPr>
        <w:t>1</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4</w:t>
      </w:r>
      <w:r>
        <w:rPr>
          <w:rFonts w:hint="default" w:ascii="仿宋_GB2312" w:hAnsi="仿宋_GB2312" w:eastAsia="仿宋_GB2312" w:cs="仿宋_GB2312"/>
          <w:color w:val="000000" w:themeColor="text1"/>
          <w:kern w:val="0"/>
          <w:sz w:val="24"/>
          <w:szCs w:val="24"/>
          <w:highlight w:val="none"/>
          <w14:textFill>
            <w14:solidFill>
              <w14:schemeClr w14:val="tx1"/>
            </w14:solidFill>
          </w14:textFill>
        </w:rPr>
        <w:t>）</w:t>
      </w:r>
      <w:r>
        <w:rPr>
          <w:rFonts w:hint="default"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根据《</w:t>
      </w:r>
      <w:r>
        <w:rPr>
          <w:rFonts w:hint="default"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广州市城市管理和综合执法局关于进一步规范建设工程全覆盖办理城市建筑垃圾处理方案备案工作的函》（穗城管函〔2025〕1004 号</w:t>
      </w:r>
      <w:r>
        <w:rPr>
          <w:rFonts w:hint="default"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default"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消纳费结算时需提供</w:t>
      </w:r>
      <w:r>
        <w:rPr>
          <w:rFonts w:hint="default"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城市建筑垃圾处理方案备案依据</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w:t>
      </w:r>
    </w:p>
    <w:p w14:paraId="6D4DEE3B">
      <w:pPr>
        <w:spacing w:line="420" w:lineRule="exact"/>
        <w:ind w:firstLine="480" w:firstLineChars="200"/>
        <w:rPr>
          <w:rFonts w:hint="default" w:ascii="仿宋_GB2312" w:hAnsi="仿宋_GB2312" w:eastAsia="仿宋_GB2312" w:cs="仿宋_GB2312"/>
          <w:color w:val="000000" w:themeColor="text1"/>
          <w:kern w:val="0"/>
          <w:sz w:val="24"/>
          <w:szCs w:val="24"/>
          <w:highlight w:val="none"/>
          <w14:textFill>
            <w14:solidFill>
              <w14:schemeClr w14:val="tx1"/>
            </w14:solidFill>
          </w14:textFill>
        </w:rPr>
      </w:pPr>
    </w:p>
    <w:p w14:paraId="19C5656B">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★63. 暂列金额</w:t>
      </w:r>
    </w:p>
    <w:p w14:paraId="5A6DB78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63.1 合同工程的暂列金额为</w:t>
      </w:r>
      <w:permStart w:id="270"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7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0A8D135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63.4 暂列金额计算原则：在不超出经批复的总投资估算的前提下，暂列金额按照不高于分部分项工程直接工程费</w:t>
      </w:r>
      <w:permStart w:id="27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5%  </w:t>
      </w:r>
      <w:permEnd w:id="27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并按财政部门或发包人委托的第三方造价机构最终审核结果为准。暂列金额不作为结算的依据，其使用应当经过发包人的批准。除发包人批准使用的部分外，其余部分结算时扣除。</w:t>
      </w:r>
    </w:p>
    <w:p w14:paraId="2370176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63.5 暂列金额的管理使用：</w:t>
      </w:r>
    </w:p>
    <w:p w14:paraId="7CA0229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（1）项目实施过程中要严格按合同、招标文件以及设计变更管理办法等相关规定使用暂列金额，不得超出第63.1款规定的范围使用。</w:t>
      </w:r>
    </w:p>
    <w:p w14:paraId="04B6585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暂列金额的使用应遵循先暂列金额、后预备费的原则，当发生的费用超过暂列金额度需申请动用预备费的，应在申请的上报文本中把项目暂列金额使用情况加以详细说明并附上相关辅证资料。项目中预备费的使用仍执行现行规定，并遵循先批准后使用的原则。</w:t>
      </w:r>
    </w:p>
    <w:p w14:paraId="34DEF8E4">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6E40769B">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★65. 暂估价</w:t>
      </w:r>
    </w:p>
    <w:p w14:paraId="1326F821">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65.1 招标暂估价项目</w:t>
      </w:r>
    </w:p>
    <w:p w14:paraId="7EAFC30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必须招标暂估价项目合同双方当事人的权利、义务</w:t>
      </w:r>
    </w:p>
    <w:p w14:paraId="08DB519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72"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7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材料、工程设备：</w:t>
      </w:r>
      <w:permStart w:id="27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7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
    <w:p w14:paraId="4AC1C62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74"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7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专业工程：</w:t>
      </w:r>
      <w:permStart w:id="27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75"/>
    </w:p>
    <w:p w14:paraId="3456158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合同约定应当由发包人和承包人采用招标方式选择专项供应商或专业分包人的，应当由承包人作为招标人，依法组织招标工作并接受有管辖权的建设工程招标投标行政监督部门的监督。与组织招标工作有关的费用应当被认为已经包括在承包人的签约合同价（投标总报价）中：</w:t>
      </w:r>
    </w:p>
    <w:p w14:paraId="228FACE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在任何招标工作启动前，承包人应当提前至少7天编制招标工作计划并通过监理工程师报请发包人审批，招标工作计划应当包括招标工作的时间安排、拟采用的招标方式、拟采用的资格审查方法、主要招标过程文件的编制内容、对投标人的资格条件要求、评标标准和方法、评标委员会组成、是否编制招标控制价和（或）标底以及招标控制价和（或）标底编制原则，发包人应当在监理工程师收到承包人报送的招标工作计划后5天内给予批准或者提出修改意见。承包人应当严格按照经过发包人批准的招标工作计划开展招标工作。</w:t>
      </w:r>
    </w:p>
    <w:p w14:paraId="7FEB9C4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（2）承包人应当在发出招标公告（或者资格预审公告或者投标邀请书）、资格预审文件和招标文件前至少 7天，分别将相关文件通过监理工程师报请发包人审批，发包人应当在监理工程师收到承包人报送的相关文件后天内给予批准或者提出修改意见，经发包人批准的相关文件，由承包人负责誊清整理并准备开展实际招标工作所需要的份数，通过监理工程师报发包人核查并加盖发包人印章，发包人在相关文件上加盖印章只表明相关文件经过发包人审核批准。最终发出的文件应当分别报送一份给发包人和监理工程师备查。</w:t>
      </w:r>
    </w:p>
    <w:p w14:paraId="5A68696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如果发、承包任何一方委派评标代表，评标委员会应当由七人以上单数构成。除发包人或者承包人自愿放弃委派评标代表的权利外，招标人评标代表应当分别由发包人和承包人等额委派，其中发包人委派人数应多于承包人。</w:t>
      </w:r>
    </w:p>
    <w:p w14:paraId="0DF3460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设有标底的，承包人应当在开标前提前48小时将标底报发包人审核认可，发包人应当在收到承包人报送的标底后24小时内给予批准或者提出修改意见。承包人和发包人应当共同制定标底保密措施，不得提前泄露标底。标底的最终审核和决定权属于发包人。</w:t>
      </w:r>
    </w:p>
    <w:p w14:paraId="086C5DA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设有招标控制价的，承包人应当在招标文件发出前提前7天将招标控制价报发包人审核认可，发包人应当在收到承包人报送的招标控制价后72小时内给予认可或者提出修改意见。招标控制价的最终审核和决定权属于发包人，未经发包人认可，承包人不得发出招标文件。</w:t>
      </w:r>
    </w:p>
    <w:p w14:paraId="35E7155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承包人在收到相关招标项目评标委员会提交的评标报告后，应当在24小时内通过监理工程师转报发包人核查，发包人应当在监理工程师收到承包人报送的评标报告后48小时内核查完毕，评标报告经过发包人核查认可后，承包人才可以开始后续程序，依法确定中标人并发出中标通知书。</w:t>
      </w:r>
    </w:p>
    <w:p w14:paraId="542811F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（7）承包人与专业分包人或者专项供应商订立合同前7天，应当将准备用于正式签订的合同文件通过监理工程师报发包人审核，发包人应当在监理工程师收到相关文件后 7天内给予批准或者提出修改意见，承包人应当按照发包人批准的合同文件签订相关合同，合同订立后 7天内，承包人应当将其中的两份副本报送监理工程师，其中一份由监理工程师报发包人留存。</w:t>
      </w:r>
    </w:p>
    <w:p w14:paraId="670D003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（8）发包人对承包人报送文件进行审批或提出的修改意见应当合理，并符合现行有关法律法规的规定。</w:t>
      </w:r>
    </w:p>
    <w:p w14:paraId="1252276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9）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14:paraId="07172BB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65.2发包人在工程量清单中给定的专业工程暂估价不属于依法必须招标的范围或者未达到依法必须招标的规模标准的，经发包人确认的技术方案、设备、材料的规格、参数及要求，优先套用专业定额，使用工程量清单计价，分部分项工程参照专用条款72.2 “调整分部分项工程费的方法”组价，措施项目费按《建设工程工程量清单计价标准》（GBT50500—2024）、《广东省建设工程计价依据（2018）》、《关于调整《广东省建设工程计价依据2018》计价规则的通知》（粤标定函〔2025〕22号）等最新计价文件执行。</w:t>
      </w:r>
    </w:p>
    <w:p w14:paraId="551D463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结算时，分部分项工程按经审定的暂估价综合单价包干；措施项目费、预算包干费、总承包服务费、发包人供应材料保管费按经审定的暂估价中相对应的各项金额总价包干，且符合专用条款80.3（4）的约定。</w:t>
      </w:r>
    </w:p>
    <w:p w14:paraId="21B4D12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65.2.1 定额不适用的，由承包人进行不少于三家市场询比确认价格。</w:t>
      </w:r>
    </w:p>
    <w:p w14:paraId="79135F3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65.2.2 紧急特殊委托的，由业主按相关规定流程办理。</w:t>
      </w:r>
    </w:p>
    <w:p w14:paraId="3A89C54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65.2.3属于工程量清单中给定暂估价的材料和设备不属于依法必须招标的范围或者未达到依法必须招标的规模标准的，由承包人进行不少于三家市场询比价格，报发包人审批确认单价，按经发包人审批的材料、设备单价对投标清单综合单价对应的暂估材料、设备价格进行调整换算。结算时，需提供经审批确认单价的设备、材料有效发票。</w:t>
      </w:r>
    </w:p>
    <w:p w14:paraId="14992E8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65.2.4如实施总金额高于签约合同价中的暂估价总额，需经发包人批准方可实施。结算时需提供询比材料，发包人有权对该价格进行审核和修正。</w:t>
      </w:r>
    </w:p>
    <w:p w14:paraId="15788EA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65.2.5暂估价为服务类别的，其价格具体审核工作应按照市场询价、收费标准（如有的，按收费标准下浮20%处理）、同类项目历史价格、对标价格等维度进行综合评估确定。</w:t>
      </w:r>
    </w:p>
    <w:p w14:paraId="27426CE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65.3 非招标专业工程款的确定</w:t>
      </w:r>
    </w:p>
    <w:p w14:paraId="4671C29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按通用条款规定，由造价工程师与分包人确定。</w:t>
      </w:r>
    </w:p>
    <w:p w14:paraId="05F4E3AE">
      <w:pPr>
        <w:spacing w:line="420" w:lineRule="exac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669EF45B">
      <w:pPr>
        <w:spacing w:line="420" w:lineRule="exac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p>
    <w:p w14:paraId="1A2BD51D">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★66. 提前竣工奖与误期赔偿费</w:t>
      </w:r>
    </w:p>
    <w:p w14:paraId="02B08CB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66.1 提前竣工奖</w:t>
      </w:r>
    </w:p>
    <w:p w14:paraId="1B18C64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 提前竣工奖额度</w:t>
      </w:r>
    </w:p>
    <w:p w14:paraId="6373038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没约定提前竣工奖的，本款不适用。</w:t>
      </w:r>
    </w:p>
    <w:p w14:paraId="3CE2254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约定提前竣工奖的，每日历天应奖额度为 </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3643CB1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约定提前竣工奖的，为 </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67DF289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 提前竣工奖的最高限额</w:t>
      </w:r>
    </w:p>
    <w:p w14:paraId="561B189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按通用条款规定为合同价款的5%，即</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63B64509">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3A125DA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66.2 误期赔偿费</w:t>
      </w:r>
    </w:p>
    <w:p w14:paraId="4AC71AD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 每日历天应赔偿额度为</w:t>
      </w:r>
      <w:permStart w:id="27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7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5772886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 误期赔偿费的最高限额</w:t>
      </w:r>
    </w:p>
    <w:p w14:paraId="2FDD1E5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按通用条款规定为合同价款的5%，即</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56FE0AC3">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按专用条款第90条相关约定执行。     </w:t>
      </w:r>
    </w:p>
    <w:p w14:paraId="1D87A3CD">
      <w:pPr>
        <w:spacing w:line="420" w:lineRule="exac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p>
    <w:p w14:paraId="1D5569E8">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★67. 工程优质费、工程建设标准费用</w:t>
      </w:r>
    </w:p>
    <w:p w14:paraId="0C6DD83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67.1 工程优质费的计算方法</w:t>
      </w:r>
    </w:p>
    <w:p w14:paraId="7B84DFB5">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permStart w:id="277"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7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约定工程优质费的，其计算方法：</w:t>
      </w:r>
      <w:permStart w:id="27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78"/>
    </w:p>
    <w:p w14:paraId="2CC22F1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79"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7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按分部分项工程费为基础计算：</w:t>
      </w:r>
      <w:permStart w:id="28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80"/>
    </w:p>
    <w:p w14:paraId="501E9241">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67.2 工程优质费的计算额度：</w:t>
      </w:r>
    </w:p>
    <w:p w14:paraId="511CC53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81"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8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按通用条款规定计算。</w:t>
      </w:r>
    </w:p>
    <w:p w14:paraId="557A5A0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82"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8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另作约定（工程优质费率参考广东省建设工程计价依据工程优质费、广州市住房和城乡建设局发布的工程优质费率；合同工程同时获得下列多个奖项的，只按最高奖项的额度计算。）：</w:t>
      </w:r>
    </w:p>
    <w:p w14:paraId="37B0D2B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国家级质量奖，工程优质费</w:t>
      </w:r>
      <w:permStart w:id="28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8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7CDE02E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省级质量奖，工程优质费</w:t>
      </w:r>
      <w:permStart w:id="28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8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2DD6032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市级质量奖，工程优质费</w:t>
      </w:r>
      <w:permStart w:id="28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End w:id="28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60459D7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其它</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，工程优质费</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
    <w:p w14:paraId="63793C3C">
      <w:pPr>
        <w:widowControl w:val="0"/>
        <w:numPr>
          <w:ilvl w:val="0"/>
          <w:numId w:val="0"/>
        </w:numPr>
        <w:tabs>
          <w:tab w:val="left" w:pos="420"/>
          <w:tab w:val="left" w:pos="576"/>
        </w:tabs>
        <w:spacing w:before="0" w:line="420" w:lineRule="exact"/>
        <w:ind w:left="576" w:hanging="576"/>
        <w:jc w:val="left"/>
        <w:outlineLvl w:val="9"/>
        <w:rPr>
          <w:rFonts w:hint="eastAsia" w:ascii="仿宋_GB2312" w:hAnsi="仿宋_GB2312" w:eastAsia="仿宋_GB2312" w:cs="仿宋_GB2312"/>
          <w:b/>
          <w:bCs/>
          <w:color w:val="000000" w:themeColor="text1"/>
          <w:kern w:val="0"/>
          <w:sz w:val="24"/>
          <w:szCs w:val="24"/>
          <w:highlight w:val="none"/>
          <w:lang w:val="en-US" w:eastAsia="zh-CN" w:bidi="ar-SA"/>
          <w14:textFill>
            <w14:solidFill>
              <w14:schemeClr w14:val="tx1"/>
            </w14:solidFill>
          </w14:textFill>
        </w:rPr>
      </w:pPr>
    </w:p>
    <w:p w14:paraId="73981750">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★68. 合同价款的约定与调整</w:t>
      </w:r>
    </w:p>
    <w:p w14:paraId="69A33654">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68.2合同价款的方式</w:t>
      </w:r>
    </w:p>
    <w:p w14:paraId="1A5317E9">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总价合同。</w:t>
      </w:r>
    </w:p>
    <w:p w14:paraId="3B65663D">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本合同项目的工程承包价是由承包人按招标文件图纸的承包内容、承包范围和工程量以及招标文件的而规定，采用</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计价方法，根据承包人自身的条件和能力，结合工程现场实际情况，考虑风险后编制的，除发包人对原设计要求或同意变更外，承包人必须按本承包价进行按图包工、包料、包质量、包安全、包工期、包文明施工、包</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等总价包干。</w:t>
      </w:r>
    </w:p>
    <w:p w14:paraId="16D8853E">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合同总价中包括的风险范围：</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11D0CDE5">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风险费用的计算方法：</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72ACAF2F">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风险范围以外合同价款调整方法：</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29FA3248">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本合同项目的承包范围、承包内容为总价包干，当原承包范围、承包内容出现经发包人批准的设计变更（包括超出本合同的承包范围、承包内容的设计变更项目）以及</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时，变更项目的工程造价采用</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计价方法进行计价，并按照国家、省、市有关规范、规定以及计价办法、工程量计算规则执行，工程量按</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计价方法计算，其中的人工、材料、机械台班价格按实际施工期间建设行政主管部门发布的</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规定执行，建设行政主管部门没有发布的某些内容、品种由发包人和承包人约定按</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计算；或由发包人和承包人约定人工、材料、机械台班价格根据建设标准要求按</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计算。变更项目采用清单计价，造价的确定依据广东省计价依据、广东省相关定额、广州市补充定额，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w:t>
      </w:r>
    </w:p>
    <w:p w14:paraId="6048ED5B">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措施项目费、其他项目费的调整：</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按通用条款规定的调整事件内容调整；</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按广东省定额规定计算；</w:t>
      </w:r>
    </w:p>
    <w:p w14:paraId="353EB003">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由发包人和承包人根据实际情况约定按</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调整。</w:t>
      </w:r>
    </w:p>
    <w:p w14:paraId="7412257B">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其它调整内容：</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681CCE26">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本合同项目的结算造价确定方式：</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55AE256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047A18E8">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E"/>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单价合同</w:t>
      </w:r>
    </w:p>
    <w:p w14:paraId="025DA303">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本合同项目的工程承包价是由承包人以招标文件以及招标文件的图纸为依据，采用工程量清单计价方法，根据国家标准《建设工程工程量清单计价标准》（GBT50500—2024）以及《广东省建设工程计价依据（2018）》、《关于调整《广东省建设工程计价依据2018》计价规则的通知》（粤标定函〔2025〕22号）、《广东省住房和城乡建设厅关于营业税改征增值税后调整广东省建设工程计划依据的通知》（粤建市函〔2016〕1113号）《广州市建设工程造价管理站关于营业税改征增值税后广州市建设工程计价有关问题的通知》（穗建造价〔2016〕31号）等计价办法，按照招标文件中工程量清单所开列的工作内容和估计工程量填报相应的综合单价后并累计合价，再加上措施项目费、其他项目费、规费和税金计算的合同价。结算时发包人依据中华人民共和国国家标准《建设工程工程量清单计价标准》（GBT50500—2024）和《广东省建设工程计价依据（2018）》、《关于调整《广东省建设工程计价依据2018》计价规则的通知》（粤标定函〔2025〕22号）、《广东省住房和城乡建设厅关于营业税改征增值税后调整广东省建设工程计划依据的通知》（粤建市函〔2016〕1113号）《广州市建设工程造价管理站关于营业税改征增值税后广州市建设工程计价有关问题的通知》（穗建造价〔2016〕31号）等计价办法、工程量计算规则、图纸等规定计量确认的实际工程量乘以中标的综合单价，再加上措施项目费、其他项目费、规费、税金计算的结算造价。</w:t>
      </w:r>
    </w:p>
    <w:p w14:paraId="54B55C11">
      <w:pPr>
        <w:spacing w:line="420" w:lineRule="exact"/>
        <w:ind w:firstLine="480" w:firstLineChars="200"/>
        <w:jc w:val="lef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综合单价包含的风险范围：</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由于承包人使用机械设备、施工技术以及组织管理水平等自身原因造成施工费用增加的，应由承包人全部承担。</w:t>
      </w:r>
    </w:p>
    <w:p w14:paraId="0B0C4B8B">
      <w:pPr>
        <w:spacing w:line="420" w:lineRule="exact"/>
        <w:ind w:firstLine="480" w:firstLineChars="200"/>
        <w:jc w:val="lef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风险费用的计算方法：</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76CA6FEE">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风险范围以外合同价格的调整方法：</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0D06A55B">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在项目实施期间，招标文件工程量清单漏项的项目、设计变更的项目，经发包人审批确认后，按下列办法进行工程量及综合单价的计算：工程量依据国家标准《建设工程工程量清单计价标准》（GBT50500—2024） 以及《广东省建设工程计价依据（2018）》、《关于调整《广东省建设工程计价依据2018》计价规则的通知》（粤标定函〔2025〕22号）、《广东省住房和城乡建设厅关于营业税改征增值税后调整广东省建设工程计划依据的通知》（粤建市函〔2016〕1113号）《广州市建设工程造价管理站关于营业税改征增值税后广州市建设工程计价有关问题的通知》（穗建造价〔2016〕31号）等 计价办法、工程量计算规则、图纸等规定计量确认的实际工程量为准；综合单价计算方法为：</w:t>
      </w:r>
    </w:p>
    <w:p w14:paraId="2DE92C2E">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（1）中标的工程量清单中已有相同项目的综合单价，则沿用该综合单价。</w:t>
      </w:r>
    </w:p>
    <w:p w14:paraId="421D6822">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中标的工程量清单中的项目与清单漏项的项目、设计变更的项目，两者只存在项目中材料费最高的材料的材质、型号、规格不同时，则新的综合单价只换算原清单项目综合单价中材料费最高的材料单价，其它不变。</w:t>
      </w:r>
    </w:p>
    <w:p w14:paraId="5ECEFAC3">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中标的工程量清单中没有相同项目的，则作为新增项目采用清单计价办法，依据广东省计价依据、广东省相关定额和广州市补充定额，以及所有定额对应的计价办法进行计价，工程量按《建设工程工程量清单计价标准》（GBT50500—2024）《广东省建设工程计价依据（2018）》、《关于调整《广东省建设工程计价依据2018》计价规则的通知》（粤标定函〔2025〕22号）、《广东省住房和城乡建设厅关于营业税改征增值税后调整广东省建设工程计划依据的通知》（粤建市函〔2016〕1113号）《广州市建设工程造价管理站关于营业税改征增值税后广州市建设工程计价有关问题的通知》（穗建造价〔2016〕31号）等计价方法计算，按本合同专用合同条款72.2（3）约定调整，其中的人工、材料、机械台班价格按实际施工期间建设行政主管部门发布的 最新有关 规定执行。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中标的投标报价相对于招标文件工程量清单有漏项或未填报综合单价项目，此项目的费用按照本合同专用合同条款71.2款约定执行。</w:t>
      </w:r>
    </w:p>
    <w:p w14:paraId="101DF3CF">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招标文件工程量清单中的项目在实际施工中没有做的项目，此项目的费用不予计价。</w:t>
      </w:r>
    </w:p>
    <w:p w14:paraId="0D369435">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措施项目费、其他项目费的调整：</w:t>
      </w:r>
    </w:p>
    <w:p w14:paraId="0781A49B">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按通用条款规定的调整事件内容调整；</w:t>
      </w:r>
    </w:p>
    <w:p w14:paraId="72596E06">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按广东省定额规定计算；</w:t>
      </w:r>
    </w:p>
    <w:p w14:paraId="6E35F3E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由发包人和承包人根据实际情况约定按本合同专用合同条款72.3款约定调整。</w:t>
      </w:r>
    </w:p>
    <w:p w14:paraId="7F53D69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其它调整内容：新增单价，套用施工专业定额，使用工程量清单计价，清单综合单价综合下浮=（1-专业下浮率）*（1-投标下浮率），其中乙供主材、设备价格按以下优先顺序确定：</w:t>
      </w:r>
    </w:p>
    <w:p w14:paraId="1948AA92">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（1）按《广州地区建设工程材料综合价格》计算，参与清单综合下浮；</w:t>
      </w:r>
    </w:p>
    <w:p w14:paraId="45B94489">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经发包人确认，与发包人物资类年度标采购品牌一致且同档次的乙供设备、主材，采用不高于施工期发包人对应年份的物资类年度标采购价格；（如有多个中标价格，按平均价计算），不再参与清单综合下浮；</w:t>
      </w:r>
    </w:p>
    <w:p w14:paraId="503FF16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经发包人确认，与发包人物资类历史采购同品牌或者同档次的乙供材料，但发包人无采购价格，则按历史招标中的最高投标价作为最高限价，承包人提交第三方采购发票，经业主项目负责人审核确认，不再参与清单综合下浮；</w:t>
      </w:r>
    </w:p>
    <w:p w14:paraId="37CCD8D8">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（4）综合价格没有的材料单价但品牌符合《广州地区建设工程材料（设备）厂商价格信息》中的价格下浮 20%，参与清单综合下浮；</w:t>
      </w:r>
    </w:p>
    <w:p w14:paraId="3BEBADF1">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（5）《广州地区建设工程材料（设备）厂商价格信息》没有的，依据经业主确认的设备、材料的规格、参数经发包人或发包人委托的第三方咨询机构市场询价确认，不再参与清单综合下浮。</w:t>
      </w:r>
    </w:p>
    <w:p w14:paraId="2789E62B">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结算时，还需提交凭业主项目负责人审核确认的有效发票作为结算依据，且不得高于经审定的设计变更乙供主材、设备价格;</w:t>
      </w:r>
    </w:p>
    <w:p w14:paraId="3E2DF956">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（6）不适用以上条款的乙供设备、主材，承包人提交不少于三家的有效询价和第三方采购发票，经业主项目负责人审核确认，参与清单综合下浮。</w:t>
      </w:r>
    </w:p>
    <w:p w14:paraId="19A5EA8D">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（7）专业下浮率：市政、安装、绿化专业5%，其他专业0%。</w:t>
      </w:r>
    </w:p>
    <w:p w14:paraId="6234DB0E">
      <w:pPr>
        <w:widowControl w:val="0"/>
        <w:adjustRightInd w:val="0"/>
        <w:snapToGrid w:val="0"/>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本合同项目的结算造价确定方式：</w:t>
      </w:r>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          </w:t>
      </w:r>
    </w:p>
    <w:p w14:paraId="769A07C5">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69A7360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D"/>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按实结算合同。</w:t>
      </w:r>
    </w:p>
    <w:p w14:paraId="506F2FBA">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本合同项目的工程承包价（暂定合同价）由承包人按发包人提供的图纸、勘察资料、工期、质量要求、保养期要求、</w:t>
      </w:r>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等，结合施工现场实际情况制定的施工方案、施工组织设计，依据有关规范、规定，采用</w:t>
      </w:r>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计价方法编制的预算价，经监理单位、建设管理单位、发包人、</w:t>
      </w:r>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审核后，按审核价</w:t>
      </w:r>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形成的承包价（暂定合同价）。</w:t>
      </w:r>
    </w:p>
    <w:p w14:paraId="5C6B1CF4">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本合同项目结算时，项目的结算造价采用</w:t>
      </w:r>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计价方法进行计价。并按照国家、省、市有关规范、规定以及计价办法、工程量计算规则执行，工程量按</w:t>
      </w:r>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计价方法计算，其中的人工、材料、机械台班价格按实际施工期间建设行政主管部门发布的</w:t>
      </w:r>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规定执行，建设行政主管部门没有发布的某些内容、品种由发包人和承包人约定按</w:t>
      </w:r>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计算；或由发包人和承包人约定人工、材料、机械台班价格根据建设标准要求按</w:t>
      </w:r>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计算。如采用定额计价的，造价的确定依据广东省计价依据、广东省相关定额、广州市补充定额，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w:t>
      </w:r>
    </w:p>
    <w:p w14:paraId="5088ED16">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其它调整内：</w:t>
      </w:r>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w:t>
      </w:r>
    </w:p>
    <w:p w14:paraId="6230C770">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本合同项目的结算造价确定方式：</w:t>
      </w:r>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w:t>
      </w:r>
    </w:p>
    <w:p w14:paraId="5051F2A8">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12D5588D">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sz w:val="24"/>
          <w:szCs w:val="24"/>
          <w:highlight w:val="none"/>
          <w14:textFill>
            <w14:solidFill>
              <w14:schemeClr w14:val="tx1"/>
            </w14:solidFill>
          </w14:textFill>
        </w:rPr>
        <w:t>其它价格形式</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eastAsia="zh-CN"/>
          <w14:textFill>
            <w14:solidFill>
              <w14:schemeClr w14:val="tx1"/>
            </w14:solidFill>
          </w14:textFill>
        </w:rPr>
        <w:t>。</w:t>
      </w:r>
    </w:p>
    <w:p w14:paraId="5D53368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68.3 合同价款的调整事件</w:t>
      </w:r>
    </w:p>
    <w:p w14:paraId="1D0746F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按通用条款规定的调整事件。</w:t>
      </w:r>
    </w:p>
    <w:p w14:paraId="2B65349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
    <w:p w14:paraId="7719F4C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68.3（9）调整合同价款的其他事件： </w:t>
      </w:r>
      <w:permStart w:id="286"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w:char="00FE"/>
      </w:r>
      <w:permEnd w:id="28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（如发包人使用招标图招标的，勾选此项；使用施工图招标的，则不勾选）承包人中标后关于施工图差异量处置原则：</w:t>
      </w:r>
    </w:p>
    <w:p w14:paraId="20D4E50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工程开工后1个月内，应根据现场实际情况，完成招标图与施工图图纸的复核工作并提出设计变更意见，差额达到本合同应签订补充协议的约定，双方应签订补充协议。如超出限期未提出相关变更申请的，因招标图纸与经施工图图纸会审后的图纸之间差异增加工程费用的，不应计取。</w:t>
      </w:r>
    </w:p>
    <w:p w14:paraId="7A66F53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2）如设计方提供的会审后施工预算差异（扣除发包人供应材料费用后的设计预算-中标价）低于承包人提供的</w:t>
      </w:r>
      <w:r>
        <w:rPr>
          <w:rFonts w:hint="eastAsia" w:ascii="仿宋_GB2312" w:hAnsi="仿宋_GB2312" w:eastAsia="仿宋_GB2312" w:cs="仿宋_GB2312"/>
          <w:color w:val="000000" w:themeColor="text1"/>
          <w:kern w:val="0"/>
          <w:sz w:val="24"/>
          <w:szCs w:val="24"/>
          <w:highlight w:val="none"/>
          <w:u w:val="none"/>
          <w:lang w:val="en-US" w:eastAsia="zh-CN"/>
          <w14:textFill>
            <w14:solidFill>
              <w14:schemeClr w14:val="tx1"/>
            </w14:solidFill>
          </w14:textFill>
        </w:rPr>
        <w:t>施工图</w:t>
      </w:r>
      <w:r>
        <w:rPr>
          <w:rFonts w:hint="eastAsia" w:ascii="仿宋_GB2312" w:hAnsi="仿宋_GB2312" w:eastAsia="仿宋_GB2312" w:cs="仿宋_GB2312"/>
          <w:color w:val="000000" w:themeColor="text1"/>
          <w:kern w:val="0"/>
          <w:sz w:val="24"/>
          <w:szCs w:val="24"/>
          <w:highlight w:val="none"/>
          <w:u w:val="none"/>
          <w14:textFill>
            <w14:solidFill>
              <w14:schemeClr w14:val="tx1"/>
            </w14:solidFill>
          </w14:textFill>
        </w:rPr>
        <w:t>预算</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，发包人有权按低值作为签订补充协议及后续工程变更、进度款拨付的依据。</w:t>
      </w:r>
    </w:p>
    <w:p w14:paraId="27CCE1F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3）因招标图纸与经施工图图纸会审后的图纸之间差异造成的工程费用差的编制，按第77.6款执行。 </w:t>
      </w:r>
    </w:p>
    <w:p w14:paraId="51062B58">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1BBB4698">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★71.分部分项工程量清单缺项漏项事件</w:t>
      </w:r>
    </w:p>
    <w:p w14:paraId="7D7AF74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71.2调整分部分项工程费的方法</w:t>
      </w:r>
    </w:p>
    <w:p w14:paraId="1D19904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中标的投标报价相对于招标文件工程量清单有漏项或未填综合单价项目，此项目的费用视为已包括在中标的投标报价的其他单价和合价中，该漏项或未填综合单价项目费用结算时，经人计量的实际已完工工程量，与招标文件工程量清单工程量对比：</w:t>
      </w:r>
    </w:p>
    <w:p w14:paraId="1E9FC57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（1）两者相等时，该项目费用不得补计；</w:t>
      </w:r>
    </w:p>
    <w:p w14:paraId="4B913B9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（2）前者比后者增加时，增加部份的费用采用上述清单计价办法进行计价，综合单价按下浮10%进行计算；</w:t>
      </w:r>
    </w:p>
    <w:p w14:paraId="162AEF9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（3）前者比后者减少时，减少部份的费用采用上述清单计价办法进行扣减；</w:t>
      </w:r>
    </w:p>
    <w:p w14:paraId="459512D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无论两者相等还是增、减，投标报价漏项或未填综合单价项目的原招标文件工程量清单工程量不得补计；增项清单项目不作为签订合同及结算等的依据。</w:t>
      </w:r>
    </w:p>
    <w:p w14:paraId="5E59C49A">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77A237FE">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72. 工程变更事件</w:t>
      </w:r>
    </w:p>
    <w:p w14:paraId="57B03759">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72.2 调整分部分项工程费的方法</w:t>
      </w:r>
    </w:p>
    <w:p w14:paraId="605322AC">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(1)中标的工程量清单中已有相同项目的适用的综合单价，则沿用;</w:t>
      </w:r>
    </w:p>
    <w:p w14:paraId="451FF5CB">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中标的工程量清单中已有类似项目的，则按类似项目的综合单价对相应子目、消耗量、单价等进行调整换算，原管理费、利润水平不变（若招标文件的工程量清单列出多个同类项目，而中标的投标报价有不同的综合单价，则该类项目的单价换算取工料机水平最高即消耗量最少的、管理费和利润取费最低的综合单价进行分析换算）。换算时出现类似项目综合单价中没有的材料单价价格按以下优先顺序确定：</w:t>
      </w:r>
    </w:p>
    <w:p w14:paraId="73158719">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（2.1）按《广州地区建设工程材料综合价格》计算；</w:t>
      </w:r>
    </w:p>
    <w:p w14:paraId="384F0D23">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（2.2）经发包人确认，与发包人物资类年度标采购品牌一致且同档次的乙供材料，采用不高于施工期发包人对应年份的物资类年度标采购价格；（如有多个中标价格，按平均价计算）</w:t>
      </w:r>
    </w:p>
    <w:p w14:paraId="040DE547">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2.3）经发包人确认，与发包人物资类历史采购同品牌或者同档次的乙供设备、主材，但发包人无采购价格，则按历史招标中的最高投标价作为最高限价，承包人提交第三方采购发票，经业主项目负责人审核确认，</w:t>
      </w:r>
    </w:p>
    <w:p w14:paraId="40A142E9">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（2.4）经业主确认的设备、材料的实际应用品牌、型号、参数规格和档次符合《广州地区建设工程材料（设备）厂商价格信息》的价格下浮 20%；</w:t>
      </w:r>
    </w:p>
    <w:p w14:paraId="0278DB96">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（2.5《广州地区建设工程材料（设备）厂商价格信息》没有的，依据经业主确认的设备、材料的规格、参数经发包人或发包人委托的第三方咨询机构市场询价确认；</w:t>
      </w:r>
    </w:p>
    <w:p w14:paraId="7371F199">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结算时，还需提交凭业主项目负责人审核确认的有效发票作为结算依据，且不得高于经审定的设计变更乙供主材、设备价格;</w:t>
      </w:r>
    </w:p>
    <w:p w14:paraId="42CE4A66">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（2.6）不适用以上条款的乙供设备、主材，承包人提交不少于三家的有效询价和第三方采购发票，经业主项目负责人审核确认。</w:t>
      </w:r>
    </w:p>
    <w:p w14:paraId="52562718">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(3)中标的工程量清单中没有适用或类似的，则作为新增单价（是否为新增单价由发包人确定），采用清单计价办法进行计价并按</w:t>
      </w:r>
      <w:r>
        <w:rPr>
          <w:rFonts w:hint="eastAsia" w:ascii="仿宋_GB2312" w:hAnsi="仿宋_GB2312" w:eastAsia="仿宋_GB2312" w:cs="仿宋_GB2312"/>
          <w:color w:val="000000" w:themeColor="text1"/>
          <w:sz w:val="24"/>
          <w:szCs w:val="24"/>
          <w:highlight w:val="none"/>
          <w14:textFill>
            <w14:solidFill>
              <w14:schemeClr w14:val="tx1"/>
            </w14:solidFill>
          </w14:textFill>
        </w:rPr>
        <w:t>《建设工程工程量清单计价</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标准</w:t>
      </w:r>
      <w:r>
        <w:rPr>
          <w:rFonts w:hint="eastAsia" w:ascii="仿宋_GB2312" w:hAnsi="仿宋_GB2312" w:eastAsia="仿宋_GB2312" w:cs="仿宋_GB2312"/>
          <w:color w:val="000000" w:themeColor="text1"/>
          <w:sz w:val="24"/>
          <w:szCs w:val="24"/>
          <w:highlight w:val="none"/>
          <w14:textFill>
            <w14:solidFill>
              <w14:schemeClr w14:val="tx1"/>
            </w14:solidFill>
          </w14:textFill>
        </w:rPr>
        <w:t>》（GB</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/T</w:t>
      </w:r>
      <w:r>
        <w:rPr>
          <w:rFonts w:hint="eastAsia" w:ascii="仿宋_GB2312" w:hAnsi="仿宋_GB2312" w:eastAsia="仿宋_GB2312" w:cs="仿宋_GB2312"/>
          <w:color w:val="000000" w:themeColor="text1"/>
          <w:sz w:val="24"/>
          <w:szCs w:val="24"/>
          <w:highlight w:val="none"/>
          <w14:textFill>
            <w14:solidFill>
              <w14:schemeClr w14:val="tx1"/>
            </w14:solidFill>
          </w14:textFill>
        </w:rPr>
        <w:t>50500—</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2024</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、《广东省建设工程计价依据（2018）》、</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《关于调整《广东省建设工程计价依据2018》计价规则的通知》（粤标定函〔2025〕22号）、</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广东省住房和城乡建设厅关于营业税改征增值税后调整广东省建设工程计划依据的通知》（粤建市函〔2016〕1113号）《广州市建设工程造价管理站关于营业税改征增值税后广州市建设工程计价有关问题的通知》（穗建造价〔2016〕31号）折算为综合单价，清单综合单价套用本工程相关的专业定额，如：《广东省市政工程综合定额》(2018年)、《广东省安装工程综合定额》(2018年)、《广州市市政工程补充综合定额》(2019年)、《广东省房屋建筑与装饰工程综合定额》（2018年）、《广东省园林绿化工程综合定额》(2018年)，如需采用上述定额以外的专业定额应报发包人。定额采用招标基准期结束前生效的相关专业定额及对应的工程计价办法计算确定。项目的人工、材料、机械台班价格按实际施工期间建设行政主管部门的有关规定执行。</w:t>
      </w:r>
    </w:p>
    <w:p w14:paraId="3583394C">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新增单价，套用施工专业定额，使用工程量清单计价，清单综合单价综合下浮=（1-专业下浮率）*（1-投标下浮率），其中乙供主材、设备价格按以下优先顺序确定：</w:t>
      </w:r>
    </w:p>
    <w:p w14:paraId="3515FA88">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（1）按《广州地区建设工程材料综合价格》计算，参与清单综合下浮；</w:t>
      </w:r>
    </w:p>
    <w:p w14:paraId="4163E8BA">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经发包人确认，与发包人物资类年度标采购品牌一致且同档次的乙供设备、主材，采用不高于施工期发包人对应年份的物资类年度标采购价格；（如有多个中标价格，按平均价计算），不再参与清单综合下浮；</w:t>
      </w:r>
    </w:p>
    <w:p w14:paraId="2A56CF3E">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3）经发包人确认，与发包人物资类历史采购同品牌或者同档次的乙供材料，但发包人无采购价格，则按历史招标中的最高投标价作为最高限价，承包人提交第三方采购发票，经业主项目负责人审核确认，不再参与清单综合下浮；</w:t>
      </w:r>
    </w:p>
    <w:p w14:paraId="6DBE2C1B">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（4）经业主确认的设备、材料的实际应用品牌、型号、参数规格和档次符合《广州地区建设工程材料（设备）厂商价格信息》的价格下浮 20%，参与清单综合下浮；</w:t>
      </w:r>
    </w:p>
    <w:p w14:paraId="0499DB77">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（5）《广州地区建设工程材料（设备）厂商价格信息》没有的，依据经业主确认的设备、材料的规格、参数经发包人或发包人委托的第三方咨询机构市场询价确认，不再参与清单综合下浮。</w:t>
      </w:r>
    </w:p>
    <w:p w14:paraId="33F90021">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结算时，还需提交凭业主项目负责人审核确认的有效发票作为结算依据，且不得高于经审定的设计变更乙供主材、设备价格;</w:t>
      </w:r>
    </w:p>
    <w:p w14:paraId="27707BEF">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（6）不适用以上条款的乙供设备、主材，承包人提交不少于三家的有效询价和第三方采购发票，经业主项目负责人审核确认，参与清单综合下浮。</w:t>
      </w:r>
    </w:p>
    <w:p w14:paraId="72E65060">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（7）专业下浮率：市政、安装、绿化专业5%，其他专业0%。</w:t>
      </w:r>
    </w:p>
    <w:p w14:paraId="491F93F0">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72.3 调整措施项目费的方法</w:t>
      </w:r>
    </w:p>
    <w:p w14:paraId="3FE7FBBA">
      <w:pPr>
        <w:widowControl w:val="0"/>
        <w:adjustRightInd w:val="0"/>
        <w:snapToGrid w:val="0"/>
        <w:spacing w:line="420" w:lineRule="exact"/>
        <w:ind w:firstLine="480" w:firstLine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工程变更引起措施项目发生变化的，措施项目费不调整，合同协议书中约定的情况除外。</w:t>
      </w:r>
    </w:p>
    <w:p w14:paraId="3E6981D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72.4 调整承包人报价偏差的方法</w:t>
      </w:r>
    </w:p>
    <w:p w14:paraId="60DB549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87"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8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按通用条款的规定调整。</w:t>
      </w:r>
    </w:p>
    <w:p w14:paraId="2F33641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按照下列方法调整：根据合同协议书第六点“结算方式”调整。</w:t>
      </w:r>
    </w:p>
    <w:p w14:paraId="6E31B62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72.6 单项工程经批准增加合同规定以外的内容，或者单项工程合同变更追加工程款按相关规定执行。设计变更价款的确定须依据《广东省住房和城乡建设厅关于营业税改征增值税后调整广东省建设工程计划依据的通知》（粤建市函〔2016〕1113号）、《广州市建设工程造价管理站关于营业税改征增值税后广州市建设工程计价有关问题的通知》（穗建造价〔2016〕31号）、</w:t>
      </w:r>
      <w:r>
        <w:rPr>
          <w:rFonts w:hint="eastAsia" w:ascii="仿宋_GB2312" w:hAnsi="仿宋_GB2312" w:eastAsia="仿宋_GB2312" w:cs="仿宋_GB2312"/>
          <w:color w:val="000000" w:themeColor="text1"/>
          <w:sz w:val="24"/>
          <w:szCs w:val="24"/>
          <w:highlight w:val="none"/>
          <w14:textFill>
            <w14:solidFill>
              <w14:schemeClr w14:val="tx1"/>
            </w14:solidFill>
          </w14:textFill>
        </w:rPr>
        <w:t>《建设工程工程量清单计价</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标准</w:t>
      </w:r>
      <w:r>
        <w:rPr>
          <w:rFonts w:hint="eastAsia" w:ascii="仿宋_GB2312" w:hAnsi="仿宋_GB2312" w:eastAsia="仿宋_GB2312" w:cs="仿宋_GB2312"/>
          <w:color w:val="000000" w:themeColor="text1"/>
          <w:sz w:val="24"/>
          <w:szCs w:val="24"/>
          <w:highlight w:val="none"/>
          <w14:textFill>
            <w14:solidFill>
              <w14:schemeClr w14:val="tx1"/>
            </w14:solidFill>
          </w14:textFill>
        </w:rPr>
        <w:t>》（GB</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/T</w:t>
      </w:r>
      <w:r>
        <w:rPr>
          <w:rFonts w:hint="eastAsia" w:ascii="仿宋_GB2312" w:hAnsi="仿宋_GB2312" w:eastAsia="仿宋_GB2312" w:cs="仿宋_GB2312"/>
          <w:color w:val="000000" w:themeColor="text1"/>
          <w:sz w:val="24"/>
          <w:szCs w:val="24"/>
          <w:highlight w:val="none"/>
          <w14:textFill>
            <w14:solidFill>
              <w14:schemeClr w14:val="tx1"/>
            </w14:solidFill>
          </w14:textFill>
        </w:rPr>
        <w:t>50500—</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2024</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、《广东省建设工程计价依据（2018）》</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、《关于调整《广东省建设工程计价依据2018》计价规则的通知》（粤标定函〔2025〕22号）</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等文件进行计价。</w:t>
      </w:r>
    </w:p>
    <w:p w14:paraId="326317F8">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697CC3D2">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73. 工程量偏差事件</w:t>
      </w:r>
    </w:p>
    <w:p w14:paraId="6F18C4F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73.2 调整分部分项工程费的方法</w:t>
      </w:r>
    </w:p>
    <w:p w14:paraId="0862C07E">
      <w:pPr>
        <w:spacing w:line="420" w:lineRule="exact"/>
        <w:ind w:firstLine="480" w:firstLineChars="200"/>
        <w:rPr>
          <w:rFonts w:hint="eastAsia" w:ascii="仿宋_GB2312" w:hAnsi="仿宋_GB2312" w:eastAsia="仿宋_GB2312" w:cs="仿宋_GB2312"/>
          <w:strike/>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调整结算分部分项工程费</w:t>
      </w:r>
    </w:p>
    <w:p w14:paraId="34E0C59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按通用条款的规定调整。</w:t>
      </w:r>
    </w:p>
    <w:p w14:paraId="704EB2E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按照下列方法调整：根据合同协议书第六点“结算方式”调整。</w:t>
      </w:r>
    </w:p>
    <w:p w14:paraId="5FFC773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73.3 调整措施项目费的方法</w:t>
      </w:r>
    </w:p>
    <w:p w14:paraId="2E0D66E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调整结算措施项目费：</w:t>
      </w:r>
    </w:p>
    <w:p w14:paraId="2489902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按通用条款的规定调整。</w:t>
      </w:r>
    </w:p>
    <w:p w14:paraId="095141B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按照下列方法调整：根据合同协议书第六点“结算方式”调整。</w:t>
      </w:r>
    </w:p>
    <w:p w14:paraId="09871A63">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2B5929A9">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74. 费用索赔事件</w:t>
      </w:r>
    </w:p>
    <w:p w14:paraId="6AA766E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74.7（1）发生索赔事件后，监理工程师应及时书面通知承包人，详细说明发包人有权得到的索赔金额和（或）延长缺陷责任期的细节和依据。发包人提出索赔的期限和要求与第74.2款的约定相同，延长缺陷责任期的通知应在缺陷责任期届满前发出。</w:t>
      </w:r>
    </w:p>
    <w:p w14:paraId="6A55DE7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（2）监理工程师按第23.9款商定或确定发包人从承包人处得到赔付的金额和（或）缺陷责任期的延长期。承包人应付给发包人的金额可从拟支付给承包人的合同价款中扣除，或由承包人以其他方式支付给发包人。</w:t>
      </w:r>
    </w:p>
    <w:p w14:paraId="0E1185E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74.9（1）在任何索赔和争议期间，不论索赔是否有据，均不能免除承包人按合同规定履行合同义务。承包人不得以此为借口，拒不履行或拖延合同的履行。否则发包人有权终止合同，并要求承包人赔偿由此导致的发包人的损失。</w:t>
      </w:r>
    </w:p>
    <w:p w14:paraId="0EECA7F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（2）鉴于工程建设项目的特点，发包人可能会分期提供场地，承包人应据此调整施工进度计划。只有承包人提供足够的资料证明发包人拖延其关键工序的开始，这种拖延才被视为补偿事件，并获得发包人批准。</w:t>
      </w:r>
    </w:p>
    <w:p w14:paraId="592257D9">
      <w:pPr>
        <w:spacing w:line="420" w:lineRule="exac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0B8C724E">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75. 现场签证事件</w:t>
      </w:r>
    </w:p>
    <w:p w14:paraId="7700E80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75.2现场签证的提出 </w:t>
      </w:r>
    </w:p>
    <w:p w14:paraId="551831A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承包人根据工程现场实际情况提出办理现场签证时，应当依据发包人印发的建设项目现场签证有关管理办法的要求进行办理。</w:t>
      </w:r>
    </w:p>
    <w:p w14:paraId="7724F8E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75.3 现场签证报告的确认</w:t>
      </w:r>
    </w:p>
    <w:p w14:paraId="46C0AACC">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提交现场签证报告的时间：</w:t>
      </w:r>
    </w:p>
    <w:p w14:paraId="5DD6A71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按通用条款的规定的时间提交。</w:t>
      </w:r>
    </w:p>
    <w:p w14:paraId="000A63B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
    <w:p w14:paraId="4630ACB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75.8现场签证的估价原则</w:t>
      </w:r>
    </w:p>
    <w:p w14:paraId="7312EDE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）计日工中人工单价以施工期内签证记录各对应时点造价管理机构公布的综合价格中普工的劳务日工资价格中值*（1-投标下浮率）计算。</w:t>
      </w:r>
    </w:p>
    <w:p w14:paraId="54CA03F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）若招标工程量清单中包含交通疏导员，则交通疏导员结算单价以中标</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单价</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计算。</w:t>
      </w:r>
    </w:p>
    <w:p w14:paraId="3272DA8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有效的现场签证，综合单价计算方法</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参照专用条款72条设计变更执行。</w:t>
      </w:r>
    </w:p>
    <w:p w14:paraId="141994CB">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75.9 按发包人或其上级主管部门发布的现场签证管理办法流程完成审批的签证及其材料方可视同为有效签证。承包人根据现场情况提出签证需求，填写工程洽商记录、施工现场签证记录等报监理工程师初审，监理工程师在收到上述资料后3天内提出初审意见报发包人，由发包人对现场签证资料进行符合性审查后组织承包人、监理人召开现场签证洽商会，并在会后5天内形成专题会议纪要，由承包人根据会议纪要要求提交工程洽商记录、签证记录后，由发包人完成现场签证审批，并发布签证令、通知承包人、监理人执行签证。</w:t>
      </w:r>
      <w:r>
        <w:rPr>
          <w:rFonts w:hint="eastAsia" w:ascii="仿宋_GB2312" w:hAnsi="仿宋_GB2312" w:eastAsia="仿宋_GB2312" w:cs="仿宋_GB2312"/>
          <w:color w:val="000000" w:themeColor="text1"/>
          <w:sz w:val="24"/>
          <w:szCs w:val="24"/>
          <w:highlight w:val="none"/>
          <w14:textFill>
            <w14:solidFill>
              <w14:schemeClr w14:val="tx1"/>
            </w14:solidFill>
          </w14:textFill>
        </w:rPr>
        <w:t>如承包人逾期未向监理工程师及发包人提出，或未经发包人同意答复的现场签证事件，或该项现场签证事件无专题会议纪要等相关过程资料，涉及承包人原因导致增加的费用原则上不纳入结算范围。</w:t>
      </w:r>
    </w:p>
    <w:p w14:paraId="091B6BD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ED2DCF3">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★76. 物价涨落事件</w:t>
      </w:r>
    </w:p>
    <w:p w14:paraId="60DE1378">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市场价格波动是否调整合同价格的约定：</w:t>
      </w:r>
    </w:p>
    <w:p w14:paraId="67D350EE">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因市场价格波动调整合同价格，采用以下第</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1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种方式对合同价格进行调整：</w:t>
      </w:r>
    </w:p>
    <w:p w14:paraId="4B777105">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第1种方式：采用造价信息进行价格调整。</w:t>
      </w:r>
    </w:p>
    <w:p w14:paraId="4C809E4E">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签订合同后一年未开工的，以开工后取得第一笔预付款时的施工属地建设工程造价管理部门发布的综合价格进行调差，调差范围及规则按以下约定执行：</w:t>
      </w:r>
    </w:p>
    <w:p w14:paraId="42961840">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（1）施工开工一年（365 天）内，发生物价波动的，合同价格不因此而调整（价格管理部门下达专项指导文件的除外）；</w:t>
      </w:r>
    </w:p>
    <w:p w14:paraId="64C36752">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（2）施工开工一年（365 天）后，钢材（含钢筋）、预拌混凝土（含砂浆）、水泥、砂、碎石（含石屑）、混凝土制品（如混凝土砌块、预制管桩等）六大类大宗材料的价格波动幅度在±5%以上时，可调整当期完工清单工作量中对应材料的价格；其他材料、设备以及人工、机械台班等要素价格波动不得调整。六大类大宗材料价格调整办法如下：</w:t>
      </w:r>
    </w:p>
    <w:p w14:paraId="6EDD2FD4">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1）当施工属地建设工程造价管理部门发布的信息价的材料综合价格涨幅或跌幅超过招标基准期信息价的±5%时，可对超出±5%的部分进行价格调整，±5%以内（含±5%）的部分不予调整。</w:t>
      </w:r>
    </w:p>
    <w:p w14:paraId="7690256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2）当施工属地建设工程造价管理部门发布的信息价的材料综合价格涨幅或跌幅在招标基准期信息价的±5%（含±5%）时，则该价格涨跌视作合同双方应承担的风险，其单价不得调整。</w:t>
      </w:r>
    </w:p>
    <w:p w14:paraId="2CFC90F8">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（3）承包人应在需要进行价格调整的 28 天内提交相关的价格调整预算，其单价调整情况和当期实际完工工作量应由监理工程师及发包人复核确定，并报送造价咨询单位审核后作为调整合同价格差额的依据。</w:t>
      </w:r>
    </w:p>
    <w:p w14:paraId="0BB2472F">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（4）上述价差列于其他项目费，不作为计算利润、管理费、措施项目费的基础。调差在竣工结算时计算，在施工进度款中不予考虑。</w:t>
      </w:r>
    </w:p>
    <w:p w14:paraId="0941E668">
      <w:pPr>
        <w:spacing w:line="420" w:lineRule="exact"/>
        <w:jc w:val="lef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第2种方式：其他价格调整方式：</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w:t>
      </w:r>
    </w:p>
    <w:p w14:paraId="2E56A445">
      <w:pPr>
        <w:numPr>
          <w:ilvl w:val="0"/>
          <w:numId w:val="0"/>
        </w:numPr>
        <w:spacing w:line="420" w:lineRule="exact"/>
        <w:jc w:val="left"/>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p>
    <w:p w14:paraId="379DB336">
      <w:pPr>
        <w:numPr>
          <w:ilvl w:val="0"/>
          <w:numId w:val="11"/>
        </w:numPr>
        <w:spacing w:line="420" w:lineRule="exact"/>
        <w:jc w:val="left"/>
        <w:rPr>
          <w:rFonts w:hint="eastAsia" w:ascii="黑体" w:hAnsi="黑体" w:eastAsia="黑体" w:cs="黑体"/>
          <w:b w:val="0"/>
          <w:bCs w:val="0"/>
          <w:color w:val="000000" w:themeColor="text1"/>
          <w:kern w:val="0"/>
          <w:sz w:val="24"/>
          <w:szCs w:val="24"/>
          <w:highlight w:val="none"/>
          <w14:textFill>
            <w14:solidFill>
              <w14:schemeClr w14:val="tx1"/>
            </w14:solidFill>
          </w14:textFill>
        </w:rPr>
      </w:pPr>
      <w:r>
        <w:rPr>
          <w:rFonts w:hint="eastAsia" w:ascii="黑体" w:hAnsi="黑体" w:eastAsia="黑体" w:cs="黑体"/>
          <w:b w:val="0"/>
          <w:bCs w:val="0"/>
          <w:color w:val="000000" w:themeColor="text1"/>
          <w:kern w:val="0"/>
          <w:sz w:val="24"/>
          <w:szCs w:val="24"/>
          <w:highlight w:val="none"/>
          <w14:textFill>
            <w14:solidFill>
              <w14:schemeClr w14:val="tx1"/>
            </w14:solidFill>
          </w14:textFill>
        </w:rPr>
        <w:t>合同价款调整程序</w:t>
      </w:r>
    </w:p>
    <w:p w14:paraId="05CEA721">
      <w:pPr>
        <w:spacing w:line="420" w:lineRule="exact"/>
        <w:ind w:firstLine="720" w:firstLineChars="3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77.4调增价款的支付</w:t>
      </w:r>
    </w:p>
    <w:p w14:paraId="0A81BB3D">
      <w:pPr>
        <w:spacing w:line="420" w:lineRule="exact"/>
        <w:ind w:firstLine="720" w:firstLineChars="3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经合同双方当事人确认调增的合同价款，作为追加合同价款，如追加的合同价款在原合同价款的10%以内时，则与工程进度款或结算款同期支付；如追加的合同价款超过原合同价款的10%时，应当另行签订补充合同后方可予以支付。</w:t>
      </w:r>
    </w:p>
    <w:p w14:paraId="0BF1FE8E">
      <w:pPr>
        <w:spacing w:line="420" w:lineRule="exact"/>
        <w:ind w:firstLine="720" w:firstLineChars="3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77.6因工程变更引起价格调整的处理方式</w:t>
      </w:r>
    </w:p>
    <w:p w14:paraId="62828D0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参照专用条款72条设计变更执行。</w:t>
      </w:r>
    </w:p>
    <w:p w14:paraId="599EA9D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中标的投标报价相对于招标文件工程量清单有漏项或未填综合单价项目，此项目的费用视为已包括在中标的投标报价的其他单价和合价中，该漏项或未填综合单价项目费用结算时，经人计量的实际已完工工程量，与招标文件工程量清单工程量对比：</w:t>
      </w:r>
    </w:p>
    <w:p w14:paraId="49898F5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1）两者相等时，该项目费用不得补计；</w:t>
      </w:r>
    </w:p>
    <w:p w14:paraId="2111571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2）前者比后者增加时，增加部份的费用采用上述清单计价办法进行计价，综合单价按下浮10%进行计算；</w:t>
      </w:r>
    </w:p>
    <w:p w14:paraId="2E60FE7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前者比后者减少时，减少部份的费用采用上述清单计价办法进行扣减；无论两者相等还是增、减，投标报价漏项或未填综合单价项目的原招标文件工程量清单工程量不得补计；增项清单项目不作为签订合同及结算等的依据。</w:t>
      </w:r>
    </w:p>
    <w:p w14:paraId="79E46E1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（3）本合同项目的结算造价以发包人或其委托的第三方造价机构审核后工程结算价作为本合同项目的最终结算造价。财政资金项目以财政评审部门审核后工程结算价作为本合同项目的最终结算造价。</w:t>
      </w:r>
    </w:p>
    <w:p w14:paraId="5D2EFAB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（4）承包人的所有施工技术措施和施工方案均必须得到发包人的认可并足以保证本工程项目能按时、按量、保质、安全的完成。</w:t>
      </w:r>
    </w:p>
    <w:p w14:paraId="05F09F1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77.7预算包干费</w:t>
      </w:r>
    </w:p>
    <w:p w14:paraId="378045F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预算包干费的内容：按相应专业包含对应内容，包干内容不再依据方案或签证计算费用。</w:t>
      </w:r>
    </w:p>
    <w:p w14:paraId="236B786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市政工程：包括施工雨（污）水的排除、因地形影响造成的场内料具二次运输、施工材料堆放场地的整理、施工中的临时停水停电、基础埋深2m以内挖土方的塌方、日间照明施工增加费（不包括地下室和特殊工程）、完工清场后的垃圾外运、地上（地下）设施，建筑物的临时保护设施费和二次加工基地设施费、雨季施工增加费、己完工程及设备保护等；</w:t>
      </w:r>
    </w:p>
    <w:p w14:paraId="449E3E8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建筑与装饰工程、通用安装工程：包括施工雨（污）水的排除、因地形影响造成的场内料具二次运输、20m高以下的工程用水加压措施、施工材料堆放场地的整理、机电安装后的补洞（槽）工料费、工程成品保护费、施工中的临时停水停电、基础埋深2m以内挖土方的塌方、日间照明施工增加费（不包括地下室和特殊工程）、完工清场后的垃圾外运等；</w:t>
      </w:r>
    </w:p>
    <w:p w14:paraId="6606E16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园林绿化工程：包括施工雨（污）水的排除；场内料具二次运输；树穴内的泥浆清除；工程用水加压措施；施工材料堆放场地的整理；工程成品的保护；施工中的临时停水停电；日间施工照明增加费；完工后的场地清理。</w:t>
      </w:r>
    </w:p>
    <w:p w14:paraId="7A83ABB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77.8总承包服务费：包括但不限于专业工程、发包人进行分包和自行采购的设备、材料等进行管理、服务以及施工现场管理、竣工资料汇总整理、规划报建及验收、施工场地处置等相关费用及协调。</w:t>
      </w:r>
    </w:p>
    <w:p w14:paraId="29F0DDE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总承包服务费（如有）已包含发包人供应材料和设备保管费相关内容，发包人不再支付发包人供应材料和设备保管费相关费用，但承包人仍需履行第77.9款。</w:t>
      </w:r>
    </w:p>
    <w:p w14:paraId="2B99B45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77.9发包人供应材料和设备保管费：承包人负责所有材料的保管包括但不限于租借地、仓库等。</w:t>
      </w:r>
    </w:p>
    <w:p w14:paraId="23A742E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77.10设备材料二次运输费：承包人应充分考虑本次招标各线路场地的特点，应对施工范围内各种设备材料（包括但不限于设备、管材、管件、砌筑材料、回填材料、余泥渣土及废弃物）的堆放及运输做好相关措施，根据施工组织设计要求，运送到施工现场指定的地点堆积。相关内容不再依据方案或签证计算费用。</w:t>
      </w:r>
    </w:p>
    <w:p w14:paraId="1F92A2EF">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0F5FC86C">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78. 支付事项</w:t>
      </w:r>
    </w:p>
    <w:p w14:paraId="42EBFE9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78.2 计算利息的利率</w:t>
      </w:r>
    </w:p>
    <w:p w14:paraId="3AB0229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按照中国人民银行发布的同期同类贷款利率。</w:t>
      </w:r>
    </w:p>
    <w:p w14:paraId="1670CF7E">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按照不超过中国人民银行发布的同期活期存款利率。   </w:t>
      </w:r>
    </w:p>
    <w:p w14:paraId="23929594">
      <w:pPr>
        <w:spacing w:line="420" w:lineRule="exac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p>
    <w:p w14:paraId="21A8878B">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★79. 预付款</w:t>
      </w:r>
    </w:p>
    <w:p w14:paraId="35E2098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79.1 预付款的约定及管理</w:t>
      </w:r>
    </w:p>
    <w:p w14:paraId="356EA12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 预付款的约定</w:t>
      </w:r>
    </w:p>
    <w:p w14:paraId="679E3F3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如中标价中的措施项目费超过施工费最高投标限价中的措施项目费总金额，需签订补充协议，中标价中的措施项目费按施工费最高投标限价中的措施项目费金额调整，并根据调整后的总承包施工费作为支付和结算的依据，未签订补充协议不执行支付。</w:t>
      </w:r>
    </w:p>
    <w:p w14:paraId="6EC6AF3A">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不约定预付款的，本条不适用。</w:t>
      </w:r>
    </w:p>
    <w:p w14:paraId="254841A4">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约定预付款的，预付款的金额为</w:t>
      </w:r>
      <w:permStart w:id="28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8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元，其支付办法和抵扣方式，按本条有关专用条款的约定。</w:t>
      </w:r>
    </w:p>
    <w:p w14:paraId="55E343B5">
      <w:pPr>
        <w:spacing w:line="420" w:lineRule="exact"/>
        <w:ind w:firstLine="240" w:firstLineChars="1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 预付款的最高限额</w:t>
      </w:r>
    </w:p>
    <w:p w14:paraId="57779887">
      <w:pPr>
        <w:widowControl w:val="0"/>
        <w:adjustRightInd w:val="0"/>
        <w:snapToGrid w:val="0"/>
        <w:ind w:firstLine="480" w:firstLineChars="200"/>
        <w:jc w:val="both"/>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 xml:space="preserve">预付比例不低于工程价款（按第1.55款关于工程价款的定义）的10%，不高于工程价款（按第1.55款关于工程价款的定义）的30%，即 </w:t>
      </w:r>
      <w:permStart w:id="289"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10   </w:t>
      </w:r>
      <w:permEnd w:id="289"/>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%，即</w:t>
      </w:r>
      <w:permStart w:id="290"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w:t>
      </w:r>
      <w:permEnd w:id="290"/>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元。</w:t>
      </w:r>
    </w:p>
    <w:p w14:paraId="51ED871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p>
    <w:p w14:paraId="55D9042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79.2 预付款支付申请的提交、核实与支付</w:t>
      </w:r>
    </w:p>
    <w:p w14:paraId="35DC321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本条款不适用</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3E4D112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（4）提交预付款支付申请期限：</w:t>
      </w:r>
    </w:p>
    <w:p w14:paraId="6F54549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按承包人在完成本款三项工作后的7天内。</w:t>
      </w:r>
    </w:p>
    <w:p w14:paraId="69E7E1E8">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另作约定：合同</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签订后，经发包人及监理工程师审核确认后，发包人向承包人支付工程预付款。</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发包人逾期支付合同约定的预付款，除承担相应的违约责任外，还应向承包人支付按第81.2（1）项约定的标准和方法计算的逾期付款违约金。</w:t>
      </w:r>
    </w:p>
    <w:p w14:paraId="4AE1060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79.4 预付款抵扣方式</w:t>
      </w:r>
    </w:p>
    <w:p w14:paraId="2F7920E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预付款按照期中应支付工程款的</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%扣回，直到扣完为止。</w:t>
      </w:r>
    </w:p>
    <w:p w14:paraId="5E646B1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其它方式：</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36"/>
        <w:gridCol w:w="2843"/>
      </w:tblGrid>
      <w:tr w14:paraId="4979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0" w:type="dxa"/>
            <w:noWrap w:val="0"/>
            <w:vAlign w:val="center"/>
          </w:tcPr>
          <w:p w14:paraId="53A590D2">
            <w:pPr>
              <w:widowControl w:val="0"/>
              <w:adjustRightInd w:val="0"/>
              <w:spacing w:line="360" w:lineRule="auto"/>
              <w:ind w:firstLine="0"/>
              <w:jc w:val="both"/>
              <w:textAlignment w:val="baseline"/>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已完成工作量与合同工程价款（按专用条款1.55工程价款的定义）之比</w:t>
            </w:r>
          </w:p>
        </w:tc>
        <w:tc>
          <w:tcPr>
            <w:tcW w:w="2960" w:type="dxa"/>
            <w:noWrap w:val="0"/>
            <w:vAlign w:val="center"/>
          </w:tcPr>
          <w:p w14:paraId="2A6E936B">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扣回预付款的比例</w:t>
            </w:r>
          </w:p>
        </w:tc>
        <w:tc>
          <w:tcPr>
            <w:tcW w:w="2961" w:type="dxa"/>
            <w:noWrap w:val="0"/>
            <w:vAlign w:val="center"/>
          </w:tcPr>
          <w:p w14:paraId="2943F5A7">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累计扣回比例</w:t>
            </w:r>
          </w:p>
        </w:tc>
      </w:tr>
      <w:tr w14:paraId="2627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960" w:type="dxa"/>
            <w:noWrap w:val="0"/>
            <w:vAlign w:val="center"/>
          </w:tcPr>
          <w:p w14:paraId="3DB336F7">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t>20%≤a＜30%</w:t>
            </w:r>
          </w:p>
        </w:tc>
        <w:tc>
          <w:tcPr>
            <w:tcW w:w="2960" w:type="dxa"/>
            <w:noWrap w:val="0"/>
            <w:vAlign w:val="center"/>
          </w:tcPr>
          <w:p w14:paraId="4E45472F">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t>10%</w:t>
            </w:r>
          </w:p>
        </w:tc>
        <w:tc>
          <w:tcPr>
            <w:tcW w:w="2961" w:type="dxa"/>
            <w:noWrap w:val="0"/>
            <w:vAlign w:val="center"/>
          </w:tcPr>
          <w:p w14:paraId="1FD30303">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t>10%</w:t>
            </w:r>
          </w:p>
        </w:tc>
      </w:tr>
      <w:tr w14:paraId="50D5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0" w:type="dxa"/>
            <w:noWrap w:val="0"/>
            <w:vAlign w:val="center"/>
          </w:tcPr>
          <w:p w14:paraId="1F5A84B9">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t>30%≤a＜40%</w:t>
            </w:r>
          </w:p>
        </w:tc>
        <w:tc>
          <w:tcPr>
            <w:tcW w:w="2960" w:type="dxa"/>
            <w:noWrap w:val="0"/>
            <w:vAlign w:val="center"/>
          </w:tcPr>
          <w:p w14:paraId="39C810C7">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t>20%</w:t>
            </w:r>
          </w:p>
        </w:tc>
        <w:tc>
          <w:tcPr>
            <w:tcW w:w="2961" w:type="dxa"/>
            <w:noWrap w:val="0"/>
            <w:vAlign w:val="center"/>
          </w:tcPr>
          <w:p w14:paraId="0C89A3C6">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t>30%</w:t>
            </w:r>
          </w:p>
        </w:tc>
      </w:tr>
      <w:tr w14:paraId="7BA3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0" w:type="dxa"/>
            <w:noWrap w:val="0"/>
            <w:vAlign w:val="center"/>
          </w:tcPr>
          <w:p w14:paraId="71A02CDA">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t>40%≤a＜50%</w:t>
            </w:r>
          </w:p>
        </w:tc>
        <w:tc>
          <w:tcPr>
            <w:tcW w:w="2960" w:type="dxa"/>
            <w:noWrap w:val="0"/>
            <w:vAlign w:val="center"/>
          </w:tcPr>
          <w:p w14:paraId="0551553A">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t>30%</w:t>
            </w:r>
          </w:p>
        </w:tc>
        <w:tc>
          <w:tcPr>
            <w:tcW w:w="2961" w:type="dxa"/>
            <w:noWrap w:val="0"/>
            <w:vAlign w:val="center"/>
          </w:tcPr>
          <w:p w14:paraId="0132624E">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t>60%</w:t>
            </w:r>
          </w:p>
        </w:tc>
      </w:tr>
      <w:tr w14:paraId="447E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0" w:type="dxa"/>
            <w:noWrap w:val="0"/>
            <w:vAlign w:val="center"/>
          </w:tcPr>
          <w:p w14:paraId="6E5847F4">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t>50%≤a＜60%</w:t>
            </w:r>
          </w:p>
        </w:tc>
        <w:tc>
          <w:tcPr>
            <w:tcW w:w="2960" w:type="dxa"/>
            <w:noWrap w:val="0"/>
            <w:vAlign w:val="center"/>
          </w:tcPr>
          <w:p w14:paraId="2B158E72">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t>40%</w:t>
            </w:r>
          </w:p>
        </w:tc>
        <w:tc>
          <w:tcPr>
            <w:tcW w:w="2961" w:type="dxa"/>
            <w:noWrap w:val="0"/>
            <w:vAlign w:val="center"/>
          </w:tcPr>
          <w:p w14:paraId="0C724832">
            <w:pPr>
              <w:widowControl w:val="0"/>
              <w:adjustRightInd w:val="0"/>
              <w:spacing w:line="360" w:lineRule="auto"/>
              <w:ind w:firstLine="0"/>
              <w:jc w:val="center"/>
              <w:textAlignment w:val="baseline"/>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5"/>
                <w:kern w:val="2"/>
                <w:sz w:val="24"/>
                <w:szCs w:val="24"/>
                <w:highlight w:val="none"/>
                <w:lang w:val="en-US" w:eastAsia="zh-CN" w:bidi="ar-SA"/>
                <w14:textFill>
                  <w14:solidFill>
                    <w14:schemeClr w14:val="tx1"/>
                  </w14:solidFill>
                </w14:textFill>
              </w:rPr>
              <w:t>100%</w:t>
            </w:r>
          </w:p>
        </w:tc>
      </w:tr>
    </w:tbl>
    <w:p w14:paraId="0AD04649">
      <w:pPr>
        <w:spacing w:line="420" w:lineRule="exact"/>
        <w:ind w:firstLine="480" w:firstLineChars="200"/>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79.5本条款不适用。</w:t>
      </w:r>
    </w:p>
    <w:p w14:paraId="4C42DF48">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★80. 绿色施工安全防护措施费</w:t>
      </w:r>
    </w:p>
    <w:p w14:paraId="3C3C6C2F">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80.1 </w:t>
      </w:r>
      <w:r>
        <w:rPr>
          <w:rFonts w:hint="eastAsia" w:ascii="仿宋_GB2312" w:hAnsi="仿宋_GB2312" w:eastAsia="仿宋_GB2312" w:cs="仿宋_GB2312"/>
          <w:color w:val="000000" w:themeColor="text1"/>
          <w:sz w:val="24"/>
          <w:szCs w:val="24"/>
          <w:highlight w:val="none"/>
          <w14:textFill>
            <w14:solidFill>
              <w14:schemeClr w14:val="tx1"/>
            </w14:solidFill>
          </w14:textFill>
        </w:rPr>
        <w:t>绿色施工安全防护措施</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费的内容、范围和金额</w:t>
      </w:r>
    </w:p>
    <w:p w14:paraId="260090FB">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（1）内容和范围</w:t>
      </w:r>
    </w:p>
    <w:p w14:paraId="1C96D3F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合同双方当事人应在专用条款中约定</w:t>
      </w:r>
      <w:r>
        <w:rPr>
          <w:rFonts w:hint="eastAsia" w:ascii="仿宋_GB2312" w:hAnsi="仿宋_GB2312" w:eastAsia="仿宋_GB2312" w:cs="仿宋_GB2312"/>
          <w:color w:val="000000" w:themeColor="text1"/>
          <w:sz w:val="24"/>
          <w:szCs w:val="24"/>
          <w:highlight w:val="none"/>
          <w14:textFill>
            <w14:solidFill>
              <w14:schemeClr w14:val="tx1"/>
            </w14:solidFill>
          </w14:textFill>
        </w:rPr>
        <w:t>绿色施工安全防护措施费</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的内容、范围和金额，并按照第45条规定实施</w:t>
      </w:r>
      <w:r>
        <w:rPr>
          <w:rFonts w:hint="eastAsia" w:ascii="仿宋_GB2312" w:hAnsi="仿宋_GB2312" w:eastAsia="仿宋_GB2312" w:cs="仿宋_GB2312"/>
          <w:color w:val="000000" w:themeColor="text1"/>
          <w:sz w:val="24"/>
          <w:szCs w:val="24"/>
          <w:highlight w:val="none"/>
          <w14:textFill>
            <w14:solidFill>
              <w14:schemeClr w14:val="tx1"/>
            </w14:solidFill>
          </w14:textFill>
        </w:rPr>
        <w:t>绿色施工安全防护</w:t>
      </w:r>
      <w:r>
        <w:rPr>
          <w:rFonts w:hint="eastAsia" w:ascii="仿宋_GB2312" w:hAnsi="仿宋_GB2312" w:eastAsia="仿宋_GB2312" w:cs="仿宋_GB2312"/>
          <w:strike w:val="0"/>
          <w:color w:val="000000" w:themeColor="text1"/>
          <w:sz w:val="24"/>
          <w:szCs w:val="24"/>
          <w:highlight w:val="none"/>
          <w:lang w:val="en-US" w:eastAsia="zh-CN"/>
          <w14:textFill>
            <w14:solidFill>
              <w14:schemeClr w14:val="tx1"/>
            </w14:solidFill>
          </w14:textFill>
        </w:rPr>
        <w:t>措施</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。除另有约定外，</w:t>
      </w:r>
      <w:r>
        <w:rPr>
          <w:rFonts w:hint="eastAsia" w:ascii="仿宋_GB2312" w:hAnsi="仿宋_GB2312" w:eastAsia="仿宋_GB2312" w:cs="仿宋_GB2312"/>
          <w:color w:val="000000" w:themeColor="text1"/>
          <w:sz w:val="24"/>
          <w:szCs w:val="24"/>
          <w:highlight w:val="none"/>
          <w14:textFill>
            <w14:solidFill>
              <w14:schemeClr w14:val="tx1"/>
            </w14:solidFill>
          </w14:textFill>
        </w:rPr>
        <w:t>绿色施工安全防护措施费</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的内容和范围，应以现行广东省统一工程计价依据、省市造价管理部门发布管理文件的规定为准</w:t>
      </w:r>
      <w:r>
        <w:rPr>
          <w:rFonts w:hint="eastAsia" w:ascii="宋体" w:hAnsi="宋体" w:cs="宋体"/>
          <w:color w:val="000000" w:themeColor="text1"/>
          <w:kern w:val="0"/>
          <w:sz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按照</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合同协议书约定进行计价</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p>
    <w:p w14:paraId="35573EC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绿色施工安全防护措施</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费的总金额为</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3EE10C1F">
      <w:pPr>
        <w:spacing w:line="420" w:lineRule="exact"/>
        <w:ind w:firstLine="0" w:firstLineChars="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80.2 支付申请的提交与核实</w:t>
      </w:r>
    </w:p>
    <w:p w14:paraId="14565AE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承包人应在接到监理工程师按照第34.2款规定发出开工令后的7天内向造价工程师提交</w:t>
      </w:r>
      <w:r>
        <w:rPr>
          <w:rFonts w:hint="eastAsia" w:ascii="仿宋_GB2312" w:hAnsi="仿宋_GB2312" w:eastAsia="仿宋_GB2312" w:cs="仿宋_GB2312"/>
          <w:color w:val="000000" w:themeColor="text1"/>
          <w:sz w:val="24"/>
          <w:szCs w:val="24"/>
          <w:highlight w:val="none"/>
          <w14:textFill>
            <w14:solidFill>
              <w14:schemeClr w14:val="tx1"/>
            </w14:solidFill>
          </w14:textFill>
        </w:rPr>
        <w:t>绿色施工安全防护措施费</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支付申请，并抄送发包人。造价工程师应对支付申请进行核实，并在收到支付申请后的7天内报发包人确认后向发包人发出支付证书，同时抄送承包人。</w:t>
      </w:r>
    </w:p>
    <w:p w14:paraId="266A404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80.3 费用支付</w:t>
      </w:r>
    </w:p>
    <w:p w14:paraId="7CE1C97A">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合同双方当事人应按照建设行政主管部门的规定，在专用条款中约定</w:t>
      </w:r>
      <w:r>
        <w:rPr>
          <w:rFonts w:hint="eastAsia" w:ascii="仿宋_GB2312" w:hAnsi="仿宋_GB2312" w:eastAsia="仿宋_GB2312" w:cs="仿宋_GB2312"/>
          <w:color w:val="000000" w:themeColor="text1"/>
          <w:sz w:val="24"/>
          <w:szCs w:val="24"/>
          <w:highlight w:val="none"/>
          <w14:textFill>
            <w14:solidFill>
              <w14:schemeClr w14:val="tx1"/>
            </w14:solidFill>
          </w14:textFill>
        </w:rPr>
        <w:t>绿色施工安全防护措施费</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的支付办法和抵扣方式。除专用条款另有约定外，发包人应在造价工程师签发支付证书后的7天内向承包人支付</w:t>
      </w:r>
      <w:r>
        <w:rPr>
          <w:rFonts w:hint="eastAsia" w:ascii="仿宋_GB2312" w:hAnsi="仿宋_GB2312" w:eastAsia="仿宋_GB2312" w:cs="仿宋_GB2312"/>
          <w:color w:val="000000" w:themeColor="text1"/>
          <w:sz w:val="24"/>
          <w:szCs w:val="24"/>
          <w:highlight w:val="none"/>
          <w14:textFill>
            <w14:solidFill>
              <w14:schemeClr w14:val="tx1"/>
            </w14:solidFill>
          </w14:textFill>
        </w:rPr>
        <w:t>绿色施工安全防护措施费</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，并保证在工程开工后的28天内支付</w:t>
      </w:r>
      <w:r>
        <w:rPr>
          <w:rFonts w:hint="eastAsia" w:ascii="仿宋_GB2312" w:hAnsi="仿宋_GB2312" w:eastAsia="仿宋_GB2312" w:cs="仿宋_GB2312"/>
          <w:color w:val="000000" w:themeColor="text1"/>
          <w:sz w:val="24"/>
          <w:szCs w:val="24"/>
          <w:highlight w:val="none"/>
          <w14:textFill>
            <w14:solidFill>
              <w14:schemeClr w14:val="tx1"/>
            </w14:solidFill>
          </w14:textFill>
        </w:rPr>
        <w:t>绿色施工安全防护措施费</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金额的50%，同时通知造价工程师。其余部分与进度款同期支付。</w:t>
      </w:r>
    </w:p>
    <w:p w14:paraId="2904F8C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绿色施工安全防护措施</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费的支付办法和抵扣方式：</w:t>
      </w:r>
    </w:p>
    <w:p w14:paraId="19590C1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w:t>
      </w:r>
    </w:p>
    <w:p w14:paraId="38C1A73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p>
    <w:p w14:paraId="6EABD341">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（1）合同生效后7日内，承包人提供本工程的绿色施工安全防护措施费实施方案，经监理工程师审核并报发包人批准后预付绿色施工安全防护措施费的</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50</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4B5B8318">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绿色施工安全防护措施费的支付和抵扣：承包人在报送已完工程款额报告和支付申请的同时，应报送上月的“安全文明施工统计表”、“绿色施工安全防护措施费支付申请书”、“绿色施工安全防护措施费使用计划”，按照“专款专用、按实计量、独立拨付、独立核算”的原则，由承包人按实际开支的费用申报，监理工程师和造价工程师进行审查核实后，由发包人按照计量支付的有关程序按实际发生金额支付，先从前款预付金额中进行抵扣，扣完为止。扣完后，应支付的绿色施工安全防护措施费与进度款同期支付。除非根据有关条款进行了调整，否则总的支付金额不超过投标时的绿色施工安全防护措施费总额。</w:t>
      </w:r>
    </w:p>
    <w:p w14:paraId="50B6DA54">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根据附件《工程安全生产、质量文明施工协议书》的要求不定期监督或检查承包人的绿色施工安全防护措施费的投入情况，对承包人的绿色施工安全防护措施费的使用台账及凭证进行检查，如发现承包人的绿色施工安全防护措施费未按规定投入，发包人有权扣回未使用费用。</w:t>
      </w:r>
    </w:p>
    <w:p w14:paraId="33B6086F">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绿色施工安全防护措施费按照“专款专用、按实计量、独立拨付、独立核算”的原则进行管理，至绿色施工安全防护措施费已经按实全部拨付，还需要进行绿色施工安全防护措施费投入的，则需增加的绿色施工安全防护措施费视为由承包人综合考虑在投标报价的下浮率中，不再单独计取，承包人仍需提交绿色施工安全防护措施费投入计划，并按批准的计划做好绿色施工安全防护措施，发包人不另行计量支付。</w:t>
      </w:r>
    </w:p>
    <w:p w14:paraId="5CFC53E5">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（4）按照65.2确定的暂估价，经发包人审批后：</w:t>
      </w:r>
    </w:p>
    <w:p w14:paraId="467B0E8C">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（4.1）绿色施工安全防护措施费不受80.3.（2）和80.3.（3）的约束；</w:t>
      </w:r>
    </w:p>
    <w:p w14:paraId="2ACBA037">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（4.2）结算时，绿色施工安全防护措施费不得超过经审批的暂估价中的绿色施工安全防护措施费。</w:t>
      </w:r>
    </w:p>
    <w:p w14:paraId="075D325F">
      <w:pPr>
        <w:numPr>
          <w:ilvl w:val="0"/>
          <w:numId w:val="0"/>
        </w:numPr>
        <w:spacing w:line="420" w:lineRule="exact"/>
        <w:ind w:firstLine="480" w:firstLineChars="200"/>
        <w:rPr>
          <w:rFonts w:hint="default"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80.4 支付限制</w:t>
      </w:r>
    </w:p>
    <w:p w14:paraId="32824C00">
      <w:pPr>
        <w:spacing w:line="420" w:lineRule="exact"/>
        <w:ind w:firstLine="480" w:firstLineChars="20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发包人没有按时支付</w:t>
      </w:r>
      <w:r>
        <w:rPr>
          <w:rFonts w:hint="eastAsia" w:ascii="仿宋_GB2312" w:hAnsi="仿宋_GB2312" w:eastAsia="仿宋_GB2312" w:cs="仿宋_GB2312"/>
          <w:color w:val="000000" w:themeColor="text1"/>
          <w:sz w:val="24"/>
          <w:szCs w:val="24"/>
          <w:highlight w:val="none"/>
          <w14:textFill>
            <w14:solidFill>
              <w14:schemeClr w14:val="tx1"/>
            </w14:solidFill>
          </w14:textFill>
        </w:rPr>
        <w:t>绿色施工安全防护措施费</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的，承包人应在付款期满后的10天向发包人发出要求支付的通知；发包人收到通知后仍不按要求支付，承包人可在发出通知14天后暂停施工。发包人应承担由此增加的费用和（或）延误的工期，并向承包人支付合理利润。</w:t>
      </w:r>
    </w:p>
    <w:p w14:paraId="7C3E16AE">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80.5 管理要求</w:t>
      </w:r>
    </w:p>
    <w:p w14:paraId="4DACF449">
      <w:pPr>
        <w:spacing w:line="420" w:lineRule="exact"/>
        <w:ind w:firstLine="420" w:firstLineChars="175"/>
        <w:rPr>
          <w:rFonts w:hint="eastAsia"/>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绿色施工安全防护措施费</w:t>
      </w:r>
      <w:r>
        <w:rPr>
          <w:rFonts w:hint="default" w:ascii="仿宋_GB2312" w:hAnsi="仿宋_GB2312" w:eastAsia="仿宋_GB2312" w:cs="仿宋_GB2312"/>
          <w:color w:val="000000" w:themeColor="text1"/>
          <w:sz w:val="24"/>
          <w:szCs w:val="24"/>
          <w:highlight w:val="none"/>
          <w14:textFill>
            <w14:solidFill>
              <w14:schemeClr w14:val="tx1"/>
            </w14:solidFill>
          </w14:textFill>
        </w:rPr>
        <w:t>专款专用，承包人应在财务账目中单独列项备查，不得挪作他用，否则造价工程师有权责令其限期改正；逾期未改正的，可以责令其暂停施工，由此造成的损失和延误的工期由承包人承担</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p>
    <w:p w14:paraId="30DC17D6">
      <w:pPr>
        <w:spacing w:line="420" w:lineRule="exact"/>
        <w:ind w:firstLine="241" w:firstLineChars="100"/>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80.6 文明工地增加费</w:t>
      </w:r>
    </w:p>
    <w:p w14:paraId="777DBFC4">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除专用条款另有约定外，获得省、市级或其它级别文明工地的文明工地增加费，招标工程的根据中标通知书日期，非招标工程的根据合同签订日期的同时期执行的广东省建设工程计价依据文明工地增加费、广州市住房和城乡建设局发布的文明工地增加费、广州市建设工程造价管理站发布的文明工地增加费计算。当合同工程同时获得上述多个奖项的，文明工地增加费只按最高奖项的额度计算。文明工地增加费列入竣工结算文件中，与竣工结算款一并支付。在竣工结算后获得奖项的，发包人应在获得奖项后的28天内支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
    <w:p w14:paraId="2335A3A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文明工地增加费的计算额度：</w:t>
      </w:r>
    </w:p>
    <w:p w14:paraId="74518B0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91"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9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按通用条款规定计算。</w:t>
      </w:r>
    </w:p>
    <w:p w14:paraId="219D4E1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292"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9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按分部分项工程费为基础计算。</w:t>
      </w:r>
    </w:p>
    <w:p w14:paraId="1F17E0BF">
      <w:pPr>
        <w:spacing w:line="420" w:lineRule="exact"/>
        <w:ind w:left="660" w:hanging="720" w:hangingChars="3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Start w:id="293" w:edGrp="everyone"/>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29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另作约定（文明工地增加费率参考广东省建设工程计价依据文明工地增加费、广州市住房和城乡建设局发布的文明工地增加费；合同工程同时获得下列多个奖项的，只按最高奖项的额度计算。）：</w:t>
      </w:r>
    </w:p>
    <w:p w14:paraId="35E3FCF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市级安全文明工地</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增加费</w:t>
      </w:r>
      <w:permStart w:id="29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9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
    <w:p w14:paraId="216719C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省级安全文明工地</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增加费</w:t>
      </w:r>
      <w:permStart w:id="29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9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616EB38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国家级安全文明工地</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增加费</w:t>
      </w:r>
      <w:permStart w:id="29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9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73A5115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其它</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，文明工地增加费</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33205EE9">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41049C9E">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★81. 进度款</w:t>
      </w:r>
    </w:p>
    <w:p w14:paraId="4AA06C77">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81.1 约定支付期限和提交支付申请</w:t>
      </w:r>
    </w:p>
    <w:p w14:paraId="4C71D37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 支付期限、比例</w:t>
      </w:r>
    </w:p>
    <w:p w14:paraId="37575C26">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以月为单位，支付比例及其他支付要求：</w:t>
      </w:r>
    </w:p>
    <w:p w14:paraId="083E50A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1）承包人向监理工程师提交付款申请，进度付款申请单应</w:t>
      </w:r>
      <w:permStart w:id="29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sym w:font="Wingdings 2" w:char="0052"/>
      </w:r>
      <w:permEnd w:id="297"/>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分片区</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列明完成的工程量折算的工程价款，经监理工程师和发包人确认后出具进度付款证书。进度款按照当月（当期）实际完成工程量折算的工程价款的80%（扣除违约金、赔偿金和工程预付款扣回金额）支付。在工程完工时，累计最多支付至合同工程价款的80%（</w:t>
      </w:r>
      <w:permStart w:id="298"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permEnd w:id="29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同时最多支付至该片区对应合同工程价款的80%）。</w:t>
      </w:r>
    </w:p>
    <w:p w14:paraId="13A4200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竣工资料和竣工图在工程完工20天内必须报发包人档案部门进行档案验收，通过发包人组织的档案竣工验收。在完成了工程建设项目竣工联合验收合格后6个月内，先向城建档案馆报送一套符合规范要求的建设工程档案并取得城建档案馆的接收证明，再将竣工资料及竣工图（均为原件，一式两套）移交给发包人档案管理部门并取得发包人档案管理部门的移交凭证。如期完成工程档案移交的，由发包人支付至工程价款的85％（</w:t>
      </w:r>
      <w:permStart w:id="299"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permEnd w:id="29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分片区的，支付至对应片区工程价款的85%）；未能如期移交的，每天扣罚合同价的</w:t>
      </w:r>
      <w:permStart w:id="30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1.5‰</w:t>
      </w:r>
      <w:permEnd w:id="30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2B6B198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本工程</w:t>
      </w:r>
      <w:permStart w:id="301"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permEnd w:id="30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按片区分别结算，</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结算工程量最终以现场监理工程师及发包人代表确认的工程量为准；</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工程结算经财政评审或发包人委托的第三方造价咨询单位审核、竣工资料和竣工图经市城建档案馆验收合格并已办理工程竣工验收备案和竣工档案认可手续后，</w:t>
      </w:r>
      <w:permStart w:id="302" w:edGrp="everyone"/>
      <w:r>
        <w:rPr>
          <w:rFonts w:hint="eastAsia" w:ascii="仿宋" w:hAnsi="仿宋" w:eastAsia="仿宋" w:cs="仿宋"/>
          <w:b w:val="0"/>
          <w:bCs w:val="0"/>
          <w:color w:val="000000" w:themeColor="text1"/>
          <w:sz w:val="26"/>
          <w:szCs w:val="26"/>
          <w:highlight w:val="none"/>
          <w:lang w:val="en-US" w:eastAsia="zh-CN"/>
          <w14:textFill>
            <w14:solidFill>
              <w14:schemeClr w14:val="tx1"/>
            </w14:solidFill>
          </w14:textFill>
        </w:rPr>
        <w:sym w:font="Wingdings 2" w:char="0053"/>
      </w:r>
      <w:permEnd w:id="30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发包人支付结算款/</w:t>
      </w:r>
      <w:permStart w:id="303"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permEnd w:id="30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发包人按已完结算的片区支付结算款，结算款付至结算价的97％(已包含因乙方未按规定履行合同义务而产生的各种违约金、扣罚金以及应由乙方交纳的各种费用等)。</w:t>
      </w:r>
    </w:p>
    <w:p w14:paraId="4171C3B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4）工程竣工验收后30天内承包人必须提交完整的结算资料，由承包人原因造成未能如期提交的，每天扣罚合同价的</w:t>
      </w:r>
      <w:permStart w:id="30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0.1‰</w:t>
      </w:r>
      <w:permEnd w:id="30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。在本合同约定的缺陷责任期包括按本合同约定延长的期限终止后14天内，由监理人向承包人出具经发包人签认的缺陷责任期终止证书，并退还剩余的质量保证金（无息）。</w:t>
      </w:r>
    </w:p>
    <w:p w14:paraId="3FF67D5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5）暂估价，根据第65条，经发包人审定金额后，按第81.1款执行。</w:t>
      </w:r>
    </w:p>
    <w:p w14:paraId="71EB18C3">
      <w:pPr>
        <w:spacing w:line="420" w:lineRule="exact"/>
        <w:ind w:firstLine="480" w:firstLineChars="200"/>
        <w:jc w:val="both"/>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6）发包人供应材料运输费，根据第48.8（1）项，经发包人审定金额后，按第81.1款执行。</w:t>
      </w:r>
    </w:p>
    <w:p w14:paraId="0871AB7F">
      <w:pPr>
        <w:spacing w:line="420" w:lineRule="exact"/>
        <w:ind w:firstLine="480" w:firstLineChars="200"/>
        <w:jc w:val="both"/>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以季度为单位，支付比例：</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7B607C2C">
      <w:pPr>
        <w:spacing w:line="420" w:lineRule="exact"/>
        <w:ind w:firstLine="480" w:firstLineChars="200"/>
        <w:jc w:val="both"/>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以形象进度为准，具体为：</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2E0256F6">
      <w:pPr>
        <w:spacing w:line="420" w:lineRule="exact"/>
        <w:ind w:firstLine="480" w:firstLineChars="200"/>
        <w:jc w:val="both"/>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permStart w:id="305"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30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实施施工过程结算方式，具体为：</w:t>
      </w:r>
      <w:permStart w:id="30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 </w:t>
      </w:r>
      <w:permEnd w:id="306"/>
    </w:p>
    <w:p w14:paraId="1E864DDA">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其它方式：</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        </w:t>
      </w:r>
    </w:p>
    <w:p w14:paraId="38544E3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支付申请内容：（11）本期间应支付或扣留（回）的其他款项：</w:t>
      </w:r>
    </w:p>
    <w:p w14:paraId="44501003">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（13）根据发包人要求、发包人委托的第三方社审机构要求提供的其他清单内容。</w:t>
      </w:r>
    </w:p>
    <w:p w14:paraId="1D932E1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（2）政府资金投资工程的支付期、支付办法</w:t>
      </w:r>
    </w:p>
    <w:p w14:paraId="10648A7A">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w:t>
      </w:r>
    </w:p>
    <w:p w14:paraId="2C26C69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307"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30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实施施工过程结算方式：</w:t>
      </w:r>
      <w:permStart w:id="30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08"/>
    </w:p>
    <w:p w14:paraId="01CCD948">
      <w:pPr>
        <w:spacing w:line="420" w:lineRule="exact"/>
        <w:ind w:left="220" w:hanging="240" w:hangingChars="1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其它方式：</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项目资金涉及政府财政资金的，按照国库集中支付等国家相关规定办理，承包人申请合同进度款时应考虑市财政局资金拨付的周期较长，经承包人申请、发包人配合办理本合同涉财政资金进度款拨付期间，承包人不得以合同进度款未支付为由，拒绝履行本合同所有义务和职责或向发包人主张任何权利。</w:t>
      </w:r>
    </w:p>
    <w:p w14:paraId="311BEAC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81.2 期中支付的最低限额为</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0AB9A98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（1）发包人逾期付款违约金</w:t>
      </w:r>
    </w:p>
    <w:p w14:paraId="7E6B949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未按本合同约定的期限支付承包人依合同约定应当得到的款项，应当从应付之日起向承包人支付逾期付款违约金。承包人应当按照第74.2款的约定，在最终付款期限到期后28天内，向监理工程师递交索赔意向通知书，说明有权得到按本款约定的下列标准和方法计算的逾期付款违约金。承包人要求发包人支付逾期付款违约金不影响承包人要求发包人承担本合同约定的其他违约责任的权利。</w:t>
      </w:r>
    </w:p>
    <w:p w14:paraId="3700476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逾期付款违约金的计算标准为：逾期付款金额的日万分之三（单利计算）。</w:t>
      </w:r>
    </w:p>
    <w:p w14:paraId="5AF2842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逾期付款违约金的计算方法为：逾期付款违约金从当期应付款的期限截止日之后的一天起开始计算。 </w:t>
      </w:r>
    </w:p>
    <w:p w14:paraId="7A4B8B7F">
      <w:pPr>
        <w:spacing w:line="420" w:lineRule="exact"/>
        <w:ind w:left="437" w:leftChars="208"/>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（2）耗水费支付方式</w:t>
      </w:r>
    </w:p>
    <w:p w14:paraId="5649AF2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新装管道试压、冲洗及消毒前，承包人凭由承包人发包人下属的供水分公司签发的《水费收缴通知单》及相关计量依据，向发包人申请耗水费的拨付。承包人应在收到耗水费后 5 日内向发包人下属的供水分公司足额缴纳耗水费。</w:t>
      </w:r>
    </w:p>
    <w:p w14:paraId="52A09C2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81.3 进度款支付</w:t>
      </w:r>
    </w:p>
    <w:p w14:paraId="4843A55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发包人应在监理工程师和发包人确认并完成付款审批后的14个工作日内，按照进度付款证书列明的金额向承包人支付进度款。</w:t>
      </w:r>
    </w:p>
    <w:p w14:paraId="2C31BD3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81.7工程进度款的暂停支付</w:t>
      </w:r>
    </w:p>
    <w:p w14:paraId="23448D4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双方约定，任何时候发包人有权对承包人提供的资料进行复查，包括但不限于承包人提供的工程量报告，当发包人对施工现场的工作进度进行拍照取证后，与承包人提供的资料不符时，即认定承包人存在弄虚作假的行为，发包人有权对承包人的行为作严重违约处理，所有工程进度款暂停支付。</w:t>
      </w:r>
    </w:p>
    <w:p w14:paraId="4D443D7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（2）承包人未能提交本合同履约保证金或以银行保函形式提交的履约保函未在有效期内的，发包人有权暂停所有工程进度款支付。</w:t>
      </w:r>
    </w:p>
    <w:p w14:paraId="36A7A9C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81.8 临时付款证书</w:t>
      </w:r>
    </w:p>
    <w:p w14:paraId="2D87F1E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在合同约定的期限内，承包人和监理工程师无法对当期已完工程量和按合同约定应当支付的其他款项达成一致的，监理工程师应当在收到承包人报送的进度付款申请单等文件后14天内，就承包人没有异议的金额准备一个临时付款证书，报送发包人审查。临时付款证书中应当说明承包人有异议部分的金额及其原因，经发包人签认后，由监理工程师向承包人出具临时付款证书。发包人应当在监理工程师收到进度付款申请单后28天内，将临时付款证书中确定的应付金额支付给承包人。发包人和监理工程师均不得以任何理由延期支付工程进度付款。对临时付款证书中列明的承包人有异议部分的金额，承包人应当按照监理工程师要求，提交进一步的支持性文件和（或）与监理工程师做进一步共同复核工作，经监理工程师进一步审核并认可的应付金额，应当按照第81.6款的约定纳入到下一期进度付款证书中。经过进一步努力，承包人仍有异议的，按照第86条的约定办理。</w:t>
      </w:r>
    </w:p>
    <w:p w14:paraId="036BC85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有异议款项中经监理工程师进一步审核后认可的或者经过合同条款第86条约定的争议解决方式确定的应付金额，其应付之日为引发异议的进度付款证书的应付之日，承包人有权得到按照第81.2（1）项约定计算的逾期付款违约金。</w:t>
      </w:r>
    </w:p>
    <w:p w14:paraId="649D848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81.9工人工资的支付</w:t>
      </w:r>
    </w:p>
    <w:p w14:paraId="5923361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承包人应根据《住房和城乡建设部人力资源社会保障部关于修改&lt;建筑工人实名制管理办法（试行）&gt;的通知》（建市〔2022〕59号）、《住房城乡建设部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等有关要求，做好农民工工资支付工作及落实实名制和工人工资支付分账制度。</w:t>
      </w:r>
    </w:p>
    <w:p w14:paraId="40142F4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承包人应在办理施工许可手续前，在建设行业主管部门公布的、项目所在地的商业银行办理工人工资支付专用账户，并将工人工资支付专用账户相关信息报监理工程师和发包人。同时，承包人应在用工之日起15日内为每个工人办理工人工资个人账户。</w:t>
      </w:r>
    </w:p>
    <w:p w14:paraId="44E1AA6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承包人应当建立工人实名、考勤、工资结算、支付等制度和管理台账，并存档备查，并将相关信息按月报送监理工程师，承包人的工人工资支付分账管理落实情况资料作为当期工程进度款申请拨付依据之一。</w:t>
      </w:r>
    </w:p>
    <w:p w14:paraId="1F883E6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发包人按本合同约定的工人工资款比例，将每期工程进度款中的工人工资款拨付到承包人的工人工资支付专用账户。承包人应将每期工人工资的银行支付凭证资料作为下期工程进度款请款资料提交给发包人。</w:t>
      </w:r>
    </w:p>
    <w:p w14:paraId="05AF1A9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1）工程进度款中的工人工资款比例：参照施工招标的《中标通知书》中单列的人工费金额除以中标金额对应的工程价款计算。</w:t>
      </w:r>
    </w:p>
    <w:p w14:paraId="222C19C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承包人对实名制管理和工人工资支付负总责，分包单位支付工资情况进行监督。承包人依法将部分工程分包的，应当按第7条约定执行，与分包单位签订分包合同，并明确工人工资比例。工人工资支付专用账户资金少于应支付工人工资的，承包人应当及时补足。</w:t>
      </w:r>
    </w:p>
    <w:p w14:paraId="1C1073FD">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如存在客观原因，承包人未能在广州市建设领域管理应用信息平台办理实名制登记情况下，承包人仍须按本合同约定自行落实工人工资实名制，设置专门的工人工资支付账户。发包人将不定期对工人工资支付的银行划转凭证及台账资料进行抽查，如承包人未自行落实实名制和工人工资支付分账制度，按约定追究其违约责任。</w:t>
      </w:r>
    </w:p>
    <w:p w14:paraId="61DC0B9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（5）承包人若没有实施上述措施，在工程结算时将对该项包干管理费用予以扣减。</w:t>
      </w:r>
    </w:p>
    <w:p w14:paraId="1781363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81.10暂估价，根据第65条，经发包人审定金额后，按第81.1款执行。</w:t>
      </w:r>
    </w:p>
    <w:p w14:paraId="5BF1465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81.</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11</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发包人供应材料运输费，根据第48.8（1）项，经发包人审定金额后，按第81.1款执行。</w:t>
      </w:r>
    </w:p>
    <w:p w14:paraId="52B19609">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044F4D34">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82. 竣工结算</w:t>
      </w:r>
    </w:p>
    <w:p w14:paraId="520149F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82.1 （1）竣工结算的程序和时限：</w:t>
      </w:r>
    </w:p>
    <w:p w14:paraId="7FA70C35">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Start w:id="309"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permEnd w:id="30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按通用条款的规定办理。</w:t>
      </w:r>
    </w:p>
    <w:p w14:paraId="1AF69CA7">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ermStart w:id="310"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31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另作约定：</w:t>
      </w:r>
      <w:permStart w:id="31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1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3B3FACA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（2）施工过程结算约定：</w:t>
      </w:r>
    </w:p>
    <w:p w14:paraId="415E112C">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1）施工过程结算的程序</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ermStart w:id="31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12"/>
    </w:p>
    <w:p w14:paraId="79D29C5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施工过程结算节点：</w:t>
      </w:r>
    </w:p>
    <w:p w14:paraId="4B4A540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ermStart w:id="313"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313"/>
      <w:r>
        <w:rPr>
          <w:rFonts w:hint="eastAsia" w:ascii="仿宋_GB2312" w:hAnsi="仿宋_GB2312" w:eastAsia="仿宋_GB2312" w:cs="仿宋_GB2312"/>
          <w:color w:val="000000" w:themeColor="text1"/>
          <w:sz w:val="24"/>
          <w:szCs w:val="24"/>
          <w:highlight w:val="none"/>
          <w14:textFill>
            <w14:solidFill>
              <w14:schemeClr w14:val="tx1"/>
            </w14:solidFill>
          </w14:textFill>
        </w:rPr>
        <w:t>工程分标段施工的，以标段完成后作为施工过程结算节点：</w:t>
      </w:r>
      <w:permStart w:id="31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14"/>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78AA9F54">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ermStart w:id="315"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315"/>
      <w:r>
        <w:rPr>
          <w:rFonts w:hint="eastAsia" w:ascii="仿宋_GB2312" w:hAnsi="仿宋_GB2312" w:eastAsia="仿宋_GB2312" w:cs="仿宋_GB2312"/>
          <w:color w:val="000000" w:themeColor="text1"/>
          <w:sz w:val="24"/>
          <w:szCs w:val="24"/>
          <w:highlight w:val="none"/>
          <w14:textFill>
            <w14:solidFill>
              <w14:schemeClr w14:val="tx1"/>
            </w14:solidFill>
          </w14:textFill>
        </w:rPr>
        <w:t>以完成单项工程、单位工程、分部工程作为施工过程结算节点：</w:t>
      </w:r>
      <w:permStart w:id="31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16"/>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2E121C23">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ermStart w:id="317"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317"/>
      <w:r>
        <w:rPr>
          <w:rFonts w:hint="eastAsia" w:ascii="仿宋_GB2312" w:hAnsi="仿宋_GB2312" w:eastAsia="仿宋_GB2312" w:cs="仿宋_GB2312"/>
          <w:color w:val="000000" w:themeColor="text1"/>
          <w:sz w:val="24"/>
          <w:szCs w:val="24"/>
          <w:highlight w:val="none"/>
          <w14:textFill>
            <w14:solidFill>
              <w14:schemeClr w14:val="tx1"/>
            </w14:solidFill>
          </w14:textFill>
        </w:rPr>
        <w:t>规模较大的分部工程或分部工程计划完成时间一年以上的，以完成分部工程的进度节点或时间（季、年等）节点作为施工过程结算节点：</w:t>
      </w:r>
      <w:permStart w:id="31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18"/>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574F990C">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ermStart w:id="319"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319"/>
      <w:r>
        <w:rPr>
          <w:rFonts w:hint="eastAsia" w:ascii="仿宋_GB2312" w:hAnsi="仿宋_GB2312" w:eastAsia="仿宋_GB2312" w:cs="仿宋_GB2312"/>
          <w:color w:val="000000" w:themeColor="text1"/>
          <w:sz w:val="24"/>
          <w:szCs w:val="24"/>
          <w:highlight w:val="none"/>
          <w14:textFill>
            <w14:solidFill>
              <w14:schemeClr w14:val="tx1"/>
            </w14:solidFill>
          </w14:textFill>
        </w:rPr>
        <w:t>以完成工程功能内容或专业工程作为施工过程结算节点：</w:t>
      </w:r>
      <w:permStart w:id="32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20"/>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70BC358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ermStart w:id="321"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32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其它：</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4627DE5E">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施工过程结算价款的编制与核对：</w:t>
      </w:r>
      <w:permStart w:id="32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22"/>
    </w:p>
    <w:p w14:paraId="0D453082">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4）采用施工过程结算方法时竣工结算价款的编制与核对：</w:t>
      </w:r>
      <w:permStart w:id="32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23"/>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0E31D955">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w:t>
      </w:r>
      <w:r>
        <w:rPr>
          <w:rFonts w:hint="eastAsia" w:ascii="仿宋_GB2312" w:hAnsi="仿宋_GB2312" w:eastAsia="仿宋_GB2312" w:cs="仿宋_GB2312"/>
          <w:color w:val="000000" w:themeColor="text1"/>
          <w:sz w:val="24"/>
          <w:szCs w:val="24"/>
          <w:highlight w:val="none"/>
          <w14:textFill>
            <w14:solidFill>
              <w14:schemeClr w14:val="tx1"/>
            </w14:solidFill>
          </w14:textFill>
        </w:rPr>
        <w:t>施工过程结算支付时限</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ermStart w:id="32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24"/>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241F7542">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w:t>
      </w:r>
      <w:r>
        <w:rPr>
          <w:rFonts w:hint="eastAsia" w:ascii="仿宋_GB2312" w:hAnsi="仿宋_GB2312" w:eastAsia="仿宋_GB2312" w:cs="仿宋_GB2312"/>
          <w:color w:val="000000" w:themeColor="text1"/>
          <w:sz w:val="24"/>
          <w:szCs w:val="24"/>
          <w:highlight w:val="none"/>
          <w14:textFill>
            <w14:solidFill>
              <w14:schemeClr w14:val="tx1"/>
            </w14:solidFill>
          </w14:textFill>
        </w:rPr>
        <w:t>分段结算的其他约定</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3D1A1964">
      <w:pPr>
        <w:spacing w:line="420" w:lineRule="exact"/>
        <w:ind w:left="94" w:leftChars="45"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（3）对属于《广州市财政投资评审管理办法》评审范围的财政性资金投资项目，财政投资评审结果作为该项目价款结算的依据。</w:t>
      </w:r>
    </w:p>
    <w:p w14:paraId="7D56438F">
      <w:pPr>
        <w:spacing w:line="420" w:lineRule="exact"/>
        <w:ind w:left="101" w:leftChars="48"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承包人应在提交竣工验收报告的同时向发包人提供完整的工程竣工结算资料，双方按照协议书约定的合同价款及专用条款约定的合同价款调整内容，进行工程竣工结算。工程量结算最终以现场监理工程师及业主代表确认的工程量为准，工程结算造价以财政部门或业主委托的第三方造价机构审核后的工程结算价作为本合同项目的最终结算造价。</w:t>
      </w:r>
    </w:p>
    <w:p w14:paraId="62EF3B1F">
      <w:pPr>
        <w:spacing w:line="420" w:lineRule="exact"/>
        <w:ind w:left="94" w:leftChars="45"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工程师收到承包人递交的竣工结算报告及符合发包人要求的结算资料后进行核实，提出审核意见后送交发包人。发包人进行结算审核，承包人应配合发包人的结算工作，承包人未在合同约定时间内提供完整的工程竣工结算资料，经发包人催促后14天内仍未提供或没有明确答复的或提出不正当理由延期的，发包人有权根据已有资料办理结算，责任由承包人自负。</w:t>
      </w:r>
    </w:p>
    <w:p w14:paraId="5F6A3E5A">
      <w:pPr>
        <w:spacing w:line="420" w:lineRule="exact"/>
        <w:ind w:left="101" w:leftChars="48" w:firstLine="480" w:firstLineChars="200"/>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关于承包人承担咨询费的约定：</w:t>
      </w:r>
    </w:p>
    <w:p w14:paraId="497D2DF8">
      <w:pPr>
        <w:adjustRightInd/>
        <w:snapToGrid/>
        <w:spacing w:line="420" w:lineRule="exact"/>
        <w:ind w:left="101" w:leftChars="48" w:firstLine="480" w:firstLineChars="200"/>
        <w:jc w:val="left"/>
        <w:rPr>
          <w:rFonts w:hint="eastAsia" w:ascii="仿宋_GB2312" w:hAnsi="仿宋_GB2312" w:eastAsia="仿宋_GB2312" w:cs="仿宋_GB2312"/>
          <w:strike w:val="0"/>
          <w:color w:val="000000" w:themeColor="text1"/>
          <w:kern w:val="0"/>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（6.1） </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若承包方结算</w:t>
      </w:r>
      <w:r>
        <w:rPr>
          <w:rFonts w:hint="eastAsia" w:ascii="仿宋_GB2312" w:hAnsi="仿宋_GB2312" w:eastAsia="仿宋_GB2312" w:cs="仿宋_GB2312"/>
          <w:strike w:val="0"/>
          <w:color w:val="000000" w:themeColor="text1"/>
          <w:kern w:val="0"/>
          <w:sz w:val="24"/>
          <w:szCs w:val="24"/>
          <w:highlight w:val="none"/>
          <w:lang w:val="en-US" w:eastAsia="zh-CN"/>
          <w14:textFill>
            <w14:solidFill>
              <w14:schemeClr w14:val="tx1"/>
            </w14:solidFill>
          </w14:textFill>
        </w:rPr>
        <w:t>最终审定价格核减金额</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超</w:t>
      </w:r>
      <w:r>
        <w:rPr>
          <w:rFonts w:hint="eastAsia" w:ascii="仿宋_GB2312" w:hAnsi="仿宋_GB2312" w:eastAsia="仿宋_GB2312" w:cs="仿宋_GB2312"/>
          <w:strike w:val="0"/>
          <w:color w:val="000000" w:themeColor="text1"/>
          <w:kern w:val="0"/>
          <w:sz w:val="24"/>
          <w:szCs w:val="24"/>
          <w:highlight w:val="none"/>
          <w:lang w:val="en-US" w:eastAsia="zh-CN"/>
          <w14:textFill>
            <w14:solidFill>
              <w14:schemeClr w14:val="tx1"/>
            </w14:solidFill>
          </w14:textFill>
        </w:rPr>
        <w:t>出其送审价格</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10%（含10%</w:t>
      </w:r>
      <w:r>
        <w:rPr>
          <w:rFonts w:hint="eastAsia" w:ascii="仿宋_GB2312" w:hAnsi="仿宋_GB2312" w:eastAsia="仿宋_GB2312" w:cs="仿宋_GB2312"/>
          <w:strike w:val="0"/>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超出10%的部分结算核减额所产生的结算评审服务费用须由承包方承担。</w:t>
      </w:r>
    </w:p>
    <w:p w14:paraId="0781E41B">
      <w:pPr>
        <w:adjustRightInd/>
        <w:snapToGrid/>
        <w:spacing w:line="420" w:lineRule="exact"/>
        <w:ind w:left="101" w:leftChars="48"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（6.2）承包人</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如按分区或单元工程送审结算的，则各单元工程应同步送审</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甩项</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除外），如要求按单元工程分别送审的，</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送审价按各区或单元工程送审总额核算）的，经发包方审核后，若其结算核减率（即核减金额比送审金额）超过10%，超出10%的部分结算核减额所产生的结算评审服务费用须由承包方承担。经业主同意分批出具结算意见的，按总额核算后在最后一批结算款内扣减。</w:t>
      </w:r>
    </w:p>
    <w:p w14:paraId="66AC44ED">
      <w:pPr>
        <w:spacing w:line="420" w:lineRule="exact"/>
        <w:ind w:left="101" w:leftChars="48"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发包人或者发包人委托的第三方咨询机构通过现场抽检复查的工作量与竣工图差异量</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所产生的结算评审服务费用</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，由承包人承担。</w:t>
      </w:r>
    </w:p>
    <w:p w14:paraId="45C8A971">
      <w:pPr>
        <w:spacing w:line="420" w:lineRule="exact"/>
        <w:ind w:left="101" w:leftChars="48"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（7）若项目列入政府审核或主管部门的社会审核计划，承包人有义务配合相关抽审工作；审核机构认为需调整终审金额的，应当无条件按审核机构出具的审核意见执行，办理多退少补。</w:t>
      </w:r>
    </w:p>
    <w:p w14:paraId="5BAE7B0B">
      <w:pPr>
        <w:spacing w:line="420" w:lineRule="exact"/>
        <w:ind w:left="94" w:leftChars="45" w:firstLine="480" w:firstLineChars="200"/>
        <w:rPr>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（8）迁改项目，承包人应积极配合发包人，根据相关补偿合同/协议与财政评审部门进行结算对数，本合同最终结算金额不得高于财政评审部门确定的补偿结算金额。</w:t>
      </w:r>
    </w:p>
    <w:p w14:paraId="666D081E">
      <w:pPr>
        <w:adjustRightInd/>
        <w:snapToGrid/>
        <w:spacing w:line="420" w:lineRule="exact"/>
        <w:ind w:left="94" w:leftChars="45" w:firstLine="480" w:firstLineChars="200"/>
        <w:jc w:val="left"/>
        <w:rPr>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人应</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依据工程合同条款、竣工图纸、设计变更、工程量签证等，对送审工程结算金额</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确认无误后再</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进行报送。</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承包方</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对送审</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工程</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结算</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价</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的完整性、准确性、有效性，唯一性负责，后续不</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能</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就送审结算价作调整。</w:t>
      </w:r>
    </w:p>
    <w:p w14:paraId="014AF0FA">
      <w:pPr>
        <w:adjustRightInd/>
        <w:snapToGrid/>
        <w:spacing w:line="420" w:lineRule="exact"/>
        <w:ind w:left="94" w:leftChars="45"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（10）如属于财政评审部门终审项目，结算以财政评审部门审核金额为准。</w:t>
      </w:r>
    </w:p>
    <w:p w14:paraId="56FF8FEA">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82.2</w:t>
      </w:r>
      <w:r>
        <w:rPr>
          <w:rFonts w:hint="eastAsia" w:ascii="仿宋_GB2312" w:hAnsi="仿宋_GB2312" w:eastAsia="仿宋_GB2312" w:cs="仿宋_GB2312"/>
          <w:color w:val="000000" w:themeColor="text1"/>
          <w:sz w:val="24"/>
          <w:szCs w:val="24"/>
          <w:highlight w:val="none"/>
          <w14:textFill>
            <w14:solidFill>
              <w14:schemeClr w14:val="tx1"/>
            </w14:solidFill>
          </w14:textFill>
        </w:rPr>
        <w:t>（1）竣工结算文件清单：</w:t>
      </w:r>
    </w:p>
    <w:p w14:paraId="5B43C494">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1）工程结算书及电子文件：要求分两部分编制：第一部分是以竣工图为依据编制部分,包括图纸会审记录、设计变更、监理工程师通知或发包人施工指令等；第二部分以现场签证、工程洽商记录以及其它有关费用为依据编制部分。上述两部分不应有重复列项的内容，用电脑编制的结算书要求提供相应的电子版本并注明使用软件。必须使用清单计价，并严格按照清单规范编制。 </w:t>
      </w:r>
    </w:p>
    <w:p w14:paraId="5B2558C6">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2）工程量计算书：工程量计算书应由工程量汇总表和详细的工程量计算式组成，工程量应有详细的计算表达式，施工图、图纸会审记录、设计变更、工程洽商记录、现场签证单、监理工程师通知或发包人施工指令等部分的内容应在工程量计算式中一次计量。</w:t>
      </w:r>
    </w:p>
    <w:p w14:paraId="41C62CBF">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3）钢筋抽料表（如有）：钢筋抽料表应提供详细的抽料表和明细汇总表，详细的抽料表应注明钢筋所在构件名称、施工部位、钢筋编号、图样、计算式等，明细汇总表应区分不同类型、不同构件的汇总数量。</w:t>
      </w:r>
    </w:p>
    <w:p w14:paraId="2349EF95">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4）合同文件：包括发包人与承包人签订的工程承发包合同、经发包人确认的承包人与第三方签订的分包合同、各类补充合同、合同附件等，要求将上述合同文件列出总目录按顺序整理装订成册。</w:t>
      </w:r>
    </w:p>
    <w:p w14:paraId="01BFBB8D">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5）工程竣工图（含电子版和相关部门要求的专用软件版本）：竣工图是工程结算依据的关键部分，必须与现场实际情况完全一致，必须有施工单位竣工图专用章及其相关人员签字。经发包人、设计、监理等单位确认的图纸会审记录、设计变更、监理工程师通知或发包人施工指令等内容均应反映在相应的竣工图上。对未在竣工图上反映的图纸会审记录、设计变更等内容，其费用在结算时发包人有权不予考虑；对未在竣工图纸上反映的事实变更，结算时发包人有权作出调整。</w:t>
      </w:r>
    </w:p>
    <w:p w14:paraId="2800D8C8">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6）工程竣工资料（含电子版及相关部门要求的专用软件版本、单位工程开工申请报告、单位工程工程竣工验收报告）：开工报告、工程质量验收评定证书、材料检验报告、产品质量合格证、经发包人批准的施工组织设计或施工方案、隐蔽工程验收记录、安装工程的调试方案和调试记录等。要求监理工程师和发包人在确认表上盖章确认。</w:t>
      </w:r>
    </w:p>
    <w:p w14:paraId="0744F6D4">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7）图纸会审记录：要求按图纸会审的时间先后整理装订成册，图纸会审记录须有各单位参加会审人员签字及会审单位盖章确认。</w:t>
      </w:r>
    </w:p>
    <w:p w14:paraId="3A68D359">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8）工程设计变更文件：要求分专业，按变更的时间先后整理装订成册。设计变更审批表要求原件，审批手续完备。</w:t>
      </w:r>
    </w:p>
    <w:p w14:paraId="0B27E125">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9）工程洽商记录：要求根据工程洽商记录的时间先后整理装订成册，统一编号，要有监理单位和发包人相关人员的签字和单位盖章确认。</w:t>
      </w:r>
    </w:p>
    <w:p w14:paraId="0A4CD292">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10）监理工程师通知或发包人施工指令：要求根据监理工程师通知或发包人施工指令的时间先后整理装订成册，统一编号。监理工程师通知及发包人施工指令要求为原件。</w:t>
      </w:r>
    </w:p>
    <w:p w14:paraId="35130918">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11）会议纪要：指工程质量、安全、技术、经济等现场协调会会议纪要等。要求根据会议纪要的时间先后整理装订成册，统一编号。会议纪要要求有参与会议的各方代表签字，并有监理人和发包人盖章确认。</w:t>
      </w:r>
    </w:p>
    <w:p w14:paraId="3941CAD3">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12）工程签证文件：要求根据现场签证单的时间先后整理装订成册，现场签证单上应有工程数量的计算过程、具体部位和施工简图，审批手续完备。</w:t>
      </w:r>
    </w:p>
    <w:p w14:paraId="41493CC4">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13）材料设备单价呈批审核单：承包人采购的材料设备要求根据材料设备单价呈批审核单的编号顺序整理装订成册。每项审核单应附有相关的资料或注明相关资料在送审结算资料的具体位置，审批手续完备；发包人供应的材料设备应由承包人提供材料实际耗用量确认表。</w:t>
      </w:r>
    </w:p>
    <w:p w14:paraId="3162C470">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14）综合单价呈批审核单</w:t>
      </w:r>
    </w:p>
    <w:p w14:paraId="62BFBE50">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15）招标文件（含工程量清单）、答疑纪要：包括招标图纸、招标文件所附合同条款和技术规范、投标须知、招标澄清、招标答疑纪要、工程量清单等整套招标文件及其附件（由发包人另行提供）。</w:t>
      </w:r>
    </w:p>
    <w:p w14:paraId="440737C3">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16）投标文件（含经济标软件版）、中标通知书：包括技术标、经济标、投标承诺书、投标补充函等所有投标文件和中标通知书。</w:t>
      </w:r>
    </w:p>
    <w:p w14:paraId="3DDF3F33">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17）发包人供应材料收货验收签收单（如有）</w:t>
      </w:r>
    </w:p>
    <w:p w14:paraId="688DFF95">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18）其他结算资料：在结算审核中需要的其他资料均需提供，例如：打桩、地基处理、回填等隐蔽记录、施工日记、地质勘察报告、非常用的标准图集、应由施工单位承担而由建设单位支付的费用证明等。</w:t>
      </w:r>
    </w:p>
    <w:p w14:paraId="1480880C">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19）工期履行审核表</w:t>
      </w:r>
    </w:p>
    <w:p w14:paraId="13AF81D0">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20）移交资料签收表</w:t>
      </w:r>
    </w:p>
    <w:p w14:paraId="064880D5">
      <w:pPr>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21）增项目审批文件：要求分专业，按新增项目的时间先后整理装订成册。新增项目审批表要求原件，审批手续完备。</w:t>
      </w:r>
    </w:p>
    <w:p w14:paraId="0579DC82">
      <w:pPr>
        <w:spacing w:line="420" w:lineRule="exact"/>
        <w:ind w:firstLine="480" w:firstLineChars="200"/>
        <w:jc w:val="lef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22）其它</w:t>
      </w:r>
    </w:p>
    <w:p w14:paraId="6165C85D">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（2）发包人对送审结算资料的具体要求： 竣工结算资料一式两套，有关竣工结算文件的编制和审核均须经承包人签字及盖章确认。</w:t>
      </w:r>
    </w:p>
    <w:p w14:paraId="15708723">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（3）承包人应在发包人相关结算管理制度规定的响应时间内完成对数，如需补充资料需按发包人相关结算管理制度规定的响应时间内补充相关资料。未按时完成对数或补充资料的，每逾期一天扣罚合同价的</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1.5‰</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，且发包人有权根据已有资料办理结算。</w:t>
      </w:r>
    </w:p>
    <w:p w14:paraId="494B4616">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（4）单方结算</w:t>
      </w:r>
    </w:p>
    <w:p w14:paraId="300EAC4C">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承包人必须按时提交完整的结算资料。</w:t>
      </w:r>
    </w:p>
    <w:p w14:paraId="70549305">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1）竣工后超出合同规定的结算资料提交时间并经发包人书面发函催办仍然不响应提交结算资料的，发包人可执行3）条款。</w:t>
      </w:r>
    </w:p>
    <w:p w14:paraId="4DAD10F4">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结算审核期间，对发包人或第三方审核机构出具的审核意见，通过下述途径仍无法达到一致意见的，发包人可执行3）条款。结算清单内项目（是否结算清单由发包人决定），三个月内无实质性响应和回复，并且经发包人、第三方审核机构、承包人参加的协调会均无法达成一致意见的；非结算清单内项目，六个月内无实质性响应和回复，并且经发包人、第三方审核机构、承包人参加的协调会均无法达成一致意见的；</w:t>
      </w:r>
    </w:p>
    <w:p w14:paraId="6EFDEB77">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发包人根据已有资料、现场实际情况及监理工程师审核确认后，办理单方结算，并将结算成果发函至承包人。承包人不得因单方结算减少自身的保修责任，发包人保留相关因单方结算导致的损失向施工方追讨实际损失的权利。</w:t>
      </w:r>
    </w:p>
    <w:p w14:paraId="1AFDF5AE">
      <w:pPr>
        <w:spacing w:line="420" w:lineRule="exact"/>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59E2E40F">
      <w:pPr>
        <w:spacing w:line="420" w:lineRule="exact"/>
        <w:jc w:val="lef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★83. 结算款</w:t>
      </w:r>
    </w:p>
    <w:p w14:paraId="5A9D04B4">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83.1 提交竣工支付申请</w:t>
      </w:r>
    </w:p>
    <w:p w14:paraId="36FBB4B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 竣工支付申请单</w:t>
      </w:r>
    </w:p>
    <w:p w14:paraId="0680CCB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承包人提交竣工支付申请单的份数：</w:t>
      </w:r>
      <w:permStart w:id="32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一式</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五</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份             </w:t>
      </w:r>
      <w:permEnd w:id="32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00C4822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承包人提交竣工支付申请单的期限：</w:t>
      </w:r>
      <w:permStart w:id="32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工程完成结算后30天内     </w:t>
      </w:r>
      <w:permEnd w:id="32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20E54C6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竣工支付申请单的内容：</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不限于竣工 (完工)结算合同总价、发包人已支付承包人的工程价款、应扣留的质量保证金，应支付的竣工(完工) 结算付款金额等 </w:t>
      </w:r>
      <w:permStart w:id="32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2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3CC1883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未按本项约定的期限和内容提交竣工付款申请单或者未按第83.1（2）项约定提交修正后的竣工支付申请单，经监理工程师催促后14天内仍未提交或者没有明确答复的，监理工程师和发包人有权根据已有资料进行审查，审查确定的竣工结算合同总价和竣工付款金额视同是经承包人认可的工程竣工结算合同总价和竣工付款金额。</w:t>
      </w:r>
    </w:p>
    <w:p w14:paraId="120D73A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发包人在项目竣工验收后，6个月内完成本工程结算工作内办清竣工结算和竣工付款。</w:t>
      </w:r>
    </w:p>
    <w:p w14:paraId="6E1BFC4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（2）监理工程师对竣工支付申请单有异议的，有权要求承包人进行修正和提供补充资料。经监理工程师和承包人协商后，由承包人向监理工程师提交修正后的竣工支付申请单。</w:t>
      </w:r>
    </w:p>
    <w:p w14:paraId="5472093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 竣工支付期限</w:t>
      </w:r>
    </w:p>
    <w:p w14:paraId="0BC768B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按通用条款的规定，在造价工程师签发竣工结算支付证书后的28天内。</w:t>
      </w:r>
    </w:p>
    <w:p w14:paraId="587EC25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另有约定：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6071FD9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 政府资金投资工程的支付期、支付办法</w:t>
      </w:r>
    </w:p>
    <w:p w14:paraId="4445652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w:t>
      </w:r>
    </w:p>
    <w:p w14:paraId="0071646E">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另作约定：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36CF2B6F">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（5）实施</w:t>
      </w:r>
      <w:r>
        <w:rPr>
          <w:rFonts w:hint="eastAsia" w:ascii="仿宋_GB2312" w:hAnsi="仿宋_GB2312" w:eastAsia="仿宋_GB2312" w:cs="仿宋_GB2312"/>
          <w:color w:val="000000" w:themeColor="text1"/>
          <w:sz w:val="24"/>
          <w:szCs w:val="24"/>
          <w:highlight w:val="none"/>
          <w14:textFill>
            <w14:solidFill>
              <w14:schemeClr w14:val="tx1"/>
            </w14:solidFill>
          </w14:textFill>
        </w:rPr>
        <w:t>施工过程结算</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的，其竣工结算支付方法：</w:t>
      </w:r>
      <w:permStart w:id="32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28"/>
    </w:p>
    <w:p w14:paraId="1E27DB81">
      <w:pPr>
        <w:spacing w:line="420" w:lineRule="exac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729EFDBA">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★84. 质量保证金</w:t>
      </w:r>
    </w:p>
    <w:p w14:paraId="46D242B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84.2 质量保证金的约定与扣留</w:t>
      </w:r>
    </w:p>
    <w:p w14:paraId="79C55CC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 质量保证金的约定</w:t>
      </w:r>
    </w:p>
    <w:p w14:paraId="7BBAAC7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按通用条款规定为合同价款的 3%(采用银行保函)，即 </w:t>
      </w:r>
      <w:permStart w:id="329"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2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w:t>
      </w:r>
    </w:p>
    <w:p w14:paraId="099BDAC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另有约定：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质量保证金为审定后结算价的 3%(采取银行保函、担保、保险等方式)。    </w:t>
      </w:r>
    </w:p>
    <w:p w14:paraId="042AF64A">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 质量保证金的扣留</w:t>
      </w:r>
    </w:p>
    <w:p w14:paraId="72D21F6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按通用条款的规定，按每支付期应支付给承包人的进度款和结算款的3%扣留。</w:t>
      </w:r>
    </w:p>
    <w:p w14:paraId="2B8F90E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另有约定：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发包人应按照84.2(1)款中约定的比例从应支付给承包人的结算款中扣留。质量缺陷期满后,在收到承包人退还申请的14日内无息退还。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p>
    <w:p w14:paraId="3E68DC9E">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541D9240">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85. 最终清算款</w:t>
      </w:r>
    </w:p>
    <w:p w14:paraId="39DA416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85.1 提交最终清算支付申请</w:t>
      </w:r>
    </w:p>
    <w:p w14:paraId="24EED06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 最终清算支付申请</w:t>
      </w:r>
    </w:p>
    <w:p w14:paraId="08E1741D">
      <w:pPr>
        <w:spacing w:line="420" w:lineRule="exact"/>
        <w:ind w:firstLine="48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提交份数：</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2份。        </w:t>
      </w:r>
    </w:p>
    <w:p w14:paraId="1E5E088E">
      <w:pPr>
        <w:spacing w:line="420" w:lineRule="exact"/>
        <w:ind w:firstLine="48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提交期限：</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按第85.2、85.5款办理。       </w:t>
      </w:r>
    </w:p>
    <w:p w14:paraId="0C7A3AC7">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(2)  最终清算支付时限</w:t>
      </w:r>
    </w:p>
    <w:p w14:paraId="25E753B5">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按通用条款的规定，在造价工程师签发最终清算支付证书后的14天内。</w:t>
      </w:r>
    </w:p>
    <w:p w14:paraId="1CF9F8D8">
      <w:pPr>
        <w:spacing w:line="420" w:lineRule="exact"/>
        <w:ind w:firstLine="44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另有约定：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                                                                </w:t>
      </w:r>
    </w:p>
    <w:p w14:paraId="2640BFDE">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85.7 相关计价文件的有效性</w:t>
      </w:r>
    </w:p>
    <w:p w14:paraId="4B9A6CDE">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本合同中涉及的相关计价、价格文件，如遇上级部门最新调整的，则按最新版执行。</w:t>
      </w:r>
    </w:p>
    <w:p w14:paraId="5DA8CA73">
      <w:pPr>
        <w:widowControl w:val="0"/>
        <w:spacing w:after="120"/>
        <w:ind w:firstLine="440"/>
        <w:jc w:val="both"/>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p>
    <w:p w14:paraId="658B308E">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86. 合同争议</w:t>
      </w:r>
    </w:p>
    <w:p w14:paraId="0B8856E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86.4 调解或认定</w:t>
      </w:r>
    </w:p>
    <w:p w14:paraId="78705A6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争议调解或认定机构：</w:t>
      </w:r>
    </w:p>
    <w:p w14:paraId="27D371F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w:t>
      </w:r>
    </w:p>
    <w:p w14:paraId="688A768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另有约定：</w:t>
      </w:r>
    </w:p>
    <w:p w14:paraId="15B3E12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按通用条款的规定。  </w:t>
      </w:r>
    </w:p>
    <w:p w14:paraId="7E4DA17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按通用条款的规定。  </w:t>
      </w:r>
    </w:p>
    <w:p w14:paraId="56842681">
      <w:pPr>
        <w:spacing w:line="420" w:lineRule="exact"/>
        <w:ind w:firstLine="480" w:firstLineChars="200"/>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对于工程造价相关的争议，自争议发生之日起3个月内如合同双方仍无法协商达成一致的，应当将相关资料提交到项目发生地所属定额站，并根据相关定额站的认定意见进行处理。</w:t>
      </w:r>
    </w:p>
    <w:p w14:paraId="3DFFAFB6">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86.6 仲裁或诉讼</w:t>
      </w:r>
    </w:p>
    <w:p w14:paraId="007EE6C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解决争议的最终方式：</w:t>
      </w:r>
    </w:p>
    <w:p w14:paraId="6988C553">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向广州仲裁委员会申请仲裁。</w:t>
      </w:r>
    </w:p>
    <w:p w14:paraId="255D383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向工程所在地有管辖权的人民法院提起诉讼。</w:t>
      </w:r>
    </w:p>
    <w:p w14:paraId="46466015">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294AB944">
      <w:pPr>
        <w:spacing w:line="420" w:lineRule="exact"/>
        <w:rPr>
          <w:rFonts w:hint="eastAsia" w:ascii="黑体" w:hAnsi="黑体" w:eastAsia="黑体" w:cs="黑体"/>
          <w:b w:val="0"/>
          <w:bCs w:val="0"/>
          <w:color w:val="000000" w:themeColor="text1"/>
          <w:kern w:val="0"/>
          <w:sz w:val="24"/>
          <w:szCs w:val="24"/>
          <w:highlight w:val="none"/>
          <w14:textFill>
            <w14:solidFill>
              <w14:schemeClr w14:val="tx1"/>
            </w14:solidFill>
          </w14:textFill>
        </w:rPr>
      </w:pPr>
      <w:r>
        <w:rPr>
          <w:rFonts w:hint="eastAsia" w:ascii="黑体" w:hAnsi="黑体" w:eastAsia="黑体" w:cs="黑体"/>
          <w:b w:val="0"/>
          <w:bCs w:val="0"/>
          <w:color w:val="000000" w:themeColor="text1"/>
          <w:kern w:val="0"/>
          <w:sz w:val="24"/>
          <w:szCs w:val="24"/>
          <w:highlight w:val="none"/>
          <w14:textFill>
            <w14:solidFill>
              <w14:schemeClr w14:val="tx1"/>
            </w14:solidFill>
          </w14:textFill>
        </w:rPr>
        <w:t>90. 承包人的违约责任</w:t>
      </w:r>
    </w:p>
    <w:p w14:paraId="46BC1D3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承包人未履行或未按时履行或未按质履行合同约定义务时（合同另有约定除外），承包人须向发包人支付违约金，或发包人有权从应支付给承包人的工程款中直接抵扣，承包人不得有异议。二次限期改正责任相当于一次一般违约；三次一般违约责任相当于一次严重违约；承包人在合同期内累计三次严重违约，发包人有权单方解除部分或全部合同，本合同条款中将部分合同或全部合同解除后，发包人有权按有关规定另行选择承包人。</w:t>
      </w:r>
    </w:p>
    <w:p w14:paraId="07DFBBD1">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1）限期改正：承包人未履行或未按时履行或未按质履行义务时，监理工程师应发出书面通知，并要求承包人必须在7天内履行义务或整改完毕。</w:t>
      </w:r>
    </w:p>
    <w:p w14:paraId="61BF830F">
      <w:pPr>
        <w:spacing w:line="420" w:lineRule="exact"/>
        <w:ind w:left="218" w:leftChars="104" w:firstLine="240" w:firstLineChars="1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2）一般违约责任：承包人违反本合同的约定须承担一般违约责任时，应当支付发包人合同价款人民币</w:t>
      </w:r>
      <w:permStart w:id="33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1万元/次 </w:t>
      </w:r>
      <w:permEnd w:id="33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作为违约金；若承包人再犯性质相同的违约责任，第2次支付发包人合同价款人民币</w:t>
      </w:r>
      <w:permStart w:id="33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1.5万元  </w:t>
      </w:r>
      <w:permEnd w:id="33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作为违约金，2次以上（不含本数）按合同价款</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Start w:id="33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2万元/次</w:t>
      </w:r>
      <w:permEnd w:id="332"/>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支付发包人作为违约金。</w:t>
      </w:r>
    </w:p>
    <w:p w14:paraId="37E2D021">
      <w:pPr>
        <w:spacing w:line="420" w:lineRule="exact"/>
        <w:ind w:left="218" w:leftChars="104" w:firstLine="240" w:firstLineChars="1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3）严重违约责任：承包人违反本合同的约定须承担严重违约责任时，应当支付发包人合同价款人民币</w:t>
      </w:r>
      <w:permStart w:id="33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5万元/次 </w:t>
      </w:r>
      <w:permEnd w:id="333"/>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305D390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解除部分合同：当承包人违反本合同的约定符合解除部分合同的条件时，发包人有权向承包人发出书面解除部分合同的通知，该通知在送达承包人时部分解除合同即生效。部分解除合同的法律后果按照第87条的相关约定执行。</w:t>
      </w:r>
    </w:p>
    <w:p w14:paraId="764AF09C">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解除合同：当承包人违反本合同的约定符合解除全部合同的条件时，发包人有权向承包人发出书面解除全部合同的通知，该通知在送达承包人时解除合同即生效。解除合同的法律后果按照第87条的相关约定执行。</w:t>
      </w:r>
    </w:p>
    <w:p w14:paraId="12DB9932">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承包人违反第49条、第50条、第51条的约定使用了不合格材料或工程设备，工程质量达不到标准要求，又拒绝清除不合格工程，监理工程师可向承包人发出整改通知，要求其在指定的期限内改正。承包人应承担其违约所引起的费用增加和（或）工期延误。</w:t>
      </w:r>
    </w:p>
    <w:p w14:paraId="06492B34">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承包人未能按合同进度计划及时完成合同约定的工作，已造成或预期造成工期延误，监理工程师可向承包人发出整改通知，要求其在指定的期限内改正。承包人应承担其违约所引起的费用增加和（或）工期延误。</w:t>
      </w:r>
    </w:p>
    <w:p w14:paraId="709B2F4F">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承包人在缺陷责任期内，未能对工程接收证书所列的缺陷清单的内容或缺陷责任期内发生的缺陷进行修复，而又拒绝按监理工程师指示再进行修补，监理工程师可向承包人发出整改通知，要求其在指定的期限内改正。承包人应承担其违约所引起的费用增加和（或）工期延误。</w:t>
      </w:r>
    </w:p>
    <w:p w14:paraId="5BBB9DF4">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（5）承包人无法继续履行或明确表示不履行或实质上已停止履行合同，发包人可通知承包人立即解除合同，并按有关法律处理。</w:t>
      </w:r>
    </w:p>
    <w:p w14:paraId="061CBD9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监理工程师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334E406C">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在工程实施期间或缺陷责任期内发生危及工程安全的事件，监理工程师通知承包人进行抢救，承包人声明无能力或不愿立即执行的，发包人有权雇佣其他人员进行抢救。此类抢救按合同约定属于承包人义务的，由此发生的金额和（或）工期延误由承包人承担。</w:t>
      </w:r>
    </w:p>
    <w:p w14:paraId="44B13062">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（8）承包人未按发包人或监理工程师开工令要求时间开工的，每迟延开工1天，应向发包人支付违约金</w:t>
      </w:r>
      <w:permStart w:id="33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1万元  </w:t>
      </w:r>
      <w:permEnd w:id="33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；迟延开工超过30天的，发包人有权根据实际情况单方面解除合同。</w:t>
      </w:r>
    </w:p>
    <w:p w14:paraId="73E2ADF4">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承包人不能按照协议书约定的竣工日期或工程师同意顺延的工期竣工，延误的工期每延误</w:t>
      </w:r>
      <w:permStart w:id="33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1天</w:t>
      </w:r>
      <w:permEnd w:id="33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，应向发包人支付本工程合同价款的</w:t>
      </w:r>
      <w:permStart w:id="33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1.5%  </w:t>
      </w:r>
      <w:permEnd w:id="33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作为违约金，且不低于每天1万元，误期赔偿限额为合同价款的 </w:t>
      </w:r>
      <w:permStart w:id="33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20% </w:t>
      </w:r>
      <w:permEnd w:id="33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；延误工期超过30天的，发包人有权解除合同，将本工程另行发包，并不免除承包人的违约赔偿责任。</w:t>
      </w:r>
    </w:p>
    <w:p w14:paraId="4C3DD800">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9）对各工序必须报验核查质量控制点。如承包人申请报验后，经监理工程师或发包人检查发现存在质量问题，则该工序质量为不合格，承包人必须全部返工，返工后经检查合格才准进入下一工序，工期不予顺延。复检的结果，按每一分项工程计算，总计发现3次或连续发现2次质量控制点不合格的，承包人承担严重违约责任；总计发现3次以上（不含本数）或连续发现2次以上（不含本数）质量控制点不合格的，发包人有权部分解除合同，将该分项工程另行发包，并不免除承包人应承担的违约赔偿责任。</w:t>
      </w:r>
    </w:p>
    <w:p w14:paraId="369EFD47">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（10）工程竣工验收达不到合同约定的质量标准的，承包人向发包人支付审定结算总价的</w:t>
      </w:r>
      <w:permStart w:id="33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2% </w:t>
      </w:r>
      <w:permEnd w:id="33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7B5B062F">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（11）工程保修期内发现质量不合格，承包人必须在规定的期限返工并达到合同约定的质量等级，并向发包人支付按该不合格项目所处分项工程造价的</w:t>
      </w:r>
      <w:permStart w:id="339"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3%</w:t>
      </w:r>
      <w:permEnd w:id="339"/>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7F12A082">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（12）承包人应协助发包人办理有关工程报建手续。若因施工单位的原因导致工程受影响，造成发包人的经济损失，由施工单位承担全部的经济和法律责任。</w:t>
      </w:r>
    </w:p>
    <w:p w14:paraId="497A4E6C">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13）监理工程师按照第49.9款约定抽查承包人的工程材料时，发现所检查的材料与该条款约定的标准的任何一项不符合时，承包人除必须全部退货、返工，并赔偿由此造成的损失外，承包人应当按照该批次材料的价值，按照如下方式承担违约责任：</w:t>
      </w:r>
    </w:p>
    <w:p w14:paraId="761A9793">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1）单宗或批次材料价值在10万元以上100万元以下（含100万元），承包人承担1次一般违约责任。</w:t>
      </w:r>
    </w:p>
    <w:p w14:paraId="475238A1">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2）单宗或批次材料价值100-200万元（含200万元），承包人承担1次严重违约责任。</w:t>
      </w:r>
    </w:p>
    <w:p w14:paraId="72B1E326">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3）单宗或批次材料价值在200万元以上的，发包人有权部分解除合同或全部解除合同，并要求承包人赔偿发包人由此遭受的实际损失。</w:t>
      </w:r>
    </w:p>
    <w:p w14:paraId="0B71B8D1">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4）对于单宗或批次材料价值不高于10万元的（含10万元），但累计抽检不合格达5次，承包人承担1次一般违约责任。</w:t>
      </w:r>
    </w:p>
    <w:p w14:paraId="43475639">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14）承包人不按文明施工要求和规定进行施工，在发包人发出通知2日内，承包人应按要求进行整改，如承包人不整改或整改后仍达不到要求的，监理人有权委托第三人进行整改，所发生的费用由承包人承担，发包人可在应付的合同费用或履约保证金内直接抵扣。</w:t>
      </w:r>
    </w:p>
    <w:p w14:paraId="60A7899E">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（15）承包人应根据进度同步组织、整理档案资料，经发包人定期或不定期检查确定档案资料与进度不符且未在发包人发出书面整改通知的30天内落实整改的，承包人每次应支付发包人合同价的</w:t>
      </w:r>
      <w:permStart w:id="34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0.01% </w:t>
      </w:r>
      <w:permEnd w:id="34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作为违约金。如承包人未能如期完成竣工资料、结算资料等工程档案的移交手续，每逾期一天向发包人支付合同价款的</w:t>
      </w:r>
      <w:permStart w:id="34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1.5‰ </w:t>
      </w:r>
      <w:permEnd w:id="34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作为违约金，若因承包人的原因致使发包人未能按照国家规定向政府有关部门移交工程竣工档案而受到经济处罚的，由承包人承担全额赔偿责任。</w:t>
      </w:r>
    </w:p>
    <w:p w14:paraId="483C4CB0">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16）建设管理方（如有）定期对主要管理和技术人员的到位情况进行检查；若无正当理由、未经建设管理方同意更换承包人代表（负责人）或承包人代表（负责人）未按要求在施工现场进行施工管理工作的，则无条件接受发包人和建设管理方经济处罚，将从合同总价中扣减</w:t>
      </w:r>
      <w:permStart w:id="34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50万元/人/次 </w:t>
      </w:r>
      <w:permEnd w:id="34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的扣款（具体由发包人视工程重要程度和合同额按</w:t>
      </w:r>
      <w:r>
        <w:rPr>
          <w:rFonts w:hint="eastAsia" w:ascii="仿宋_GB2312" w:hAnsi="仿宋_GB2312" w:eastAsia="仿宋_GB2312" w:cs="仿宋_GB2312"/>
          <w:color w:val="000000" w:themeColor="text1"/>
          <w:kern w:val="0"/>
          <w:sz w:val="24"/>
          <w:szCs w:val="24"/>
          <w:highlight w:val="none"/>
          <w:u w:val="none"/>
          <w14:textFill>
            <w14:solidFill>
              <w14:schemeClr w14:val="tx1"/>
            </w14:solidFill>
          </w14:textFill>
        </w:rPr>
        <w:t xml:space="preserve"> 10-50 万元/人/次约定）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意外身亡、司法拘留情况除外），并按建设管理方要求重新整顿落实。若发现施工现场承包人代表（负责人）和总工每月驻工地时间少于25天，以每月少于25天为一次计算，根据对发包人的影响程度，每次支付合同价款的</w:t>
      </w:r>
      <w:permStart w:id="34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1％ </w:t>
      </w:r>
      <w:permEnd w:id="34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作为违约金。若人员、设备、机械设备及检测设备不按照投标书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和合同的约定</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投入，根据对发包人的影响程度，每发现一次支付合同价款的</w:t>
      </w:r>
      <w:permStart w:id="34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2％ </w:t>
      </w:r>
      <w:permEnd w:id="34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作为违约金。如发现承包人代表及主要负责人兼职情况，经监理工程师核实后，发包人要求立即撤换该人员，承包人承担违约责任并向发包人支付违约金</w:t>
      </w:r>
      <w:permStart w:id="34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10万元/人/次</w:t>
      </w:r>
      <w:permEnd w:id="34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743D4898">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17）根据《广州市水务局关于印发广州市水务工程施工和监理企业诚信评价管理办法的通知》（穗水规字【2020】11号）、广州市水务局关于调整《广州市水务工程施工和监理企业诚信评价管理办法》部分条款的通知（穗水建管〔2023〕123号）等有关规定，广州市自来水有限公司组织实施的建设项目，广州市自来水有限公司将对不充分履约或严重违反合同约定的企业，按诚信评价标准对其作出评价，该评价结果由广州市自来水有限公司直接录入诚信评价信息系统，并运用于建设项目招投标活动中。</w:t>
      </w:r>
    </w:p>
    <w:p w14:paraId="464D7A5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（18）工程结算方面的违约</w:t>
      </w:r>
    </w:p>
    <w:p w14:paraId="6C007F77">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承包人未在合同约定时间内提供完整的工程竣工结算资料，经发包人催促后14天内仍未提供或没有明确答复的或提出不正当理由延期的，发包人有权根据已有资料办理结算，责任由承包人自负，并向发包人支付合同价款的</w:t>
      </w:r>
      <w:permStart w:id="34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0.1‰/天 </w:t>
      </w:r>
      <w:permEnd w:id="34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5172AA4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2）若承包人不配合结算审核工作以至工程结算不能按时完成或承包人对终审部门的审核结果拒不确认，则发包人有权根据已有资料，与终审部门共同确认最终的审核结果，责任由承包人自负。</w:t>
      </w:r>
    </w:p>
    <w:p w14:paraId="659C3AA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19）承包人未能按照第20.2（8）项约定做好施工场地地下管线和邻近建筑物、构筑物（包括文物保护建筑）、古树名木保护工作的约定的，承包人出现未经相关行政主管部门许可，随意砍伐树木、破坏绿化或文物等行为，所造成的损失由承包人承担，并向发包人支付合同价款的</w:t>
      </w:r>
      <w:permStart w:id="34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1% </w:t>
      </w:r>
      <w:permEnd w:id="34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573008D4">
      <w:pPr>
        <w:spacing w:after="120"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（20）由于承包人原因未能按照第20.2（22）项约定如期完成竣工验收及备案工作的，每逾期一天承包人应向发包人支付合同价款的</w:t>
      </w:r>
      <w:permStart w:id="34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1‰ </w:t>
      </w:r>
      <w:permEnd w:id="34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6123492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（21）由于承包人原因未能按照第20.2（23）项约定如期完成本工程结算工作的，每逾期一天承包人应向发包人支付合同价款的</w:t>
      </w:r>
      <w:permStart w:id="349"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1‰ </w:t>
      </w:r>
      <w:permEnd w:id="34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20ACD2F0">
      <w:pPr>
        <w:spacing w:after="120"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（22）承包人未能按照第20.2（35）项落实生态环境保护相关要求的，发包人或行政主管部门检查发现施工现场环境不合规问题，承包人应支付发包人合同价的</w:t>
      </w:r>
      <w:permStart w:id="35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1‰</w:t>
      </w:r>
      <w:permEnd w:id="35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作为违约金。如发现问题后仍未能按规定时  限整改应当向发包人支付合同价款的</w:t>
      </w:r>
      <w:permStart w:id="35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1‰</w:t>
      </w:r>
      <w:permEnd w:id="35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4C22C992">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（23）承包人未能按照第25.6款约定出席发包人组织的工程会议或监理人组织的每周工地例会的，每缺席一次，承包人应向发包人支付</w:t>
      </w:r>
      <w:permStart w:id="35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2万元/人/次 </w:t>
      </w:r>
      <w:permEnd w:id="35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20577AC9">
      <w:pPr>
        <w:spacing w:after="120"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24）如发包人或监理人在施工现场考勤检查中，发现管理团队人员的考勤情况未达到每人每月25天或以上的，承包人应支付每人每次1万元作为违约金；如因考勤天数未达上述要求导致缺席发包人组织的工程会议或监理人组织的每周工地例会，承包人除支付考勤违约金外，应当按第90条（23）项约定支付相应的违约金。</w:t>
      </w:r>
    </w:p>
    <w:p w14:paraId="5B671164">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（25）如承包人未经发包人同意擅自更换承包人代表的（包括</w:t>
      </w:r>
      <w:r>
        <w:rPr>
          <w:rFonts w:hint="eastAsia" w:ascii="仿宋_GB2312" w:hAnsi="仿宋_GB2312" w:eastAsia="仿宋_GB2312" w:cs="仿宋_GB2312"/>
          <w:color w:val="000000" w:themeColor="text1"/>
          <w:sz w:val="24"/>
          <w:szCs w:val="24"/>
          <w:highlight w:val="none"/>
          <w14:textFill>
            <w14:solidFill>
              <w14:schemeClr w14:val="tx1"/>
            </w14:solidFill>
          </w14:textFill>
        </w:rPr>
        <w:t>不能按要求到位累计1个月或以上</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），或由于承包人代表辞职、调换岗位等除第21.2款约定的情形以外的承包人原因更换承包人代表的，或因承包人代表不胜任发包人要求撤换而承包人拒不撤换的，承包人应向发包人支付</w:t>
      </w:r>
      <w:permStart w:id="35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50万元/人/次</w:t>
      </w:r>
      <w:permEnd w:id="35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（具体由发包人视工程重要程度和合同金额按10-50 万元/人次约定）作为违约金。</w:t>
      </w:r>
    </w:p>
    <w:p w14:paraId="0668568F">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如承包人未经发包人同意擅自更换其他管理团队人员的（包括</w:t>
      </w:r>
      <w:r>
        <w:rPr>
          <w:rFonts w:hint="eastAsia" w:ascii="仿宋_GB2312" w:hAnsi="仿宋_GB2312" w:eastAsia="仿宋_GB2312" w:cs="仿宋_GB2312"/>
          <w:color w:val="000000" w:themeColor="text1"/>
          <w:sz w:val="24"/>
          <w:szCs w:val="24"/>
          <w:highlight w:val="none"/>
          <w14:textFill>
            <w14:solidFill>
              <w14:schemeClr w14:val="tx1"/>
            </w14:solidFill>
          </w14:textFill>
        </w:rPr>
        <w:t>不能按要求到位累计1个月或以上</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），或由于其他管理团队人员辞职、调换岗位等除第25.8款约定的情形以外的承包人原因更换其他管理团队人员的，或因其他管理团队人员不胜任发包人要求撤换而承包人拒不撤换的，承包人应向发包人支付</w:t>
      </w:r>
      <w:permStart w:id="35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25万元/人/次</w:t>
      </w:r>
      <w:permEnd w:id="35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（具体由发包人视工程重要程度和合同金额按5-25 万元/人次约定）作为违约金。</w:t>
      </w:r>
    </w:p>
    <w:p w14:paraId="69EC0E15">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（26）经发包人现场检查，承包人代表不在现场1次，承包人应向发包人支付</w:t>
      </w:r>
      <w:permStart w:id="35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2万元/人/次</w:t>
      </w:r>
      <w:permEnd w:id="35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作为违约金，累计达到5次的，发包人可同时要求撤换该承包人代表，并报水行政主管部门记承包人代表和承包人不良行为各一次。</w:t>
      </w:r>
    </w:p>
    <w:p w14:paraId="5B8E5F3B">
      <w:pPr>
        <w:spacing w:after="120"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（27）经发包人现场检查，承包人的技术、安全生产负责人不在现场1次，承包人应向发包人支付</w:t>
      </w:r>
      <w:permStart w:id="35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1万元/人/次</w:t>
      </w:r>
      <w:permEnd w:id="35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作为违约金，累计达到5次的，发包人可同时要求撤换该项目技术、安全生产负责人，并报水行政主管部门记技术负责人和承包人不良行为各一次。</w:t>
      </w:r>
    </w:p>
    <w:p w14:paraId="3E5BD469">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（28）经发包人现场检查，如发现在特殊工种的施工中，特殊工种人员、各种领班以上人员在施工期间未佩带上岗证的，每发现一次，承包人应向发包人支付</w:t>
      </w:r>
      <w:permStart w:id="357"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100元/人/次</w:t>
      </w:r>
      <w:permEnd w:id="35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w:t>
      </w:r>
    </w:p>
    <w:p w14:paraId="4DECF13B">
      <w:p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29）承包人如违反操作规程或施工质量不符合本合同要求，发包人或监理人有权责令承包人停止施工；对不符合本合同质量要求的工程，承包人应无偿返工，直至工程质量达到本合同要求为止，由此造成的经济损失、工期的延误以及由此引起变更设计增加的费用，均由承包人负责。</w:t>
      </w:r>
    </w:p>
    <w:p w14:paraId="11570D99">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30）如因承包人原因导致的工程质量问题，承包人应立即返修，并承担因此造成的其他损失及赔偿责任，返修的一切费用均由承包人负责支付；如因承包人施工质量问题等原因造成质量监管部门或上级管理部门下达的整改通知责任书的，承包人每次因工程质量问题需要整改的，承包人应向发包人支付合同价款的1.5‰作为违约金，并在当季的诚信履约评价中予以扣分，累计两次，发包人有权将承包人的失信情况报上级部门。</w:t>
      </w:r>
    </w:p>
    <w:p w14:paraId="2867117B">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(31)承包人未按规定加强占道施工现场管理，未落实相关法律法规、规范、标准等对占道施工管理的要求，发生如未办理道路挖掘占用许可手续、超出许可有效期施工、超出许可批准范围施工、未按标准进行占道施工围蔽、未按标准进行占道施工信息公示、未按标准进行道路修复、未按要求落实占道施工管理相关工作等违约行为的，承包人除承担因此造成的法律责任和经济责任外，还应由发包人按照合同专用条款中规定的“承包人未履行或未按时履行或未按质履行合同约定义务”的情形进行扣罚，并酌情在当季施工、监理企业诚信评价中对相关责任单位实施扣分处理。</w:t>
      </w:r>
    </w:p>
    <w:p w14:paraId="4BE662BC">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（32）如因承包人未按时报送竣工档案资料和规划验收资料导致发包人的供水管道由于规划或路由问题，被其他管线或物体骑压、损坏而造成顺势，承包人需赔偿经济损失并承担相应的法律责任。</w:t>
      </w:r>
    </w:p>
    <w:p w14:paraId="5F007F14">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（33）承包人所提交的竣工图与现场实际情况不一致的，承包人应支付违约金，按照不一致部分工程量偏差对应的造价金额</w:t>
      </w:r>
      <w:permStart w:id="358"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1.5-2倍</w:t>
      </w:r>
      <w:permEnd w:id="358"/>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计算，违约金限额为合同价款的</w:t>
      </w:r>
      <w:permStart w:id="359"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20% </w:t>
      </w:r>
      <w:permEnd w:id="359"/>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w:t>
      </w:r>
    </w:p>
    <w:p w14:paraId="7197A5CE">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（34）承包人未按经审查的施工图、经监理、发包人审核的各类专项方案进行施工，违反设计、施工等有关规范、规程的施工行为。承包人应向发包人支付</w:t>
      </w:r>
      <w:permStart w:id="36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5万元/次</w:t>
      </w:r>
      <w:permEnd w:id="36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作为违约金，同时承担因上述违约行为引起的费用增加和(或)工期延误等责任，违约金不足以补偿发包人损失的，发包人有权就其所遭受的实际经济损失继续向承包人追偿，并承担1次严重违约责任。</w:t>
      </w:r>
    </w:p>
    <w:p w14:paraId="386EE60C">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35）承包人未按工程所在地当地政府相关部门、权属单位要求做好安全文明施工、扬尘防治、环境保护、水土保持防治、河涌保护、涉路涉桥安全等专项保护方案等规定及要求等一系列施工行为。承包人应向发包人支付</w:t>
      </w:r>
      <w:permStart w:id="36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5万元/次</w:t>
      </w:r>
      <w:permEnd w:id="36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作为违约金，同时承担因上述违约行为引起的费用增加和(或)工期延误等责任，违约金不足以补偿发包人损失的，发包人有权就其所遭受的实际经济损失继续向承包人追偿，并承担1次严重违约责任。</w:t>
      </w:r>
    </w:p>
    <w:p w14:paraId="64F0BFA7">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（36）承包人原因导致本项目未达到工程质量及标准、未完成隐蔽验收、项目未能通过验收等一系列行为。承包人应向发包人支付</w:t>
      </w:r>
      <w:permStart w:id="36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5万元/次</w:t>
      </w:r>
      <w:permEnd w:id="36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作为违约金，同时承担因上述违约行为引起的费用增加和(或)工期延误等责任，违约金不足以补偿发包人损失的，发包人有权就其所遭受的实际经济损失继续向承包人追偿，并承担1次严重违约责任。</w:t>
      </w:r>
    </w:p>
    <w:p w14:paraId="68119103">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（37）承包人未按监理、发包人及质量监督等行政管理部门发出的整改通知进行整改、或限期未及时纠正、多次出现上述涉施工安全、质量、进度等施工行为。承包人应向发包人支付</w:t>
      </w:r>
      <w:permStart w:id="36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5万元/次</w:t>
      </w:r>
      <w:permEnd w:id="36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作为违约金，同时承担因上述违约行为引起的费用增加和(或)工期延误等责任，违约金不足以补偿发包人损失的，发包人有权就其所遭受的实际经济损失继续向承包人追偿，并承担1次严重违约责任。</w:t>
      </w:r>
    </w:p>
    <w:p w14:paraId="0FD3D301">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（38）未按政府部门相关规定、合同约定等要求及时支付工人工资。承包人应向发包人支付</w:t>
      </w:r>
      <w:permStart w:id="36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5万元/次</w:t>
      </w:r>
      <w:permEnd w:id="36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作为违约金，同时承担因上述违约行为引起的费用增加和(或)工期延误等责任，违约金不足以补偿发包人损失的，发包人有权就其所遭受的实际经济损失继续向承包人追偿，并承担1次严重违约责任。</w:t>
      </w:r>
    </w:p>
    <w:p w14:paraId="7FC103F8">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（39）安全、文明施工违约处理</w:t>
      </w:r>
    </w:p>
    <w:p w14:paraId="70B8D78B">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1）承包人必须按本合同的约定编制施工组织设计(施工方案、包括安全文明施工措施),经过监理工程师和发包人审核确认后按其施工，不得随意更改。如果根据实际情况确需修改，则需经监理工程师及发包人审批同意。如果未经监理工程师及发包人审批同意而擅自更改施工组织设计(施工方案，包括安全文明施工措施)或不按照施工组织设计(施工方案，包括安全文明施工措施)施工，则发包人将扣减更改部分的造价(该造价按广东省相关综合定额和取费标准计算，不下浮)；同时，每擅自更改一次，承包人应向发包人支付人民币1万元作为违约金。</w:t>
      </w:r>
    </w:p>
    <w:p w14:paraId="603C6745">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2）承包人应严格遵守国家、省、市及区有关防火、爆破和施工安全以及文明施工、深夜施工、环卫和城市管理等规定，建立规章制度和防护措施，并组织施工。在相关部门的检查中，承包人施工场地被评为不合格工地或被通报批评或者被新闻媒体曝光的，每发生一次，承包人向发包人支付</w:t>
      </w:r>
      <w:permStart w:id="365"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20万元</w:t>
      </w:r>
      <w:permEnd w:id="365"/>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如发包人因此被相关部门处罚的，罚金由承包人承担。造成严重社会影响或累计被通报或被曝光2次以上(含本数)的，发包人有权解除合同，将本工程另行发包，但并不免除承包人应承担的违约赔偿责任。若造成发包人被他人索赔时，承包人应赔偿发包人因此遭受的损失。</w:t>
      </w:r>
    </w:p>
    <w:p w14:paraId="545D88F2">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3）如果承包人未按招投标文件及本合同要求做好安全、文明施工相关措施，经监理工程师或发包人检查发现的，每发现一次，承包人向发包人支付</w:t>
      </w:r>
      <w:permStart w:id="366"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10000元</w:t>
      </w:r>
      <w:permEnd w:id="366"/>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作为违约金，并按发包人或监理工程师要求限期整改，未在限期内完成整改的，每延期一天，承包人向发包人支付</w:t>
      </w:r>
      <w:permStart w:id="367"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5000元</w:t>
      </w:r>
      <w:permEnd w:id="367"/>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作为违约金。此类问题的认定，以发包人、监理工程师书面通知、指令、通报和会议纪要为准。</w:t>
      </w:r>
    </w:p>
    <w:p w14:paraId="0C4890FE">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4）承包人因自身原因造成重大安全事故的(含工程质量事故，事故的标准以国务院颁发的《生产安全事故报告和调查处理条例》为准),除按国家规定由承包人承担发包人主管部门的处罚外，承包人必须依照下列约定承担违约责任，并赔偿由此造成的一切损失，发包人有权部分或全部解除合同：</w:t>
      </w:r>
    </w:p>
    <w:p w14:paraId="363F8259">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①发生特别重大事故，承包人按事故所造成损失额的</w:t>
      </w:r>
      <w:permStart w:id="368"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15%</w:t>
      </w:r>
      <w:permEnd w:id="368"/>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,向发包人支付违约金；</w:t>
      </w:r>
    </w:p>
    <w:p w14:paraId="2916A36C">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②发生重大事故，承包人按事故所处分项工程总价</w:t>
      </w:r>
      <w:permStart w:id="369"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12%</w:t>
      </w:r>
      <w:permEnd w:id="369"/>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,向发包人支付违约金；</w:t>
      </w:r>
    </w:p>
    <w:p w14:paraId="1D86DCB6">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③发生较大事故，承包人按事故所处分项工程总价</w:t>
      </w:r>
      <w:permStart w:id="370"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10%</w:t>
      </w:r>
      <w:permEnd w:id="370"/>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,向发包人支付违约金；</w:t>
      </w:r>
    </w:p>
    <w:p w14:paraId="51E3D8DB">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④发生一般事故，承包人按事故所处分项工程总价</w:t>
      </w:r>
      <w:permStart w:id="371"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8%</w:t>
      </w:r>
      <w:permEnd w:id="371"/>
      <w:r>
        <w:rPr>
          <w:rFonts w:hint="eastAsia" w:ascii="仿宋_GB2312" w:hAnsi="仿宋_GB2312" w:eastAsia="仿宋_GB2312" w:cs="仿宋_GB2312"/>
          <w:color w:val="000000" w:themeColor="text1"/>
          <w:kern w:val="0"/>
          <w:sz w:val="24"/>
          <w:szCs w:val="24"/>
          <w:highlight w:val="none"/>
          <w:u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向发包人支付违约金；</w:t>
      </w:r>
    </w:p>
    <w:p w14:paraId="53DB9515">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5）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等相关管理规定的标准和要求，保证落实“一不准进，三不准出”规定，办齐排放有关证照，雇请有合格准运证车辆和具备资质的运输企业，设立专职人员管理余泥渣土、建筑垃圾的运输工作，并对分包单位依法排放余泥渣土、建筑垃圾进行监管。承包人因违反本款约定所造成的一切责任后果全部由承包人承担。经发包人或相关部门检查发现承包人未执行本款约定的，每发现一次，承包人向发包人支付</w:t>
      </w:r>
      <w:permStart w:id="372"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1万元</w:t>
      </w:r>
      <w:permEnd w:id="372"/>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作为违约金。同时，发包人将根据承包人违反余泥渣土运输管理有关规定而造成的不良后果的严重程度，上报区、市水行政、建设行政主管部门进行处理。</w:t>
      </w:r>
    </w:p>
    <w:p w14:paraId="7DC6D341">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6）经发包人或监理工程师抽查发现承包人违反合同专用条款的约定，其技术管理人员或施工作业人员没有佩带平安卡的，承包人按每人次</w:t>
      </w:r>
      <w:permStart w:id="373"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1000元</w:t>
      </w:r>
      <w:permEnd w:id="373"/>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的标准向发包人支付违约金。</w:t>
      </w:r>
    </w:p>
    <w:p w14:paraId="74C4E50E">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（40）环境保护、水土防治、河涌保护、涉路涉桥等安全专项保护方案等规定及要求等一系列施工行为的违约责任</w:t>
      </w:r>
    </w:p>
    <w:p w14:paraId="6B49A32B">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1）承包人必须按本合同的约定编制环境保护、水土保持防治、河涌保护、涉路涉桥安全等专项保护方案措施，经过监理工程师和发包人审核确认后按其施工，不得随意更改。如果根据实际情况确需修改，则需经监理工程师及发包人审批同意。如果未经监理工程师及发包人审批同意而擅自更改环境保护、水土保持防治、河涌保护、涉路涉桥安全等专项保护方案措施，则发包人将扣减更改部分的造价(该造价按广东省相关综合定额和取费标准计算，不下浮)；同时，每擅自更改一次，承包人需支付发包人</w:t>
      </w:r>
      <w:permStart w:id="374"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10000元</w:t>
      </w:r>
      <w:permEnd w:id="374"/>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人民币作为违约金。</w:t>
      </w:r>
    </w:p>
    <w:p w14:paraId="1787EAC7">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2）在相关部门的检查中，因上述问题，承包人施工场地被评为不合格工地或被通报批评或者被新闻媒体曝光的，每发生一次，承包人向发包人支付</w:t>
      </w:r>
      <w:permStart w:id="375"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20万元</w:t>
      </w:r>
      <w:permEnd w:id="375"/>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如发包人因此被相关部门处罚的，罚金由承包人承担。造成严重社会影响或累计被通报或被曝光2次以上(含本数)的，发包人有权解除合同，将本工程另行发包，但并不免除承包人应承担的违约赔偿责任。若造成发包人被他人索赔时，承包人应赔偿发包人因此遭受的损失。</w:t>
      </w:r>
    </w:p>
    <w:p w14:paraId="5DAF5098">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3）如果承包人未按招投标文件及本合同要求做好环境保护、水土保持防治、河涌保护、涉路涉桥安全等专项保护方案措施，经监理工程师或发包人检查发现的，每发现一次，承包人向发包人支付</w:t>
      </w:r>
      <w:permStart w:id="376"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10000元</w:t>
      </w:r>
      <w:permEnd w:id="376"/>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作为违约金，并按发包人或监理工程师要求限期整改，未在限期内完成整改的，每延期一天，承包人向发包人支付</w:t>
      </w:r>
      <w:permStart w:id="377"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5000元</w:t>
      </w:r>
      <w:permEnd w:id="377"/>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作为违约金。此类问题的认定，以发包人、监理工程师书面通知、指令、通报和会议纪要为准。</w:t>
      </w:r>
    </w:p>
    <w:p w14:paraId="2D3F617F">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4）如果承包人未按国土部门批复的土地复垦实施方案要求、招投标文件及本合同要求做土地复垦措施，经监理工程师或发包人检查发现的，每发现一次，承包人向发包人支付</w:t>
      </w:r>
      <w:permStart w:id="378"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10000元</w:t>
      </w:r>
      <w:permEnd w:id="378"/>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作为违约金，并按发包人或监理工程师要求限期整改，未在限期内完成整改的，每延期一天，承包人向发包人支付</w:t>
      </w:r>
      <w:permStart w:id="379"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5000元</w:t>
      </w:r>
      <w:permEnd w:id="379"/>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此类问题的认定，以发包人、监理工程师书面通知、指令、通报和会议纪要为准。因承包人实施的土地复垦措施未达到国土部门批复的土地复垦实施方案要求、招投标文件以及本合同要求而造成土地复垦验收不合格，承包人须按要求在规定时间内完成整改并白行承担整改费用以及由此引发增加的临时用地租金等费用。如承包人不履行土地复垦责任导致发包人在与国土部门签署的复垦协议项下发生违约而造成的违约金、赔偿损失等一切经济支出，发包人有权要求承包人全额赔偿，并向发包人支付合同价款的</w:t>
      </w:r>
      <w:permStart w:id="380"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0.1%</w:t>
      </w:r>
      <w:permEnd w:id="380"/>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w:t>
      </w:r>
    </w:p>
    <w:p w14:paraId="0AE1B35B">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（41）工程质量方面的违约责任</w:t>
      </w:r>
    </w:p>
    <w:p w14:paraId="7DAD8E4A">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1）经监理工程师或发包人检查发现工序存在较大质量问题(如存在质量问题的部分超过检查部分工程的5%的),则该工序质量为不合格，承包人必须对不合格部分进行返工，返工后经检查合格才准进入下一工序，工期不予顺延。复检的结果，按单项分项工程计算，总计发现3次或连续发现2次质量控制点不合格的，承包人向发包人支付合同价款的</w:t>
      </w:r>
      <w:permStart w:id="381"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0.1%</w:t>
      </w:r>
      <w:permEnd w:id="381"/>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作为违约金；总计发现3次以上(不含本数)或连续发现2次以上(不含本数)质量控制点不合格的，承包人向发包人支付合同价款的</w:t>
      </w:r>
      <w:permStart w:id="382"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0.2%</w:t>
      </w:r>
      <w:permEnd w:id="382"/>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作为违约金(连续违约可累计计算)；承包人采取整改措施后仍出现质量问题的，发包人有权部分解除合同，将该分项工程另行发包，并不免除承包人应承担的违约赔偿责任。</w:t>
      </w:r>
    </w:p>
    <w:p w14:paraId="40B2B587">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2）工程竣工验收达不到合同约定的质量标准的，承包人向发包人支付审定结算总价的</w:t>
      </w:r>
      <w:permStart w:id="383"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2%</w:t>
      </w:r>
      <w:permEnd w:id="383"/>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w:t>
      </w:r>
    </w:p>
    <w:p w14:paraId="0AADCCA2">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3）施工期和工程保修期内发现重大质量不合格问题，承包人必须在规定的期限返工并达到合同约定的质量等级，并按该不合格项目所处分项工程造价的</w:t>
      </w:r>
      <w:permStart w:id="384"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5%</w:t>
      </w:r>
      <w:permEnd w:id="384"/>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向发包人支付违约金。</w:t>
      </w:r>
    </w:p>
    <w:p w14:paraId="58098236">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4）由于承包人原因造成工程质量不合格，由此引起返工的一切费用由承包人自行承担，若因此带给其他项目(专业)的承包人连带损失时，一切赔偿责任由本工程承包人承担；造成发包人被他人索赔时，承包人应赔偿发包人因此遭受的损失。</w:t>
      </w:r>
    </w:p>
    <w:p w14:paraId="496F9D44">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5）承包人必须保证用于本合同工程所有的材料设备的品牌、型号、规格、质量等符合本合同及招投标文件的要求，严禁假冒伪劣产品，严禁以次充好，严禁未经发包人批准即以其他产品(包括承包人的产品)顶替本合同及招投标文件中规定的产品。承包人在施工中偷工减料、使用不合格的建筑材料、建筑构配件或设备、不按照工程设计图纸、施工技术标准施工，或者未对建筑材料、建筑构配件、设备、商品混凝土进行检验，或者未对涉及结构安全的试块、试件以及有关材料取样送检的，应负责无偿修理或返工，并应就每处不符合要求的行为向发包人支付合同价款的</w:t>
      </w:r>
      <w:permStart w:id="385"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1% </w:t>
      </w:r>
      <w:permEnd w:id="385"/>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w:t>
      </w:r>
    </w:p>
    <w:p w14:paraId="33C1CC4E">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6）若承包人在投标文件中已承诺本标段所有单位工程验收均达到优良等级，但在验收时未全部达到优良等级的，应支付合同价款</w:t>
      </w:r>
      <w:permStart w:id="386"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2%</w:t>
      </w:r>
      <w:permEnd w:id="386"/>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的违约金给发包人。</w:t>
      </w:r>
    </w:p>
    <w:p w14:paraId="14CAE9BC">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承包人违反第51.4款的约定，未经监理工程师批准，私自将已按合同约定进入施工场地的施工设备、临时设施或材料撤离施工场地，监理工程师可向承包人发出整改通知，要求其在指定的期限内改正。承包人应承担其违约所引起的费用增加和（或）工期延误。</w:t>
      </w:r>
    </w:p>
    <w:p w14:paraId="3FEE12C0">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（42）项目管理机构人员、机械设备、劳动力到位方面的违约责任</w:t>
      </w:r>
    </w:p>
    <w:p w14:paraId="14EB4909">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1）如果承包人未按投标文件中的机械设备投入计划投入机械设备，经监理工程师或发包人代表检查发现的，将书面告知限期整改，未在限期内完成整改的，每延期一天，承包人需支付</w:t>
      </w:r>
      <w:permStart w:id="387"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3000元 </w:t>
      </w:r>
      <w:permEnd w:id="387"/>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违约金给发包人。</w:t>
      </w:r>
    </w:p>
    <w:p w14:paraId="5217D119">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2）如果承包人未按投标文件中的人力投入计划投入人力，经监理工程师和发包人代表检查发现的，每发现一次，承包人向发包人支付</w:t>
      </w:r>
      <w:permStart w:id="388"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3000元 </w:t>
      </w:r>
      <w:permEnd w:id="388"/>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w:t>
      </w:r>
    </w:p>
    <w:p w14:paraId="340BC9E8">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3）如果检查发现承包人超过三次未按承诺投入的人力、机械、物力组织施工，发包人将作为不良纪录报区建设行政主管部门备案。如果检查发现承包人没有按施工组织设计的进度安排推进工程建设，使主要工序的工期延误超过10天，没有按发包人的意见撤换现场负责人；或者按发包人的意见撤换现场负责人后，仍然无法有效控制工程进度，发包人将发出书面警告，警告发出后15天内，主要工序的工期延误仍然超过10天，发包人将作为不良纪录报区、市建设行政主管部门备案。对此，承包人不得有异议。</w:t>
      </w:r>
    </w:p>
    <w:p w14:paraId="194AE03F">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4）承包人代表、项目技术负责人、安全负责人、质量负责人、防火负责人等必须常驻施工现场，且须无条件参加每周的工地例会以及双方约定的其他重要会议，如有缺席，则每人每缺席一次，承包人向发包人支付</w:t>
      </w:r>
      <w:permStart w:id="389"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5000元 </w:t>
      </w:r>
      <w:permEnd w:id="389"/>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人民币作为违约金。</w:t>
      </w:r>
    </w:p>
    <w:p w14:paraId="06915F5B">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（43）工程违法分包、转包违约责任</w:t>
      </w:r>
    </w:p>
    <w:p w14:paraId="1F37A9EE">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1）承包人在本工程中擅自分包、违法分包或者转包工程、转让、出借资质证书或者以其他方式允许他人以本企业的名义承揽工程的，或者私自将合同的全部或部分权利转让给其他人，或者私自将合同的全部或部分义务转移给其他人的，须向发包人支付合同价款的</w:t>
      </w:r>
      <w:permStart w:id="390"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1.5‰ </w:t>
      </w:r>
      <w:permEnd w:id="390"/>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作为违约金，同时，发包人有权单方解除部分合同或解除合同，由此而造成的经济损失由承包人负责赔偿。</w:t>
      </w:r>
    </w:p>
    <w:p w14:paraId="07C22722">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2）分包工程应当事先需取得监理工程师、发包人的审查同意后方可进场施工。否则，发包人有权单方面终止合同，并令其立即退场，工程项目另行处理，承包人还应按履约担保金额支付违约金，发包人的损失超过履约担保金额的部分，承包人还应承担赔偿责任。</w:t>
      </w:r>
    </w:p>
    <w:p w14:paraId="16918964">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（44）承包人违约责任的认定方式、送达程序及违约金的处理</w:t>
      </w:r>
    </w:p>
    <w:p w14:paraId="5D35EF4F">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1）认定方式：以发包人发出的通知、通报、会议纪要等书面文件确定的内容为准。</w:t>
      </w:r>
    </w:p>
    <w:p w14:paraId="4CA9F3BA">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2）送达程序：发包人以下列方式之一将书面违约处理决定送达承包人：</w:t>
      </w:r>
    </w:p>
    <w:p w14:paraId="26E35BCC">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①承包人现场管理机构工作人员签收。</w:t>
      </w:r>
    </w:p>
    <w:p w14:paraId="7DF705C2">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②承包人其他工作人员签收。</w:t>
      </w:r>
    </w:p>
    <w:p w14:paraId="7D0355F3">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③发包人邮寄送达。</w:t>
      </w:r>
    </w:p>
    <w:p w14:paraId="0DEF2C0B">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发包人以书面形式作出的违约处理决定一经送达承包人立即生效。承包人如有足够证据证明不应由其承担违约责任的，应在收到违约处理决定后3天内以书面形式向发包人提出异议并附上有关证据。发包人在收到承包人的异议后15个工作日内审核完毕且作出书面决定并通知承包人。在异议审核期间，承包人须正常施工，不得以审核未确定为由拖延或者中止工程施工。</w:t>
      </w:r>
    </w:p>
    <w:p w14:paraId="4065732A">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（45）如发现承包人所提交的竣工图、工程量及结算资料存在弄虚作假等情形的，无论何时发包人均保留追究承包人相应违约责任及相关法律责任的权利。</w:t>
      </w:r>
    </w:p>
    <w:p w14:paraId="0273787E">
      <w:pPr>
        <w:numPr>
          <w:ilvl w:val="0"/>
          <w:numId w:val="0"/>
        </w:numPr>
        <w:spacing w:line="420" w:lineRule="exac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（46）承包人的其他违约责任。</w:t>
      </w:r>
    </w:p>
    <w:p w14:paraId="1F097D91">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除上述违约责任外，因承包人履行本合同不符合约定或相关规定，发包人可根据实际情况，给予承包人通报批评及作不良记录等处罚措施；监理工程师可向承包人发出整改通知，要求其在指定的期限内纠正。同时，承包人须向发包人支付合同价款的</w:t>
      </w:r>
      <w:permStart w:id="391" w:edGrp="everyone"/>
      <w:r>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t xml:space="preserve"> 0.1% </w:t>
      </w:r>
      <w:permEnd w:id="391"/>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作为违约金，并承担其违约所引起的费用增加和(或)工期延误。</w:t>
      </w:r>
    </w:p>
    <w:p w14:paraId="77AE4811">
      <w:pPr>
        <w:widowControl w:val="0"/>
        <w:adjustRightInd w:val="0"/>
        <w:spacing w:line="420" w:lineRule="exact"/>
        <w:ind w:firstLine="480" w:firstLineChars="20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47）因施工产生的施工扰民、影响居民出行、缺水缺压、水质异常、漏水或扬尘排放物污染环境等问题（工单），施工单位应安排专人在自来水公司及政府部门相关要求回复的时限内联系用户并解决问题，因施工单位原因未及时处理，或用户评价结果出现不满意或非常不满意需重新办理的，按每起500元作为扣罚。情节严重的（不回复处理、发生居民舆论事件、对发包人造成企业不良影响等），发包人有权就其所遭受的实际经济损失向承包人追偿，并承担1次一般违约责任。</w:t>
      </w:r>
    </w:p>
    <w:p w14:paraId="1AABD882">
      <w:pPr>
        <w:widowControl w:val="0"/>
        <w:adjustRightInd w:val="0"/>
        <w:spacing w:line="420" w:lineRule="exact"/>
        <w:ind w:firstLine="0"/>
        <w:jc w:val="both"/>
        <w:textAlignment w:val="baseline"/>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p>
    <w:p w14:paraId="405367BD">
      <w:pPr>
        <w:widowControl w:val="0"/>
        <w:adjustRightInd w:val="0"/>
        <w:spacing w:line="420" w:lineRule="exact"/>
        <w:ind w:firstLine="0"/>
        <w:jc w:val="both"/>
        <w:textAlignment w:val="baseline"/>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4"/>
          <w:szCs w:val="24"/>
          <w:highlight w:val="none"/>
          <w:lang w:val="en-US" w:eastAsia="zh-CN" w:bidi="ar-SA"/>
          <w14:textFill>
            <w14:solidFill>
              <w14:schemeClr w14:val="tx1"/>
            </w14:solidFill>
          </w14:textFill>
        </w:rPr>
        <w:t>91. 发包人的违约责任</w:t>
      </w:r>
    </w:p>
    <w:p w14:paraId="76657C77">
      <w:pPr>
        <w:numPr>
          <w:ilvl w:val="0"/>
          <w:numId w:val="0"/>
        </w:num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发包人未能按合同约定支付预付款或合同价款，或拖延、拒绝批准付款申请和支付凭证，导致付款延误的，承包人可向发包人发出通知，要求发包人采取有效措施纠正违约行为。发包人收到承包人通知后的28天内仍不履行合同义务，承包人有权暂停施工，并通知监理工程师，发包人应承担由此增加的费用和（或）工期延误，并支付承包人合理利润。</w:t>
      </w:r>
    </w:p>
    <w:p w14:paraId="023DC175">
      <w:pPr>
        <w:numPr>
          <w:ilvl w:val="0"/>
          <w:numId w:val="0"/>
        </w:num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发包人原因造成停工的，承包人可向发包人发出通知，要求发包人采取有效措施纠正违约行为。发包人收到承包人通知后的28天内仍不履行合同义务，承包人有权暂停施工，并通知监理工程师，发包人应承担由此增加的费用和（或）工期延误，并支付承包人合理利润。</w:t>
      </w:r>
    </w:p>
    <w:p w14:paraId="26DF4DBB">
      <w:pPr>
        <w:numPr>
          <w:ilvl w:val="0"/>
          <w:numId w:val="0"/>
        </w:num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监理人无正当理由没有在约定期限内发出复工指示，导致承包人无法复工的，承包人可向发包人发出通知，要求发包人采取有效措施纠正违约行为。发包人收到承包人通知后的28天内仍不履行合同义务，承包人有权暂停施工，并通知监理工程师，发包人应承担由此增加的费用和（或）工期延误，并支付承包人合理利润。</w:t>
      </w:r>
    </w:p>
    <w:p w14:paraId="30168386">
      <w:pPr>
        <w:numPr>
          <w:ilvl w:val="0"/>
          <w:numId w:val="0"/>
        </w:num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（4）发包人无法继续履行或明确表示不履行或实质上已停止履行合同的，承包人可书面通知发包人解除合同。</w:t>
      </w:r>
    </w:p>
    <w:p w14:paraId="423938DD">
      <w:pPr>
        <w:numPr>
          <w:ilvl w:val="0"/>
          <w:numId w:val="0"/>
        </w:num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（5）承包人暂停施工28天后，发包人仍不纠正违约行为的，承包人可向发包人发出解除合同通知。但承包人的这一行动不免除发包人承担的违约责任，也不影响承包人根据合同约定享有的索赔权利。</w:t>
      </w:r>
    </w:p>
    <w:p w14:paraId="5DA7F854">
      <w:pPr>
        <w:spacing w:line="42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（6）发包人的其他违约责任。</w:t>
      </w:r>
    </w:p>
    <w:p w14:paraId="724241C5">
      <w:pPr>
        <w:spacing w:line="420" w:lineRule="exact"/>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6CF5B9F2">
      <w:pPr>
        <w:spacing w:line="420" w:lineRule="exact"/>
        <w:jc w:val="lef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94. 保密要求</w:t>
      </w:r>
    </w:p>
    <w:p w14:paraId="592563F4">
      <w:pPr>
        <w:spacing w:line="420" w:lineRule="exact"/>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94.1 提供保密信息的期限：</w:t>
      </w:r>
      <w:permStart w:id="39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直至保密信息被发包人披露为止</w:t>
      </w:r>
      <w:r>
        <w:rPr>
          <w:rFonts w:hint="eastAsia" w:ascii="仿宋_GB2312" w:hAnsi="仿宋_GB2312" w:eastAsia="仿宋_GB2312" w:cs="仿宋_GB2312"/>
          <w:color w:val="000000" w:themeColor="text1"/>
          <w:kern w:val="0"/>
          <w:sz w:val="24"/>
          <w:szCs w:val="24"/>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92"/>
    </w:p>
    <w:p w14:paraId="62A2948D">
      <w:pPr>
        <w:spacing w:line="420" w:lineRule="exac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
    <w:p w14:paraId="7D1785AE">
      <w:pPr>
        <w:spacing w:line="420" w:lineRule="exact"/>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97. 合同份数</w:t>
      </w:r>
    </w:p>
    <w:p w14:paraId="379F42B6">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97.1 约定提供合同文件</w:t>
      </w:r>
    </w:p>
    <w:p w14:paraId="21370B83">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提供合同文本：</w:t>
      </w:r>
    </w:p>
    <w:p w14:paraId="4A9AA82A">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2"/>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按通用条款的规定，由发包人向承包人提供。</w:t>
      </w:r>
    </w:p>
    <w:p w14:paraId="7E926A06">
      <w:pPr>
        <w:spacing w:line="420" w:lineRule="exact"/>
        <w:ind w:firstLine="240" w:firstLineChars="1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另有约定：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
    <w:p w14:paraId="02E58E6A">
      <w:pPr>
        <w:spacing w:line="42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97.2 正副本效力</w:t>
      </w:r>
    </w:p>
    <w:p w14:paraId="6456C21A">
      <w:pPr>
        <w:spacing w:line="420" w:lineRule="exact"/>
        <w:ind w:left="218" w:leftChars="104"/>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合同的份数：正本</w:t>
      </w:r>
      <w:permStart w:id="39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贰 </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9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份，副本</w:t>
      </w:r>
      <w:permStart w:id="394"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叁  </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94"/>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份。其中：发包人正本</w:t>
      </w:r>
      <w:permStart w:id="39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壹</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9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份，副本</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壹</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份；承包人正本</w:t>
      </w:r>
      <w:permStart w:id="39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贰 </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9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份，副本</w:t>
      </w:r>
      <w:permStart w:id="397"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壹</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39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份。</w:t>
      </w:r>
    </w:p>
    <w:p w14:paraId="483E99F1">
      <w:pPr>
        <w:keepNext w:val="0"/>
        <w:keepLines w:val="0"/>
        <w:widowControl/>
        <w:numPr>
          <w:ilvl w:val="0"/>
          <w:numId w:val="0"/>
        </w:numPr>
        <w:tabs>
          <w:tab w:val="left" w:pos="420"/>
        </w:tabs>
        <w:spacing w:before="0" w:after="0" w:line="420" w:lineRule="exact"/>
        <w:ind w:left="0" w:firstLine="0"/>
        <w:jc w:val="center"/>
        <w:outlineLvl w:val="9"/>
        <w:rPr>
          <w:rFonts w:ascii="方正黑体_GBK" w:hAnsi="方正黑体_GBK" w:eastAsia="方正黑体_GBK" w:cs="方正黑体_GBK"/>
          <w:b/>
          <w:bCs/>
          <w:color w:val="000000" w:themeColor="text1"/>
          <w:kern w:val="0"/>
          <w:sz w:val="28"/>
          <w:szCs w:val="28"/>
          <w:highlight w:val="none"/>
          <w:lang w:val="en-US" w:eastAsia="zh-CN" w:bidi="ar-SA"/>
          <w14:textFill>
            <w14:solidFill>
              <w14:schemeClr w14:val="tx1"/>
            </w14:solidFill>
          </w14:textFill>
        </w:rPr>
      </w:pPr>
      <w:r>
        <w:rPr>
          <w:rFonts w:hint="eastAsia" w:ascii="方正黑体_GBK" w:hAnsi="方正黑体_GBK" w:eastAsia="方正黑体_GBK" w:cs="方正黑体_GBK"/>
          <w:b/>
          <w:bCs/>
          <w:color w:val="000000" w:themeColor="text1"/>
          <w:szCs w:val="21"/>
          <w:highlight w:val="none"/>
          <w14:textFill>
            <w14:solidFill>
              <w14:schemeClr w14:val="tx1"/>
            </w14:solidFill>
          </w14:textFill>
        </w:rPr>
        <w:br w:type="page"/>
      </w:r>
    </w:p>
    <w:p w14:paraId="4330B7DF">
      <w:pPr>
        <w:keepNext/>
        <w:keepLines/>
        <w:widowControl/>
        <w:numPr>
          <w:ilvl w:val="0"/>
          <w:numId w:val="0"/>
        </w:numPr>
        <w:tabs>
          <w:tab w:val="left" w:pos="420"/>
        </w:tabs>
        <w:spacing w:before="0" w:after="0"/>
        <w:ind w:left="432" w:hanging="432"/>
        <w:jc w:val="center"/>
        <w:outlineLvl w:val="0"/>
        <w:rPr>
          <w:rFonts w:hint="eastAsia" w:ascii="方正小标宋简体" w:hAnsi="方正小标宋简体" w:eastAsia="方正小标宋简体" w:cs="方正小标宋简体"/>
          <w:b w:val="0"/>
          <w:bCs w:val="0"/>
          <w:color w:val="000000" w:themeColor="text1"/>
          <w:kern w:val="0"/>
          <w:sz w:val="32"/>
          <w:szCs w:val="32"/>
          <w:highlight w:val="none"/>
          <w:lang w:val="en-US" w:eastAsia="zh-CN" w:bidi="ar-SA"/>
          <w14:textFill>
            <w14:solidFill>
              <w14:schemeClr w14:val="tx1"/>
            </w14:solidFill>
          </w14:textFill>
        </w:rPr>
      </w:pPr>
      <w:bookmarkStart w:id="570" w:name="_Toc2241"/>
      <w:bookmarkStart w:id="571" w:name="_Toc6946"/>
      <w:bookmarkStart w:id="572" w:name="_Toc27956"/>
      <w:bookmarkStart w:id="573" w:name="_Toc16561"/>
      <w:bookmarkStart w:id="574" w:name="_Toc13450"/>
      <w:bookmarkStart w:id="575" w:name="_Toc23676"/>
      <w:r>
        <w:rPr>
          <w:rFonts w:hint="eastAsia" w:ascii="方正小标宋简体" w:hAnsi="方正小标宋简体" w:eastAsia="方正小标宋简体" w:cs="方正小标宋简体"/>
          <w:b w:val="0"/>
          <w:bCs w:val="0"/>
          <w:color w:val="000000" w:themeColor="text1"/>
          <w:kern w:val="0"/>
          <w:sz w:val="32"/>
          <w:szCs w:val="32"/>
          <w:highlight w:val="none"/>
          <w:lang w:val="en-US" w:eastAsia="zh-CN" w:bidi="ar-SA"/>
          <w14:textFill>
            <w14:solidFill>
              <w14:schemeClr w14:val="tx1"/>
            </w14:solidFill>
          </w14:textFill>
        </w:rPr>
        <w:t>第四部分 附件与格式</w:t>
      </w:r>
      <w:bookmarkEnd w:id="570"/>
      <w:bookmarkEnd w:id="571"/>
      <w:bookmarkEnd w:id="572"/>
      <w:bookmarkEnd w:id="573"/>
      <w:bookmarkEnd w:id="574"/>
      <w:bookmarkEnd w:id="575"/>
    </w:p>
    <w:p w14:paraId="0F2EDF41">
      <w:pPr>
        <w:spacing w:line="560" w:lineRule="exact"/>
        <w:ind w:firstLine="640" w:firstLineChars="200"/>
        <w:rPr>
          <w:rFonts w:ascii="仿宋_GB2312" w:hAnsi="宋体" w:eastAsia="仿宋_GB2312" w:cs="宋体"/>
          <w:color w:val="000000" w:themeColor="text1"/>
          <w:kern w:val="0"/>
          <w:sz w:val="32"/>
          <w:szCs w:val="32"/>
          <w:highlight w:val="none"/>
          <w14:textFill>
            <w14:solidFill>
              <w14:schemeClr w14:val="tx1"/>
            </w14:solidFill>
          </w14:textFill>
        </w:rPr>
      </w:pPr>
    </w:p>
    <w:p w14:paraId="745AC868">
      <w:pPr>
        <w:spacing w:line="560" w:lineRule="exact"/>
        <w:ind w:firstLine="480" w:firstLineChars="200"/>
        <w:rPr>
          <w:rFonts w:ascii="仿宋_GB2312" w:hAnsi="宋体" w:eastAsia="仿宋_GB2312" w:cs="宋体"/>
          <w:strike/>
          <w:color w:val="000000" w:themeColor="text1"/>
          <w:kern w:val="0"/>
          <w:sz w:val="24"/>
          <w:szCs w:val="24"/>
          <w:highlight w:val="none"/>
          <w14:textFill>
            <w14:solidFill>
              <w14:schemeClr w14:val="tx1"/>
            </w14:solidFill>
          </w14:textFill>
        </w:rPr>
      </w:pPr>
      <w:permStart w:id="398" w:edGrp="everyone"/>
      <w:r>
        <w:rPr>
          <w:rFonts w:hint="eastAsia" w:ascii="仿宋_GB2312" w:hAnsi="宋体" w:eastAsia="仿宋_GB2312" w:cs="宋体"/>
          <w:strike/>
          <w:color w:val="000000" w:themeColor="text1"/>
          <w:kern w:val="0"/>
          <w:sz w:val="24"/>
          <w:szCs w:val="24"/>
          <w:highlight w:val="none"/>
          <w14:textFill>
            <w14:solidFill>
              <w14:schemeClr w14:val="tx1"/>
            </w14:solidFill>
          </w14:textFill>
        </w:rPr>
        <w:t>附件1联合体施工协议书</w:t>
      </w:r>
    </w:p>
    <w:p w14:paraId="385B14D8">
      <w:pPr>
        <w:spacing w:line="56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附件2</w:t>
      </w:r>
      <w:r>
        <w:rPr>
          <w:rFonts w:hint="eastAsia" w:ascii="仿宋_GB2312" w:hAnsi="宋体" w:eastAsia="仿宋_GB2312" w:cs="宋体"/>
          <w:color w:val="000000" w:themeColor="text1"/>
          <w:kern w:val="0"/>
          <w:sz w:val="24"/>
          <w:szCs w:val="24"/>
          <w:highlight w:val="none"/>
          <w:lang w:val="en-US" w:eastAsia="zh-CN"/>
          <w14:textFill>
            <w14:solidFill>
              <w14:schemeClr w14:val="tx1"/>
            </w14:solidFill>
          </w14:textFill>
        </w:rPr>
        <w:t>项目管理机构组成表</w:t>
      </w:r>
    </w:p>
    <w:p w14:paraId="46D79C30">
      <w:pPr>
        <w:spacing w:line="560" w:lineRule="exact"/>
        <w:ind w:firstLine="480" w:firstLineChars="200"/>
        <w:rPr>
          <w:rFonts w:ascii="仿宋_GB2312" w:hAnsi="宋体" w:eastAsia="仿宋_GB2312" w:cs="宋体"/>
          <w:strike/>
          <w:color w:val="000000" w:themeColor="text1"/>
          <w:kern w:val="0"/>
          <w:sz w:val="24"/>
          <w:szCs w:val="24"/>
          <w:highlight w:val="none"/>
          <w14:textFill>
            <w14:solidFill>
              <w14:schemeClr w14:val="tx1"/>
            </w14:solidFill>
          </w14:textFill>
        </w:rPr>
      </w:pPr>
      <w:r>
        <w:rPr>
          <w:rFonts w:hint="eastAsia" w:ascii="仿宋_GB2312" w:hAnsi="宋体" w:eastAsia="仿宋_GB2312" w:cs="宋体"/>
          <w:strike w:val="0"/>
          <w:color w:val="000000" w:themeColor="text1"/>
          <w:kern w:val="0"/>
          <w:sz w:val="24"/>
          <w:szCs w:val="24"/>
          <w:highlight w:val="none"/>
          <w14:textFill>
            <w14:solidFill>
              <w14:schemeClr w14:val="tx1"/>
            </w14:solidFill>
          </w14:textFill>
        </w:rPr>
        <w:t>附件3</w:t>
      </w:r>
      <w:r>
        <w:rPr>
          <w:rFonts w:hint="eastAsia" w:ascii="仿宋_GB2312" w:hAnsi="宋体" w:eastAsia="仿宋_GB2312" w:cs="宋体"/>
          <w:color w:val="000000" w:themeColor="text1"/>
          <w:kern w:val="0"/>
          <w:sz w:val="24"/>
          <w:szCs w:val="24"/>
          <w:highlight w:val="none"/>
          <w:lang w:val="en-US" w:eastAsia="zh-CN"/>
          <w14:textFill>
            <w14:solidFill>
              <w14:schemeClr w14:val="tx1"/>
            </w14:solidFill>
          </w14:textFill>
        </w:rPr>
        <w:t>甲供主材清单</w:t>
      </w:r>
    </w:p>
    <w:p w14:paraId="21F20B61">
      <w:pPr>
        <w:spacing w:line="56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附件4工程质量保修书</w:t>
      </w:r>
    </w:p>
    <w:p w14:paraId="7AB2AA48">
      <w:pPr>
        <w:spacing w:line="56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附件5工程项目安全生产管理协议书</w:t>
      </w:r>
    </w:p>
    <w:p w14:paraId="16E0CCF5">
      <w:pPr>
        <w:spacing w:line="56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附件6廉洁责任书</w:t>
      </w:r>
    </w:p>
    <w:p w14:paraId="2AC4F7DE">
      <w:pPr>
        <w:spacing w:line="560" w:lineRule="exact"/>
        <w:ind w:firstLine="484" w:firstLineChars="200"/>
        <w:rPr>
          <w:rFonts w:ascii="仿宋_GB2312" w:hAnsi="Calibri" w:eastAsia="仿宋_GB2312" w:cs="宋体"/>
          <w:color w:val="000000" w:themeColor="text1"/>
          <w:spacing w:val="1"/>
          <w:kern w:val="0"/>
          <w:sz w:val="24"/>
          <w:szCs w:val="24"/>
          <w:highlight w:val="none"/>
          <w14:textFill>
            <w14:solidFill>
              <w14:schemeClr w14:val="tx1"/>
            </w14:solidFill>
          </w14:textFill>
        </w:rPr>
      </w:pPr>
      <w:r>
        <w:rPr>
          <w:rFonts w:hint="eastAsia" w:ascii="仿宋_GB2312" w:hAnsi="Calibri" w:eastAsia="仿宋_GB2312" w:cs="宋体"/>
          <w:color w:val="000000" w:themeColor="text1"/>
          <w:spacing w:val="1"/>
          <w:kern w:val="0"/>
          <w:sz w:val="24"/>
          <w:szCs w:val="24"/>
          <w:highlight w:val="none"/>
          <w14:textFill>
            <w14:solidFill>
              <w14:schemeClr w14:val="tx1"/>
            </w14:solidFill>
          </w14:textFill>
        </w:rPr>
        <w:t>附件7建设工程</w:t>
      </w:r>
      <w:r>
        <w:rPr>
          <w:rFonts w:hint="eastAsia" w:ascii="仿宋_GB2312" w:hAnsi="仿宋_GB2312" w:eastAsia="仿宋_GB2312" w:cs="仿宋_GB2312"/>
          <w:strike w:val="0"/>
          <w:color w:val="000000" w:themeColor="text1"/>
          <w:sz w:val="24"/>
          <w:szCs w:val="24"/>
          <w:highlight w:val="none"/>
          <w14:textFill>
            <w14:solidFill>
              <w14:schemeClr w14:val="tx1"/>
            </w14:solidFill>
          </w14:textFill>
        </w:rPr>
        <w:t>绿色施工安全防护</w:t>
      </w:r>
      <w:r>
        <w:rPr>
          <w:rFonts w:hint="eastAsia" w:ascii="仿宋_GB2312" w:hAnsi="Calibri" w:eastAsia="仿宋_GB2312" w:cs="宋体"/>
          <w:color w:val="000000" w:themeColor="text1"/>
          <w:spacing w:val="1"/>
          <w:kern w:val="0"/>
          <w:sz w:val="24"/>
          <w:szCs w:val="24"/>
          <w:highlight w:val="none"/>
          <w14:textFill>
            <w14:solidFill>
              <w14:schemeClr w14:val="tx1"/>
            </w14:solidFill>
          </w14:textFill>
        </w:rPr>
        <w:t>措施费协议书</w:t>
      </w:r>
    </w:p>
    <w:p w14:paraId="18EC23D1">
      <w:pPr>
        <w:spacing w:line="560" w:lineRule="exact"/>
        <w:ind w:firstLine="484" w:firstLineChars="200"/>
        <w:rPr>
          <w:rFonts w:ascii="仿宋_GB2312" w:hAnsi="Calibri" w:eastAsia="仿宋_GB2312" w:cs="宋体"/>
          <w:color w:val="000000" w:themeColor="text1"/>
          <w:spacing w:val="1"/>
          <w:kern w:val="0"/>
          <w:sz w:val="24"/>
          <w:szCs w:val="24"/>
          <w:highlight w:val="none"/>
          <w14:textFill>
            <w14:solidFill>
              <w14:schemeClr w14:val="tx1"/>
            </w14:solidFill>
          </w14:textFill>
        </w:rPr>
      </w:pPr>
      <w:r>
        <w:rPr>
          <w:rFonts w:hint="eastAsia" w:ascii="仿宋_GB2312" w:hAnsi="Calibri" w:eastAsia="仿宋_GB2312" w:cs="宋体"/>
          <w:color w:val="000000" w:themeColor="text1"/>
          <w:spacing w:val="1"/>
          <w:kern w:val="0"/>
          <w:sz w:val="24"/>
          <w:szCs w:val="24"/>
          <w:highlight w:val="none"/>
          <w14:textFill>
            <w14:solidFill>
              <w14:schemeClr w14:val="tx1"/>
            </w14:solidFill>
          </w14:textFill>
        </w:rPr>
        <w:t>附件8环保承诺书</w:t>
      </w:r>
    </w:p>
    <w:p w14:paraId="6D6810FF">
      <w:pPr>
        <w:spacing w:line="560" w:lineRule="exact"/>
        <w:ind w:firstLine="484" w:firstLineChars="200"/>
        <w:rPr>
          <w:rFonts w:ascii="仿宋_GB2312" w:hAnsi="Calibri" w:eastAsia="仿宋_GB2312" w:cs="宋体"/>
          <w:color w:val="000000" w:themeColor="text1"/>
          <w:spacing w:val="1"/>
          <w:kern w:val="0"/>
          <w:sz w:val="24"/>
          <w:szCs w:val="24"/>
          <w:highlight w:val="none"/>
          <w14:textFill>
            <w14:solidFill>
              <w14:schemeClr w14:val="tx1"/>
            </w14:solidFill>
          </w14:textFill>
        </w:rPr>
      </w:pPr>
      <w:r>
        <w:rPr>
          <w:rFonts w:hint="eastAsia" w:ascii="仿宋_GB2312" w:hAnsi="Calibri" w:eastAsia="仿宋_GB2312" w:cs="宋体"/>
          <w:color w:val="000000" w:themeColor="text1"/>
          <w:spacing w:val="1"/>
          <w:kern w:val="0"/>
          <w:sz w:val="24"/>
          <w:szCs w:val="24"/>
          <w:highlight w:val="none"/>
          <w14:textFill>
            <w14:solidFill>
              <w14:schemeClr w14:val="tx1"/>
            </w14:solidFill>
          </w14:textFill>
        </w:rPr>
        <w:t>附件9外来人员工作证样式</w:t>
      </w:r>
    </w:p>
    <w:p w14:paraId="3A80953F">
      <w:pPr>
        <w:spacing w:line="560" w:lineRule="exact"/>
        <w:ind w:firstLine="484" w:firstLineChars="200"/>
        <w:rPr>
          <w:rFonts w:ascii="仿宋_GB2312" w:hAnsi="Calibri" w:eastAsia="仿宋_GB2312" w:cs="宋体"/>
          <w:color w:val="000000" w:themeColor="text1"/>
          <w:spacing w:val="1"/>
          <w:kern w:val="0"/>
          <w:sz w:val="24"/>
          <w:szCs w:val="24"/>
          <w:highlight w:val="none"/>
          <w14:textFill>
            <w14:solidFill>
              <w14:schemeClr w14:val="tx1"/>
            </w14:solidFill>
          </w14:textFill>
        </w:rPr>
      </w:pPr>
      <w:r>
        <w:rPr>
          <w:rFonts w:hint="eastAsia" w:ascii="仿宋_GB2312" w:hAnsi="Calibri" w:eastAsia="仿宋_GB2312" w:cs="宋体"/>
          <w:color w:val="000000" w:themeColor="text1"/>
          <w:spacing w:val="1"/>
          <w:kern w:val="0"/>
          <w:sz w:val="24"/>
          <w:szCs w:val="24"/>
          <w:highlight w:val="none"/>
          <w14:textFill>
            <w14:solidFill>
              <w14:schemeClr w14:val="tx1"/>
            </w14:solidFill>
          </w14:textFill>
        </w:rPr>
        <w:t>附件10施工现场安全管理处罚细则</w:t>
      </w:r>
    </w:p>
    <w:p w14:paraId="26B73A9A">
      <w:pPr>
        <w:spacing w:line="560" w:lineRule="exact"/>
        <w:ind w:firstLine="484" w:firstLineChars="200"/>
        <w:rPr>
          <w:rFonts w:ascii="仿宋_GB2312" w:hAnsi="Calibri" w:eastAsia="仿宋_GB2312" w:cs="宋体"/>
          <w:color w:val="000000" w:themeColor="text1"/>
          <w:spacing w:val="1"/>
          <w:kern w:val="0"/>
          <w:sz w:val="24"/>
          <w:szCs w:val="24"/>
          <w:highlight w:val="none"/>
          <w14:textFill>
            <w14:solidFill>
              <w14:schemeClr w14:val="tx1"/>
            </w14:solidFill>
          </w14:textFill>
        </w:rPr>
      </w:pPr>
      <w:r>
        <w:rPr>
          <w:rFonts w:hint="eastAsia" w:ascii="仿宋_GB2312" w:hAnsi="Calibri" w:eastAsia="仿宋_GB2312" w:cs="宋体"/>
          <w:color w:val="000000" w:themeColor="text1"/>
          <w:spacing w:val="1"/>
          <w:kern w:val="0"/>
          <w:sz w:val="24"/>
          <w:szCs w:val="24"/>
          <w:highlight w:val="none"/>
          <w14:textFill>
            <w14:solidFill>
              <w14:schemeClr w14:val="tx1"/>
            </w14:solidFill>
          </w14:textFill>
        </w:rPr>
        <w:t xml:space="preserve">附件11日间施工标准化清单 </w:t>
      </w:r>
    </w:p>
    <w:p w14:paraId="027EFC65">
      <w:pPr>
        <w:spacing w:line="560" w:lineRule="exact"/>
        <w:ind w:firstLine="484" w:firstLineChars="200"/>
        <w:rPr>
          <w:rFonts w:ascii="仿宋_GB2312" w:hAnsi="Calibri" w:eastAsia="仿宋_GB2312" w:cs="Calibri"/>
          <w:color w:val="000000" w:themeColor="text1"/>
          <w:kern w:val="0"/>
          <w:sz w:val="24"/>
          <w:szCs w:val="24"/>
          <w:highlight w:val="none"/>
          <w14:textFill>
            <w14:solidFill>
              <w14:schemeClr w14:val="tx1"/>
            </w14:solidFill>
          </w14:textFill>
        </w:rPr>
      </w:pPr>
      <w:r>
        <w:rPr>
          <w:rFonts w:hint="eastAsia" w:ascii="仿宋_GB2312" w:hAnsi="Calibri" w:eastAsia="仿宋_GB2312" w:cs="宋体"/>
          <w:color w:val="000000" w:themeColor="text1"/>
          <w:spacing w:val="1"/>
          <w:kern w:val="0"/>
          <w:sz w:val="24"/>
          <w:szCs w:val="24"/>
          <w:highlight w:val="none"/>
          <w14:textFill>
            <w14:solidFill>
              <w14:schemeClr w14:val="tx1"/>
            </w14:solidFill>
          </w14:textFill>
        </w:rPr>
        <w:t>附件12夜间施工标准化清单</w:t>
      </w:r>
    </w:p>
    <w:p w14:paraId="2DD0F5A8">
      <w:pPr>
        <w:spacing w:line="560" w:lineRule="exact"/>
        <w:ind w:firstLine="484" w:firstLineChars="200"/>
        <w:jc w:val="left"/>
        <w:rPr>
          <w:rFonts w:hint="eastAsia" w:ascii="仿宋_GB2312" w:hAnsi="Calibri" w:eastAsia="仿宋_GB2312" w:cs="宋体"/>
          <w:color w:val="000000" w:themeColor="text1"/>
          <w:spacing w:val="1"/>
          <w:kern w:val="0"/>
          <w:sz w:val="24"/>
          <w:szCs w:val="24"/>
          <w:highlight w:val="none"/>
          <w:lang w:eastAsia="zh-CN"/>
          <w14:textFill>
            <w14:solidFill>
              <w14:schemeClr w14:val="tx1"/>
            </w14:solidFill>
          </w14:textFill>
        </w:rPr>
      </w:pPr>
      <w:r>
        <w:rPr>
          <w:rFonts w:hint="eastAsia" w:ascii="仿宋_GB2312" w:hAnsi="Calibri" w:eastAsia="仿宋_GB2312" w:cs="宋体"/>
          <w:color w:val="000000" w:themeColor="text1"/>
          <w:spacing w:val="1"/>
          <w:kern w:val="0"/>
          <w:sz w:val="24"/>
          <w:szCs w:val="24"/>
          <w:highlight w:val="none"/>
          <w14:textFill>
            <w14:solidFill>
              <w14:schemeClr w14:val="tx1"/>
            </w14:solidFill>
          </w14:textFill>
        </w:rPr>
        <w:t>附件13拟投入的机械设备承诺函</w:t>
      </w:r>
      <w:r>
        <w:rPr>
          <w:rFonts w:hint="eastAsia" w:ascii="仿宋_GB2312" w:hAnsi="Calibri" w:eastAsia="仿宋_GB2312" w:cs="宋体"/>
          <w:color w:val="000000" w:themeColor="text1"/>
          <w:spacing w:val="1"/>
          <w:kern w:val="0"/>
          <w:sz w:val="24"/>
          <w:szCs w:val="24"/>
          <w:highlight w:val="none"/>
          <w:lang w:eastAsia="zh-CN"/>
          <w14:textFill>
            <w14:solidFill>
              <w14:schemeClr w14:val="tx1"/>
            </w14:solidFill>
          </w14:textFill>
        </w:rPr>
        <w:t>（</w:t>
      </w:r>
      <w:r>
        <w:rPr>
          <w:rFonts w:hint="eastAsia" w:ascii="仿宋_GB2312" w:hAnsi="Calibri" w:eastAsia="仿宋_GB2312" w:cs="宋体"/>
          <w:color w:val="000000" w:themeColor="text1"/>
          <w:spacing w:val="1"/>
          <w:kern w:val="0"/>
          <w:sz w:val="24"/>
          <w:szCs w:val="24"/>
          <w:highlight w:val="none"/>
          <w:lang w:val="en-US" w:eastAsia="zh-CN"/>
          <w14:textFill>
            <w14:solidFill>
              <w14:schemeClr w14:val="tx1"/>
            </w14:solidFill>
          </w14:textFill>
        </w:rPr>
        <w:t>如有</w:t>
      </w:r>
      <w:r>
        <w:rPr>
          <w:rFonts w:hint="eastAsia" w:ascii="仿宋_GB2312" w:hAnsi="Calibri" w:eastAsia="仿宋_GB2312" w:cs="宋体"/>
          <w:color w:val="000000" w:themeColor="text1"/>
          <w:spacing w:val="1"/>
          <w:kern w:val="0"/>
          <w:sz w:val="24"/>
          <w:szCs w:val="24"/>
          <w:highlight w:val="none"/>
          <w:lang w:eastAsia="zh-CN"/>
          <w14:textFill>
            <w14:solidFill>
              <w14:schemeClr w14:val="tx1"/>
            </w14:solidFill>
          </w14:textFill>
        </w:rPr>
        <w:t>）</w:t>
      </w:r>
    </w:p>
    <w:p w14:paraId="770E1B11">
      <w:pPr>
        <w:spacing w:line="560" w:lineRule="exact"/>
        <w:ind w:firstLine="484" w:firstLineChars="200"/>
        <w:jc w:val="left"/>
        <w:rPr>
          <w:rFonts w:hint="eastAsia" w:ascii="仿宋_GB2312" w:hAnsi="Calibri" w:eastAsia="仿宋_GB2312" w:cs="宋体"/>
          <w:color w:val="000000" w:themeColor="text1"/>
          <w:spacing w:val="1"/>
          <w:kern w:val="0"/>
          <w:sz w:val="24"/>
          <w:szCs w:val="24"/>
          <w:highlight w:val="none"/>
          <w14:textFill>
            <w14:solidFill>
              <w14:schemeClr w14:val="tx1"/>
            </w14:solidFill>
          </w14:textFill>
        </w:rPr>
      </w:pPr>
      <w:r>
        <w:rPr>
          <w:rFonts w:hint="eastAsia" w:ascii="仿宋_GB2312" w:hAnsi="Calibri" w:eastAsia="仿宋_GB2312" w:cs="宋体"/>
          <w:color w:val="000000" w:themeColor="text1"/>
          <w:spacing w:val="1"/>
          <w:kern w:val="0"/>
          <w:sz w:val="24"/>
          <w:szCs w:val="24"/>
          <w:highlight w:val="none"/>
          <w14:textFill>
            <w14:solidFill>
              <w14:schemeClr w14:val="tx1"/>
            </w14:solidFill>
          </w14:textFill>
        </w:rPr>
        <w:t>附件14工程竣工档案承诺书（管线工程类）</w:t>
      </w:r>
    </w:p>
    <w:p w14:paraId="6AFE9C11">
      <w:pPr>
        <w:spacing w:line="560" w:lineRule="exact"/>
        <w:ind w:firstLine="484" w:firstLineChars="200"/>
        <w:rPr>
          <w:rFonts w:ascii="仿宋_GB2312" w:hAnsi="Calibri" w:eastAsia="仿宋_GB2312" w:cs="宋体"/>
          <w:color w:val="000000" w:themeColor="text1"/>
          <w:spacing w:val="1"/>
          <w:kern w:val="0"/>
          <w:sz w:val="24"/>
          <w:szCs w:val="24"/>
          <w:highlight w:val="none"/>
          <w14:textFill>
            <w14:solidFill>
              <w14:schemeClr w14:val="tx1"/>
            </w14:solidFill>
          </w14:textFill>
        </w:rPr>
      </w:pPr>
      <w:r>
        <w:rPr>
          <w:rFonts w:hint="eastAsia" w:ascii="仿宋_GB2312" w:hAnsi="Calibri" w:eastAsia="仿宋_GB2312" w:cs="宋体"/>
          <w:color w:val="000000" w:themeColor="text1"/>
          <w:spacing w:val="1"/>
          <w:kern w:val="0"/>
          <w:sz w:val="24"/>
          <w:szCs w:val="24"/>
          <w:highlight w:val="none"/>
          <w14:textFill>
            <w14:solidFill>
              <w14:schemeClr w14:val="tx1"/>
            </w14:solidFill>
          </w14:textFill>
        </w:rPr>
        <w:t>附件1</w:t>
      </w:r>
      <w:r>
        <w:rPr>
          <w:rFonts w:hint="eastAsia" w:ascii="仿宋_GB2312" w:hAnsi="Calibri" w:eastAsia="仿宋_GB2312" w:cs="宋体"/>
          <w:color w:val="000000" w:themeColor="text1"/>
          <w:spacing w:val="1"/>
          <w:kern w:val="0"/>
          <w:sz w:val="24"/>
          <w:szCs w:val="24"/>
          <w:highlight w:val="none"/>
          <w:lang w:val="en-US" w:eastAsia="zh-CN"/>
          <w14:textFill>
            <w14:solidFill>
              <w14:schemeClr w14:val="tx1"/>
            </w14:solidFill>
          </w14:textFill>
        </w:rPr>
        <w:t>5</w:t>
      </w:r>
      <w:r>
        <w:rPr>
          <w:rFonts w:hint="eastAsia" w:ascii="仿宋_GB2312" w:hAnsi="Calibri" w:eastAsia="仿宋_GB2312" w:cs="宋体"/>
          <w:color w:val="000000" w:themeColor="text1"/>
          <w:spacing w:val="1"/>
          <w:kern w:val="0"/>
          <w:sz w:val="24"/>
          <w:szCs w:val="24"/>
          <w:highlight w:val="none"/>
          <w14:textFill>
            <w14:solidFill>
              <w14:schemeClr w14:val="tx1"/>
            </w14:solidFill>
          </w14:textFill>
        </w:rPr>
        <w:t>其他附件</w:t>
      </w:r>
    </w:p>
    <w:p w14:paraId="370F06FA">
      <w:pPr>
        <w:keepNext w:val="0"/>
        <w:keepLines w:val="0"/>
        <w:widowControl/>
        <w:spacing w:before="0" w:after="0" w:line="240" w:lineRule="auto"/>
        <w:ind w:left="0" w:firstLine="0"/>
        <w:jc w:val="left"/>
        <w:outlineLvl w:val="9"/>
        <w:rPr>
          <w:rFonts w:hint="default" w:ascii="黑体" w:hAnsi="黑体" w:eastAsia="黑体" w:cs="黑体"/>
          <w:b w:val="0"/>
          <w:bCs w:val="0"/>
          <w:strike/>
          <w:color w:val="000000" w:themeColor="text1"/>
          <w:kern w:val="0"/>
          <w:sz w:val="24"/>
          <w:szCs w:val="24"/>
          <w:highlight w:val="none"/>
          <w:lang w:val="en-US" w:eastAsia="zh-CN" w:bidi="ar-SA"/>
          <w14:textFill>
            <w14:solidFill>
              <w14:schemeClr w14:val="tx1"/>
            </w14:solidFill>
          </w14:textFill>
        </w:rPr>
      </w:pPr>
      <w:r>
        <w:rPr>
          <w:rFonts w:hint="eastAsia" w:ascii="仿宋_GB2312" w:hAnsi="Calibri" w:eastAsia="仿宋_GB2312" w:cs="宋体"/>
          <w:color w:val="000000" w:themeColor="text1"/>
          <w:spacing w:val="1"/>
          <w:kern w:val="0"/>
          <w:sz w:val="24"/>
          <w:szCs w:val="24"/>
          <w:highlight w:val="none"/>
          <w14:textFill>
            <w14:solidFill>
              <w14:schemeClr w14:val="tx1"/>
            </w14:solidFill>
          </w14:textFill>
        </w:rPr>
        <w:br w:type="page"/>
      </w:r>
      <w:r>
        <w:rPr>
          <w:rFonts w:hint="eastAsia" w:ascii="黑体" w:hAnsi="黑体" w:eastAsia="黑体" w:cs="黑体"/>
          <w:b w:val="0"/>
          <w:bCs w:val="0"/>
          <w:strike/>
          <w:color w:val="000000" w:themeColor="text1"/>
          <w:kern w:val="0"/>
          <w:sz w:val="24"/>
          <w:szCs w:val="24"/>
          <w:highlight w:val="none"/>
          <w:lang w:val="en-US" w:eastAsia="zh-CN" w:bidi="ar-SA"/>
          <w14:textFill>
            <w14:solidFill>
              <w14:schemeClr w14:val="tx1"/>
            </w14:solidFill>
          </w14:textFill>
        </w:rPr>
        <w:t>附件1</w:t>
      </w:r>
    </w:p>
    <w:p w14:paraId="07EE9A2D">
      <w:pPr>
        <w:spacing w:line="420" w:lineRule="exact"/>
        <w:rPr>
          <w:rFonts w:ascii="宋体" w:hAnsi="宋体" w:cs="宋体"/>
          <w:strike/>
          <w:color w:val="000000" w:themeColor="text1"/>
          <w:sz w:val="22"/>
          <w:szCs w:val="22"/>
          <w:highlight w:val="none"/>
          <w14:textFill>
            <w14:solidFill>
              <w14:schemeClr w14:val="tx1"/>
            </w14:solidFill>
          </w14:textFill>
        </w:rPr>
      </w:pPr>
    </w:p>
    <w:p w14:paraId="3CBB3045">
      <w:pPr>
        <w:spacing w:line="420" w:lineRule="exact"/>
        <w:jc w:val="center"/>
        <w:rPr>
          <w:rFonts w:hint="eastAsia" w:ascii="方正小标宋简体" w:hAnsi="方正小标宋简体" w:eastAsia="方正小标宋简体" w:cs="方正小标宋简体"/>
          <w:b w:val="0"/>
          <w:bCs w:val="0"/>
          <w:strike/>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strike/>
          <w:color w:val="000000" w:themeColor="text1"/>
          <w:sz w:val="32"/>
          <w:szCs w:val="32"/>
          <w:highlight w:val="none"/>
          <w14:textFill>
            <w14:solidFill>
              <w14:schemeClr w14:val="tx1"/>
            </w14:solidFill>
          </w14:textFill>
        </w:rPr>
        <w:t>联合体施工协议书</w:t>
      </w:r>
    </w:p>
    <w:p w14:paraId="6809C033">
      <w:pPr>
        <w:spacing w:line="420" w:lineRule="exact"/>
        <w:rPr>
          <w:rFonts w:ascii="宋体" w:hAnsi="宋体" w:cs="宋体"/>
          <w:strike/>
          <w:color w:val="000000" w:themeColor="text1"/>
          <w:sz w:val="22"/>
          <w:szCs w:val="22"/>
          <w:highlight w:val="none"/>
          <w14:textFill>
            <w14:solidFill>
              <w14:schemeClr w14:val="tx1"/>
            </w14:solidFill>
          </w14:textFill>
        </w:rPr>
      </w:pPr>
    </w:p>
    <w:p w14:paraId="45861E5A">
      <w:pPr>
        <w:spacing w:line="420" w:lineRule="exact"/>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甲公司（全称）：</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p>
    <w:p w14:paraId="1423D289">
      <w:pPr>
        <w:spacing w:line="420" w:lineRule="exact"/>
        <w:jc w:val="left"/>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……公司（全称）：</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p>
    <w:p w14:paraId="5E0FD1B1">
      <w:pPr>
        <w:spacing w:line="420" w:lineRule="exact"/>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丁公司（全称）：</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p>
    <w:p w14:paraId="580CBFC9">
      <w:pPr>
        <w:spacing w:line="420" w:lineRule="exact"/>
        <w:rPr>
          <w:rFonts w:hint="eastAsia" w:ascii="仿宋_GB2312" w:hAnsi="仿宋_GB2312" w:eastAsia="仿宋_GB2312" w:cs="仿宋_GB2312"/>
          <w:strike/>
          <w:color w:val="000000" w:themeColor="text1"/>
          <w:sz w:val="24"/>
          <w:szCs w:val="24"/>
          <w:highlight w:val="none"/>
          <w14:textFill>
            <w14:solidFill>
              <w14:schemeClr w14:val="tx1"/>
            </w14:solidFill>
          </w14:textFill>
        </w:rPr>
      </w:pPr>
    </w:p>
    <w:p w14:paraId="009291FD">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本协议书各方遵循平等、自愿、公平和诚实信用的原则，共同愿意组成联合体，实施、完成并保修合同工程。现就下列有关事宜，订立本协议书。</w:t>
      </w:r>
    </w:p>
    <w:p w14:paraId="72616DDA">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 xml:space="preserve">1.  </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（甲公司名称）</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为联合体主办人，</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（……公司名称）</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（丁公司名称）</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为联合体成员；</w:t>
      </w:r>
    </w:p>
    <w:p w14:paraId="57DA0336">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2.  联合体各方当事人对内部有关事项规定如下：</w:t>
      </w:r>
    </w:p>
    <w:p w14:paraId="16300BF2">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2.1  联合体由主办人负责与发包人联系；</w:t>
      </w:r>
    </w:p>
    <w:p w14:paraId="1497F773">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2.2  合同工程一切工作由联合体主办人负责组织，由联合体各方当事人按内部工作分范围具体实施；</w:t>
      </w:r>
    </w:p>
    <w:p w14:paraId="480E837F">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2.3  联合体各方当事人将严格按照招标文件的各项要求，切实执行合同工程一切合同工程文件，共同承担合同约定的一切义务，同时按照内部工作范围划分的职责，各自承担自身的责任和风险；</w:t>
      </w:r>
    </w:p>
    <w:p w14:paraId="51B708EC">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2.4  联合体各方当事人的内部工作范围划分如下：</w:t>
      </w:r>
    </w:p>
    <w:p w14:paraId="394DAC5A">
      <w:pPr>
        <w:spacing w:line="420" w:lineRule="exact"/>
        <w:ind w:firstLine="480" w:firstLineChars="200"/>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2.4.1</w:t>
      </w:r>
      <w:r>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t>（甲公司名称）承担合同工程工作内容：</w:t>
      </w:r>
      <w:r>
        <w:rPr>
          <w:rFonts w:hint="eastAsia" w:ascii="仿宋_GB2312" w:hAnsi="仿宋_GB2312" w:eastAsia="仿宋_GB2312" w:cs="仿宋_GB2312"/>
          <w:strike/>
          <w:color w:val="000000" w:themeColor="text1"/>
          <w:kern w:val="0"/>
          <w:sz w:val="24"/>
          <w:szCs w:val="24"/>
          <w:highlight w:val="none"/>
          <w:u w:val="single"/>
          <w:lang w:val="zh-CN"/>
          <w14:textFill>
            <w14:solidFill>
              <w14:schemeClr w14:val="tx1"/>
            </w14:solidFill>
          </w14:textFill>
        </w:rPr>
        <w:t xml:space="preserve">                                          </w:t>
      </w:r>
      <w:r>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t xml:space="preserve">            </w:t>
      </w:r>
    </w:p>
    <w:p w14:paraId="7B736FD7">
      <w:pPr>
        <w:spacing w:line="420" w:lineRule="exact"/>
        <w:ind w:firstLine="480" w:firstLineChars="200"/>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2.4.2</w:t>
      </w:r>
      <w:r>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t>（</w:t>
      </w:r>
      <w:r>
        <w:rPr>
          <w:rFonts w:hint="eastAsia" w:ascii="仿宋_GB2312" w:hAnsi="仿宋_GB2312" w:eastAsia="仿宋_GB2312" w:cs="仿宋_GB2312"/>
          <w:strike/>
          <w:color w:val="000000" w:themeColor="text1"/>
          <w:kern w:val="0"/>
          <w:sz w:val="24"/>
          <w:szCs w:val="24"/>
          <w:highlight w:val="none"/>
          <w14:textFill>
            <w14:solidFill>
              <w14:schemeClr w14:val="tx1"/>
            </w14:solidFill>
          </w14:textFill>
        </w:rPr>
        <w:t></w:t>
      </w:r>
      <w:r>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t>公司名称）承担合同工程工作内容：</w:t>
      </w:r>
      <w:r>
        <w:rPr>
          <w:rFonts w:hint="eastAsia" w:ascii="仿宋_GB2312" w:hAnsi="仿宋_GB2312" w:eastAsia="仿宋_GB2312" w:cs="仿宋_GB2312"/>
          <w:strike/>
          <w:color w:val="000000" w:themeColor="text1"/>
          <w:kern w:val="0"/>
          <w:sz w:val="24"/>
          <w:szCs w:val="24"/>
          <w:highlight w:val="none"/>
          <w:u w:val="single"/>
          <w:lang w:val="zh-CN"/>
          <w14:textFill>
            <w14:solidFill>
              <w14:schemeClr w14:val="tx1"/>
            </w14:solidFill>
          </w14:textFill>
        </w:rPr>
        <w:t xml:space="preserve">                                          </w:t>
      </w:r>
    </w:p>
    <w:p w14:paraId="50AD68A9">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2.4.3</w:t>
      </w:r>
      <w:r>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t>（丁公司名称）承担合同工程工作内容：</w:t>
      </w:r>
      <w:r>
        <w:rPr>
          <w:rFonts w:hint="eastAsia" w:ascii="仿宋_GB2312" w:hAnsi="仿宋_GB2312" w:eastAsia="仿宋_GB2312" w:cs="仿宋_GB2312"/>
          <w:strike/>
          <w:color w:val="000000" w:themeColor="text1"/>
          <w:kern w:val="0"/>
          <w:sz w:val="24"/>
          <w:szCs w:val="24"/>
          <w:highlight w:val="none"/>
          <w:u w:val="single"/>
          <w:lang w:val="zh-CN"/>
          <w14:textFill>
            <w14:solidFill>
              <w14:schemeClr w14:val="tx1"/>
            </w14:solidFill>
          </w14:textFill>
        </w:rPr>
        <w:t xml:space="preserve">                                                 </w:t>
      </w:r>
      <w:r>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t xml:space="preserve">   </w:t>
      </w:r>
    </w:p>
    <w:p w14:paraId="5F0ED197">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2.4.4 …………………</w:t>
      </w:r>
      <w:r>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t>承担合同工程工作内容</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 xml:space="preserve">   </w:t>
      </w:r>
    </w:p>
    <w:p w14:paraId="79CEAF07">
      <w:pPr>
        <w:spacing w:line="420" w:lineRule="exact"/>
        <w:ind w:firstLine="480" w:firstLineChars="200"/>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 xml:space="preserve">2.5  </w:t>
      </w:r>
      <w:r>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t>联合体各方当事人对合同工程的其他约定：</w:t>
      </w:r>
    </w:p>
    <w:p w14:paraId="6A236BDC">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 xml:space="preserve">2.6  </w:t>
      </w:r>
      <w:r>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t>联合体各方当事人在合同工程实施过程中的有关费用，按各自承担的工作量所占比例分摊，或由联合体各方当事人具体协商确定。</w:t>
      </w:r>
    </w:p>
    <w:p w14:paraId="1458C4A7">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 xml:space="preserve">3.  </w:t>
      </w:r>
      <w:r>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t>本协议书签署后，联合体主办人应将本协议书及时送交发包人和监理工程师、造价工程师。</w:t>
      </w:r>
    </w:p>
    <w:p w14:paraId="2117F299">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4.  本协议书自签署之日起生效，至各方当事人履行完施工合同全部义务后自行失效，并随施工合同的终止而终止；</w:t>
      </w:r>
    </w:p>
    <w:p w14:paraId="3AE18E9F">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 xml:space="preserve">5.  </w:t>
      </w:r>
      <w:r>
        <w:rPr>
          <w:rFonts w:hint="eastAsia" w:ascii="仿宋_GB2312" w:hAnsi="仿宋_GB2312" w:eastAsia="仿宋_GB2312" w:cs="仿宋_GB2312"/>
          <w:strike/>
          <w:color w:val="000000" w:themeColor="text1"/>
          <w:kern w:val="0"/>
          <w:sz w:val="24"/>
          <w:szCs w:val="24"/>
          <w:highlight w:val="none"/>
          <w:lang w:val="zh-CN"/>
          <w14:textFill>
            <w14:solidFill>
              <w14:schemeClr w14:val="tx1"/>
            </w14:solidFill>
          </w14:textFill>
        </w:rPr>
        <w:t>本协议书正本与副本具有同等效力，当正本与副本不一致时，以正本为准。</w:t>
      </w:r>
    </w:p>
    <w:p w14:paraId="7C6FF77F">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正本一式</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份，联合体各方当事人各执一份，送交发包人和监理工程师、造价工程师各一份；副本一式</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份，联合体各方当事人各执</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份。</w:t>
      </w:r>
    </w:p>
    <w:p w14:paraId="6C9F23C7">
      <w:pPr>
        <w:spacing w:line="420" w:lineRule="exact"/>
        <w:ind w:firstLine="480" w:firstLineChars="200"/>
        <w:jc w:val="center"/>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（以下无正文）</w:t>
      </w:r>
    </w:p>
    <w:p w14:paraId="045D64DD">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p>
    <w:p w14:paraId="428CA28D">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p>
    <w:p w14:paraId="2D5D529C">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p>
    <w:p w14:paraId="51CE2B66">
      <w:pPr>
        <w:spacing w:line="420" w:lineRule="exact"/>
        <w:ind w:firstLine="480" w:firstLineChars="20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p>
    <w:p w14:paraId="148AF4E0">
      <w:pPr>
        <w:spacing w:line="420" w:lineRule="exact"/>
        <w:ind w:firstLine="360" w:firstLineChars="15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甲公司名称：（盖章）                        丁公司名称：（盖章）</w:t>
      </w:r>
    </w:p>
    <w:p w14:paraId="35367728">
      <w:pPr>
        <w:spacing w:line="420" w:lineRule="exact"/>
        <w:ind w:firstLine="360" w:firstLineChars="150"/>
        <w:rPr>
          <w:rFonts w:hint="eastAsia" w:ascii="仿宋_GB2312" w:hAnsi="仿宋_GB2312" w:eastAsia="仿宋_GB2312" w:cs="仿宋_GB2312"/>
          <w:strike/>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法定代表人</w:t>
      </w:r>
      <w:r>
        <w:rPr>
          <w:rFonts w:hint="eastAsia" w:ascii="仿宋_GB2312" w:hAnsi="仿宋_GB2312" w:eastAsia="仿宋_GB2312" w:cs="仿宋_GB2312"/>
          <w:strike/>
          <w:color w:val="000000" w:themeColor="text1"/>
          <w:sz w:val="24"/>
          <w:szCs w:val="24"/>
          <w:highlight w:val="none"/>
          <w:lang w:val="en-US" w:eastAsia="zh-CN"/>
          <w14:textFill>
            <w14:solidFill>
              <w14:schemeClr w14:val="tx1"/>
            </w14:solidFill>
          </w14:textFill>
        </w:rPr>
        <w:t>或</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strike/>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法定代表人</w:t>
      </w:r>
      <w:r>
        <w:rPr>
          <w:rFonts w:hint="eastAsia" w:ascii="仿宋_GB2312" w:hAnsi="仿宋_GB2312" w:eastAsia="仿宋_GB2312" w:cs="仿宋_GB2312"/>
          <w:strike/>
          <w:color w:val="000000" w:themeColor="text1"/>
          <w:sz w:val="24"/>
          <w:szCs w:val="24"/>
          <w:highlight w:val="none"/>
          <w:lang w:val="en-US" w:eastAsia="zh-CN"/>
          <w14:textFill>
            <w14:solidFill>
              <w14:schemeClr w14:val="tx1"/>
            </w14:solidFill>
          </w14:textFill>
        </w:rPr>
        <w:t>或</w:t>
      </w:r>
    </w:p>
    <w:p w14:paraId="6C777D50">
      <w:pPr>
        <w:spacing w:line="420" w:lineRule="exact"/>
        <w:ind w:firstLine="360" w:firstLineChars="15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委托代理人：（签字）                        委托代理人：（签字）</w:t>
      </w:r>
    </w:p>
    <w:p w14:paraId="7BE28FA9">
      <w:pPr>
        <w:spacing w:line="420" w:lineRule="exact"/>
        <w:ind w:firstLine="360" w:firstLineChars="150"/>
        <w:jc w:val="left"/>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14:textFill>
            <w14:solidFill>
              <w14:schemeClr w14:val="tx1"/>
            </w14:solidFill>
          </w14:textFill>
        </w:rPr>
        <w:t>联系电话：</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 xml:space="preserve">                  联系电话：</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p>
    <w:p w14:paraId="2A9F4AE6">
      <w:pPr>
        <w:spacing w:line="420" w:lineRule="exact"/>
        <w:ind w:firstLine="360" w:firstLineChars="150"/>
        <w:rPr>
          <w:rFonts w:hint="eastAsia" w:ascii="仿宋_GB2312" w:hAnsi="仿宋_GB2312" w:eastAsia="仿宋_GB2312" w:cs="仿宋_GB2312"/>
          <w:strike/>
          <w:color w:val="000000" w:themeColor="text1"/>
          <w:sz w:val="24"/>
          <w:szCs w:val="24"/>
          <w:highlight w:val="none"/>
          <w14:textFill>
            <w14:solidFill>
              <w14:schemeClr w14:val="tx1"/>
            </w14:solidFill>
          </w14:textFill>
        </w:rPr>
      </w:pP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 xml:space="preserve">日                  </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strike/>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strike/>
          <w:color w:val="000000" w:themeColor="text1"/>
          <w:sz w:val="24"/>
          <w:szCs w:val="24"/>
          <w:highlight w:val="none"/>
          <w14:textFill>
            <w14:solidFill>
              <w14:schemeClr w14:val="tx1"/>
            </w14:solidFill>
          </w14:textFill>
        </w:rPr>
        <w:t>日</w:t>
      </w:r>
    </w:p>
    <w:p w14:paraId="6B00DC0F">
      <w:pPr>
        <w:spacing w:line="420" w:lineRule="exact"/>
        <w:ind w:firstLine="330" w:firstLineChars="150"/>
        <w:rPr>
          <w:rFonts w:ascii="宋体" w:hAnsi="宋体" w:cs="宋体"/>
          <w:color w:val="000000" w:themeColor="text1"/>
          <w:sz w:val="22"/>
          <w:szCs w:val="22"/>
          <w:highlight w:val="none"/>
          <w14:textFill>
            <w14:solidFill>
              <w14:schemeClr w14:val="tx1"/>
            </w14:solidFill>
          </w14:textFill>
        </w:rPr>
        <w:sectPr>
          <w:footerReference r:id="rId12" w:type="first"/>
          <w:footerReference r:id="rId11" w:type="default"/>
          <w:endnotePr>
            <w:numFmt w:val="decimal"/>
          </w:endnotePr>
          <w:pgSz w:w="11905" w:h="16838"/>
          <w:pgMar w:top="1440" w:right="1800" w:bottom="1440" w:left="1800" w:header="0" w:footer="0" w:gutter="0"/>
          <w:pgNumType w:fmt="decimal"/>
          <w:cols w:space="720" w:num="1"/>
          <w:titlePg/>
          <w:rtlGutter w:val="0"/>
          <w:docGrid w:linePitch="286" w:charSpace="0"/>
        </w:sectPr>
      </w:pPr>
    </w:p>
    <w:p w14:paraId="7030B238">
      <w:pPr>
        <w:spacing w:before="240" w:beforeLines="100" w:after="240" w:afterLines="100" w:line="420" w:lineRule="exact"/>
        <w:outlineLvl w:val="1"/>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黑体" w:hAnsi="黑体" w:eastAsia="黑体" w:cs="黑体"/>
          <w:b w:val="0"/>
          <w:bCs w:val="0"/>
          <w:color w:val="000000" w:themeColor="text1"/>
          <w:kern w:val="0"/>
          <w:sz w:val="24"/>
          <w:szCs w:val="24"/>
          <w:highlight w:val="none"/>
          <w14:textFill>
            <w14:solidFill>
              <w14:schemeClr w14:val="tx1"/>
            </w14:solidFill>
          </w14:textFill>
        </w:rPr>
        <w:t>附件</w:t>
      </w:r>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2</w:t>
      </w:r>
    </w:p>
    <w:p w14:paraId="46976E01">
      <w:pPr>
        <w:spacing w:line="420" w:lineRule="exact"/>
        <w:jc w:val="center"/>
        <w:rPr>
          <w:rFonts w:hint="eastAsia" w:ascii="方正小标宋简体" w:hAnsi="方正小标宋简体" w:eastAsia="方正小标宋简体" w:cs="方正小标宋简体"/>
          <w:b w:val="0"/>
          <w:bCs w:val="0"/>
          <w:color w:val="000000" w:themeColor="text1"/>
          <w:spacing w:val="32"/>
          <w:kern w:val="36"/>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color w:val="000000" w:themeColor="text1"/>
          <w:spacing w:val="32"/>
          <w:kern w:val="36"/>
          <w:sz w:val="32"/>
          <w:szCs w:val="32"/>
          <w:highlight w:val="none"/>
          <w14:textFill>
            <w14:solidFill>
              <w14:schemeClr w14:val="tx1"/>
            </w14:solidFill>
          </w14:textFill>
        </w:rPr>
        <w:t>项目管理机构组成表</w:t>
      </w:r>
    </w:p>
    <w:p w14:paraId="16C46CBB">
      <w:pPr>
        <w:spacing w:line="420" w:lineRule="exact"/>
        <w:jc w:val="both"/>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工程名称：2024年中区片区内街管网改造工程（北京南等8个片区）施工总承包项目</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721"/>
        <w:gridCol w:w="720"/>
        <w:gridCol w:w="1081"/>
        <w:gridCol w:w="720"/>
        <w:gridCol w:w="721"/>
        <w:gridCol w:w="720"/>
        <w:gridCol w:w="2524"/>
        <w:gridCol w:w="670"/>
      </w:tblGrid>
      <w:tr w14:paraId="4E17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restart"/>
            <w:noWrap w:val="0"/>
            <w:vAlign w:val="center"/>
          </w:tcPr>
          <w:p w14:paraId="5947A31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职务</w:t>
            </w:r>
          </w:p>
        </w:tc>
        <w:tc>
          <w:tcPr>
            <w:tcW w:w="721" w:type="dxa"/>
            <w:vMerge w:val="restart"/>
            <w:noWrap w:val="0"/>
            <w:vAlign w:val="center"/>
          </w:tcPr>
          <w:p w14:paraId="21406F4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姓名</w:t>
            </w:r>
          </w:p>
        </w:tc>
        <w:tc>
          <w:tcPr>
            <w:tcW w:w="720" w:type="dxa"/>
            <w:vMerge w:val="restart"/>
            <w:noWrap w:val="0"/>
            <w:vAlign w:val="center"/>
          </w:tcPr>
          <w:p w14:paraId="2B89C89E">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职称</w:t>
            </w:r>
          </w:p>
        </w:tc>
        <w:tc>
          <w:tcPr>
            <w:tcW w:w="5766" w:type="dxa"/>
            <w:gridSpan w:val="5"/>
            <w:noWrap w:val="0"/>
            <w:vAlign w:val="center"/>
          </w:tcPr>
          <w:p w14:paraId="00898CB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执业或职业资格证明</w:t>
            </w:r>
          </w:p>
        </w:tc>
        <w:tc>
          <w:tcPr>
            <w:tcW w:w="670" w:type="dxa"/>
            <w:noWrap w:val="0"/>
            <w:vAlign w:val="center"/>
          </w:tcPr>
          <w:p w14:paraId="6BE80819">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备注</w:t>
            </w:r>
          </w:p>
        </w:tc>
      </w:tr>
      <w:tr w14:paraId="1EA0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478F3D3E">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vMerge w:val="continue"/>
            <w:noWrap w:val="0"/>
            <w:vAlign w:val="center"/>
          </w:tcPr>
          <w:p w14:paraId="45C814F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vMerge w:val="continue"/>
            <w:noWrap w:val="0"/>
            <w:vAlign w:val="center"/>
          </w:tcPr>
          <w:p w14:paraId="6D270EEF">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7372DC4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证书名称</w:t>
            </w:r>
          </w:p>
        </w:tc>
        <w:tc>
          <w:tcPr>
            <w:tcW w:w="720" w:type="dxa"/>
            <w:noWrap w:val="0"/>
            <w:vAlign w:val="center"/>
          </w:tcPr>
          <w:p w14:paraId="39A98313">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级别</w:t>
            </w:r>
          </w:p>
        </w:tc>
        <w:tc>
          <w:tcPr>
            <w:tcW w:w="721" w:type="dxa"/>
            <w:noWrap w:val="0"/>
            <w:vAlign w:val="center"/>
          </w:tcPr>
          <w:p w14:paraId="27EE196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证号</w:t>
            </w:r>
          </w:p>
        </w:tc>
        <w:tc>
          <w:tcPr>
            <w:tcW w:w="720" w:type="dxa"/>
            <w:noWrap w:val="0"/>
            <w:vAlign w:val="center"/>
          </w:tcPr>
          <w:p w14:paraId="1F857EE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职称</w:t>
            </w:r>
            <w:r>
              <w:rPr>
                <w:rFonts w:hint="eastAsia" w:ascii="宋体" w:hAnsi="宋体" w:eastAsia="宋体" w:cs="宋体"/>
                <w:color w:val="000000" w:themeColor="text1"/>
                <w:szCs w:val="21"/>
                <w:highlight w:val="none"/>
                <w14:textFill>
                  <w14:solidFill>
                    <w14:schemeClr w14:val="tx1"/>
                  </w14:solidFill>
                </w14:textFill>
              </w:rPr>
              <w:t>专业</w:t>
            </w:r>
          </w:p>
        </w:tc>
        <w:tc>
          <w:tcPr>
            <w:tcW w:w="2524" w:type="dxa"/>
            <w:noWrap w:val="0"/>
            <w:vAlign w:val="center"/>
          </w:tcPr>
          <w:p w14:paraId="785E53E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社会保险</w:t>
            </w:r>
          </w:p>
        </w:tc>
        <w:tc>
          <w:tcPr>
            <w:tcW w:w="670" w:type="dxa"/>
            <w:noWrap w:val="0"/>
            <w:vAlign w:val="center"/>
          </w:tcPr>
          <w:p w14:paraId="46908EF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1200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7C00EC4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1D34DA0F">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12B0130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4E57DC1D">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18DE9F8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7D52DED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7E99206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7C6FE6AA">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0B5EF36F">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31DA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4161A960">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1155CE9A">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7735666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4F73505F">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04AF47F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72087493">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413C077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0ECAEDB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7EE6CD3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428F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5C7D2A1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5C2F2E32">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67A26A6F">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3E9138B3">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4F6CC58D">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4EDBBEEA">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2194AB9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6F66EBA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1DC9331F">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34CC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3530D98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637997C3">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79650D5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3EEFBA0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5E8C0597">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71DA948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6915540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6966913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3B89CD5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1069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216C03DF">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1EA4C8BE">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3D0CA12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16980939">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7D27BD1A">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42F84B3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053036B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5D73E779">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109C59F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7829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0555B65F">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094A4ED0">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3875D19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76B0E54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2AFFA4A0">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7752774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0186F4F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6DF8DC27">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0E412DE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126D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2436CEA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1390364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29794B9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0A6E763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46F0484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0AC8C1E7">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4A9DF427">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31627C9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2DF57F5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5E3F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476D2AF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6A8E7D8A">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4778C6A9">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1FEE736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0F665C8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17B5BF5A">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778D7269">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0572877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5AAA06D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0102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51" w:type="dxa"/>
            <w:noWrap w:val="0"/>
            <w:vAlign w:val="center"/>
          </w:tcPr>
          <w:p w14:paraId="469C678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6C494E07">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48BA3ED9">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67C708D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0E5B382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44C4492D">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666367F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452976A3">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4F04052E">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0522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269B2A3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0AD7923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1471766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4FCC091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252D09C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6E200190">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7434A017">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58D6623A">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2F01A24E">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6A4B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6CA0B2F2">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2BA561F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4F00A74E">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6D3EF48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14F532B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6CA55BC0">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378EA54F">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7C254B4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7E85FFF0">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6225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7C40010D">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0B93B86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712983D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70BA3B7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4A1DE02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0B098B0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6BFEFA1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5485F7D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2B54AA6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3981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18BEC97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26D81B5A">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29DA904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52A0421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16AC3FA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30DFDB62">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44733F7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464C502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585D318E">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2EA1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6930742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4B18BF3D">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708D9323">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73B1EA49">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67F2964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4FFE7C2D">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32088280">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245BA2D7">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1EA2FC9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785A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1764F9D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4163082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77F3D64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18CCA18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03C9029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34AEBBB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72C03370">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35ADE33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3EFC828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1432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61239E0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53719AE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6415BA2E">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06D19B0A">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022A56B7">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356AB9D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1A62B6E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27F7B43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7C2733E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4625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1DCED9BA">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74FD826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459BC443">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63828D6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5825E707">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20056409">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7E65CF1F">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5639008F">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571707CF">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13A3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114617B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43F914E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18126E62">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0D352EC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691CC7D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7D66D2A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2B368889">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225B2D2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0B8F2D13">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45F2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7DECDD6E">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460D42E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5FFC9070">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320066B3">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49F0D783">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1FF0DC9E">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54DD0DA4">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6EC978F3">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55BC3187">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22D5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6FB4840A">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1CC46D19">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73C8C7F2">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5CBCC22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093A479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258AD6AC">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39743DE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08E33589">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351B303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6B55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604BD946">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66E8B2A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30C84AE0">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04D85FA2">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0A99FF1D">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47708F37">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302261F7">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69DDD3C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5003A61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r w14:paraId="1411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14:paraId="349B27F3">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0246049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1E88F133">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1081" w:type="dxa"/>
            <w:noWrap w:val="0"/>
            <w:vAlign w:val="center"/>
          </w:tcPr>
          <w:p w14:paraId="41E85A3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0FF3D3F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noWrap w:val="0"/>
            <w:vAlign w:val="center"/>
          </w:tcPr>
          <w:p w14:paraId="7E24681B">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720" w:type="dxa"/>
            <w:noWrap w:val="0"/>
            <w:vAlign w:val="center"/>
          </w:tcPr>
          <w:p w14:paraId="1E87D282">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2524" w:type="dxa"/>
            <w:noWrap w:val="0"/>
            <w:vAlign w:val="center"/>
          </w:tcPr>
          <w:p w14:paraId="128E4A75">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c>
          <w:tcPr>
            <w:tcW w:w="670" w:type="dxa"/>
            <w:noWrap w:val="0"/>
            <w:vAlign w:val="center"/>
          </w:tcPr>
          <w:p w14:paraId="77CE8967">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p>
        </w:tc>
      </w:tr>
    </w:tbl>
    <w:p w14:paraId="480A17ED">
      <w:pPr>
        <w:spacing w:line="420" w:lineRule="exact"/>
        <w:ind w:left="0" w:leftChars="0" w:firstLine="0" w:firstLineChars="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说明：1.表中人员一经确认不得随意修改变换。如需变换，应按照通用条款第 21 条规定执行。 2.表中人员必须提供为其购买的社会养老保险费用凭证。3.承包人应提供表中人员的聘用合同、专业技术职称书等复印件。</w:t>
      </w:r>
    </w:p>
    <w:p w14:paraId="433B4DA0">
      <w:pPr>
        <w:spacing w:line="420" w:lineRule="exact"/>
        <w:ind w:firstLine="330" w:firstLineChars="150"/>
        <w:rPr>
          <w:rFonts w:ascii="宋体" w:hAnsi="宋体" w:cs="宋体"/>
          <w:color w:val="000000" w:themeColor="text1"/>
          <w:sz w:val="22"/>
          <w:szCs w:val="22"/>
          <w:highlight w:val="none"/>
          <w14:textFill>
            <w14:solidFill>
              <w14:schemeClr w14:val="tx1"/>
            </w14:solidFill>
          </w14:textFill>
        </w:rPr>
      </w:pPr>
    </w:p>
    <w:p w14:paraId="13769AB6">
      <w:pPr>
        <w:outlineLvl w:val="1"/>
        <w:rPr>
          <w:rFonts w:ascii="宋体" w:hAnsi="宋体" w:cs="宋体"/>
          <w:color w:val="000000" w:themeColor="text1"/>
          <w:sz w:val="22"/>
          <w:szCs w:val="22"/>
          <w:highlight w:val="none"/>
          <w14:textFill>
            <w14:solidFill>
              <w14:schemeClr w14:val="tx1"/>
            </w14:solidFill>
          </w14:textFill>
        </w:rPr>
      </w:pPr>
    </w:p>
    <w:p w14:paraId="5005830D">
      <w:pPr>
        <w:widowControl/>
        <w:spacing w:afterAutospacing="1" w:line="420" w:lineRule="exact"/>
        <w:jc w:val="left"/>
        <w:rPr>
          <w:rFonts w:ascii="宋体" w:hAnsi="宋体" w:cs="宋体"/>
          <w:color w:val="000000" w:themeColor="text1"/>
          <w:kern w:val="0"/>
          <w:sz w:val="22"/>
          <w:szCs w:val="22"/>
          <w:highlight w:val="none"/>
          <w14:textFill>
            <w14:solidFill>
              <w14:schemeClr w14:val="tx1"/>
            </w14:solidFill>
          </w14:textFill>
        </w:rPr>
        <w:sectPr>
          <w:endnotePr>
            <w:numFmt w:val="decimal"/>
          </w:endnotePr>
          <w:pgSz w:w="11905" w:h="16838"/>
          <w:pgMar w:top="1440" w:right="1800" w:bottom="1440" w:left="1800" w:header="0" w:footer="0" w:gutter="0"/>
          <w:pgNumType w:fmt="decimal"/>
          <w:cols w:space="720" w:num="1"/>
          <w:titlePg/>
          <w:rtlGutter w:val="0"/>
          <w:docGrid w:linePitch="286" w:charSpace="0"/>
        </w:sectPr>
      </w:pPr>
    </w:p>
    <w:p w14:paraId="3677E567">
      <w:pPr>
        <w:spacing w:line="420" w:lineRule="exact"/>
        <w:ind w:firstLine="360" w:firstLineChars="150"/>
        <w:outlineLvl w:val="1"/>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pPr>
      <w:bookmarkStart w:id="576" w:name="_Toc3575"/>
      <w:bookmarkStart w:id="577" w:name="_Toc30240"/>
      <w:bookmarkStart w:id="578" w:name="_Toc9396"/>
      <w:bookmarkStart w:id="579" w:name="_Toc10624984"/>
      <w:bookmarkStart w:id="580" w:name="_Toc469384140"/>
      <w:bookmarkStart w:id="581" w:name="_Toc266892924"/>
      <w:r>
        <w:rPr>
          <w:rFonts w:hint="eastAsia" w:ascii="黑体" w:hAnsi="黑体" w:eastAsia="黑体" w:cs="黑体"/>
          <w:b w:val="0"/>
          <w:bCs w:val="0"/>
          <w:color w:val="000000" w:themeColor="text1"/>
          <w:sz w:val="24"/>
          <w:szCs w:val="24"/>
          <w:highlight w:val="none"/>
          <w14:textFill>
            <w14:solidFill>
              <w14:schemeClr w14:val="tx1"/>
            </w14:solidFill>
          </w14:textFill>
        </w:rPr>
        <w:t>附件</w:t>
      </w: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3</w:t>
      </w:r>
      <w:bookmarkEnd w:id="576"/>
      <w:bookmarkEnd w:id="577"/>
      <w:bookmarkEnd w:id="578"/>
    </w:p>
    <w:p w14:paraId="75187F75">
      <w:pPr>
        <w:spacing w:line="420" w:lineRule="exact"/>
        <w:jc w:val="center"/>
        <w:rPr>
          <w:rFonts w:hint="eastAsia" w:ascii="方正小标宋简体" w:hAnsi="方正小标宋简体" w:eastAsia="方正小标宋简体" w:cs="方正小标宋简体"/>
          <w:b w:val="0"/>
          <w:bCs w:val="0"/>
          <w:color w:val="000000" w:themeColor="text1"/>
          <w:spacing w:val="32"/>
          <w:kern w:val="36"/>
          <w:sz w:val="32"/>
          <w:szCs w:val="32"/>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pacing w:val="32"/>
          <w:kern w:val="36"/>
          <w:sz w:val="32"/>
          <w:szCs w:val="32"/>
          <w:highlight w:val="none"/>
          <w14:textFill>
            <w14:solidFill>
              <w14:schemeClr w14:val="tx1"/>
            </w14:solidFill>
          </w14:textFill>
        </w:rPr>
        <w:t>甲供</w:t>
      </w:r>
      <w:r>
        <w:rPr>
          <w:rFonts w:hint="eastAsia" w:ascii="方正小标宋简体" w:hAnsi="方正小标宋简体" w:eastAsia="方正小标宋简体" w:cs="方正小标宋简体"/>
          <w:color w:val="000000" w:themeColor="text1"/>
          <w:spacing w:val="32"/>
          <w:kern w:val="36"/>
          <w:sz w:val="32"/>
          <w:szCs w:val="32"/>
          <w:highlight w:val="none"/>
          <w:lang w:eastAsia="zh-CN"/>
          <w14:textFill>
            <w14:solidFill>
              <w14:schemeClr w14:val="tx1"/>
            </w14:solidFill>
          </w14:textFill>
        </w:rPr>
        <w:t>主材</w:t>
      </w:r>
      <w:r>
        <w:rPr>
          <w:rFonts w:hint="eastAsia" w:ascii="方正小标宋简体" w:hAnsi="方正小标宋简体" w:eastAsia="方正小标宋简体" w:cs="方正小标宋简体"/>
          <w:color w:val="000000" w:themeColor="text1"/>
          <w:spacing w:val="32"/>
          <w:kern w:val="36"/>
          <w:sz w:val="32"/>
          <w:szCs w:val="32"/>
          <w:highlight w:val="none"/>
          <w14:textFill>
            <w14:solidFill>
              <w14:schemeClr w14:val="tx1"/>
            </w14:solidFill>
          </w14:textFill>
        </w:rPr>
        <w:t>清单</w:t>
      </w:r>
    </w:p>
    <w:p w14:paraId="28BA6A7F">
      <w:pPr>
        <w:spacing w:line="420" w:lineRule="exact"/>
        <w:jc w:val="lef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 xml:space="preserve">  工程名称：</w:t>
      </w:r>
      <w:r>
        <w:rPr>
          <w:rFonts w:hint="eastAsia" w:ascii="宋体" w:hAnsi="宋体" w:cs="宋体"/>
          <w:color w:val="000000" w:themeColor="text1"/>
          <w:sz w:val="22"/>
          <w:szCs w:val="22"/>
          <w:highlight w:val="none"/>
          <w14:textFill>
            <w14:solidFill>
              <w14:schemeClr w14:val="tx1"/>
            </w14:solidFill>
          </w14:textFill>
        </w:rPr>
        <w:t>2024年中区片区内街管网改造工程（北京南等8个片区）施工总承包项目</w:t>
      </w:r>
      <w:r>
        <w:rPr>
          <w:rFonts w:hint="eastAsia" w:ascii="宋体" w:hAnsi="宋体" w:eastAsia="宋体" w:cs="宋体"/>
          <w:color w:val="000000" w:themeColor="text1"/>
          <w:sz w:val="22"/>
          <w:szCs w:val="22"/>
          <w:highlight w:val="none"/>
          <w14:textFill>
            <w14:solidFill>
              <w14:schemeClr w14:val="tx1"/>
            </w14:solidFill>
          </w14:textFill>
        </w:rPr>
        <w:t xml:space="preserve">                                                      </w:t>
      </w:r>
    </w:p>
    <w:p w14:paraId="406B5258">
      <w:pPr>
        <w:spacing w:line="420" w:lineRule="exact"/>
        <w:jc w:val="left"/>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（以工程量清单为准）</w:t>
      </w:r>
    </w:p>
    <w:permEnd w:id="398"/>
    <w:p w14:paraId="2FE4C771">
      <w:pPr>
        <w:spacing w:line="420" w:lineRule="exact"/>
        <w:jc w:val="left"/>
        <w:rPr>
          <w:rFonts w:ascii="宋体" w:hAnsi="宋体" w:eastAsia="宋体" w:cs="宋体"/>
          <w:color w:val="000000" w:themeColor="text1"/>
          <w:sz w:val="22"/>
          <w:szCs w:val="22"/>
          <w:highlight w:val="none"/>
          <w14:textFill>
            <w14:solidFill>
              <w14:schemeClr w14:val="tx1"/>
            </w14:solidFill>
          </w14:textFill>
        </w:rPr>
      </w:pPr>
    </w:p>
    <w:bookmarkEnd w:id="579"/>
    <w:bookmarkEnd w:id="580"/>
    <w:bookmarkEnd w:id="581"/>
    <w:p w14:paraId="62959037">
      <w:pPr>
        <w:spacing w:line="420" w:lineRule="exact"/>
        <w:rPr>
          <w:rFonts w:ascii="宋体" w:hAnsi="宋体" w:eastAsia="宋体" w:cs="宋体"/>
          <w:color w:val="000000" w:themeColor="text1"/>
          <w:sz w:val="22"/>
          <w:szCs w:val="22"/>
          <w:highlight w:val="none"/>
          <w14:textFill>
            <w14:solidFill>
              <w14:schemeClr w14:val="tx1"/>
            </w14:solidFill>
          </w14:textFill>
        </w:rPr>
      </w:pPr>
    </w:p>
    <w:p w14:paraId="29FC9CB5">
      <w:pPr>
        <w:widowControl/>
        <w:spacing w:afterAutospacing="1" w:line="420" w:lineRule="exact"/>
        <w:jc w:val="left"/>
        <w:rPr>
          <w:rFonts w:ascii="宋体" w:hAnsi="宋体" w:cs="宋体"/>
          <w:b/>
          <w:bCs/>
          <w:color w:val="000000" w:themeColor="text1"/>
          <w:kern w:val="0"/>
          <w:sz w:val="22"/>
          <w:szCs w:val="22"/>
          <w:highlight w:val="none"/>
          <w14:textFill>
            <w14:solidFill>
              <w14:schemeClr w14:val="tx1"/>
            </w14:solidFill>
          </w14:textFill>
        </w:rPr>
        <w:sectPr>
          <w:endnotePr>
            <w:numFmt w:val="decimal"/>
          </w:endnotePr>
          <w:pgSz w:w="11905" w:h="16838"/>
          <w:pgMar w:top="1440" w:right="1800" w:bottom="1440" w:left="1800" w:header="0" w:footer="0" w:gutter="0"/>
          <w:pgNumType w:fmt="decimal"/>
          <w:cols w:space="720" w:num="1"/>
          <w:titlePg/>
          <w:rtlGutter w:val="0"/>
          <w:docGrid w:linePitch="1" w:charSpace="0"/>
        </w:sectPr>
      </w:pPr>
    </w:p>
    <w:p w14:paraId="29E54441">
      <w:pPr>
        <w:spacing w:line="420" w:lineRule="exact"/>
        <w:outlineLvl w:val="1"/>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pPr>
      <w:bookmarkStart w:id="582" w:name="_Toc31750"/>
      <w:bookmarkStart w:id="583" w:name="_Toc1146"/>
      <w:bookmarkStart w:id="584" w:name="_Toc14063"/>
      <w:permStart w:id="399" w:edGrp="everyone"/>
      <w:r>
        <w:rPr>
          <w:rFonts w:hint="eastAsia" w:ascii="黑体" w:hAnsi="黑体" w:eastAsia="黑体" w:cs="黑体"/>
          <w:b w:val="0"/>
          <w:bCs w:val="0"/>
          <w:color w:val="000000" w:themeColor="text1"/>
          <w:sz w:val="24"/>
          <w:szCs w:val="24"/>
          <w:highlight w:val="none"/>
          <w14:textFill>
            <w14:solidFill>
              <w14:schemeClr w14:val="tx1"/>
            </w14:solidFill>
          </w14:textFill>
        </w:rPr>
        <w:t>附件</w:t>
      </w: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4</w:t>
      </w:r>
      <w:bookmarkEnd w:id="582"/>
      <w:bookmarkEnd w:id="583"/>
      <w:bookmarkEnd w:id="584"/>
    </w:p>
    <w:permEnd w:id="399"/>
    <w:p w14:paraId="40C0D57D">
      <w:pPr>
        <w:spacing w:line="420" w:lineRule="exact"/>
        <w:rPr>
          <w:rFonts w:ascii="宋体" w:hAnsi="宋体" w:eastAsia="宋体" w:cs="宋体"/>
          <w:color w:val="000000" w:themeColor="text1"/>
          <w:sz w:val="22"/>
          <w:szCs w:val="22"/>
          <w:highlight w:val="none"/>
          <w14:textFill>
            <w14:solidFill>
              <w14:schemeClr w14:val="tx1"/>
            </w14:solidFill>
          </w14:textFill>
        </w:rPr>
      </w:pPr>
    </w:p>
    <w:p w14:paraId="4CE5BA49">
      <w:pPr>
        <w:adjustRightInd w:val="0"/>
        <w:snapToGrid w:val="0"/>
        <w:spacing w:line="420" w:lineRule="exact"/>
        <w:jc w:val="center"/>
        <w:rPr>
          <w:rFonts w:hint="eastAsia" w:ascii="方正小标宋简体" w:hAnsi="方正小标宋简体" w:eastAsia="方正小标宋简体" w:cs="方正小标宋简体"/>
          <w:b w:val="0"/>
          <w:bCs w:val="0"/>
          <w:color w:val="000000" w:themeColor="text1"/>
          <w:spacing w:val="32"/>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32"/>
          <w:sz w:val="32"/>
          <w:szCs w:val="32"/>
          <w:highlight w:val="none"/>
          <w14:textFill>
            <w14:solidFill>
              <w14:schemeClr w14:val="tx1"/>
            </w14:solidFill>
          </w14:textFill>
        </w:rPr>
        <w:t>工程质量保修书</w:t>
      </w:r>
    </w:p>
    <w:p w14:paraId="50C819E2">
      <w:pPr>
        <w:adjustRightInd w:val="0"/>
        <w:snapToGrid w:val="0"/>
        <w:spacing w:line="420" w:lineRule="exact"/>
        <w:rPr>
          <w:rFonts w:ascii="宋体" w:hAnsi="宋体" w:eastAsia="宋体" w:cs="宋体"/>
          <w:color w:val="000000" w:themeColor="text1"/>
          <w:sz w:val="22"/>
          <w:szCs w:val="22"/>
          <w:highlight w:val="none"/>
          <w14:textFill>
            <w14:solidFill>
              <w14:schemeClr w14:val="tx1"/>
            </w14:solidFill>
          </w14:textFill>
        </w:rPr>
      </w:pPr>
    </w:p>
    <w:p w14:paraId="32C83174">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发包人：（全称）</w:t>
      </w:r>
      <w:permStart w:id="40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 xml:space="preserve">广州市自来水有限公司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400"/>
    </w:p>
    <w:p w14:paraId="2DE0A014">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承包人：（全称）</w:t>
      </w:r>
      <w:permStart w:id="40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401"/>
    </w:p>
    <w:p w14:paraId="7640DC8E">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为保证 </w:t>
      </w:r>
      <w:permStart w:id="40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2024年中区片区内街管网改造工程（北京南等8个片区）施工总承包项目   </w:t>
      </w:r>
      <w:permEnd w:id="402"/>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（工程名称）在合理使用期限内正常使用，合同双方当事人根据《中华人民共和国建筑法》、《建设工程质量管理条例》和《房屋建筑工程质量保修办法》等规定，经协商一致，订立本质量保修书。</w:t>
      </w:r>
    </w:p>
    <w:p w14:paraId="0E81627A">
      <w:pPr>
        <w:numPr>
          <w:ilvl w:val="0"/>
          <w:numId w:val="12"/>
        </w:numPr>
        <w:adjustRightInd w:val="0"/>
        <w:snapToGrid w:val="0"/>
        <w:spacing w:line="420" w:lineRule="exact"/>
        <w:ind w:left="902" w:leftChars="200" w:hanging="482" w:hanging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质量保修范围</w:t>
      </w:r>
    </w:p>
    <w:p w14:paraId="1D791A42">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7CA31436">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ermStart w:id="403"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即承包人施工的工程范围</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5414FEC4">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ermEnd w:id="403"/>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4753C6B0">
      <w:pPr>
        <w:numPr>
          <w:ilvl w:val="0"/>
          <w:numId w:val="12"/>
        </w:numPr>
        <w:adjustRightInd w:val="0"/>
        <w:snapToGrid w:val="0"/>
        <w:spacing w:line="420" w:lineRule="exact"/>
        <w:ind w:left="902" w:leftChars="200" w:hanging="482" w:hanging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质量保修期</w:t>
      </w:r>
    </w:p>
    <w:p w14:paraId="7E98FE16">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2.1 质量保修期从工程实际竣工之日算起。单项竣工验收的工程，按单项工程分别计算质量保修期。</w:t>
      </w:r>
    </w:p>
    <w:p w14:paraId="4E2C8679">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2.2 </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合同工程质量保修期，合同双方当事人约定如下</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67B6E6D7">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1．地基基础工程、主体结构工程为设计文件规定的合理使用年限；</w:t>
      </w:r>
    </w:p>
    <w:p w14:paraId="6090F56D">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2．屋面防水工程、有防水要求的卫生间、房间和外墙面的防渗漏工程为</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p>
    <w:p w14:paraId="1F3F7222">
      <w:pPr>
        <w:adjustRightInd w:val="0"/>
        <w:snapToGrid w:val="0"/>
        <w:spacing w:line="420" w:lineRule="exact"/>
        <w:ind w:firstLine="240" w:firstLineChars="1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3．电气管线工程、给排水管道工程、设备安装工程为</w:t>
      </w:r>
      <w:permStart w:id="40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404"/>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p>
    <w:p w14:paraId="7F409BDF">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4．供热、供冷系统工程为</w:t>
      </w:r>
      <w:permStart w:id="405"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405"/>
      <w:r>
        <w:rPr>
          <w:rFonts w:hint="eastAsia" w:ascii="仿宋_GB2312" w:hAnsi="仿宋_GB2312" w:eastAsia="仿宋_GB2312" w:cs="仿宋_GB2312"/>
          <w:color w:val="000000" w:themeColor="text1"/>
          <w:sz w:val="24"/>
          <w:szCs w:val="24"/>
          <w:highlight w:val="none"/>
          <w14:textFill>
            <w14:solidFill>
              <w14:schemeClr w14:val="tx1"/>
            </w14:solidFill>
          </w14:textFill>
        </w:rPr>
        <w:t>个采暖期、供冷期；</w:t>
      </w:r>
    </w:p>
    <w:p w14:paraId="4B76B1AC">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5．装饰装修工程为</w:t>
      </w:r>
      <w:permStart w:id="40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406"/>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p>
    <w:p w14:paraId="70F8C29A">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6．其他项目</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16710C49">
      <w:pPr>
        <w:adjustRightInd w:val="0"/>
        <w:snapToGrid w:val="0"/>
        <w:spacing w:line="420" w:lineRule="exact"/>
        <w:ind w:left="48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3． </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质量保修责任</w:t>
      </w:r>
    </w:p>
    <w:p w14:paraId="25424343">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3.1  </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属于保修范围的项目，承包人应在接到发包人通知后的</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7 </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天内派人保修。承包人未能在规定时间内派人保修的，发包人可自行或委托第三方保修</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1819C516">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3.2  发生紧急抢修事故的，承包人在接到通知后，应立即到达事故现场抢修。</w:t>
      </w:r>
    </w:p>
    <w:p w14:paraId="3C2574A5">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3.3  在国家规定的工程合理使用期限内，承包人应确保地基基础工程和主体结构的质量和安全。凡出现其质量问题，应立即报告当地建设行政主管部门，经设计人提出保修方案后，承包人应立即实施保修。</w:t>
      </w:r>
    </w:p>
    <w:p w14:paraId="7AF353D2">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  质量保修完成后，由发包人组织验收。</w:t>
      </w:r>
    </w:p>
    <w:p w14:paraId="21557D96">
      <w:pPr>
        <w:adjustRightInd w:val="0"/>
        <w:snapToGrid w:val="0"/>
        <w:spacing w:line="420" w:lineRule="exact"/>
        <w:ind w:left="48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质量保修费用</w:t>
      </w:r>
    </w:p>
    <w:p w14:paraId="52202411">
      <w:pPr>
        <w:adjustRightInd w:val="0"/>
        <w:snapToGrid w:val="0"/>
        <w:spacing w:line="420" w:lineRule="exact"/>
        <w:ind w:left="48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质量保修等费用，由责任方承担</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370CE678">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质量保证金</w:t>
      </w:r>
    </w:p>
    <w:p w14:paraId="08919CB9">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质量保证金的约定、支付和使用与本合同第二部分《通用条款》第</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84 </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条赋予的规</w:t>
      </w:r>
      <w:r>
        <w:rPr>
          <w:rFonts w:hint="eastAsia" w:ascii="仿宋_GB2312" w:hAnsi="仿宋_GB2312" w:eastAsia="仿宋_GB2312" w:cs="仿宋_GB2312"/>
          <w:color w:val="000000" w:themeColor="text1"/>
          <w:sz w:val="24"/>
          <w:szCs w:val="24"/>
          <w:highlight w:val="none"/>
          <w14:textFill>
            <w14:solidFill>
              <w14:schemeClr w14:val="tx1"/>
            </w14:solidFill>
          </w14:textFill>
        </w:rPr>
        <w:t>定一致。</w:t>
      </w:r>
    </w:p>
    <w:p w14:paraId="6BB7403E">
      <w:pPr>
        <w:adjustRightInd w:val="0"/>
        <w:snapToGrid w:val="0"/>
        <w:spacing w:line="420" w:lineRule="exact"/>
        <w:ind w:left="48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其他</w:t>
      </w:r>
    </w:p>
    <w:p w14:paraId="5E41F5DF">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6.1  </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合同双方当事人约定的其他质量保修事</w:t>
      </w:r>
      <w:r>
        <w:rPr>
          <w:rFonts w:hint="eastAsia" w:ascii="仿宋_GB2312" w:hAnsi="仿宋_GB2312" w:eastAsia="仿宋_GB2312" w:cs="仿宋_GB2312"/>
          <w:color w:val="000000" w:themeColor="text1"/>
          <w:sz w:val="24"/>
          <w:szCs w:val="24"/>
          <w:highlight w:val="none"/>
          <w14:textFill>
            <w14:solidFill>
              <w14:schemeClr w14:val="tx1"/>
            </w14:solidFill>
          </w14:textFill>
        </w:rPr>
        <w:t>项：</w:t>
      </w:r>
    </w:p>
    <w:p w14:paraId="19EA22CB">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6.2  </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本质量保修书，由合同双方当事人在承包人向发包人提交竣工验收申请报告时签署，作为本合同的附件</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7642EBA7">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6.3  </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本质量保修书，自合同双方当事人签署之日起生效，至质量保修期满后失效。</w:t>
      </w:r>
    </w:p>
    <w:p w14:paraId="6B4C72FA">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tbl>
      <w:tblPr>
        <w:tblStyle w:val="39"/>
        <w:tblpPr w:leftFromText="180" w:rightFromText="180" w:vertAnchor="text" w:horzAnchor="page" w:tblpX="1869" w:tblpY="259"/>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61"/>
      </w:tblGrid>
      <w:tr w14:paraId="1BE28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noWrap w:val="0"/>
            <w:vAlign w:val="top"/>
          </w:tcPr>
          <w:p w14:paraId="5FAF337F">
            <w:pPr>
              <w:pStyle w:val="15"/>
              <w:rPr>
                <w:rFonts w:hint="eastAsia" w:ascii="Times New Roman" w:hAnsi="Times New Roman" w:eastAsia="宋体" w:cs="Times New Roman"/>
                <w:color w:val="000000" w:themeColor="text1"/>
                <w:highlight w:val="none"/>
                <w:vertAlign w:val="baseline"/>
                <w14:textFill>
                  <w14:solidFill>
                    <w14:schemeClr w14:val="tx1"/>
                  </w14:solidFill>
                </w14:textFill>
              </w:rPr>
            </w:pPr>
            <w:permStart w:id="407"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发 包 人：（盖章）</w:t>
            </w:r>
          </w:p>
        </w:tc>
        <w:tc>
          <w:tcPr>
            <w:tcW w:w="4261" w:type="dxa"/>
            <w:noWrap w:val="0"/>
            <w:vAlign w:val="top"/>
          </w:tcPr>
          <w:p w14:paraId="305B4742">
            <w:pPr>
              <w:pStyle w:val="15"/>
              <w:rPr>
                <w:rFonts w:hint="eastAsia" w:ascii="Times New Roman" w:hAnsi="Times New Roman" w:eastAsia="宋体" w:cs="Times New Roman"/>
                <w:color w:val="000000" w:themeColor="text1"/>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 包 人：（盖章）</w:t>
            </w:r>
          </w:p>
        </w:tc>
      </w:tr>
      <w:tr w14:paraId="62E0B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noWrap w:val="0"/>
            <w:vAlign w:val="top"/>
          </w:tcPr>
          <w:p w14:paraId="42570F99">
            <w:pPr>
              <w:pStyle w:val="15"/>
              <w:rPr>
                <w:rFonts w:hint="eastAsia" w:ascii="Times New Roman" w:hAnsi="Times New Roman" w:eastAsia="宋体" w:cs="Times New Roman"/>
                <w:color w:val="000000" w:themeColor="text1"/>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广州市自来水有限公司</w:t>
            </w:r>
          </w:p>
        </w:tc>
        <w:tc>
          <w:tcPr>
            <w:tcW w:w="4261" w:type="dxa"/>
            <w:noWrap w:val="0"/>
            <w:vAlign w:val="top"/>
          </w:tcPr>
          <w:p w14:paraId="5AEF99E5">
            <w:pPr>
              <w:pStyle w:val="15"/>
              <w:rPr>
                <w:rFonts w:hint="eastAsia" w:ascii="Times New Roman" w:hAnsi="Times New Roman" w:eastAsia="宋体" w:cs="Times New Roman"/>
                <w:color w:val="000000" w:themeColor="text1"/>
                <w:highlight w:val="none"/>
                <w:vertAlign w:val="baseline"/>
                <w14:textFill>
                  <w14:solidFill>
                    <w14:schemeClr w14:val="tx1"/>
                  </w14:solidFill>
                </w14:textFill>
              </w:rPr>
            </w:pPr>
          </w:p>
        </w:tc>
      </w:tr>
      <w:tr w14:paraId="476E8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noWrap w:val="0"/>
            <w:vAlign w:val="top"/>
          </w:tcPr>
          <w:p w14:paraId="5D5B029F">
            <w:pPr>
              <w:pStyle w:val="15"/>
              <w:rPr>
                <w:rFonts w:hint="eastAsia" w:ascii="Times New Roman" w:hAnsi="Times New Roman" w:eastAsia="宋体" w:cs="Times New Roman"/>
                <w:color w:val="000000" w:themeColor="text1"/>
                <w:highlight w:val="none"/>
                <w:vertAlign w:val="baseline"/>
                <w14:textFill>
                  <w14:solidFill>
                    <w14:schemeClr w14:val="tx1"/>
                  </w14:solidFill>
                </w14:textFill>
              </w:rPr>
            </w:pPr>
          </w:p>
        </w:tc>
        <w:tc>
          <w:tcPr>
            <w:tcW w:w="4261" w:type="dxa"/>
            <w:noWrap w:val="0"/>
            <w:vAlign w:val="top"/>
          </w:tcPr>
          <w:p w14:paraId="6FCDFEDF">
            <w:pPr>
              <w:pStyle w:val="15"/>
              <w:rPr>
                <w:rFonts w:hint="eastAsia" w:ascii="Times New Roman" w:hAnsi="Times New Roman" w:eastAsia="宋体" w:cs="Times New Roman"/>
                <w:color w:val="000000" w:themeColor="text1"/>
                <w:highlight w:val="none"/>
                <w:vertAlign w:val="baseline"/>
                <w14:textFill>
                  <w14:solidFill>
                    <w14:schemeClr w14:val="tx1"/>
                  </w14:solidFill>
                </w14:textFill>
              </w:rPr>
            </w:pPr>
          </w:p>
        </w:tc>
      </w:tr>
      <w:tr w14:paraId="1F9D0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noWrap w:val="0"/>
            <w:vAlign w:val="top"/>
          </w:tcPr>
          <w:p w14:paraId="5D1B3A9B">
            <w:pPr>
              <w:pStyle w:val="15"/>
              <w:rPr>
                <w:rFonts w:hint="eastAsia" w:ascii="Times New Roman" w:hAnsi="Times New Roman" w:eastAsia="宋体" w:cs="Times New Roman"/>
                <w:color w:val="000000" w:themeColor="text1"/>
                <w:highlight w:val="none"/>
                <w:vertAlign w:val="baseline"/>
                <w14:textFill>
                  <w14:solidFill>
                    <w14:schemeClr w14:val="tx1"/>
                  </w14:solidFill>
                </w14:textFill>
              </w:rPr>
            </w:pPr>
          </w:p>
        </w:tc>
        <w:tc>
          <w:tcPr>
            <w:tcW w:w="4261" w:type="dxa"/>
            <w:noWrap w:val="0"/>
            <w:vAlign w:val="top"/>
          </w:tcPr>
          <w:p w14:paraId="5A91F92E">
            <w:pPr>
              <w:pStyle w:val="15"/>
              <w:rPr>
                <w:rFonts w:hint="eastAsia" w:ascii="Times New Roman" w:hAnsi="Times New Roman" w:eastAsia="宋体" w:cs="Times New Roman"/>
                <w:color w:val="000000" w:themeColor="text1"/>
                <w:highlight w:val="none"/>
                <w:vertAlign w:val="baseline"/>
                <w14:textFill>
                  <w14:solidFill>
                    <w14:schemeClr w14:val="tx1"/>
                  </w14:solidFill>
                </w14:textFill>
              </w:rPr>
            </w:pPr>
          </w:p>
        </w:tc>
      </w:tr>
      <w:permEnd w:id="407"/>
    </w:tbl>
    <w:p w14:paraId="05A4C150">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13E0AF3">
      <w:pPr>
        <w:adjustRightInd w:val="0"/>
        <w:snapToGrid w:val="0"/>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56A383F3">
      <w:pPr>
        <w:pStyle w:val="15"/>
        <w:rPr>
          <w:rFonts w:hint="eastAsia" w:ascii="Times New Roman" w:hAnsi="Times New Roman" w:eastAsia="宋体" w:cs="Times New Roman"/>
          <w:color w:val="000000" w:themeColor="text1"/>
          <w:highlight w:val="none"/>
          <w14:textFill>
            <w14:solidFill>
              <w14:schemeClr w14:val="tx1"/>
            </w14:solidFill>
          </w14:textFill>
        </w:rPr>
      </w:pPr>
    </w:p>
    <w:p w14:paraId="5B25742F">
      <w:pPr>
        <w:spacing w:line="420" w:lineRule="exact"/>
        <w:rPr>
          <w:rFonts w:ascii="宋体" w:hAnsi="宋体" w:eastAsia="宋体" w:cs="宋体"/>
          <w:color w:val="000000" w:themeColor="text1"/>
          <w:sz w:val="22"/>
          <w:szCs w:val="22"/>
          <w:highlight w:val="none"/>
          <w14:textFill>
            <w14:solidFill>
              <w14:schemeClr w14:val="tx1"/>
            </w14:solidFill>
          </w14:textFill>
        </w:rPr>
      </w:pPr>
    </w:p>
    <w:p w14:paraId="35007E94">
      <w:pPr>
        <w:spacing w:line="460" w:lineRule="exact"/>
        <w:jc w:val="left"/>
        <w:outlineLvl w:val="9"/>
        <w:rPr>
          <w:rFonts w:hint="eastAsia" w:ascii="宋体" w:hAnsi="宋体" w:eastAsia="黑体" w:cs="宋体"/>
          <w:color w:val="000000" w:themeColor="text1"/>
          <w:kern w:val="0"/>
          <w:sz w:val="22"/>
          <w:szCs w:val="22"/>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585" w:name="_Toc7651"/>
      <w:bookmarkStart w:id="586" w:name="_Toc6064"/>
      <w:bookmarkStart w:id="587" w:name="_Toc10891"/>
      <w:permStart w:id="408" w:edGrp="everyone"/>
      <w:r>
        <w:rPr>
          <w:rFonts w:hint="eastAsia" w:ascii="黑体" w:hAnsi="黑体" w:eastAsia="黑体" w:cs="黑体"/>
          <w:b w:val="0"/>
          <w:bCs w:val="0"/>
          <w:color w:val="000000" w:themeColor="text1"/>
          <w:kern w:val="0"/>
          <w:sz w:val="22"/>
          <w:szCs w:val="22"/>
          <w:highlight w:val="none"/>
          <w14:textFill>
            <w14:solidFill>
              <w14:schemeClr w14:val="tx1"/>
            </w14:solidFill>
          </w14:textFill>
        </w:rPr>
        <w:t>附件</w:t>
      </w:r>
      <w:r>
        <w:rPr>
          <w:rFonts w:hint="eastAsia" w:ascii="黑体" w:hAnsi="黑体" w:eastAsia="黑体" w:cs="黑体"/>
          <w:b w:val="0"/>
          <w:bCs w:val="0"/>
          <w:color w:val="000000" w:themeColor="text1"/>
          <w:kern w:val="0"/>
          <w:sz w:val="22"/>
          <w:szCs w:val="22"/>
          <w:highlight w:val="none"/>
          <w:lang w:val="en-US" w:eastAsia="zh-CN"/>
          <w14:textFill>
            <w14:solidFill>
              <w14:schemeClr w14:val="tx1"/>
            </w14:solidFill>
          </w14:textFill>
        </w:rPr>
        <w:t>5</w:t>
      </w:r>
      <w:bookmarkEnd w:id="585"/>
      <w:bookmarkEnd w:id="586"/>
      <w:bookmarkEnd w:id="587"/>
    </w:p>
    <w:p w14:paraId="3B1506F6">
      <w:pPr>
        <w:spacing w:line="460" w:lineRule="exact"/>
        <w:jc w:val="right"/>
        <w:rPr>
          <w:rFonts w:hint="eastAsia" w:ascii="方正小标宋简体" w:eastAsia="方正小标宋简体" w:hAnsiTheme="minorHAnsi" w:cstheme="minorBidi"/>
          <w:b w:val="0"/>
          <w:bCs w:val="0"/>
          <w:color w:val="000000" w:themeColor="text1"/>
          <w:kern w:val="2"/>
          <w:sz w:val="44"/>
          <w:szCs w:val="44"/>
          <w:highlight w:val="none"/>
          <w14:textFill>
            <w14:solidFill>
              <w14:schemeClr w14:val="tx1"/>
            </w14:solidFill>
          </w14:textFill>
        </w:rPr>
      </w:pPr>
      <w:r>
        <w:rPr>
          <w:rFonts w:hint="eastAsia" w:ascii="宋体" w:hAnsi="宋体" w:eastAsia="仿宋_GB2312" w:cs="Times New Roman"/>
          <w:b/>
          <w:bCs w:val="0"/>
          <w:color w:val="000000" w:themeColor="text1"/>
          <w:kern w:val="2"/>
          <w:sz w:val="24"/>
          <w:szCs w:val="32"/>
          <w:highlight w:val="none"/>
          <w14:textFill>
            <w14:solidFill>
              <w14:schemeClr w14:val="tx1"/>
            </w14:solidFill>
          </w14:textFill>
        </w:rPr>
        <w:t>【标准文本】合同-SG-202601-01</w:t>
      </w:r>
    </w:p>
    <w:p w14:paraId="6DC58FB2">
      <w:pPr>
        <w:spacing w:line="460" w:lineRule="exact"/>
        <w:jc w:val="center"/>
        <w:rPr>
          <w:rFonts w:hint="eastAsia" w:ascii="方正小标宋简体" w:eastAsia="方正小标宋简体" w:hAnsiTheme="minorHAnsi" w:cstheme="minorBidi"/>
          <w:b w:val="0"/>
          <w:bCs w:val="0"/>
          <w:color w:val="000000" w:themeColor="text1"/>
          <w:kern w:val="2"/>
          <w:sz w:val="44"/>
          <w:szCs w:val="44"/>
          <w:highlight w:val="none"/>
          <w14:textFill>
            <w14:solidFill>
              <w14:schemeClr w14:val="tx1"/>
            </w14:solidFill>
          </w14:textFill>
        </w:rPr>
      </w:pPr>
    </w:p>
    <w:p w14:paraId="2565F468">
      <w:pPr>
        <w:spacing w:line="460" w:lineRule="exact"/>
        <w:jc w:val="center"/>
        <w:rPr>
          <w:rFonts w:hint="eastAsia" w:ascii="方正小标宋简体" w:eastAsia="方正小标宋简体" w:hAnsiTheme="minorHAnsi" w:cstheme="minorBidi"/>
          <w:b w:val="0"/>
          <w:bCs w:val="0"/>
          <w:color w:val="000000" w:themeColor="text1"/>
          <w:kern w:val="2"/>
          <w:sz w:val="44"/>
          <w:szCs w:val="44"/>
          <w:highlight w:val="none"/>
          <w14:textFill>
            <w14:solidFill>
              <w14:schemeClr w14:val="tx1"/>
            </w14:solidFill>
          </w14:textFill>
        </w:rPr>
      </w:pPr>
      <w:r>
        <w:rPr>
          <w:rFonts w:hint="eastAsia" w:ascii="方正小标宋简体" w:eastAsia="方正小标宋简体" w:hAnsiTheme="minorHAnsi" w:cstheme="minorBidi"/>
          <w:b w:val="0"/>
          <w:bCs w:val="0"/>
          <w:color w:val="000000" w:themeColor="text1"/>
          <w:kern w:val="2"/>
          <w:sz w:val="44"/>
          <w:szCs w:val="44"/>
          <w:highlight w:val="none"/>
          <w14:textFill>
            <w14:solidFill>
              <w14:schemeClr w14:val="tx1"/>
            </w14:solidFill>
          </w14:textFill>
        </w:rPr>
        <w:t>工程</w:t>
      </w:r>
      <w:r>
        <w:rPr>
          <w:rFonts w:hint="eastAsia" w:ascii="方正小标宋简体" w:eastAsia="方正小标宋简体" w:hAnsiTheme="minorHAnsi" w:cstheme="minorBidi"/>
          <w:b w:val="0"/>
          <w:bCs w:val="0"/>
          <w:color w:val="000000" w:themeColor="text1"/>
          <w:kern w:val="2"/>
          <w:sz w:val="44"/>
          <w:szCs w:val="44"/>
          <w:highlight w:val="none"/>
          <w:lang w:val="en-US" w:eastAsia="zh-CN"/>
          <w14:textFill>
            <w14:solidFill>
              <w14:schemeClr w14:val="tx1"/>
            </w14:solidFill>
          </w14:textFill>
        </w:rPr>
        <w:t>项目</w:t>
      </w:r>
      <w:r>
        <w:rPr>
          <w:rFonts w:hint="eastAsia" w:ascii="方正小标宋简体" w:eastAsia="方正小标宋简体" w:hAnsiTheme="minorHAnsi" w:cstheme="minorBidi"/>
          <w:b w:val="0"/>
          <w:bCs w:val="0"/>
          <w:color w:val="000000" w:themeColor="text1"/>
          <w:kern w:val="2"/>
          <w:sz w:val="44"/>
          <w:szCs w:val="44"/>
          <w:highlight w:val="none"/>
          <w14:textFill>
            <w14:solidFill>
              <w14:schemeClr w14:val="tx1"/>
            </w14:solidFill>
          </w14:textFill>
        </w:rPr>
        <w:t>安全</w:t>
      </w:r>
      <w:r>
        <w:rPr>
          <w:rFonts w:hint="eastAsia" w:ascii="方正小标宋简体" w:eastAsia="方正小标宋简体" w:hAnsiTheme="minorHAnsi" w:cstheme="minorBidi"/>
          <w:b w:val="0"/>
          <w:bCs w:val="0"/>
          <w:color w:val="000000" w:themeColor="text1"/>
          <w:kern w:val="2"/>
          <w:sz w:val="44"/>
          <w:szCs w:val="44"/>
          <w:highlight w:val="none"/>
          <w:lang w:val="en-US" w:eastAsia="zh-CN"/>
          <w14:textFill>
            <w14:solidFill>
              <w14:schemeClr w14:val="tx1"/>
            </w14:solidFill>
          </w14:textFill>
        </w:rPr>
        <w:t>生产管理</w:t>
      </w:r>
      <w:r>
        <w:rPr>
          <w:rFonts w:hint="eastAsia" w:ascii="方正小标宋简体" w:eastAsia="方正小标宋简体" w:hAnsiTheme="minorHAnsi" w:cstheme="minorBidi"/>
          <w:b w:val="0"/>
          <w:bCs w:val="0"/>
          <w:color w:val="000000" w:themeColor="text1"/>
          <w:kern w:val="2"/>
          <w:sz w:val="44"/>
          <w:szCs w:val="44"/>
          <w:highlight w:val="none"/>
          <w14:textFill>
            <w14:solidFill>
              <w14:schemeClr w14:val="tx1"/>
            </w14:solidFill>
          </w14:textFill>
        </w:rPr>
        <w:t>协议书</w:t>
      </w:r>
    </w:p>
    <w:p w14:paraId="232B058F">
      <w:pPr>
        <w:spacing w:line="460" w:lineRule="exact"/>
        <w:jc w:val="center"/>
        <w:rPr>
          <w:rFonts w:ascii="宋体" w:hAnsi="宋体" w:eastAsia="仿宋_GB2312" w:cs="Times New Roman"/>
          <w:b/>
          <w:bCs/>
          <w:color w:val="000000" w:themeColor="text1"/>
          <w:kern w:val="0"/>
          <w:sz w:val="44"/>
          <w:szCs w:val="44"/>
          <w:highlight w:val="none"/>
          <w14:textFill>
            <w14:solidFill>
              <w14:schemeClr w14:val="tx1"/>
            </w14:solidFill>
          </w14:textFill>
        </w:rPr>
      </w:pPr>
      <w:r>
        <w:rPr>
          <w:rFonts w:hint="eastAsia" w:ascii="宋体" w:hAnsi="宋体" w:eastAsia="仿宋_GB2312" w:cs="Times New Roman"/>
          <w:b/>
          <w:color w:val="000000" w:themeColor="text1"/>
          <w:sz w:val="24"/>
          <w:szCs w:val="32"/>
          <w:highlight w:val="none"/>
          <w14:textFill>
            <w14:solidFill>
              <w14:schemeClr w14:val="tx1"/>
            </w14:solidFill>
          </w14:textFill>
        </w:rPr>
        <w:t>（适用于建设工程项目）</w:t>
      </w:r>
    </w:p>
    <w:p w14:paraId="77675986">
      <w:pPr>
        <w:spacing w:line="460" w:lineRule="exact"/>
        <w:ind w:firstLine="480" w:firstLineChars="200"/>
        <w:rPr>
          <w:rFonts w:ascii="宋体" w:hAnsi="宋体" w:eastAsia="仿宋_GB2312" w:cs="Times New Roman"/>
          <w:color w:val="000000" w:themeColor="text1"/>
          <w:sz w:val="24"/>
          <w:szCs w:val="32"/>
          <w:highlight w:val="none"/>
          <w14:textFill>
            <w14:solidFill>
              <w14:schemeClr w14:val="tx1"/>
            </w14:solidFill>
          </w14:textFill>
        </w:rPr>
      </w:pPr>
    </w:p>
    <w:p w14:paraId="1F01DC6A">
      <w:pPr>
        <w:spacing w:line="560" w:lineRule="exact"/>
        <w:ind w:firstLine="643" w:firstLineChars="200"/>
        <w:rPr>
          <w:rFonts w:hint="default" w:ascii="宋体" w:hAnsi="宋体" w:eastAsia="仿宋_GB2312" w:cs="Times New Roman"/>
          <w:b/>
          <w:color w:val="000000" w:themeColor="text1"/>
          <w:sz w:val="32"/>
          <w:szCs w:val="32"/>
          <w:highlight w:val="none"/>
          <w:u w:val="single"/>
          <w:lang w:val="en-US" w:eastAsia="zh-CN"/>
          <w14:textFill>
            <w14:solidFill>
              <w14:schemeClr w14:val="tx1"/>
            </w14:solidFill>
          </w14:textFill>
        </w:rPr>
      </w:pPr>
      <w:r>
        <w:rPr>
          <w:rFonts w:hint="eastAsia" w:ascii="宋体" w:hAnsi="宋体" w:eastAsia="仿宋_GB2312" w:cs="Times New Roman"/>
          <w:b/>
          <w:color w:val="000000" w:themeColor="text1"/>
          <w:sz w:val="32"/>
          <w:szCs w:val="32"/>
          <w:highlight w:val="none"/>
          <w14:textFill>
            <w14:solidFill>
              <w14:schemeClr w14:val="tx1"/>
            </w14:solidFill>
          </w14:textFill>
        </w:rPr>
        <w:t>发包方：广州市自来水有限公司</w:t>
      </w:r>
      <w:r>
        <w:rPr>
          <w:rFonts w:hint="eastAsia" w:ascii="宋体" w:hAnsi="宋体" w:eastAsia="仿宋_GB2312" w:cs="Times New Roman"/>
          <w:b/>
          <w:color w:val="000000" w:themeColor="text1"/>
          <w:sz w:val="32"/>
          <w:szCs w:val="32"/>
          <w:highlight w:val="none"/>
          <w:u w:val="single"/>
          <w:lang w:val="en-US" w:eastAsia="zh-CN"/>
          <w14:textFill>
            <w14:solidFill>
              <w14:schemeClr w14:val="tx1"/>
            </w14:solidFill>
          </w14:textFill>
        </w:rPr>
        <w:t xml:space="preserve">       </w:t>
      </w:r>
    </w:p>
    <w:p w14:paraId="3936B649">
      <w:pPr>
        <w:spacing w:line="560" w:lineRule="exact"/>
        <w:ind w:firstLine="643" w:firstLineChars="200"/>
        <w:rPr>
          <w:rFonts w:ascii="宋体" w:hAnsi="宋体" w:eastAsia="仿宋_GB2312" w:cs="Times New Roman"/>
          <w:b/>
          <w:color w:val="000000" w:themeColor="text1"/>
          <w:sz w:val="32"/>
          <w:szCs w:val="32"/>
          <w:highlight w:val="none"/>
          <w14:textFill>
            <w14:solidFill>
              <w14:schemeClr w14:val="tx1"/>
            </w14:solidFill>
          </w14:textFill>
        </w:rPr>
      </w:pPr>
      <w:r>
        <w:rPr>
          <w:rFonts w:hint="eastAsia" w:ascii="宋体" w:hAnsi="宋体" w:eastAsia="仿宋_GB2312" w:cs="Times New Roman"/>
          <w:b/>
          <w:color w:val="000000" w:themeColor="text1"/>
          <w:sz w:val="32"/>
          <w:szCs w:val="32"/>
          <w:highlight w:val="none"/>
          <w14:textFill>
            <w14:solidFill>
              <w14:schemeClr w14:val="tx1"/>
            </w14:solidFill>
          </w14:textFill>
        </w:rPr>
        <w:t>承包方：</w:t>
      </w:r>
      <w:r>
        <w:rPr>
          <w:rFonts w:hint="eastAsia" w:ascii="宋体" w:hAnsi="宋体" w:eastAsia="仿宋_GB2312" w:cs="Times New Roman"/>
          <w:b/>
          <w:color w:val="000000" w:themeColor="text1"/>
          <w:sz w:val="32"/>
          <w:szCs w:val="32"/>
          <w:highlight w:val="none"/>
          <w:u w:val="single"/>
          <w:lang w:val="en-US" w:eastAsia="zh-CN"/>
          <w14:textFill>
            <w14:solidFill>
              <w14:schemeClr w14:val="tx1"/>
            </w14:solidFill>
          </w14:textFill>
        </w:rPr>
        <w:t xml:space="preserve">                     </w:t>
      </w:r>
      <w:r>
        <w:rPr>
          <w:rFonts w:hint="eastAsia" w:ascii="宋体" w:hAnsi="宋体" w:eastAsia="仿宋_GB2312" w:cs="Times New Roman"/>
          <w:b/>
          <w:color w:val="000000" w:themeColor="text1"/>
          <w:sz w:val="32"/>
          <w:szCs w:val="32"/>
          <w:highlight w:val="none"/>
          <w14:textFill>
            <w14:solidFill>
              <w14:schemeClr w14:val="tx1"/>
            </w14:solidFill>
          </w14:textFill>
        </w:rPr>
        <w:t xml:space="preserve">      </w:t>
      </w:r>
    </w:p>
    <w:p w14:paraId="3398CED5">
      <w:pPr>
        <w:spacing w:line="560" w:lineRule="exact"/>
        <w:ind w:firstLine="643" w:firstLineChars="200"/>
        <w:rPr>
          <w:rFonts w:ascii="宋体" w:hAnsi="宋体" w:eastAsia="仿宋_GB2312" w:cs="Times New Roman"/>
          <w:b/>
          <w:color w:val="000000" w:themeColor="text1"/>
          <w:sz w:val="32"/>
          <w:szCs w:val="32"/>
          <w:highlight w:val="none"/>
          <w14:textFill>
            <w14:solidFill>
              <w14:schemeClr w14:val="tx1"/>
            </w14:solidFill>
          </w14:textFill>
        </w:rPr>
      </w:pPr>
      <w:r>
        <w:rPr>
          <w:rFonts w:hint="eastAsia" w:ascii="宋体" w:hAnsi="宋体" w:eastAsia="仿宋_GB2312" w:cs="Times New Roman"/>
          <w:b/>
          <w:color w:val="000000" w:themeColor="text1"/>
          <w:sz w:val="32"/>
          <w:szCs w:val="32"/>
          <w:highlight w:val="none"/>
          <w14:textFill>
            <w14:solidFill>
              <w14:schemeClr w14:val="tx1"/>
            </w14:solidFill>
          </w14:textFill>
        </w:rPr>
        <w:t>工程名称：2024年中区片区内街管网改造工程（北京南等8个片区）施工总承包项目</w:t>
      </w:r>
      <w:r>
        <w:rPr>
          <w:rFonts w:hint="eastAsia" w:ascii="宋体" w:hAnsi="宋体" w:eastAsia="仿宋_GB2312" w:cs="Times New Roman"/>
          <w:b/>
          <w:color w:val="000000" w:themeColor="text1"/>
          <w:sz w:val="32"/>
          <w:szCs w:val="32"/>
          <w:highlight w:val="none"/>
          <w:u w:val="single"/>
          <w:lang w:val="en-US" w:eastAsia="zh-CN"/>
          <w14:textFill>
            <w14:solidFill>
              <w14:schemeClr w14:val="tx1"/>
            </w14:solidFill>
          </w14:textFill>
        </w:rPr>
        <w:t xml:space="preserve">  </w:t>
      </w:r>
      <w:r>
        <w:rPr>
          <w:rFonts w:hint="eastAsia" w:ascii="宋体" w:hAnsi="宋体" w:eastAsia="仿宋_GB2312" w:cs="Times New Roman"/>
          <w:b/>
          <w:color w:val="000000" w:themeColor="text1"/>
          <w:sz w:val="32"/>
          <w:szCs w:val="32"/>
          <w:highlight w:val="none"/>
          <w14:textFill>
            <w14:solidFill>
              <w14:schemeClr w14:val="tx1"/>
            </w14:solidFill>
          </w14:textFill>
        </w:rPr>
        <w:t xml:space="preserve">   </w:t>
      </w:r>
    </w:p>
    <w:p w14:paraId="27F32119">
      <w:pPr>
        <w:spacing w:line="560" w:lineRule="exact"/>
        <w:ind w:firstLine="640" w:firstLineChars="200"/>
        <w:jc w:val="left"/>
        <w:rPr>
          <w:rFonts w:hint="eastAsia" w:ascii="宋体" w:hAnsi="宋体" w:eastAsia="仿宋_GB2312" w:cs="Times New Roman"/>
          <w:color w:val="000000" w:themeColor="text1"/>
          <w:sz w:val="32"/>
          <w:szCs w:val="32"/>
          <w:highlight w:val="none"/>
          <w14:textFill>
            <w14:solidFill>
              <w14:schemeClr w14:val="tx1"/>
            </w14:solidFill>
          </w14:textFill>
        </w:rPr>
      </w:pPr>
      <w:r>
        <w:rPr>
          <w:rFonts w:hint="eastAsia" w:ascii="宋体" w:hAnsi="宋体" w:eastAsia="仿宋_GB2312" w:cs="Times New Roman"/>
          <w:color w:val="000000" w:themeColor="text1"/>
          <w:sz w:val="32"/>
          <w:szCs w:val="32"/>
          <w:highlight w:val="none"/>
          <w14:textFill>
            <w14:solidFill>
              <w14:schemeClr w14:val="tx1"/>
            </w14:solidFill>
          </w14:textFill>
        </w:rPr>
        <w:t>为贯彻“安全第一，预防为主，综合治理”的方针，努力提高工程安全管理水平，根据《中华人民共和国安全生产法》</w:t>
      </w:r>
      <w:r>
        <w:rPr>
          <w:rFonts w:hint="eastAsia" w:ascii="宋体" w:hAnsi="宋体" w:eastAsia="仿宋_GB2312" w:cs="Times New Roman"/>
          <w:color w:val="000000" w:themeColor="text1"/>
          <w:sz w:val="32"/>
          <w:szCs w:val="32"/>
          <w:highlight w:val="none"/>
          <w:lang w:eastAsia="zh-CN"/>
          <w14:textFill>
            <w14:solidFill>
              <w14:schemeClr w14:val="tx1"/>
            </w14:solidFill>
          </w14:textFill>
        </w:rPr>
        <w:t>《中华人民共和国建筑法》等法律、法规及规范性文件的规定</w:t>
      </w:r>
      <w:r>
        <w:rPr>
          <w:rFonts w:hint="eastAsia" w:ascii="宋体" w:hAnsi="宋体" w:eastAsia="仿宋_GB2312" w:cs="Times New Roman"/>
          <w:color w:val="000000" w:themeColor="text1"/>
          <w:sz w:val="32"/>
          <w:szCs w:val="32"/>
          <w:highlight w:val="none"/>
          <w14:textFill>
            <w14:solidFill>
              <w14:schemeClr w14:val="tx1"/>
            </w14:solidFill>
          </w14:textFill>
        </w:rPr>
        <w:t>，结合本工程具体情况，为确保该工程的施工安全，</w:t>
      </w:r>
      <w:r>
        <w:rPr>
          <w:rFonts w:ascii="宋体" w:hAnsi="宋体" w:eastAsia="仿宋_GB2312" w:cs="Times New Roman"/>
          <w:color w:val="000000" w:themeColor="text1"/>
          <w:sz w:val="32"/>
          <w:szCs w:val="32"/>
          <w:highlight w:val="none"/>
          <w14:textFill>
            <w14:solidFill>
              <w14:schemeClr w14:val="tx1"/>
            </w14:solidFill>
          </w14:textFill>
        </w:rPr>
        <w:t>双方协商一致，特制定本协议书。</w:t>
      </w:r>
      <w:r>
        <w:rPr>
          <w:rFonts w:hint="eastAsia" w:ascii="宋体" w:hAnsi="宋体" w:eastAsia="仿宋_GB2312" w:cs="Times New Roman"/>
          <w:color w:val="000000" w:themeColor="text1"/>
          <w:sz w:val="32"/>
          <w:szCs w:val="32"/>
          <w:highlight w:val="none"/>
          <w14:textFill>
            <w14:solidFill>
              <w14:schemeClr w14:val="tx1"/>
            </w14:solidFill>
          </w14:textFill>
        </w:rPr>
        <w:t xml:space="preserve"> </w:t>
      </w:r>
    </w:p>
    <w:p w14:paraId="4133165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leftChars="0" w:right="0" w:firstLine="640" w:firstLineChars="200"/>
        <w:jc w:val="left"/>
        <w:rPr>
          <w:rFonts w:hint="eastAsia"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一、安全目标与承诺</w:t>
      </w:r>
    </w:p>
    <w:p w14:paraId="205E165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leftChars="0" w:right="0" w:firstLine="640" w:firstLineChars="200"/>
        <w:jc w:val="left"/>
        <w:rPr>
          <w:rFonts w:hint="eastAsia" w:ascii="宋体" w:hAnsi="宋体" w:eastAsia="仿宋_GB2312" w:cs="Times New Roman"/>
          <w:i w:val="0"/>
          <w:iCs w:val="0"/>
          <w:caps w:val="0"/>
          <w:color w:val="000000" w:themeColor="text1"/>
          <w:spacing w:val="0"/>
          <w:sz w:val="32"/>
          <w:szCs w:val="32"/>
          <w:highlight w:val="none"/>
          <w:shd w:val="clear"/>
          <w14:textFill>
            <w14:solidFill>
              <w14:schemeClr w14:val="tx1"/>
            </w14:solidFill>
          </w14:textFill>
        </w:rPr>
      </w:pPr>
      <w:r>
        <w:rPr>
          <w:rFonts w:hint="eastAsia" w:ascii="宋体" w:hAnsi="宋体"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（一）</w:t>
      </w:r>
      <w:r>
        <w:rPr>
          <w:rFonts w:hint="eastAsia" w:ascii="宋体" w:hAnsi="宋体" w:eastAsia="仿宋_GB2312" w:cs="Times New Roman"/>
          <w:i w:val="0"/>
          <w:iCs w:val="0"/>
          <w:caps w:val="0"/>
          <w:color w:val="000000" w:themeColor="text1"/>
          <w:spacing w:val="0"/>
          <w:sz w:val="32"/>
          <w:szCs w:val="32"/>
          <w:highlight w:val="none"/>
          <w:shd w:val="clear"/>
          <w14:textFill>
            <w14:solidFill>
              <w14:schemeClr w14:val="tx1"/>
            </w14:solidFill>
          </w14:textFill>
        </w:rPr>
        <w:t>不发生</w:t>
      </w:r>
      <w:r>
        <w:rPr>
          <w:rFonts w:hint="eastAsia" w:ascii="宋体" w:hAnsi="宋体"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3人以上</w:t>
      </w:r>
      <w:r>
        <w:rPr>
          <w:rFonts w:hint="eastAsia" w:ascii="宋体" w:hAnsi="宋体" w:eastAsia="仿宋_GB2312" w:cs="Times New Roman"/>
          <w:i w:val="0"/>
          <w:iCs w:val="0"/>
          <w:caps w:val="0"/>
          <w:color w:val="000000" w:themeColor="text1"/>
          <w:spacing w:val="0"/>
          <w:sz w:val="32"/>
          <w:szCs w:val="32"/>
          <w:highlight w:val="none"/>
          <w:shd w:val="clear"/>
          <w14:textFill>
            <w14:solidFill>
              <w14:schemeClr w14:val="tx1"/>
            </w14:solidFill>
          </w14:textFill>
        </w:rPr>
        <w:t>轻伤</w:t>
      </w:r>
      <w:r>
        <w:rPr>
          <w:rFonts w:hint="eastAsia" w:ascii="宋体" w:hAnsi="宋体"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或1人</w:t>
      </w:r>
      <w:r>
        <w:rPr>
          <w:rFonts w:hint="eastAsia" w:ascii="宋体" w:hAnsi="宋体" w:eastAsia="仿宋_GB2312" w:cs="Times New Roman"/>
          <w:i w:val="0"/>
          <w:iCs w:val="0"/>
          <w:caps w:val="0"/>
          <w:color w:val="000000" w:themeColor="text1"/>
          <w:spacing w:val="0"/>
          <w:sz w:val="32"/>
          <w:szCs w:val="32"/>
          <w:highlight w:val="none"/>
          <w:shd w:val="clear"/>
          <w14:textFill>
            <w14:solidFill>
              <w14:schemeClr w14:val="tx1"/>
            </w14:solidFill>
          </w14:textFill>
        </w:rPr>
        <w:t>以上</w:t>
      </w:r>
      <w:r>
        <w:rPr>
          <w:rFonts w:hint="eastAsia" w:ascii="宋体" w:hAnsi="宋体"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重伤或死亡的</w:t>
      </w:r>
      <w:r>
        <w:rPr>
          <w:rFonts w:hint="eastAsia" w:ascii="宋体" w:hAnsi="宋体" w:eastAsia="仿宋_GB2312" w:cs="Times New Roman"/>
          <w:i w:val="0"/>
          <w:iCs w:val="0"/>
          <w:caps w:val="0"/>
          <w:color w:val="000000" w:themeColor="text1"/>
          <w:spacing w:val="0"/>
          <w:sz w:val="32"/>
          <w:szCs w:val="32"/>
          <w:highlight w:val="none"/>
          <w:shd w:val="clear"/>
          <w14:textFill>
            <w14:solidFill>
              <w14:schemeClr w14:val="tx1"/>
            </w14:solidFill>
          </w14:textFill>
        </w:rPr>
        <w:t>事故；</w:t>
      </w:r>
    </w:p>
    <w:p w14:paraId="743B338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leftChars="0" w:right="0" w:firstLine="640" w:firstLineChars="200"/>
        <w:jc w:val="left"/>
        <w:rPr>
          <w:rFonts w:hint="eastAsia" w:ascii="宋体" w:hAnsi="宋体" w:eastAsia="仿宋_GB2312" w:cs="Times New Roman"/>
          <w:i w:val="0"/>
          <w:iCs w:val="0"/>
          <w:caps w:val="0"/>
          <w:color w:val="000000" w:themeColor="text1"/>
          <w:spacing w:val="0"/>
          <w:sz w:val="32"/>
          <w:szCs w:val="32"/>
          <w:highlight w:val="none"/>
          <w:shd w:val="clear"/>
          <w14:textFill>
            <w14:solidFill>
              <w14:schemeClr w14:val="tx1"/>
            </w14:solidFill>
          </w14:textFill>
        </w:rPr>
      </w:pPr>
      <w:r>
        <w:rPr>
          <w:rFonts w:hint="eastAsia" w:ascii="宋体" w:hAnsi="宋体"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（二）</w:t>
      </w:r>
      <w:r>
        <w:rPr>
          <w:rFonts w:hint="eastAsia" w:ascii="宋体" w:hAnsi="宋体" w:eastAsia="仿宋_GB2312" w:cs="Times New Roman"/>
          <w:i w:val="0"/>
          <w:iCs w:val="0"/>
          <w:caps w:val="0"/>
          <w:color w:val="000000" w:themeColor="text1"/>
          <w:spacing w:val="0"/>
          <w:sz w:val="32"/>
          <w:szCs w:val="32"/>
          <w:highlight w:val="none"/>
          <w:shd w:val="clear"/>
          <w14:textFill>
            <w14:solidFill>
              <w14:schemeClr w14:val="tx1"/>
            </w14:solidFill>
          </w14:textFill>
        </w:rPr>
        <w:t>不发生直接经济损失超过</w:t>
      </w:r>
      <w:r>
        <w:rPr>
          <w:rFonts w:hint="eastAsia" w:ascii="宋体" w:hAnsi="宋体"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50</w:t>
      </w:r>
      <w:r>
        <w:rPr>
          <w:rFonts w:hint="eastAsia" w:ascii="宋体" w:hAnsi="宋体" w:eastAsia="仿宋_GB2312" w:cs="Times New Roman"/>
          <w:i w:val="0"/>
          <w:iCs w:val="0"/>
          <w:caps w:val="0"/>
          <w:color w:val="000000" w:themeColor="text1"/>
          <w:spacing w:val="0"/>
          <w:sz w:val="32"/>
          <w:szCs w:val="32"/>
          <w:highlight w:val="none"/>
          <w:shd w:val="clear"/>
          <w14:textFill>
            <w14:solidFill>
              <w14:schemeClr w14:val="tx1"/>
            </w14:solidFill>
          </w14:textFill>
        </w:rPr>
        <w:t>万元的设备/财产损坏事故；</w:t>
      </w:r>
    </w:p>
    <w:p w14:paraId="2E35DFE6">
      <w:pPr>
        <w:widowControl/>
        <w:numPr>
          <w:ilvl w:val="-1"/>
          <w:numId w:val="0"/>
        </w:numPr>
        <w:pBdr>
          <w:top w:val="none" w:color="auto" w:sz="0" w:space="0"/>
          <w:left w:val="none" w:color="auto" w:sz="0" w:space="0"/>
          <w:bottom w:val="none" w:color="auto" w:sz="0" w:space="0"/>
          <w:right w:val="none" w:color="auto" w:sz="0" w:space="0"/>
        </w:pBdr>
        <w:spacing w:line="560" w:lineRule="exact"/>
        <w:ind w:left="0" w:firstLine="640" w:firstLineChars="200"/>
        <w:jc w:val="left"/>
        <w:rPr>
          <w:rFonts w:hint="eastAsia" w:ascii="宋体" w:hAnsi="宋体" w:eastAsia="仿宋_GB2312" w:cs="Times New Roman"/>
          <w:i w:val="0"/>
          <w:iCs w:val="0"/>
          <w:caps w:val="0"/>
          <w:color w:val="000000" w:themeColor="text1"/>
          <w:spacing w:val="0"/>
          <w:sz w:val="32"/>
          <w:szCs w:val="32"/>
          <w:highlight w:val="none"/>
          <w:shd w:val="clear"/>
          <w14:textFill>
            <w14:solidFill>
              <w14:schemeClr w14:val="tx1"/>
            </w14:solidFill>
          </w14:textFill>
        </w:rPr>
      </w:pPr>
      <w:r>
        <w:rPr>
          <w:rFonts w:hint="eastAsia" w:ascii="宋体" w:hAnsi="宋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r>
        <w:rPr>
          <w:rFonts w:hint="eastAsia" w:ascii="宋体" w:hAnsi="宋体"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三</w:t>
      </w:r>
      <w:r>
        <w:rPr>
          <w:rFonts w:hint="eastAsia" w:ascii="宋体" w:hAnsi="宋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r>
        <w:rPr>
          <w:rFonts w:hint="eastAsia" w:ascii="宋体" w:hAnsi="宋体" w:eastAsia="仿宋_GB2312" w:cs="Times New Roman"/>
          <w:i w:val="0"/>
          <w:iCs w:val="0"/>
          <w:caps w:val="0"/>
          <w:color w:val="000000" w:themeColor="text1"/>
          <w:spacing w:val="0"/>
          <w:sz w:val="32"/>
          <w:szCs w:val="32"/>
          <w:highlight w:val="none"/>
          <w:shd w:val="clear"/>
          <w14:textFill>
            <w14:solidFill>
              <w14:schemeClr w14:val="tx1"/>
            </w14:solidFill>
          </w14:textFill>
        </w:rPr>
        <w:t>安全隐患整改率100%；</w:t>
      </w:r>
    </w:p>
    <w:p w14:paraId="065EE0A6">
      <w:pPr>
        <w:widowControl/>
        <w:numPr>
          <w:ilvl w:val="-1"/>
          <w:numId w:val="0"/>
        </w:numPr>
        <w:pBdr>
          <w:top w:val="none" w:color="auto" w:sz="0" w:space="0"/>
          <w:left w:val="none" w:color="auto" w:sz="0" w:space="0"/>
          <w:bottom w:val="none" w:color="auto" w:sz="0" w:space="0"/>
          <w:right w:val="none" w:color="auto" w:sz="0" w:space="0"/>
        </w:pBdr>
        <w:spacing w:line="560" w:lineRule="exact"/>
        <w:ind w:left="0" w:firstLine="640" w:firstLineChars="200"/>
        <w:jc w:val="left"/>
        <w:rPr>
          <w:rFonts w:hint="eastAsia" w:ascii="宋体" w:hAnsi="宋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pPr>
      <w:r>
        <w:rPr>
          <w:rFonts w:hint="eastAsia" w:ascii="宋体" w:hAnsi="宋体"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（四）</w:t>
      </w:r>
      <w:r>
        <w:rPr>
          <w:rFonts w:hint="eastAsia" w:ascii="宋体" w:hAnsi="宋体" w:eastAsia="仿宋_GB2312" w:cs="Times New Roman"/>
          <w:i w:val="0"/>
          <w:iCs w:val="0"/>
          <w:caps w:val="0"/>
          <w:color w:val="000000" w:themeColor="text1"/>
          <w:spacing w:val="0"/>
          <w:sz w:val="32"/>
          <w:szCs w:val="32"/>
          <w:highlight w:val="none"/>
          <w:shd w:val="clear"/>
          <w14:textFill>
            <w14:solidFill>
              <w14:schemeClr w14:val="tx1"/>
            </w14:solidFill>
          </w14:textFill>
        </w:rPr>
        <w:t>施工人员三级安全教育覆盖率100%</w:t>
      </w:r>
      <w:r>
        <w:rPr>
          <w:rFonts w:hint="eastAsia" w:ascii="宋体" w:hAnsi="宋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p>
    <w:p w14:paraId="1BAD96ED">
      <w:pPr>
        <w:widowControl/>
        <w:numPr>
          <w:ilvl w:val="-1"/>
          <w:numId w:val="0"/>
        </w:numPr>
        <w:pBdr>
          <w:top w:val="none" w:color="auto" w:sz="0" w:space="0"/>
          <w:left w:val="none" w:color="auto" w:sz="0" w:space="0"/>
          <w:bottom w:val="none" w:color="auto" w:sz="0" w:space="0"/>
          <w:right w:val="none" w:color="auto" w:sz="0" w:space="0"/>
        </w:pBdr>
        <w:spacing w:line="560" w:lineRule="exact"/>
        <w:ind w:left="0" w:firstLine="640" w:firstLineChars="200"/>
        <w:jc w:val="left"/>
        <w:rPr>
          <w:rFonts w:hint="eastAsia" w:ascii="宋体" w:hAnsi="宋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pPr>
      <w:r>
        <w:rPr>
          <w:rFonts w:hint="eastAsia" w:ascii="宋体" w:hAnsi="宋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r>
        <w:rPr>
          <w:rFonts w:hint="eastAsia" w:ascii="宋体" w:hAnsi="宋体"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五</w:t>
      </w:r>
      <w:r>
        <w:rPr>
          <w:rFonts w:hint="eastAsia" w:ascii="宋体" w:hAnsi="宋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r>
        <w:rPr>
          <w:rFonts w:hint="eastAsia" w:ascii="宋体" w:hAnsi="宋体" w:eastAsia="仿宋_GB2312" w:cs="Times New Roman"/>
          <w:i w:val="0"/>
          <w:iCs w:val="0"/>
          <w:caps w:val="0"/>
          <w:color w:val="000000" w:themeColor="text1"/>
          <w:spacing w:val="0"/>
          <w:sz w:val="32"/>
          <w:szCs w:val="32"/>
          <w:highlight w:val="none"/>
          <w:shd w:val="clear"/>
          <w14:textFill>
            <w14:solidFill>
              <w14:schemeClr w14:val="tx1"/>
            </w14:solidFill>
          </w14:textFill>
        </w:rPr>
        <w:t>特种作业人员持证上岗率100%</w:t>
      </w:r>
      <w:r>
        <w:rPr>
          <w:rFonts w:hint="eastAsia" w:ascii="宋体" w:hAnsi="宋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p>
    <w:p w14:paraId="6D3169FE">
      <w:pPr>
        <w:widowControl/>
        <w:numPr>
          <w:ilvl w:val="0"/>
          <w:numId w:val="0"/>
        </w:numPr>
        <w:pBdr>
          <w:top w:val="none" w:color="auto" w:sz="0" w:space="0"/>
          <w:left w:val="none" w:color="auto" w:sz="0" w:space="0"/>
          <w:bottom w:val="none" w:color="auto" w:sz="0" w:space="0"/>
          <w:right w:val="none" w:color="auto" w:sz="0" w:space="0"/>
        </w:pBdr>
        <w:spacing w:line="560" w:lineRule="exact"/>
        <w:ind w:left="0" w:leftChars="0" w:firstLine="640" w:firstLineChars="200"/>
        <w:jc w:val="left"/>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i w:val="0"/>
          <w:iCs w:val="0"/>
          <w:caps w:val="0"/>
          <w:color w:val="000000" w:themeColor="text1"/>
          <w:spacing w:val="0"/>
          <w:sz w:val="32"/>
          <w:szCs w:val="32"/>
          <w:highlight w:val="none"/>
          <w:shd w:val="clear"/>
          <w:lang w:val="en-US" w:eastAsia="zh-CN"/>
          <w14:textFill>
            <w14:solidFill>
              <w14:schemeClr w14:val="tx1"/>
            </w14:solidFill>
          </w14:textFill>
        </w:rPr>
        <w:t>二</w:t>
      </w:r>
      <w:r>
        <w:rPr>
          <w:rFonts w:hint="eastAsia" w:ascii="黑体" w:hAnsi="黑体" w:eastAsia="黑体" w:cs="黑体"/>
          <w:color w:val="000000" w:themeColor="text1"/>
          <w:sz w:val="32"/>
          <w:szCs w:val="32"/>
          <w:highlight w:val="none"/>
          <w14:textFill>
            <w14:solidFill>
              <w14:schemeClr w14:val="tx1"/>
            </w14:solidFill>
          </w14:textFill>
        </w:rPr>
        <w:t>、发包方的责任、权利和义务</w:t>
      </w:r>
    </w:p>
    <w:p w14:paraId="3EE7BC19">
      <w:pPr>
        <w:widowControl/>
        <w:numPr>
          <w:ilvl w:val="0"/>
          <w:numId w:val="13"/>
        </w:numPr>
        <w:pBdr>
          <w:top w:val="none" w:color="auto" w:sz="0" w:space="0"/>
          <w:left w:val="none" w:color="auto" w:sz="0" w:space="0"/>
          <w:bottom w:val="none" w:color="auto" w:sz="0" w:space="0"/>
          <w:right w:val="none" w:color="auto" w:sz="0" w:space="0"/>
        </w:pBdr>
        <w:spacing w:line="560" w:lineRule="exact"/>
        <w:ind w:left="0" w:leftChars="0" w:firstLine="640" w:firstLineChars="200"/>
        <w:jc w:val="left"/>
        <w:rPr>
          <w:rFonts w:hint="eastAsia" w:ascii="宋体" w:hAnsi="宋体" w:eastAsia="仿宋_GB2312" w:cs="Times New Roman"/>
          <w:color w:val="000000" w:themeColor="text1"/>
          <w:sz w:val="32"/>
          <w:szCs w:val="32"/>
          <w:highlight w:val="none"/>
          <w14:textFill>
            <w14:solidFill>
              <w14:schemeClr w14:val="tx1"/>
            </w14:solidFill>
          </w14:textFill>
        </w:rPr>
      </w:pPr>
      <w:r>
        <w:rPr>
          <w:rFonts w:hint="eastAsia" w:ascii="宋体" w:hAnsi="宋体" w:eastAsia="仿宋_GB2312" w:cs="Times New Roman"/>
          <w:color w:val="000000" w:themeColor="text1"/>
          <w:sz w:val="32"/>
          <w:szCs w:val="32"/>
          <w:highlight w:val="none"/>
          <w14:textFill>
            <w14:solidFill>
              <w14:schemeClr w14:val="tx1"/>
            </w14:solidFill>
          </w14:textFill>
        </w:rPr>
        <w:t>贯彻执行国家和地方有关安全生产、文明施工</w:t>
      </w:r>
      <w:r>
        <w:rPr>
          <w:rFonts w:hint="eastAsia" w:ascii="宋体" w:hAnsi="宋体" w:eastAsia="仿宋_GB2312" w:cs="Times New Roman"/>
          <w:color w:val="000000" w:themeColor="text1"/>
          <w:sz w:val="32"/>
          <w:szCs w:val="32"/>
          <w:highlight w:val="none"/>
          <w:lang w:val="en-US" w:eastAsia="zh-CN"/>
          <w14:textFill>
            <w14:solidFill>
              <w14:schemeClr w14:val="tx1"/>
            </w14:solidFill>
          </w14:textFill>
        </w:rPr>
        <w:t>的</w:t>
      </w:r>
      <w:r>
        <w:rPr>
          <w:rFonts w:hint="eastAsia" w:ascii="宋体" w:hAnsi="宋体" w:eastAsia="仿宋_GB2312" w:cs="Times New Roman"/>
          <w:color w:val="000000" w:themeColor="text1"/>
          <w:sz w:val="32"/>
          <w:szCs w:val="32"/>
          <w:highlight w:val="none"/>
          <w14:textFill>
            <w14:solidFill>
              <w14:schemeClr w14:val="tx1"/>
            </w14:solidFill>
          </w14:textFill>
        </w:rPr>
        <w:t>法律法规，支持和监督</w:t>
      </w:r>
      <w:r>
        <w:rPr>
          <w:rFonts w:ascii="宋体" w:hAnsi="宋体" w:eastAsia="仿宋_GB2312" w:cs="Times New Roman"/>
          <w:color w:val="000000" w:themeColor="text1"/>
          <w:sz w:val="32"/>
          <w:szCs w:val="32"/>
          <w:highlight w:val="none"/>
          <w14:textFill>
            <w14:solidFill>
              <w14:schemeClr w14:val="tx1"/>
            </w14:solidFill>
          </w14:textFill>
        </w:rPr>
        <w:t>承包方</w:t>
      </w:r>
      <w:r>
        <w:rPr>
          <w:rFonts w:hint="eastAsia" w:ascii="宋体" w:hAnsi="宋体" w:eastAsia="仿宋_GB2312" w:cs="Times New Roman"/>
          <w:color w:val="000000" w:themeColor="text1"/>
          <w:sz w:val="32"/>
          <w:szCs w:val="32"/>
          <w:highlight w:val="none"/>
          <w14:textFill>
            <w14:solidFill>
              <w14:schemeClr w14:val="tx1"/>
            </w14:solidFill>
          </w14:textFill>
        </w:rPr>
        <w:t>依法履行安全生产工作。</w:t>
      </w:r>
    </w:p>
    <w:p w14:paraId="4EDDFA97">
      <w:pPr>
        <w:numPr>
          <w:ilvl w:val="0"/>
          <w:numId w:val="14"/>
        </w:numPr>
        <w:spacing w:line="560" w:lineRule="exact"/>
        <w:ind w:firstLine="640" w:firstLineChars="200"/>
        <w:jc w:val="left"/>
        <w:rPr>
          <w:rFonts w:hint="eastAsia" w:ascii="宋体" w:hAnsi="宋体" w:eastAsia="仿宋_GB2312" w:cs="Times New Roman"/>
          <w:color w:val="000000" w:themeColor="text1"/>
          <w:sz w:val="32"/>
          <w:szCs w:val="32"/>
          <w:highlight w:val="none"/>
          <w:lang w:val="en-US" w:eastAsia="zh-CN"/>
          <w14:textFill>
            <w14:solidFill>
              <w14:schemeClr w14:val="tx1"/>
            </w14:solidFill>
          </w14:textFill>
        </w:rPr>
      </w:pPr>
      <w:r>
        <w:rPr>
          <w:rFonts w:hint="eastAsia" w:ascii="宋体" w:hAnsi="宋体" w:eastAsia="仿宋_GB2312" w:cs="Times New Roman"/>
          <w:color w:val="000000" w:themeColor="text1"/>
          <w:sz w:val="32"/>
          <w:szCs w:val="32"/>
          <w:highlight w:val="none"/>
          <w:lang w:val="en-US" w:eastAsia="zh-CN"/>
          <w14:textFill>
            <w14:solidFill>
              <w14:schemeClr w14:val="tx1"/>
            </w14:solidFill>
          </w14:textFill>
        </w:rPr>
        <w:t>有权进入施工现场或承包方项目部进行检查，调阅有关承包方的安全生产规章制度、安全操作规程、施工方案、安全教育培训情况、安全文明施工措施费使用情况等安全生产资料；检查施工现场按图施工、安全防护、扬尘防治、噪声控制等安全文明施工情况；向有关人员了解安全生产情况。</w:t>
      </w:r>
    </w:p>
    <w:p w14:paraId="27114228">
      <w:pPr>
        <w:numPr>
          <w:ilvl w:val="0"/>
          <w:numId w:val="14"/>
        </w:numPr>
        <w:spacing w:line="560" w:lineRule="exact"/>
        <w:ind w:firstLine="640" w:firstLineChars="200"/>
        <w:jc w:val="left"/>
        <w:rPr>
          <w:rFonts w:hint="default" w:ascii="宋体" w:hAnsi="宋体" w:eastAsia="仿宋_GB2312" w:cs="Times New Roman"/>
          <w:color w:val="000000" w:themeColor="text1"/>
          <w:sz w:val="32"/>
          <w:szCs w:val="32"/>
          <w:highlight w:val="none"/>
          <w:lang w:val="en-US" w:eastAsia="zh-CN"/>
          <w14:textFill>
            <w14:solidFill>
              <w14:schemeClr w14:val="tx1"/>
            </w14:solidFill>
          </w14:textFill>
        </w:rPr>
      </w:pPr>
      <w:r>
        <w:rPr>
          <w:rFonts w:hint="eastAsia" w:ascii="宋体" w:hAnsi="宋体" w:eastAsia="仿宋_GB2312" w:cs="Times New Roman"/>
          <w:color w:val="000000" w:themeColor="text1"/>
          <w:sz w:val="32"/>
          <w:szCs w:val="32"/>
          <w:highlight w:val="none"/>
          <w:lang w:val="en-US" w:eastAsia="zh-CN"/>
          <w14:textFill>
            <w14:solidFill>
              <w14:schemeClr w14:val="tx1"/>
            </w14:solidFill>
          </w14:textFill>
        </w:rPr>
        <w:t>对检查中发现的安全生产资料问题，有权责令立即整改或限期整改；对违章指挥、违规作业、违反劳动纪律的“三违”行为，有权当场予以纠正或要求限期改正；对事故隐患，有权责令立即排除或限期整改。</w:t>
      </w:r>
    </w:p>
    <w:p w14:paraId="18B87140">
      <w:pPr>
        <w:numPr>
          <w:ilvl w:val="0"/>
          <w:numId w:val="14"/>
        </w:numPr>
        <w:spacing w:line="560" w:lineRule="exact"/>
        <w:ind w:firstLine="640" w:firstLineChars="200"/>
        <w:jc w:val="left"/>
        <w:rPr>
          <w:rFonts w:hint="default" w:ascii="宋体" w:hAnsi="宋体" w:eastAsia="仿宋_GB2312" w:cs="Times New Roman"/>
          <w:color w:val="000000" w:themeColor="text1"/>
          <w:sz w:val="32"/>
          <w:szCs w:val="32"/>
          <w:highlight w:val="none"/>
          <w:lang w:val="en-US" w:eastAsia="zh-CN"/>
          <w14:textFill>
            <w14:solidFill>
              <w14:schemeClr w14:val="tx1"/>
            </w14:solidFill>
          </w14:textFill>
        </w:rPr>
      </w:pPr>
      <w:r>
        <w:rPr>
          <w:rFonts w:hint="eastAsia" w:ascii="宋体" w:hAnsi="宋体" w:eastAsia="仿宋_GB2312" w:cs="Times New Roman"/>
          <w:color w:val="000000" w:themeColor="text1"/>
          <w:sz w:val="32"/>
          <w:szCs w:val="32"/>
          <w:highlight w:val="none"/>
          <w:lang w:val="en-US" w:eastAsia="zh-CN"/>
          <w14:textFill>
            <w14:solidFill>
              <w14:schemeClr w14:val="tx1"/>
            </w14:solidFill>
          </w14:textFill>
        </w:rPr>
        <w:t>重大事故隐患排除前或排除过程中无法保证安全的，有权责令从危险区域内撤出作业人员，责令停止施工或停止使用相关设备设施。</w:t>
      </w:r>
    </w:p>
    <w:p w14:paraId="4F792457">
      <w:pPr>
        <w:numPr>
          <w:ilvl w:val="0"/>
          <w:numId w:val="14"/>
        </w:numPr>
        <w:spacing w:line="560" w:lineRule="exact"/>
        <w:ind w:firstLine="640" w:firstLineChars="200"/>
        <w:jc w:val="left"/>
        <w:rPr>
          <w:rFonts w:hint="default" w:ascii="宋体" w:hAnsi="宋体" w:eastAsia="仿宋_GB2312" w:cs="Times New Roman"/>
          <w:color w:val="000000" w:themeColor="text1"/>
          <w:sz w:val="32"/>
          <w:szCs w:val="32"/>
          <w:highlight w:val="none"/>
          <w:lang w:val="en-US" w:eastAsia="zh-CN"/>
          <w14:textFill>
            <w14:solidFill>
              <w14:schemeClr w14:val="tx1"/>
            </w14:solidFill>
          </w14:textFill>
        </w:rPr>
      </w:pPr>
      <w:r>
        <w:rPr>
          <w:rFonts w:hint="eastAsia" w:ascii="宋体" w:hAnsi="宋体" w:eastAsia="仿宋_GB2312" w:cs="Times New Roman"/>
          <w:color w:val="000000" w:themeColor="text1"/>
          <w:sz w:val="32"/>
          <w:szCs w:val="32"/>
          <w:highlight w:val="none"/>
          <w:lang w:val="en-US" w:eastAsia="zh-CN"/>
          <w14:textFill>
            <w14:solidFill>
              <w14:schemeClr w14:val="tx1"/>
            </w14:solidFill>
          </w14:textFill>
        </w:rPr>
        <w:t>对检查过程中发现的上述安全问题，有权发出整改通知书，责令立即整改、限期整改、全面或局部停工整改，并可根据相关法律法规、合同条款给予通报批评、警示约谈、诚信扣分、违约金扣罚以及解除合同等处罚。</w:t>
      </w:r>
    </w:p>
    <w:p w14:paraId="40848BE2">
      <w:pPr>
        <w:numPr>
          <w:ilvl w:val="0"/>
          <w:numId w:val="14"/>
        </w:numPr>
        <w:spacing w:line="560" w:lineRule="exact"/>
        <w:ind w:firstLine="640" w:firstLineChars="200"/>
        <w:jc w:val="left"/>
        <w:rPr>
          <w:rFonts w:hint="default" w:ascii="宋体" w:hAnsi="宋体" w:eastAsia="仿宋_GB2312" w:cs="Times New Roman"/>
          <w:color w:val="000000" w:themeColor="text1"/>
          <w:sz w:val="32"/>
          <w:szCs w:val="32"/>
          <w:highlight w:val="none"/>
          <w:lang w:val="en-US" w:eastAsia="zh-CN"/>
          <w14:textFill>
            <w14:solidFill>
              <w14:schemeClr w14:val="tx1"/>
            </w14:solidFill>
          </w14:textFill>
        </w:rPr>
      </w:pPr>
      <w:r>
        <w:rPr>
          <w:rFonts w:hint="eastAsia" w:ascii="宋体" w:hAnsi="宋体" w:eastAsia="仿宋_GB2312" w:cs="Times New Roman"/>
          <w:color w:val="000000" w:themeColor="text1"/>
          <w:sz w:val="32"/>
          <w:szCs w:val="32"/>
          <w:highlight w:val="none"/>
          <w:lang w:val="en-US" w:eastAsia="zh-CN"/>
          <w14:textFill>
            <w14:solidFill>
              <w14:schemeClr w14:val="tx1"/>
            </w14:solidFill>
          </w14:textFill>
        </w:rPr>
        <w:t>发包方有权委托第三方监理单位对工程进行监督管理。监理单位按照发包方要求对工程安全文明施工实施监督管理并可行使合同中发包方的权利。</w:t>
      </w:r>
    </w:p>
    <w:p w14:paraId="010585E6">
      <w:pPr>
        <w:keepNext w:val="0"/>
        <w:keepLines w:val="0"/>
        <w:pageBreakBefore w:val="0"/>
        <w:widowControl w:val="0"/>
        <w:tabs>
          <w:tab w:val="left" w:pos="709"/>
          <w:tab w:val="left" w:pos="8505"/>
        </w:tabs>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三</w:t>
      </w:r>
      <w:r>
        <w:rPr>
          <w:rFonts w:hint="eastAsia" w:ascii="黑体" w:hAnsi="黑体" w:eastAsia="黑体" w:cs="黑体"/>
          <w:color w:val="000000" w:themeColor="text1"/>
          <w:sz w:val="32"/>
          <w:szCs w:val="32"/>
          <w:highlight w:val="none"/>
          <w14:textFill>
            <w14:solidFill>
              <w14:schemeClr w14:val="tx1"/>
            </w14:solidFill>
          </w14:textFill>
        </w:rPr>
        <w:t>、承包方的责任、权利和义务</w:t>
      </w:r>
    </w:p>
    <w:p w14:paraId="204F46F9">
      <w:pPr>
        <w:keepNext w:val="0"/>
        <w:keepLines w:val="0"/>
        <w:pageBreakBefore w:val="0"/>
        <w:widowControl w:val="0"/>
        <w:numPr>
          <w:ilvl w:val="0"/>
          <w:numId w:val="15"/>
        </w:numPr>
        <w:tabs>
          <w:tab w:val="left" w:pos="709"/>
          <w:tab w:val="left" w:pos="8505"/>
        </w:tabs>
        <w:kinsoku/>
        <w:wordWrap/>
        <w:overflowPunct/>
        <w:topLinePunct w:val="0"/>
        <w:autoSpaceDE/>
        <w:autoSpaceDN/>
        <w:bidi w:val="0"/>
        <w:adjustRightInd/>
        <w:snapToGrid/>
        <w:spacing w:line="560" w:lineRule="exact"/>
        <w:ind w:left="0" w:leftChars="0" w:firstLine="640" w:firstLineChars="200"/>
        <w:jc w:val="left"/>
        <w:textAlignment w:val="auto"/>
        <w:rPr>
          <w:rFonts w:ascii="宋体" w:hAnsi="宋体" w:eastAsia="仿宋_GB2312" w:cs="Times New Roman"/>
          <w:color w:val="000000" w:themeColor="text1"/>
          <w:sz w:val="32"/>
          <w:szCs w:val="32"/>
          <w:highlight w:val="none"/>
          <w14:textFill>
            <w14:solidFill>
              <w14:schemeClr w14:val="tx1"/>
            </w14:solidFill>
          </w14:textFill>
        </w:rPr>
      </w:pPr>
      <w:r>
        <w:rPr>
          <w:rFonts w:ascii="宋体" w:hAnsi="宋体" w:eastAsia="仿宋_GB2312" w:cs="Times New Roman"/>
          <w:color w:val="000000" w:themeColor="text1"/>
          <w:sz w:val="32"/>
          <w:szCs w:val="32"/>
          <w:highlight w:val="none"/>
          <w14:textFill>
            <w14:solidFill>
              <w14:schemeClr w14:val="tx1"/>
            </w14:solidFill>
          </w14:textFill>
        </w:rPr>
        <w:t>承包方应当具备《安全生产法》和有关</w:t>
      </w:r>
      <w:r>
        <w:rPr>
          <w:rFonts w:ascii="Calibri" w:hAnsi="Calibri" w:eastAsia="仿宋_GB2312" w:cs="Times New Roman"/>
          <w:color w:val="000000" w:themeColor="text1"/>
          <w:kern w:val="0"/>
          <w:sz w:val="32"/>
          <w:szCs w:val="32"/>
          <w:highlight w:val="none"/>
          <w:lang w:eastAsia="en-US"/>
          <w14:textFill>
            <w14:solidFill>
              <w14:schemeClr w14:val="tx1"/>
            </w14:solidFill>
          </w14:textFill>
        </w:rPr>
        <w:fldChar w:fldCharType="begin"/>
      </w:r>
      <w:r>
        <w:rPr>
          <w:rFonts w:ascii="Calibri" w:hAnsi="Calibri" w:eastAsia="仿宋_GB2312" w:cs="Times New Roman"/>
          <w:color w:val="000000" w:themeColor="text1"/>
          <w:kern w:val="0"/>
          <w:sz w:val="32"/>
          <w:szCs w:val="32"/>
          <w:highlight w:val="none"/>
          <w14:textFill>
            <w14:solidFill>
              <w14:schemeClr w14:val="tx1"/>
            </w14:solidFill>
          </w14:textFill>
        </w:rPr>
        <w:instrText xml:space="preserve"> HYPERLINK "http://www.govyi.com/html/gongwenxiezuo/gongjianfa/Index.shtml" </w:instrText>
      </w:r>
      <w:r>
        <w:rPr>
          <w:rFonts w:ascii="Calibri" w:hAnsi="Calibri" w:eastAsia="仿宋_GB2312" w:cs="Times New Roman"/>
          <w:color w:val="000000" w:themeColor="text1"/>
          <w:kern w:val="0"/>
          <w:sz w:val="32"/>
          <w:szCs w:val="32"/>
          <w:highlight w:val="none"/>
          <w:lang w:eastAsia="en-US"/>
          <w14:textFill>
            <w14:solidFill>
              <w14:schemeClr w14:val="tx1"/>
            </w14:solidFill>
          </w14:textFill>
        </w:rPr>
        <w:fldChar w:fldCharType="separate"/>
      </w:r>
      <w:r>
        <w:rPr>
          <w:rFonts w:ascii="宋体" w:hAnsi="宋体" w:eastAsia="仿宋_GB2312" w:cs="Times New Roman"/>
          <w:color w:val="000000" w:themeColor="text1"/>
          <w:sz w:val="32"/>
          <w:szCs w:val="32"/>
          <w:highlight w:val="none"/>
          <w14:textFill>
            <w14:solidFill>
              <w14:schemeClr w14:val="tx1"/>
            </w14:solidFill>
          </w14:textFill>
        </w:rPr>
        <w:t>法律</w:t>
      </w:r>
      <w:r>
        <w:rPr>
          <w:rFonts w:ascii="宋体" w:hAnsi="宋体" w:eastAsia="仿宋_GB2312" w:cs="Times New Roman"/>
          <w:color w:val="000000" w:themeColor="text1"/>
          <w:sz w:val="32"/>
          <w:szCs w:val="32"/>
          <w:highlight w:val="none"/>
          <w14:textFill>
            <w14:solidFill>
              <w14:schemeClr w14:val="tx1"/>
            </w14:solidFill>
          </w14:textFill>
        </w:rPr>
        <w:fldChar w:fldCharType="end"/>
      </w:r>
      <w:r>
        <w:rPr>
          <w:rFonts w:ascii="宋体" w:hAnsi="宋体" w:eastAsia="仿宋_GB2312" w:cs="Times New Roman"/>
          <w:color w:val="000000" w:themeColor="text1"/>
          <w:sz w:val="32"/>
          <w:szCs w:val="32"/>
          <w:highlight w:val="none"/>
          <w14:textFill>
            <w14:solidFill>
              <w14:schemeClr w14:val="tx1"/>
            </w14:solidFill>
          </w14:textFill>
        </w:rPr>
        <w:t>、行政法规和国家标准规定的安全生产条件，不具备安全条件的不得进行施工作业。</w:t>
      </w:r>
    </w:p>
    <w:p w14:paraId="1BA94988">
      <w:pPr>
        <w:keepNext w:val="0"/>
        <w:keepLines w:val="0"/>
        <w:pageBreakBefore w:val="0"/>
        <w:widowControl w:val="0"/>
        <w:numPr>
          <w:ilvl w:val="0"/>
          <w:numId w:val="15"/>
        </w:numPr>
        <w:tabs>
          <w:tab w:val="left" w:pos="709"/>
          <w:tab w:val="left" w:pos="8505"/>
        </w:tabs>
        <w:kinsoku/>
        <w:wordWrap/>
        <w:overflowPunct/>
        <w:topLinePunct w:val="0"/>
        <w:autoSpaceDE/>
        <w:autoSpaceDN/>
        <w:bidi w:val="0"/>
        <w:adjustRightInd/>
        <w:snapToGrid/>
        <w:spacing w:line="560" w:lineRule="exact"/>
        <w:ind w:left="0" w:leftChars="0" w:firstLine="640" w:firstLineChars="200"/>
        <w:jc w:val="left"/>
        <w:textAlignment w:val="auto"/>
        <w:rPr>
          <w:rFonts w:ascii="宋体" w:hAnsi="宋体" w:eastAsia="仿宋_GB2312" w:cs="黑体"/>
          <w:color w:val="000000" w:themeColor="text1"/>
          <w:sz w:val="32"/>
          <w:szCs w:val="32"/>
          <w:highlight w:val="none"/>
          <w14:textFill>
            <w14:solidFill>
              <w14:schemeClr w14:val="tx1"/>
            </w14:solidFill>
          </w14:textFill>
        </w:rPr>
      </w:pPr>
      <w:r>
        <w:rPr>
          <w:rFonts w:ascii="宋体" w:hAnsi="宋体" w:eastAsia="仿宋_GB2312" w:cs="黑体"/>
          <w:color w:val="000000" w:themeColor="text1"/>
          <w:sz w:val="32"/>
          <w:szCs w:val="32"/>
          <w:highlight w:val="none"/>
          <w14:textFill>
            <w14:solidFill>
              <w14:schemeClr w14:val="tx1"/>
            </w14:solidFill>
          </w14:textFill>
        </w:rPr>
        <w:t>严格执行</w:t>
      </w:r>
      <w:r>
        <w:rPr>
          <w:rFonts w:hint="eastAsia" w:ascii="宋体" w:hAnsi="宋体" w:eastAsia="仿宋_GB2312" w:cs="黑体"/>
          <w:color w:val="000000" w:themeColor="text1"/>
          <w:sz w:val="32"/>
          <w:szCs w:val="32"/>
          <w:highlight w:val="none"/>
          <w14:textFill>
            <w14:solidFill>
              <w14:schemeClr w14:val="tx1"/>
            </w14:solidFill>
          </w14:textFill>
        </w:rPr>
        <w:t>国家和地方有关</w:t>
      </w:r>
      <w:r>
        <w:rPr>
          <w:rFonts w:ascii="宋体" w:hAnsi="宋体" w:eastAsia="仿宋_GB2312" w:cs="黑体"/>
          <w:color w:val="000000" w:themeColor="text1"/>
          <w:sz w:val="32"/>
          <w:szCs w:val="32"/>
          <w:highlight w:val="none"/>
          <w14:textFill>
            <w14:solidFill>
              <w14:schemeClr w14:val="tx1"/>
            </w14:solidFill>
          </w14:textFill>
        </w:rPr>
        <w:t>安全生产、文明施工</w:t>
      </w:r>
      <w:r>
        <w:rPr>
          <w:rFonts w:hint="eastAsia" w:ascii="宋体" w:hAnsi="宋体" w:eastAsia="仿宋_GB2312" w:cs="黑体"/>
          <w:color w:val="000000" w:themeColor="text1"/>
          <w:sz w:val="32"/>
          <w:szCs w:val="32"/>
          <w:highlight w:val="none"/>
          <w14:textFill>
            <w14:solidFill>
              <w14:schemeClr w14:val="tx1"/>
            </w14:solidFill>
          </w14:textFill>
        </w:rPr>
        <w:t>法律法规</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，服从发包方及其委托的第三方监理单位的安全管理</w:t>
      </w:r>
      <w:r>
        <w:rPr>
          <w:rFonts w:ascii="宋体" w:hAnsi="宋体" w:eastAsia="仿宋_GB2312" w:cs="黑体"/>
          <w:color w:val="000000" w:themeColor="text1"/>
          <w:sz w:val="32"/>
          <w:szCs w:val="32"/>
          <w:highlight w:val="none"/>
          <w14:textFill>
            <w14:solidFill>
              <w14:schemeClr w14:val="tx1"/>
            </w14:solidFill>
          </w14:textFill>
        </w:rPr>
        <w:t>，并接受发包方和</w:t>
      </w:r>
      <w:r>
        <w:rPr>
          <w:rFonts w:hint="eastAsia" w:ascii="宋体" w:hAnsi="宋体" w:eastAsia="仿宋_GB2312" w:cs="黑体"/>
          <w:color w:val="000000" w:themeColor="text1"/>
          <w:sz w:val="32"/>
          <w:szCs w:val="32"/>
          <w:highlight w:val="none"/>
          <w14:textFill>
            <w14:solidFill>
              <w14:schemeClr w14:val="tx1"/>
            </w14:solidFill>
          </w14:textFill>
        </w:rPr>
        <w:t>政府相关</w:t>
      </w:r>
      <w:r>
        <w:rPr>
          <w:rFonts w:ascii="宋体" w:hAnsi="宋体" w:eastAsia="仿宋_GB2312" w:cs="黑体"/>
          <w:color w:val="000000" w:themeColor="text1"/>
          <w:sz w:val="32"/>
          <w:szCs w:val="32"/>
          <w:highlight w:val="none"/>
          <w14:textFill>
            <w14:solidFill>
              <w14:schemeClr w14:val="tx1"/>
            </w14:solidFill>
          </w14:textFill>
        </w:rPr>
        <w:t>部门的检查考核。</w:t>
      </w:r>
    </w:p>
    <w:p w14:paraId="0C8BC51D">
      <w:pPr>
        <w:keepNext w:val="0"/>
        <w:keepLines w:val="0"/>
        <w:pageBreakBefore w:val="0"/>
        <w:widowControl w:val="0"/>
        <w:numPr>
          <w:ilvl w:val="0"/>
          <w:numId w:val="15"/>
        </w:numPr>
        <w:tabs>
          <w:tab w:val="left" w:pos="709"/>
          <w:tab w:val="left" w:pos="8505"/>
        </w:tabs>
        <w:kinsoku/>
        <w:wordWrap/>
        <w:overflowPunct/>
        <w:topLinePunct w:val="0"/>
        <w:autoSpaceDE/>
        <w:autoSpaceDN/>
        <w:bidi w:val="0"/>
        <w:adjustRightInd/>
        <w:snapToGrid/>
        <w:spacing w:line="560" w:lineRule="exact"/>
        <w:ind w:left="0" w:leftChars="0" w:firstLine="640" w:firstLineChars="200"/>
        <w:jc w:val="left"/>
        <w:textAlignment w:val="auto"/>
        <w:rPr>
          <w:rFonts w:ascii="宋体" w:hAnsi="宋体" w:eastAsia="仿宋_GB2312" w:cs="黑体"/>
          <w:color w:val="000000" w:themeColor="text1"/>
          <w:sz w:val="32"/>
          <w:szCs w:val="32"/>
          <w:highlight w:val="none"/>
          <w14:textFill>
            <w14:solidFill>
              <w14:schemeClr w14:val="tx1"/>
            </w14:solidFill>
          </w14:textFill>
        </w:rPr>
      </w:pPr>
      <w:r>
        <w:rPr>
          <w:rFonts w:ascii="宋体" w:hAnsi="宋体" w:eastAsia="仿宋_GB2312" w:cs="黑体"/>
          <w:color w:val="000000" w:themeColor="text1"/>
          <w:sz w:val="32"/>
          <w:szCs w:val="32"/>
          <w:highlight w:val="none"/>
          <w14:textFill>
            <w14:solidFill>
              <w14:schemeClr w14:val="tx1"/>
            </w14:solidFill>
          </w14:textFill>
        </w:rPr>
        <w:t>建立、健全</w:t>
      </w:r>
      <w:r>
        <w:rPr>
          <w:rFonts w:hint="eastAsia" w:ascii="宋体" w:hAnsi="宋体" w:eastAsia="仿宋_GB2312" w:cs="黑体"/>
          <w:color w:val="000000" w:themeColor="text1"/>
          <w:sz w:val="32"/>
          <w:szCs w:val="32"/>
          <w:highlight w:val="none"/>
          <w14:textFill>
            <w14:solidFill>
              <w14:schemeClr w14:val="tx1"/>
            </w14:solidFill>
          </w14:textFill>
        </w:rPr>
        <w:t>本工程安全生产管理架构和</w:t>
      </w:r>
      <w:r>
        <w:rPr>
          <w:rFonts w:ascii="宋体" w:hAnsi="宋体" w:eastAsia="仿宋_GB2312" w:cs="黑体"/>
          <w:color w:val="000000" w:themeColor="text1"/>
          <w:sz w:val="32"/>
          <w:szCs w:val="32"/>
          <w:highlight w:val="none"/>
          <w14:textFill>
            <w14:solidFill>
              <w14:schemeClr w14:val="tx1"/>
            </w14:solidFill>
          </w14:textFill>
        </w:rPr>
        <w:t>安全生产责任制，制定</w:t>
      </w:r>
      <w:r>
        <w:rPr>
          <w:rFonts w:hint="eastAsia" w:ascii="宋体" w:hAnsi="宋体" w:eastAsia="仿宋_GB2312" w:cs="黑体"/>
          <w:color w:val="000000" w:themeColor="text1"/>
          <w:sz w:val="32"/>
          <w:szCs w:val="32"/>
          <w:highlight w:val="none"/>
          <w14:textFill>
            <w14:solidFill>
              <w14:schemeClr w14:val="tx1"/>
            </w14:solidFill>
          </w14:textFill>
        </w:rPr>
        <w:t>和完善各项</w:t>
      </w:r>
      <w:r>
        <w:rPr>
          <w:rFonts w:ascii="宋体" w:hAnsi="宋体" w:eastAsia="仿宋_GB2312" w:cs="黑体"/>
          <w:color w:val="000000" w:themeColor="text1"/>
          <w:sz w:val="32"/>
          <w:szCs w:val="32"/>
          <w:highlight w:val="none"/>
          <w14:textFill>
            <w14:solidFill>
              <w14:schemeClr w14:val="tx1"/>
            </w14:solidFill>
          </w14:textFill>
        </w:rPr>
        <w:t>安全生产</w:t>
      </w:r>
      <w:r>
        <w:rPr>
          <w:rFonts w:ascii="Calibri" w:hAnsi="Calibri" w:eastAsia="仿宋_GB2312" w:cs="Times New Roman"/>
          <w:color w:val="000000" w:themeColor="text1"/>
          <w:kern w:val="0"/>
          <w:sz w:val="32"/>
          <w:szCs w:val="32"/>
          <w:highlight w:val="none"/>
          <w:lang w:eastAsia="en-US"/>
          <w14:textFill>
            <w14:solidFill>
              <w14:schemeClr w14:val="tx1"/>
            </w14:solidFill>
          </w14:textFill>
        </w:rPr>
        <w:fldChar w:fldCharType="begin"/>
      </w:r>
      <w:r>
        <w:rPr>
          <w:rFonts w:ascii="Calibri" w:hAnsi="Calibri" w:eastAsia="仿宋_GB2312" w:cs="Times New Roman"/>
          <w:color w:val="000000" w:themeColor="text1"/>
          <w:kern w:val="0"/>
          <w:sz w:val="32"/>
          <w:szCs w:val="32"/>
          <w:highlight w:val="none"/>
          <w14:textFill>
            <w14:solidFill>
              <w14:schemeClr w14:val="tx1"/>
            </w14:solidFill>
          </w14:textFill>
        </w:rPr>
        <w:instrText xml:space="preserve"> HYPERLINK "http://www.govyi.com/html/gongwenxiezuo/guanlizhidu/Index.shtml" </w:instrText>
      </w:r>
      <w:r>
        <w:rPr>
          <w:rFonts w:ascii="Calibri" w:hAnsi="Calibri" w:eastAsia="仿宋_GB2312" w:cs="Times New Roman"/>
          <w:color w:val="000000" w:themeColor="text1"/>
          <w:kern w:val="0"/>
          <w:sz w:val="32"/>
          <w:szCs w:val="32"/>
          <w:highlight w:val="none"/>
          <w:lang w:eastAsia="en-US"/>
          <w14:textFill>
            <w14:solidFill>
              <w14:schemeClr w14:val="tx1"/>
            </w14:solidFill>
          </w14:textFill>
        </w:rPr>
        <w:fldChar w:fldCharType="separate"/>
      </w:r>
      <w:r>
        <w:rPr>
          <w:rFonts w:ascii="宋体" w:hAnsi="宋体" w:eastAsia="仿宋_GB2312" w:cs="黑体"/>
          <w:color w:val="000000" w:themeColor="text1"/>
          <w:sz w:val="32"/>
          <w:szCs w:val="32"/>
          <w:highlight w:val="none"/>
          <w14:textFill>
            <w14:solidFill>
              <w14:schemeClr w14:val="tx1"/>
            </w14:solidFill>
          </w14:textFill>
        </w:rPr>
        <w:t>规章</w:t>
      </w:r>
      <w:r>
        <w:rPr>
          <w:rFonts w:ascii="宋体" w:hAnsi="宋体" w:eastAsia="仿宋_GB2312" w:cs="黑体"/>
          <w:color w:val="000000" w:themeColor="text1"/>
          <w:sz w:val="32"/>
          <w:szCs w:val="32"/>
          <w:highlight w:val="none"/>
          <w14:textFill>
            <w14:solidFill>
              <w14:schemeClr w14:val="tx1"/>
            </w14:solidFill>
          </w14:textFill>
        </w:rPr>
        <w:fldChar w:fldCharType="end"/>
      </w:r>
      <w:r>
        <w:rPr>
          <w:rFonts w:ascii="Calibri" w:hAnsi="Calibri" w:eastAsia="仿宋_GB2312" w:cs="Times New Roman"/>
          <w:color w:val="000000" w:themeColor="text1"/>
          <w:kern w:val="0"/>
          <w:sz w:val="32"/>
          <w:szCs w:val="32"/>
          <w:highlight w:val="none"/>
          <w:lang w:eastAsia="en-US"/>
          <w14:textFill>
            <w14:solidFill>
              <w14:schemeClr w14:val="tx1"/>
            </w14:solidFill>
          </w14:textFill>
        </w:rPr>
        <w:fldChar w:fldCharType="begin"/>
      </w:r>
      <w:r>
        <w:rPr>
          <w:rFonts w:ascii="Calibri" w:hAnsi="Calibri" w:eastAsia="仿宋_GB2312" w:cs="Times New Roman"/>
          <w:color w:val="000000" w:themeColor="text1"/>
          <w:kern w:val="0"/>
          <w:sz w:val="32"/>
          <w:szCs w:val="32"/>
          <w:highlight w:val="none"/>
          <w14:textFill>
            <w14:solidFill>
              <w14:schemeClr w14:val="tx1"/>
            </w14:solidFill>
          </w14:textFill>
        </w:rPr>
        <w:instrText xml:space="preserve"> HYPERLINK "http://www.govyi.com/html/gongwenxiezuo/guanlizhidu/Index.shtml" </w:instrText>
      </w:r>
      <w:r>
        <w:rPr>
          <w:rFonts w:ascii="Calibri" w:hAnsi="Calibri" w:eastAsia="仿宋_GB2312" w:cs="Times New Roman"/>
          <w:color w:val="000000" w:themeColor="text1"/>
          <w:kern w:val="0"/>
          <w:sz w:val="32"/>
          <w:szCs w:val="32"/>
          <w:highlight w:val="none"/>
          <w:lang w:eastAsia="en-US"/>
          <w14:textFill>
            <w14:solidFill>
              <w14:schemeClr w14:val="tx1"/>
            </w14:solidFill>
          </w14:textFill>
        </w:rPr>
        <w:fldChar w:fldCharType="separate"/>
      </w:r>
      <w:r>
        <w:rPr>
          <w:rFonts w:ascii="宋体" w:hAnsi="宋体" w:eastAsia="仿宋_GB2312" w:cs="黑体"/>
          <w:color w:val="000000" w:themeColor="text1"/>
          <w:sz w:val="32"/>
          <w:szCs w:val="32"/>
          <w:highlight w:val="none"/>
          <w14:textFill>
            <w14:solidFill>
              <w14:schemeClr w14:val="tx1"/>
            </w14:solidFill>
          </w14:textFill>
        </w:rPr>
        <w:t>制度</w:t>
      </w:r>
      <w:r>
        <w:rPr>
          <w:rFonts w:ascii="宋体" w:hAnsi="宋体" w:eastAsia="仿宋_GB2312" w:cs="黑体"/>
          <w:color w:val="000000" w:themeColor="text1"/>
          <w:sz w:val="32"/>
          <w:szCs w:val="32"/>
          <w:highlight w:val="none"/>
          <w14:textFill>
            <w14:solidFill>
              <w14:schemeClr w14:val="tx1"/>
            </w14:solidFill>
          </w14:textFill>
        </w:rPr>
        <w:fldChar w:fldCharType="end"/>
      </w:r>
      <w:r>
        <w:rPr>
          <w:rFonts w:ascii="宋体" w:hAnsi="宋体" w:eastAsia="仿宋_GB2312" w:cs="黑体"/>
          <w:color w:val="000000" w:themeColor="text1"/>
          <w:sz w:val="32"/>
          <w:szCs w:val="32"/>
          <w:highlight w:val="none"/>
          <w14:textFill>
            <w14:solidFill>
              <w14:schemeClr w14:val="tx1"/>
            </w14:solidFill>
          </w14:textFill>
        </w:rPr>
        <w:t>和操作规程</w:t>
      </w:r>
      <w:r>
        <w:rPr>
          <w:rFonts w:hint="eastAsia" w:ascii="宋体" w:hAnsi="宋体" w:eastAsia="仿宋_GB2312" w:cs="黑体"/>
          <w:color w:val="000000" w:themeColor="text1"/>
          <w:sz w:val="32"/>
          <w:szCs w:val="32"/>
          <w:highlight w:val="none"/>
          <w14:textFill>
            <w14:solidFill>
              <w14:schemeClr w14:val="tx1"/>
            </w14:solidFill>
          </w14:textFill>
        </w:rPr>
        <w:t>，落实施工安全责任</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p>
    <w:p w14:paraId="049E822C">
      <w:pPr>
        <w:keepNext w:val="0"/>
        <w:keepLines w:val="0"/>
        <w:pageBreakBefore w:val="0"/>
        <w:widowControl w:val="0"/>
        <w:numPr>
          <w:ilvl w:val="0"/>
          <w:numId w:val="15"/>
        </w:numPr>
        <w:tabs>
          <w:tab w:val="left" w:pos="709"/>
          <w:tab w:val="left" w:pos="8505"/>
        </w:tabs>
        <w:kinsoku/>
        <w:wordWrap/>
        <w:overflowPunct/>
        <w:topLinePunct w:val="0"/>
        <w:autoSpaceDE/>
        <w:autoSpaceDN/>
        <w:bidi w:val="0"/>
        <w:adjustRightInd/>
        <w:snapToGrid/>
        <w:spacing w:line="560" w:lineRule="exact"/>
        <w:ind w:left="0" w:leftChars="0" w:firstLine="640" w:firstLineChars="200"/>
        <w:jc w:val="left"/>
        <w:textAlignment w:val="auto"/>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承包方应建立安全生产管理机构或明确安全生产责任人，配备相应数量的安全管理人员，未经批准不得擅自更换承包方关键岗位人员</w:t>
      </w:r>
      <w:r>
        <w:rPr>
          <w:rFonts w:ascii="宋体" w:hAnsi="宋体" w:eastAsia="仿宋_GB2312" w:cs="黑体"/>
          <w:color w:val="000000" w:themeColor="text1"/>
          <w:sz w:val="32"/>
          <w:szCs w:val="32"/>
          <w:highlight w:val="none"/>
          <w14:textFill>
            <w14:solidFill>
              <w14:schemeClr w14:val="tx1"/>
            </w14:solidFill>
          </w14:textFill>
        </w:rPr>
        <w:t>。</w:t>
      </w:r>
    </w:p>
    <w:p w14:paraId="215C0189">
      <w:pPr>
        <w:keepNext w:val="0"/>
        <w:keepLines w:val="0"/>
        <w:pageBreakBefore w:val="0"/>
        <w:widowControl w:val="0"/>
        <w:numPr>
          <w:ilvl w:val="0"/>
          <w:numId w:val="15"/>
        </w:numPr>
        <w:tabs>
          <w:tab w:val="left" w:pos="709"/>
          <w:tab w:val="left" w:pos="8505"/>
        </w:tabs>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kern w:val="2"/>
          <w:sz w:val="32"/>
          <w:szCs w:val="32"/>
          <w:highlight w:val="none"/>
          <w:shd w:val="clear" w:color="auto" w:fill="auto"/>
          <w:lang w:val="en-US" w:eastAsia="zh-CN" w:bidi="ar-SA"/>
          <w14:textFill>
            <w14:solidFill>
              <w14:schemeClr w14:val="tx1"/>
            </w14:solidFill>
          </w14:textFill>
        </w:rPr>
        <w:t>承包方应当按照《安全生产法》规定建立并落实安全风险分级管控和隐患排查治理双重预防工作机制，针对所承建工程可能发生的生产安全事故的特点和危害，自行组织或委托具备资质的第三方服务机构、专家进行风险评估，全面开展危险源辨识和风险评价，落实安全风险管控措施，做好安全风险管控各项工作；开展生产安全事故隐患排查治理，采取技术、管理措施，及时发现并消除事故隐患。承包方须按月向发包方提交安全风险分级管控及隐患排查治理报告。</w:t>
      </w:r>
    </w:p>
    <w:p w14:paraId="53B5BDB5">
      <w:pPr>
        <w:keepNext w:val="0"/>
        <w:keepLines w:val="0"/>
        <w:pageBreakBefore w:val="0"/>
        <w:widowControl w:val="0"/>
        <w:numPr>
          <w:ilvl w:val="0"/>
          <w:numId w:val="15"/>
        </w:numPr>
        <w:tabs>
          <w:tab w:val="left" w:pos="709"/>
          <w:tab w:val="left" w:pos="8505"/>
        </w:tabs>
        <w:kinsoku/>
        <w:wordWrap/>
        <w:overflowPunct/>
        <w:topLinePunct w:val="0"/>
        <w:autoSpaceDE/>
        <w:autoSpaceDN/>
        <w:bidi w:val="0"/>
        <w:adjustRightInd/>
        <w:snapToGrid/>
        <w:spacing w:line="560" w:lineRule="exact"/>
        <w:ind w:left="0" w:leftChars="0" w:firstLine="640" w:firstLineChars="200"/>
        <w:jc w:val="left"/>
        <w:textAlignment w:val="auto"/>
        <w:rPr>
          <w:rFonts w:ascii="宋体" w:hAnsi="宋体" w:eastAsia="仿宋_GB2312" w:cs="黑体"/>
          <w:color w:val="000000" w:themeColor="text1"/>
          <w:sz w:val="32"/>
          <w:szCs w:val="32"/>
          <w:highlight w:val="none"/>
          <w14:textFill>
            <w14:solidFill>
              <w14:schemeClr w14:val="tx1"/>
            </w14:solidFill>
          </w14:textFill>
        </w:rPr>
      </w:pPr>
      <w:r>
        <w:rPr>
          <w:rFonts w:ascii="宋体" w:hAnsi="宋体" w:eastAsia="仿宋_GB2312" w:cs="黑体"/>
          <w:color w:val="000000" w:themeColor="text1"/>
          <w:sz w:val="32"/>
          <w:szCs w:val="32"/>
          <w:highlight w:val="none"/>
          <w14:textFill>
            <w14:solidFill>
              <w14:schemeClr w14:val="tx1"/>
            </w14:solidFill>
          </w14:textFill>
        </w:rPr>
        <w:t>保证对具备安全生产条件所必需资金的投入，并对由于安全生产所必须的资金投入不足</w:t>
      </w:r>
      <w:r>
        <w:rPr>
          <w:rFonts w:hint="eastAsia" w:ascii="宋体" w:hAnsi="宋体" w:eastAsia="仿宋_GB2312" w:cs="黑体"/>
          <w:color w:val="000000" w:themeColor="text1"/>
          <w:sz w:val="32"/>
          <w:szCs w:val="32"/>
          <w:highlight w:val="none"/>
          <w14:textFill>
            <w14:solidFill>
              <w14:schemeClr w14:val="tx1"/>
            </w14:solidFill>
          </w14:textFill>
        </w:rPr>
        <w:t>而</w:t>
      </w:r>
      <w:r>
        <w:rPr>
          <w:rFonts w:ascii="宋体" w:hAnsi="宋体" w:eastAsia="仿宋_GB2312" w:cs="黑体"/>
          <w:color w:val="000000" w:themeColor="text1"/>
          <w:sz w:val="32"/>
          <w:szCs w:val="32"/>
          <w:highlight w:val="none"/>
          <w14:textFill>
            <w14:solidFill>
              <w14:schemeClr w14:val="tx1"/>
            </w14:solidFill>
          </w14:textFill>
        </w:rPr>
        <w:t>导致的后果承担</w:t>
      </w:r>
      <w:r>
        <w:rPr>
          <w:rFonts w:hint="eastAsia" w:ascii="宋体" w:hAnsi="宋体" w:eastAsia="仿宋_GB2312" w:cs="黑体"/>
          <w:color w:val="000000" w:themeColor="text1"/>
          <w:sz w:val="32"/>
          <w:szCs w:val="32"/>
          <w:highlight w:val="none"/>
          <w14:textFill>
            <w14:solidFill>
              <w14:schemeClr w14:val="tx1"/>
            </w14:solidFill>
          </w14:textFill>
        </w:rPr>
        <w:t>全部</w:t>
      </w:r>
      <w:r>
        <w:rPr>
          <w:rFonts w:ascii="宋体" w:hAnsi="宋体" w:eastAsia="仿宋_GB2312" w:cs="黑体"/>
          <w:color w:val="000000" w:themeColor="text1"/>
          <w:sz w:val="32"/>
          <w:szCs w:val="32"/>
          <w:highlight w:val="none"/>
          <w14:textFill>
            <w14:solidFill>
              <w14:schemeClr w14:val="tx1"/>
            </w14:solidFill>
          </w14:textFill>
        </w:rPr>
        <w:t>责任。</w:t>
      </w:r>
    </w:p>
    <w:p w14:paraId="4253F2E0">
      <w:pPr>
        <w:keepNext w:val="0"/>
        <w:keepLines w:val="0"/>
        <w:pageBreakBefore w:val="0"/>
        <w:widowControl w:val="0"/>
        <w:numPr>
          <w:ilvl w:val="0"/>
          <w:numId w:val="15"/>
        </w:numPr>
        <w:tabs>
          <w:tab w:val="left" w:pos="709"/>
          <w:tab w:val="left" w:pos="8505"/>
        </w:tabs>
        <w:kinsoku/>
        <w:wordWrap/>
        <w:overflowPunct/>
        <w:topLinePunct w:val="0"/>
        <w:autoSpaceDE/>
        <w:autoSpaceDN/>
        <w:bidi w:val="0"/>
        <w:adjustRightInd/>
        <w:snapToGrid/>
        <w:spacing w:line="560" w:lineRule="exact"/>
        <w:ind w:left="0" w:leftChars="0" w:firstLine="640" w:firstLineChars="200"/>
        <w:jc w:val="left"/>
        <w:textAlignment w:val="auto"/>
        <w:rPr>
          <w:rFonts w:ascii="宋体" w:hAnsi="宋体" w:eastAsia="仿宋_GB2312" w:cs="黑体"/>
          <w:color w:val="000000" w:themeColor="text1"/>
          <w:sz w:val="32"/>
          <w:szCs w:val="32"/>
          <w:highlight w:val="none"/>
          <w14:textFill>
            <w14:solidFill>
              <w14:schemeClr w14:val="tx1"/>
            </w14:solidFill>
          </w14:textFill>
        </w:rPr>
      </w:pPr>
      <w:r>
        <w:rPr>
          <w:rFonts w:ascii="宋体" w:hAnsi="宋体" w:eastAsia="仿宋_GB2312" w:cs="黑体"/>
          <w:color w:val="000000" w:themeColor="text1"/>
          <w:sz w:val="32"/>
          <w:szCs w:val="32"/>
          <w:highlight w:val="none"/>
          <w14:textFill>
            <w14:solidFill>
              <w14:schemeClr w14:val="tx1"/>
            </w14:solidFill>
          </w14:textFill>
        </w:rPr>
        <w:t>承包方</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项目负责人、专职安全生产管理人员必须</w:t>
      </w:r>
      <w:r>
        <w:rPr>
          <w:rFonts w:ascii="宋体" w:hAnsi="宋体" w:eastAsia="仿宋_GB2312" w:cs="黑体"/>
          <w:color w:val="000000" w:themeColor="text1"/>
          <w:sz w:val="32"/>
          <w:szCs w:val="32"/>
          <w:highlight w:val="none"/>
          <w14:textFill>
            <w14:solidFill>
              <w14:schemeClr w14:val="tx1"/>
            </w14:solidFill>
          </w14:textFill>
        </w:rPr>
        <w:t>具备与本</w:t>
      </w:r>
      <w:r>
        <w:rPr>
          <w:rFonts w:hint="eastAsia" w:ascii="宋体" w:hAnsi="宋体" w:eastAsia="仿宋_GB2312" w:cs="黑体"/>
          <w:color w:val="000000" w:themeColor="text1"/>
          <w:sz w:val="32"/>
          <w:szCs w:val="32"/>
          <w:highlight w:val="none"/>
          <w14:textFill>
            <w14:solidFill>
              <w14:schemeClr w14:val="tx1"/>
            </w14:solidFill>
          </w14:textFill>
        </w:rPr>
        <w:t>工程项目</w:t>
      </w:r>
      <w:r>
        <w:rPr>
          <w:rFonts w:ascii="宋体" w:hAnsi="宋体" w:eastAsia="仿宋_GB2312" w:cs="黑体"/>
          <w:color w:val="000000" w:themeColor="text1"/>
          <w:sz w:val="32"/>
          <w:szCs w:val="32"/>
          <w:highlight w:val="none"/>
          <w14:textFill>
            <w14:solidFill>
              <w14:schemeClr w14:val="tx1"/>
            </w14:solidFill>
          </w14:textFill>
        </w:rPr>
        <w:t>相适应的安全生产知识和管理能力，并</w:t>
      </w:r>
      <w:r>
        <w:rPr>
          <w:rFonts w:hint="eastAsia" w:ascii="宋体" w:hAnsi="宋体" w:eastAsia="仿宋_GB2312" w:cs="黑体"/>
          <w:color w:val="000000" w:themeColor="text1"/>
          <w:sz w:val="32"/>
          <w:szCs w:val="32"/>
          <w:highlight w:val="none"/>
          <w14:textFill>
            <w14:solidFill>
              <w14:schemeClr w14:val="tx1"/>
            </w14:solidFill>
          </w14:textFill>
        </w:rPr>
        <w:t>经专门培训</w:t>
      </w:r>
      <w:r>
        <w:rPr>
          <w:rFonts w:ascii="宋体" w:hAnsi="宋体" w:eastAsia="仿宋_GB2312" w:cs="黑体"/>
          <w:color w:val="000000" w:themeColor="text1"/>
          <w:sz w:val="32"/>
          <w:szCs w:val="32"/>
          <w:highlight w:val="none"/>
          <w14:textFill>
            <w14:solidFill>
              <w14:schemeClr w14:val="tx1"/>
            </w14:solidFill>
          </w14:textFill>
        </w:rPr>
        <w:t>考核合格</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取得安全生产考核合格证书从事相关工作，特种作业人员必须</w:t>
      </w:r>
      <w:r>
        <w:rPr>
          <w:rFonts w:hint="eastAsia" w:ascii="宋体" w:hAnsi="宋体" w:eastAsia="仿宋_GB2312" w:cs="黑体"/>
          <w:color w:val="000000" w:themeColor="text1"/>
          <w:sz w:val="32"/>
          <w:szCs w:val="32"/>
          <w:highlight w:val="none"/>
          <w14:textFill>
            <w14:solidFill>
              <w14:schemeClr w14:val="tx1"/>
            </w14:solidFill>
          </w14:textFill>
        </w:rPr>
        <w:t>按照国家有关规定经专门的安全作业培训</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取得国家正规发证机关颁发的合法有效的特种作业人员操作资格证件</w:t>
      </w:r>
      <w:r>
        <w:rPr>
          <w:rFonts w:ascii="宋体" w:hAnsi="宋体" w:eastAsia="仿宋_GB2312" w:cs="黑体"/>
          <w:color w:val="000000" w:themeColor="text1"/>
          <w:sz w:val="32"/>
          <w:szCs w:val="32"/>
          <w:highlight w:val="none"/>
          <w14:textFill>
            <w14:solidFill>
              <w14:schemeClr w14:val="tx1"/>
            </w14:solidFill>
          </w14:textFill>
        </w:rPr>
        <w:t>。</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以上人员均须经过发包方及监理审核，满足准入要求才能进场作业。</w:t>
      </w:r>
    </w:p>
    <w:p w14:paraId="1E11A371">
      <w:pPr>
        <w:keepNext w:val="0"/>
        <w:keepLines w:val="0"/>
        <w:pageBreakBefore w:val="0"/>
        <w:widowControl/>
        <w:numPr>
          <w:ilvl w:val="0"/>
          <w:numId w:val="15"/>
        </w:numPr>
        <w:tabs>
          <w:tab w:val="left" w:pos="709"/>
          <w:tab w:val="left" w:pos="8505"/>
        </w:tabs>
        <w:kinsoku/>
        <w:wordWrap/>
        <w:overflowPunct/>
        <w:topLinePunct w:val="0"/>
        <w:autoSpaceDE/>
        <w:autoSpaceDN/>
        <w:bidi w:val="0"/>
        <w:adjustRightInd/>
        <w:snapToGrid/>
        <w:spacing w:line="560" w:lineRule="exact"/>
        <w:ind w:left="0" w:leftChars="0" w:firstLine="640" w:firstLineChars="200"/>
        <w:jc w:val="left"/>
        <w:textAlignment w:val="auto"/>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施工组织设计编制应</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结合图纸、现场实际并</w:t>
      </w:r>
      <w:r>
        <w:rPr>
          <w:rFonts w:hint="eastAsia" w:ascii="宋体" w:hAnsi="宋体" w:eastAsia="仿宋_GB2312" w:cs="黑体"/>
          <w:color w:val="000000" w:themeColor="text1"/>
          <w:sz w:val="32"/>
          <w:szCs w:val="32"/>
          <w:highlight w:val="none"/>
          <w14:textFill>
            <w14:solidFill>
              <w14:schemeClr w14:val="tx1"/>
            </w14:solidFill>
          </w14:textFill>
        </w:rPr>
        <w:t>符合《建筑施工组织设计规范》、《市政工程施工职责设计规范》</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r>
        <w:rPr>
          <w:rFonts w:hint="eastAsia" w:ascii="宋体" w:hAnsi="宋体" w:eastAsia="仿宋_GB2312" w:cs="黑体"/>
          <w:b w:val="0"/>
          <w:bCs w:val="0"/>
          <w:color w:val="000000" w:themeColor="text1"/>
          <w:sz w:val="32"/>
          <w:szCs w:val="32"/>
          <w:highlight w:val="none"/>
          <w:lang w:val="en-US" w:eastAsia="zh-CN"/>
          <w14:textFill>
            <w14:solidFill>
              <w14:schemeClr w14:val="tx1"/>
            </w14:solidFill>
          </w14:textFill>
        </w:rPr>
        <w:t>《建设工程安全生产管理条例》</w:t>
      </w:r>
      <w:r>
        <w:rPr>
          <w:rFonts w:hint="eastAsia" w:ascii="宋体" w:hAnsi="宋体" w:eastAsia="仿宋_GB2312" w:cs="黑体"/>
          <w:color w:val="000000" w:themeColor="text1"/>
          <w:sz w:val="32"/>
          <w:szCs w:val="32"/>
          <w:highlight w:val="none"/>
          <w14:textFill>
            <w14:solidFill>
              <w14:schemeClr w14:val="tx1"/>
            </w14:solidFill>
          </w14:textFill>
        </w:rPr>
        <w:t>等相关规定</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r>
        <w:rPr>
          <w:rFonts w:hint="eastAsia" w:ascii="宋体" w:hAnsi="宋体" w:eastAsia="仿宋_GB2312" w:cs="黑体"/>
          <w:color w:val="000000" w:themeColor="text1"/>
          <w:sz w:val="32"/>
          <w:szCs w:val="32"/>
          <w:highlight w:val="none"/>
          <w14:textFill>
            <w14:solidFill>
              <w14:schemeClr w14:val="tx1"/>
            </w14:solidFill>
          </w14:textFill>
        </w:rPr>
        <w:t>由施工单位组织相关专业技术人员编制，并严格履行“编制、审核、审批”程序</w:t>
      </w:r>
      <w:r>
        <w:rPr>
          <w:rFonts w:ascii="宋体" w:hAnsi="宋体" w:eastAsia="仿宋_GB2312" w:cs="黑体"/>
          <w:color w:val="000000" w:themeColor="text1"/>
          <w:sz w:val="32"/>
          <w:szCs w:val="32"/>
          <w:highlight w:val="none"/>
          <w14:textFill>
            <w14:solidFill>
              <w14:schemeClr w14:val="tx1"/>
            </w14:solidFill>
          </w14:textFill>
        </w:rPr>
        <w:t>。</w:t>
      </w:r>
      <w:r>
        <w:rPr>
          <w:rFonts w:hint="eastAsia" w:ascii="宋体" w:hAnsi="宋体" w:eastAsia="仿宋_GB2312" w:cs="黑体"/>
          <w:color w:val="000000" w:themeColor="text1"/>
          <w:sz w:val="32"/>
          <w:szCs w:val="32"/>
          <w:highlight w:val="none"/>
          <w14:textFill>
            <w14:solidFill>
              <w14:schemeClr w14:val="tx1"/>
            </w14:solidFill>
          </w14:textFill>
        </w:rPr>
        <w:t>施工组织</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内容对涉及到施工质量与安全的不确定因素必须要进行分析与预判撰写；</w:t>
      </w:r>
      <w:r>
        <w:rPr>
          <w:rFonts w:hint="eastAsia" w:ascii="宋体" w:hAnsi="宋体" w:eastAsia="仿宋_GB2312" w:cs="黑体"/>
          <w:color w:val="000000" w:themeColor="text1"/>
          <w:sz w:val="32"/>
          <w:szCs w:val="32"/>
          <w:highlight w:val="none"/>
          <w14:textFill>
            <w14:solidFill>
              <w14:schemeClr w14:val="tx1"/>
            </w14:solidFill>
          </w14:textFill>
        </w:rPr>
        <w:t>过程中必须按照设计图纸</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罗列的清单必须与图纸设计内容结合，不能割裂。</w:t>
      </w:r>
    </w:p>
    <w:p w14:paraId="42E14E6A">
      <w:pPr>
        <w:numPr>
          <w:ilvl w:val="0"/>
          <w:numId w:val="15"/>
        </w:numPr>
        <w:spacing w:line="560" w:lineRule="exact"/>
        <w:ind w:left="0" w:leftChars="0" w:firstLine="640" w:firstLineChars="200"/>
        <w:jc w:val="left"/>
        <w:rPr>
          <w:rFonts w:hint="eastAsia"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承包方应结合图纸和现场实际</w:t>
      </w:r>
      <w:r>
        <w:rPr>
          <w:rFonts w:hint="eastAsia" w:ascii="宋体" w:hAnsi="宋体" w:eastAsia="仿宋_GB2312" w:cs="黑体"/>
          <w:color w:val="000000" w:themeColor="text1"/>
          <w:sz w:val="32"/>
          <w:szCs w:val="32"/>
          <w:highlight w:val="none"/>
          <w14:textFill>
            <w14:solidFill>
              <w14:schemeClr w14:val="tx1"/>
            </w14:solidFill>
          </w14:textFill>
        </w:rPr>
        <w:t>罗列出各施工阶段危险性较大的分部分项工程清单</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编制专项施工方案并按程序进行审批，方案中明确安全技术措施的，超危大工程必须进行专家论证，严格按照《危险性较大的分部分项工程安全管理规定》进行施工</w:t>
      </w:r>
      <w:r>
        <w:rPr>
          <w:rFonts w:hint="eastAsia" w:ascii="宋体" w:hAnsi="宋体" w:eastAsia="仿宋_GB2312" w:cs="黑体"/>
          <w:color w:val="000000" w:themeColor="text1"/>
          <w:sz w:val="32"/>
          <w:szCs w:val="32"/>
          <w:highlight w:val="none"/>
          <w14:textFill>
            <w14:solidFill>
              <w14:schemeClr w14:val="tx1"/>
            </w14:solidFill>
          </w14:textFill>
        </w:rPr>
        <w:t>。</w:t>
      </w:r>
    </w:p>
    <w:p w14:paraId="74A28571">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必须在施工前根据即将实施的施工作业存在的危害因素及防范措施等对施工人员(班组) 进行针对性的培训教育</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交底</w:t>
      </w:r>
      <w:r>
        <w:rPr>
          <w:rFonts w:hint="eastAsia" w:ascii="宋体" w:hAnsi="宋体" w:eastAsia="仿宋_GB2312" w:cs="黑体"/>
          <w:color w:val="000000" w:themeColor="text1"/>
          <w:sz w:val="32"/>
          <w:szCs w:val="32"/>
          <w:highlight w:val="none"/>
          <w14:textFill>
            <w14:solidFill>
              <w14:schemeClr w14:val="tx1"/>
            </w14:solidFill>
          </w14:textFill>
        </w:rPr>
        <w:t>。安全技术</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交底</w:t>
      </w:r>
      <w:r>
        <w:rPr>
          <w:rFonts w:hint="eastAsia" w:ascii="宋体" w:hAnsi="宋体" w:eastAsia="仿宋_GB2312" w:cs="黑体"/>
          <w:color w:val="000000" w:themeColor="text1"/>
          <w:sz w:val="32"/>
          <w:szCs w:val="32"/>
          <w:highlight w:val="none"/>
          <w14:textFill>
            <w14:solidFill>
              <w14:schemeClr w14:val="tx1"/>
            </w14:solidFill>
          </w14:textFill>
        </w:rPr>
        <w:t>工作完毕后，所有参加交底的人员必须履行签字手续并由施工单位同步存档备查。</w:t>
      </w:r>
    </w:p>
    <w:p w14:paraId="48D30BFE">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必须根据</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作业现场最新工序环境</w:t>
      </w:r>
      <w:r>
        <w:rPr>
          <w:rFonts w:hint="eastAsia" w:ascii="宋体" w:hAnsi="宋体" w:eastAsia="仿宋_GB2312" w:cs="黑体"/>
          <w:color w:val="000000" w:themeColor="text1"/>
          <w:sz w:val="32"/>
          <w:szCs w:val="32"/>
          <w:highlight w:val="none"/>
          <w14:textFill>
            <w14:solidFill>
              <w14:schemeClr w14:val="tx1"/>
            </w14:solidFill>
          </w14:textFill>
        </w:rPr>
        <w:t>，及时动态更新安全风险台账， 明确其名称、风险描述、类型、位置区域、可能发生的事故、采取的管控措施、责任人。</w:t>
      </w:r>
    </w:p>
    <w:p w14:paraId="55DE077F">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所有进入施工现场作业的人员必须经过三级安全教育，并经考核合格后方允许进入现场作业。</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须每天组织当日进行施工作业的各个班组成员开展班前教育，教育内容须包括工种安全风险告知、防范措施、应急处置措施等。</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承包方应为</w:t>
      </w:r>
      <w:r>
        <w:rPr>
          <w:rFonts w:hint="eastAsia" w:ascii="宋体" w:hAnsi="宋体" w:eastAsia="仿宋_GB2312" w:cs="黑体"/>
          <w:color w:val="000000" w:themeColor="text1"/>
          <w:sz w:val="32"/>
          <w:szCs w:val="32"/>
          <w:highlight w:val="none"/>
          <w14:textFill>
            <w14:solidFill>
              <w14:schemeClr w14:val="tx1"/>
            </w14:solidFill>
          </w14:textFill>
        </w:rPr>
        <w:t>作业人员提供符合个人防护用品选用规范要求的防护用品，并监督、督促其正确佩戴和使用</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p>
    <w:p w14:paraId="311B83DE">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必须建立</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机械</w:t>
      </w:r>
      <w:r>
        <w:rPr>
          <w:rFonts w:hint="eastAsia" w:ascii="宋体" w:hAnsi="宋体" w:eastAsia="仿宋_GB2312" w:cs="黑体"/>
          <w:color w:val="000000" w:themeColor="text1"/>
          <w:sz w:val="32"/>
          <w:szCs w:val="32"/>
          <w:highlight w:val="none"/>
          <w14:textFill>
            <w14:solidFill>
              <w14:schemeClr w14:val="tx1"/>
            </w14:solidFill>
          </w14:textFill>
        </w:rPr>
        <w:t>设备管理制度、特种设备管理制度、设备设施定期检验校准制度。</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施工机械设备进场前必须经过检查核验，日常使用中落实维护保养工作，退场必须做好记录</w:t>
      </w:r>
      <w:r>
        <w:rPr>
          <w:rFonts w:ascii="宋体" w:hAnsi="宋体" w:eastAsia="仿宋_GB2312" w:cs="黑体"/>
          <w:color w:val="000000" w:themeColor="text1"/>
          <w:sz w:val="32"/>
          <w:szCs w:val="32"/>
          <w:highlight w:val="none"/>
          <w14:textFill>
            <w14:solidFill>
              <w14:schemeClr w14:val="tx1"/>
            </w14:solidFill>
          </w14:textFill>
        </w:rPr>
        <w:t>。</w:t>
      </w:r>
    </w:p>
    <w:p w14:paraId="71C4DF72">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施工内容涉及基坑工程、脚手架工程、模板工程、顶管工程、拆除工程、起重作业、高处作业、有限空间作业、动火作业等的，承包方应严格遵守国家法律法规及发包方管理和技术要求，落实安全防范措施</w:t>
      </w:r>
      <w:r>
        <w:rPr>
          <w:rFonts w:hint="eastAsia" w:ascii="宋体" w:hAnsi="宋体" w:eastAsia="仿宋_GB2312" w:cs="黑体"/>
          <w:color w:val="000000" w:themeColor="text1"/>
          <w:sz w:val="32"/>
          <w:szCs w:val="32"/>
          <w:highlight w:val="none"/>
          <w14:textFill>
            <w14:solidFill>
              <w14:schemeClr w14:val="tx1"/>
            </w14:solidFill>
          </w14:textFill>
        </w:rPr>
        <w:t>。</w:t>
      </w:r>
    </w:p>
    <w:p w14:paraId="5AE35473">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施工</w:t>
      </w:r>
      <w:r>
        <w:rPr>
          <w:rFonts w:ascii="宋体" w:hAnsi="宋体" w:eastAsia="仿宋_GB2312" w:cs="黑体"/>
          <w:color w:val="000000" w:themeColor="text1"/>
          <w:sz w:val="32"/>
          <w:szCs w:val="32"/>
          <w:highlight w:val="none"/>
          <w14:textFill>
            <w14:solidFill>
              <w14:schemeClr w14:val="tx1"/>
            </w14:solidFill>
          </w14:textFill>
        </w:rPr>
        <w:t>用电必须</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遵守</w:t>
      </w:r>
      <w:r>
        <w:rPr>
          <w:rFonts w:ascii="宋体" w:hAnsi="宋体" w:eastAsia="仿宋_GB2312" w:cs="黑体"/>
          <w:color w:val="000000" w:themeColor="text1"/>
          <w:sz w:val="32"/>
          <w:szCs w:val="32"/>
          <w:highlight w:val="none"/>
          <w14:textFill>
            <w14:solidFill>
              <w14:schemeClr w14:val="tx1"/>
            </w14:solidFill>
          </w14:textFill>
        </w:rPr>
        <w:t>《施工现场临时用电安全技术规范》的要求</w:t>
      </w:r>
      <w:r>
        <w:rPr>
          <w:rFonts w:hint="eastAsia" w:ascii="宋体" w:hAnsi="宋体" w:eastAsia="仿宋_GB2312" w:cs="黑体"/>
          <w:color w:val="000000" w:themeColor="text1"/>
          <w:sz w:val="32"/>
          <w:szCs w:val="32"/>
          <w:highlight w:val="none"/>
          <w:lang w:eastAsia="zh-CN"/>
          <w14:textFill>
            <w14:solidFill>
              <w14:schemeClr w14:val="tx1"/>
            </w14:solidFill>
          </w14:textFill>
        </w:rPr>
        <w:t>，必须符合采用三级配电系统、TN-S接零保护系统、二级漏电保护系统等规定，开关箱必须按照规范设置“一机一闸一漏一箱”，电缆线路应采用埋地或架空敷设，严禁沿地面明设，并应避免机械损伤和截止腐蚀，</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不得敷设在树木或直接绑挂在模板钢筋网、脚手架和模板支撑体系等金属构件上</w:t>
      </w:r>
      <w:r>
        <w:rPr>
          <w:rFonts w:hint="eastAsia" w:ascii="宋体" w:hAnsi="宋体" w:eastAsia="仿宋_GB2312" w:cs="黑体"/>
          <w:color w:val="000000" w:themeColor="text1"/>
          <w:sz w:val="32"/>
          <w:szCs w:val="32"/>
          <w:highlight w:val="none"/>
          <w:lang w:eastAsia="zh-CN"/>
          <w14:textFill>
            <w14:solidFill>
              <w14:schemeClr w14:val="tx1"/>
            </w14:solidFill>
          </w14:textFill>
        </w:rPr>
        <w:t>。安装、巡检、维修或拆除临时用电设备和线路，必须由电工完成，并应有人监护</w:t>
      </w:r>
      <w:r>
        <w:rPr>
          <w:rFonts w:ascii="宋体" w:hAnsi="宋体" w:eastAsia="仿宋_GB2312" w:cs="黑体"/>
          <w:color w:val="000000" w:themeColor="text1"/>
          <w:sz w:val="32"/>
          <w:szCs w:val="32"/>
          <w:highlight w:val="none"/>
          <w14:textFill>
            <w14:solidFill>
              <w14:schemeClr w14:val="tx1"/>
            </w14:solidFill>
          </w14:textFill>
        </w:rPr>
        <w:t>。</w:t>
      </w:r>
    </w:p>
    <w:p w14:paraId="1C553716">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所有施工地点应符合国家消防安全要求，配置合理、足够的消防器材，公示逃生路线图、消防负责人和管理人员、火警电话等信息</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p>
    <w:p w14:paraId="7D4FAD77">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在进场施工前，</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必须对施工区域的综合管线及附属设施进行详细勘查和实地调查，并在施工方案中明确切实可行的安全保护措施</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作业前必须经过管线权属单位安全交底签订安全协议，作业时必须有管线权属单位人员到场监护。</w:t>
      </w:r>
    </w:p>
    <w:p w14:paraId="02C1D80F">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施工文明施工管理围蔽及现场文明管理遵循《广州市建设工程绿色施工围蔽指导图集( V2.0 版)》等相关文件落实管理</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承包方应做好现场围蔽、场地硬化、五牌一图、材料堆放、扬尘控制、施工照明、夜间施工管理、现场办公及生活临时设施等基本要求。</w:t>
      </w:r>
    </w:p>
    <w:p w14:paraId="2B530FC2">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定期</w:t>
      </w:r>
      <w:r>
        <w:rPr>
          <w:rFonts w:ascii="宋体" w:hAnsi="宋体" w:eastAsia="仿宋_GB2312" w:cs="黑体"/>
          <w:color w:val="000000" w:themeColor="text1"/>
          <w:sz w:val="32"/>
          <w:szCs w:val="32"/>
          <w:highlight w:val="none"/>
          <w14:textFill>
            <w14:solidFill>
              <w14:schemeClr w14:val="tx1"/>
            </w14:solidFill>
          </w14:textFill>
        </w:rPr>
        <w:t>召开安全文明生产会议，自查自纠不安全因素及隐患，保证工程顺利进行，会议记录上报发包方备案。</w:t>
      </w:r>
    </w:p>
    <w:p w14:paraId="7D0974B1">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承包方应定期对照建设工程当前施工内容有重点的开展自查并及时整改隐患，形成隐患整改治理台账。</w:t>
      </w:r>
    </w:p>
    <w:p w14:paraId="5A9B9188">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ascii="宋体" w:hAnsi="宋体" w:eastAsia="仿宋_GB2312" w:cs="黑体"/>
          <w:color w:val="000000" w:themeColor="text1"/>
          <w:sz w:val="32"/>
          <w:szCs w:val="32"/>
          <w:highlight w:val="none"/>
          <w14:textFill>
            <w14:solidFill>
              <w14:schemeClr w14:val="tx1"/>
            </w14:solidFill>
          </w14:textFill>
        </w:rPr>
        <w:t>发包方和安全生产监督</w:t>
      </w:r>
      <w:r>
        <w:rPr>
          <w:rFonts w:hint="eastAsia" w:ascii="宋体" w:hAnsi="宋体" w:eastAsia="仿宋_GB2312" w:cs="黑体"/>
          <w:color w:val="000000" w:themeColor="text1"/>
          <w:sz w:val="32"/>
          <w:szCs w:val="32"/>
          <w:highlight w:val="none"/>
          <w14:textFill>
            <w14:solidFill>
              <w14:schemeClr w14:val="tx1"/>
            </w14:solidFill>
          </w14:textFill>
        </w:rPr>
        <w:t>管理部门</w:t>
      </w:r>
      <w:r>
        <w:rPr>
          <w:rFonts w:ascii="宋体" w:hAnsi="宋体" w:eastAsia="仿宋_GB2312" w:cs="黑体"/>
          <w:color w:val="000000" w:themeColor="text1"/>
          <w:sz w:val="32"/>
          <w:szCs w:val="32"/>
          <w:highlight w:val="none"/>
          <w14:textFill>
            <w14:solidFill>
              <w14:schemeClr w14:val="tx1"/>
            </w14:solidFill>
          </w14:textFill>
        </w:rPr>
        <w:t>进行安全监督检查时，承包方要主动接受检查，并积极配合，不得拒绝</w:t>
      </w:r>
      <w:r>
        <w:rPr>
          <w:rFonts w:hint="eastAsia" w:ascii="宋体" w:hAnsi="宋体" w:eastAsia="仿宋_GB2312" w:cs="黑体"/>
          <w:color w:val="000000" w:themeColor="text1"/>
          <w:sz w:val="32"/>
          <w:szCs w:val="32"/>
          <w:highlight w:val="none"/>
          <w14:textFill>
            <w14:solidFill>
              <w14:schemeClr w14:val="tx1"/>
            </w14:solidFill>
          </w14:textFill>
        </w:rPr>
        <w:t>、</w:t>
      </w:r>
      <w:r>
        <w:rPr>
          <w:rFonts w:ascii="宋体" w:hAnsi="宋体" w:eastAsia="仿宋_GB2312" w:cs="黑体"/>
          <w:color w:val="000000" w:themeColor="text1"/>
          <w:sz w:val="32"/>
          <w:szCs w:val="32"/>
          <w:highlight w:val="none"/>
          <w14:textFill>
            <w14:solidFill>
              <w14:schemeClr w14:val="tx1"/>
            </w14:solidFill>
          </w14:textFill>
        </w:rPr>
        <w:t>阻挠和拖延，在检查记录上签字</w:t>
      </w:r>
      <w:r>
        <w:rPr>
          <w:rFonts w:hint="eastAsia" w:ascii="宋体" w:hAnsi="宋体" w:eastAsia="仿宋_GB2312" w:cs="黑体"/>
          <w:color w:val="000000" w:themeColor="text1"/>
          <w:sz w:val="32"/>
          <w:szCs w:val="32"/>
          <w:highlight w:val="none"/>
          <w14:textFill>
            <w14:solidFill>
              <w14:schemeClr w14:val="tx1"/>
            </w14:solidFill>
          </w14:textFill>
        </w:rPr>
        <w:t>确认</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并积极整改、回复闭环</w:t>
      </w:r>
      <w:r>
        <w:rPr>
          <w:rFonts w:hint="eastAsia" w:ascii="宋体" w:hAnsi="宋体" w:eastAsia="仿宋_GB2312" w:cs="黑体"/>
          <w:color w:val="000000" w:themeColor="text1"/>
          <w:sz w:val="32"/>
          <w:szCs w:val="32"/>
          <w:highlight w:val="none"/>
          <w14:textFill>
            <w14:solidFill>
              <w14:schemeClr w14:val="tx1"/>
            </w14:solidFill>
          </w14:textFill>
        </w:rPr>
        <w:t>。</w:t>
      </w:r>
    </w:p>
    <w:p w14:paraId="4FBB5CDA">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施工人员要严格遵守</w:t>
      </w:r>
      <w:r>
        <w:rPr>
          <w:rFonts w:ascii="宋体" w:hAnsi="宋体" w:eastAsia="仿宋_GB2312" w:cs="黑体"/>
          <w:color w:val="000000" w:themeColor="text1"/>
          <w:sz w:val="32"/>
          <w:szCs w:val="32"/>
          <w:highlight w:val="none"/>
          <w14:textFill>
            <w14:solidFill>
              <w14:schemeClr w14:val="tx1"/>
            </w14:solidFill>
          </w14:textFill>
        </w:rPr>
        <w:t>发包方</w:t>
      </w:r>
      <w:r>
        <w:rPr>
          <w:rFonts w:hint="eastAsia" w:ascii="宋体" w:hAnsi="宋体" w:eastAsia="仿宋_GB2312" w:cs="黑体"/>
          <w:color w:val="000000" w:themeColor="text1"/>
          <w:sz w:val="32"/>
          <w:szCs w:val="32"/>
          <w:highlight w:val="none"/>
          <w14:textFill>
            <w14:solidFill>
              <w14:schemeClr w14:val="tx1"/>
            </w14:solidFill>
          </w14:textFill>
        </w:rPr>
        <w:t>出入生产场所的管理规定，未经许可，严禁闯入。</w:t>
      </w:r>
    </w:p>
    <w:p w14:paraId="2D91E841">
      <w:pPr>
        <w:keepNext w:val="0"/>
        <w:keepLines w:val="0"/>
        <w:pageBreakBefore w:val="0"/>
        <w:widowControl w:val="0"/>
        <w:numPr>
          <w:ilvl w:val="0"/>
          <w:numId w:val="15"/>
        </w:numPr>
        <w:tabs>
          <w:tab w:val="left" w:pos="709"/>
          <w:tab w:val="left" w:pos="8505"/>
        </w:tabs>
        <w:kinsoku/>
        <w:wordWrap/>
        <w:overflowPunct/>
        <w:topLinePunct w:val="0"/>
        <w:autoSpaceDE/>
        <w:autoSpaceDN/>
        <w:bidi w:val="0"/>
        <w:adjustRightInd/>
        <w:snapToGrid/>
        <w:spacing w:line="560" w:lineRule="exact"/>
        <w:ind w:left="0" w:leftChars="0" w:firstLine="640" w:firstLineChars="200"/>
        <w:jc w:val="left"/>
        <w:textAlignment w:val="auto"/>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承包方必须建立和健全事故应急救援机制，根据本工程项目</w:t>
      </w:r>
      <w:r>
        <w:rPr>
          <w:rFonts w:hint="eastAsia" w:ascii="宋体" w:hAnsi="宋体" w:eastAsia="仿宋_GB2312" w:cs="黑体"/>
          <w:color w:val="000000" w:themeColor="text1"/>
          <w:sz w:val="32"/>
          <w:szCs w:val="32"/>
          <w:highlight w:val="none"/>
          <w:lang w:val="en-US"/>
          <w14:textFill>
            <w14:solidFill>
              <w14:schemeClr w14:val="tx1"/>
            </w14:solidFill>
          </w14:textFill>
        </w:rPr>
        <w:t>风险评估</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w:t>
      </w:r>
      <w:r>
        <w:rPr>
          <w:rFonts w:hint="eastAsia" w:ascii="宋体" w:hAnsi="宋体" w:eastAsia="仿宋_GB2312" w:cs="黑体"/>
          <w:color w:val="000000" w:themeColor="text1"/>
          <w:sz w:val="32"/>
          <w:szCs w:val="32"/>
          <w:highlight w:val="none"/>
          <w14:textFill>
            <w14:solidFill>
              <w14:schemeClr w14:val="tx1"/>
            </w14:solidFill>
          </w14:textFill>
        </w:rPr>
        <w:t>特点，</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制定</w:t>
      </w:r>
      <w:r>
        <w:rPr>
          <w:rFonts w:hint="eastAsia" w:ascii="宋体" w:hAnsi="宋体" w:eastAsia="仿宋_GB2312" w:cs="黑体"/>
          <w:color w:val="000000" w:themeColor="text1"/>
          <w:sz w:val="32"/>
          <w:szCs w:val="32"/>
          <w:highlight w:val="none"/>
          <w14:textFill>
            <w14:solidFill>
              <w14:schemeClr w14:val="tx1"/>
            </w14:solidFill>
          </w14:textFill>
        </w:rPr>
        <w:t>事故应急救援预案</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r>
        <w:rPr>
          <w:rFonts w:hint="eastAsia" w:ascii="宋体" w:hAnsi="宋体" w:eastAsia="仿宋_GB2312" w:cs="黑体"/>
          <w:color w:val="000000" w:themeColor="text1"/>
          <w:sz w:val="32"/>
          <w:szCs w:val="32"/>
          <w:highlight w:val="none"/>
          <w14:textFill>
            <w14:solidFill>
              <w14:schemeClr w14:val="tx1"/>
            </w14:solidFill>
          </w14:textFill>
        </w:rPr>
        <w:t>进行论证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并开展演练</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告知从业人员和相关人员在紧急情况下应当采取的应急</w:t>
      </w:r>
      <w:r>
        <w:rPr>
          <w:rFonts w:hint="eastAsia" w:ascii="宋体" w:hAnsi="宋体" w:eastAsia="仿宋_GB2312" w:cs="黑体"/>
          <w:color w:val="000000" w:themeColor="text1"/>
          <w:sz w:val="32"/>
          <w:szCs w:val="32"/>
          <w:highlight w:val="none"/>
          <w14:textFill>
            <w14:solidFill>
              <w14:schemeClr w14:val="tx1"/>
            </w14:solidFill>
          </w14:textFill>
        </w:rPr>
        <w:t>措施</w:t>
      </w:r>
      <w:r>
        <w:rPr>
          <w:rFonts w:ascii="宋体" w:hAnsi="宋体" w:eastAsia="仿宋_GB2312" w:cs="黑体"/>
          <w:color w:val="000000" w:themeColor="text1"/>
          <w:sz w:val="32"/>
          <w:szCs w:val="32"/>
          <w:highlight w:val="none"/>
          <w14:textFill>
            <w14:solidFill>
              <w14:schemeClr w14:val="tx1"/>
            </w14:solidFill>
          </w14:textFill>
        </w:rPr>
        <w:t>。</w:t>
      </w:r>
    </w:p>
    <w:p w14:paraId="6D6FE7FD">
      <w:pPr>
        <w:keepNext w:val="0"/>
        <w:keepLines w:val="0"/>
        <w:pageBreakBefore w:val="0"/>
        <w:widowControl w:val="0"/>
        <w:numPr>
          <w:ilvl w:val="0"/>
          <w:numId w:val="15"/>
        </w:numPr>
        <w:tabs>
          <w:tab w:val="left" w:pos="709"/>
          <w:tab w:val="left" w:pos="8505"/>
        </w:tabs>
        <w:kinsoku/>
        <w:wordWrap/>
        <w:overflowPunct/>
        <w:topLinePunct w:val="0"/>
        <w:autoSpaceDE/>
        <w:autoSpaceDN/>
        <w:bidi w:val="0"/>
        <w:adjustRightInd/>
        <w:snapToGrid/>
        <w:spacing w:line="560" w:lineRule="exact"/>
        <w:ind w:left="0" w:leftChars="0" w:firstLine="640" w:firstLineChars="200"/>
        <w:jc w:val="left"/>
        <w:textAlignment w:val="auto"/>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承包人应按照《广东省住房和城乡建设厅关于印发&lt;房屋市政工程施工安全日志(范本)&gt;的通知》（粤建质〔2023〕94号）的要求，规范填写《安全日志》”</w:t>
      </w:r>
    </w:p>
    <w:p w14:paraId="16A76F99">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严格执行《生产安全事故报告和调查处理条例》。如承包方发生生产安全事故时，必须立即</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电话</w:t>
      </w:r>
      <w:r>
        <w:rPr>
          <w:rFonts w:hint="eastAsia" w:ascii="宋体" w:hAnsi="宋体" w:eastAsia="仿宋_GB2312" w:cs="黑体"/>
          <w:color w:val="000000" w:themeColor="text1"/>
          <w:sz w:val="32"/>
          <w:szCs w:val="32"/>
          <w:highlight w:val="none"/>
          <w14:textFill>
            <w14:solidFill>
              <w14:schemeClr w14:val="tx1"/>
            </w14:solidFill>
          </w14:textFill>
        </w:rPr>
        <w:t>向发包方和政府有关部门报告，并启动事故应急救援预案，全力抢救伤员，保护事故现场。事故发生后1小时内书面报告发包方及主管部门</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r>
        <w:rPr>
          <w:rFonts w:hint="eastAsia" w:ascii="宋体" w:hAnsi="宋体" w:eastAsia="仿宋_GB2312" w:cs="黑体"/>
          <w:color w:val="000000" w:themeColor="text1"/>
          <w:sz w:val="32"/>
          <w:szCs w:val="32"/>
          <w:highlight w:val="none"/>
          <w14:textFill>
            <w14:solidFill>
              <w14:schemeClr w14:val="tx1"/>
            </w14:solidFill>
          </w14:textFill>
        </w:rPr>
        <w:t>如因施救伤员必须移动现场设备、设施时，要做好记录和拍照，不得破坏事故现场。并做好善后工作，积极配合相关部门做好事故</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调查</w:t>
      </w:r>
      <w:r>
        <w:rPr>
          <w:rFonts w:hint="eastAsia" w:ascii="宋体" w:hAnsi="宋体" w:eastAsia="仿宋_GB2312" w:cs="黑体"/>
          <w:color w:val="000000" w:themeColor="text1"/>
          <w:sz w:val="32"/>
          <w:szCs w:val="32"/>
          <w:highlight w:val="none"/>
          <w14:textFill>
            <w14:solidFill>
              <w14:schemeClr w14:val="tx1"/>
            </w14:solidFill>
          </w14:textFill>
        </w:rPr>
        <w:t>及取证。并负责工伤统计、安全事故指标及处理费用，发包方视事故程度，提供必要的协助。</w:t>
      </w:r>
    </w:p>
    <w:p w14:paraId="1FF0853A">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ascii="宋体" w:hAnsi="宋体" w:eastAsia="仿宋_GB2312" w:cs="黑体"/>
          <w:color w:val="000000" w:themeColor="text1"/>
          <w:sz w:val="32"/>
          <w:szCs w:val="32"/>
          <w:highlight w:val="none"/>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不得将工程项目层层转包，专业分包必须具备相应的资质及安全生产条件</w:t>
      </w:r>
      <w:r>
        <w:rPr>
          <w:rFonts w:hint="eastAsia" w:ascii="宋体" w:hAnsi="宋体" w:eastAsia="仿宋_GB2312" w:cs="黑体"/>
          <w:color w:val="000000" w:themeColor="text1"/>
          <w:sz w:val="32"/>
          <w:szCs w:val="32"/>
          <w:highlight w:val="none"/>
          <w:lang w:eastAsia="zh-CN"/>
          <w14:textFill>
            <w14:solidFill>
              <w14:schemeClr w14:val="tx1"/>
            </w14:solidFill>
          </w14:textFill>
        </w:rPr>
        <w:t>，专业分包单位需经发包方书面同意，且分包合同需报发包方备案</w:t>
      </w:r>
      <w:r>
        <w:rPr>
          <w:rFonts w:hint="eastAsia" w:ascii="宋体" w:hAnsi="宋体" w:eastAsia="仿宋_GB2312" w:cs="黑体"/>
          <w:color w:val="000000" w:themeColor="text1"/>
          <w:sz w:val="32"/>
          <w:szCs w:val="32"/>
          <w:highlight w:val="none"/>
          <w14:textFill>
            <w14:solidFill>
              <w14:schemeClr w14:val="tx1"/>
            </w14:solidFill>
          </w14:textFill>
        </w:rPr>
        <w:t>。</w:t>
      </w:r>
    </w:p>
    <w:p w14:paraId="114CCAC6">
      <w:pPr>
        <w:numPr>
          <w:ilvl w:val="0"/>
          <w:numId w:val="15"/>
        </w:numPr>
        <w:spacing w:line="560" w:lineRule="exact"/>
        <w:ind w:left="0" w:leftChars="0" w:firstLine="640" w:firstLineChars="200"/>
        <w:jc w:val="left"/>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承包方须加强</w:t>
      </w:r>
      <w:r>
        <w:rPr>
          <w:rFonts w:hint="eastAsia" w:ascii="宋体" w:hAnsi="宋体" w:eastAsia="仿宋_GB2312" w:cs="黑体"/>
          <w:strike w:val="0"/>
          <w:color w:val="000000" w:themeColor="text1"/>
          <w:sz w:val="32"/>
          <w:szCs w:val="32"/>
          <w:highlight w:val="none"/>
          <w14:textFill>
            <w14:solidFill>
              <w14:schemeClr w14:val="tx1"/>
            </w14:solidFill>
          </w14:textFill>
        </w:rPr>
        <w:t>绿色施工安全防护</w:t>
      </w:r>
      <w:r>
        <w:rPr>
          <w:rFonts w:hint="eastAsia" w:ascii="宋体" w:hAnsi="宋体" w:eastAsia="仿宋_GB2312" w:cs="黑体"/>
          <w:color w:val="000000" w:themeColor="text1"/>
          <w:sz w:val="32"/>
          <w:szCs w:val="32"/>
          <w:highlight w:val="none"/>
          <w14:textFill>
            <w14:solidFill>
              <w14:schemeClr w14:val="tx1"/>
            </w14:solidFill>
          </w14:textFill>
        </w:rPr>
        <w:t>措施费的使用与管理，确保</w:t>
      </w:r>
      <w:r>
        <w:rPr>
          <w:rFonts w:hint="eastAsia" w:ascii="宋体" w:hAnsi="宋体" w:eastAsia="仿宋_GB2312" w:cs="黑体"/>
          <w:strike w:val="0"/>
          <w:color w:val="000000" w:themeColor="text1"/>
          <w:sz w:val="32"/>
          <w:szCs w:val="32"/>
          <w:highlight w:val="none"/>
          <w14:textFill>
            <w14:solidFill>
              <w14:schemeClr w14:val="tx1"/>
            </w14:solidFill>
          </w14:textFill>
        </w:rPr>
        <w:t>绿色施工安全防护</w:t>
      </w:r>
      <w:r>
        <w:rPr>
          <w:rFonts w:hint="eastAsia" w:ascii="宋体" w:hAnsi="宋体" w:eastAsia="仿宋_GB2312" w:cs="黑体"/>
          <w:color w:val="000000" w:themeColor="text1"/>
          <w:sz w:val="32"/>
          <w:szCs w:val="32"/>
          <w:highlight w:val="none"/>
          <w14:textFill>
            <w14:solidFill>
              <w14:schemeClr w14:val="tx1"/>
            </w14:solidFill>
          </w14:textFill>
        </w:rPr>
        <w:t>措施费“专款专用”，并接受发包方及监理方的监督审核</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r>
        <w:rPr>
          <w:rFonts w:hint="eastAsia" w:ascii="宋体" w:hAnsi="宋体" w:eastAsia="仿宋_GB2312" w:cs="黑体"/>
          <w:color w:val="000000" w:themeColor="text1"/>
          <w:sz w:val="32"/>
          <w:szCs w:val="32"/>
          <w:highlight w:val="none"/>
          <w14:textFill>
            <w14:solidFill>
              <w14:schemeClr w14:val="tx1"/>
            </w14:solidFill>
          </w14:textFill>
        </w:rPr>
        <w:t>建立健全</w:t>
      </w:r>
      <w:r>
        <w:rPr>
          <w:rFonts w:hint="eastAsia" w:ascii="宋体" w:hAnsi="宋体" w:eastAsia="仿宋_GB2312" w:cs="黑体"/>
          <w:strike w:val="0"/>
          <w:color w:val="000000" w:themeColor="text1"/>
          <w:sz w:val="32"/>
          <w:szCs w:val="32"/>
          <w:highlight w:val="none"/>
          <w14:textFill>
            <w14:solidFill>
              <w14:schemeClr w14:val="tx1"/>
            </w14:solidFill>
          </w14:textFill>
        </w:rPr>
        <w:t>绿色施工安全防护</w:t>
      </w:r>
      <w:r>
        <w:rPr>
          <w:rFonts w:hint="eastAsia" w:ascii="宋体" w:hAnsi="宋体" w:eastAsia="仿宋_GB2312" w:cs="黑体"/>
          <w:color w:val="000000" w:themeColor="text1"/>
          <w:sz w:val="32"/>
          <w:szCs w:val="32"/>
          <w:highlight w:val="none"/>
          <w14:textFill>
            <w14:solidFill>
              <w14:schemeClr w14:val="tx1"/>
            </w14:solidFill>
          </w14:textFill>
        </w:rPr>
        <w:t>措施费使用台账，按月度报监理方审核，报发包方备案。</w:t>
      </w:r>
    </w:p>
    <w:p w14:paraId="6A8B5762">
      <w:pPr>
        <w:numPr>
          <w:ilvl w:val="0"/>
          <w:numId w:val="15"/>
        </w:numPr>
        <w:spacing w:line="560" w:lineRule="exact"/>
        <w:ind w:left="0" w:leftChars="0" w:firstLine="640" w:firstLineChars="200"/>
        <w:jc w:val="left"/>
        <w:rPr>
          <w:rFonts w:hint="eastAsia"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必须为进场人员购买工伤保险，必须向发包方提供购买工伤保险情况的材料。承包方须依法投保安全生产责任险，并向发包方提供保单</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p>
    <w:p w14:paraId="0B10A10B">
      <w:pPr>
        <w:spacing w:line="560" w:lineRule="exact"/>
        <w:ind w:firstLine="640" w:firstLineChars="200"/>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四</w:t>
      </w:r>
      <w:r>
        <w:rPr>
          <w:rFonts w:hint="eastAsia" w:ascii="黑体" w:hAnsi="黑体" w:eastAsia="黑体" w:cs="黑体"/>
          <w:color w:val="000000" w:themeColor="text1"/>
          <w:sz w:val="32"/>
          <w:szCs w:val="32"/>
          <w:highlight w:val="none"/>
          <w14:textFill>
            <w14:solidFill>
              <w14:schemeClr w14:val="tx1"/>
            </w14:solidFill>
          </w14:textFill>
        </w:rPr>
        <w:t>、违约责任</w:t>
      </w:r>
    </w:p>
    <w:p w14:paraId="7584B5D2">
      <w:pPr>
        <w:spacing w:line="560" w:lineRule="exact"/>
        <w:ind w:firstLine="640" w:firstLineChars="200"/>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（一）</w:t>
      </w:r>
      <w:r>
        <w:rPr>
          <w:rFonts w:ascii="宋体" w:hAnsi="宋体" w:eastAsia="仿宋_GB2312" w:cs="黑体"/>
          <w:color w:val="000000" w:themeColor="text1"/>
          <w:sz w:val="32"/>
          <w:szCs w:val="32"/>
          <w:highlight w:val="none"/>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必须保证发包方免于受到或承担应由</w:t>
      </w:r>
      <w:r>
        <w:rPr>
          <w:rFonts w:ascii="宋体" w:hAnsi="宋体" w:eastAsia="仿宋_GB2312" w:cs="黑体"/>
          <w:color w:val="000000" w:themeColor="text1"/>
          <w:sz w:val="32"/>
          <w:szCs w:val="32"/>
          <w:highlight w:val="none"/>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负责的因未按规定做好安全文明施工所引起的或与之有关的索赔、诉讼、行政处罚以及其他费用的开支；若因</w:t>
      </w:r>
      <w:r>
        <w:rPr>
          <w:rFonts w:ascii="宋体" w:hAnsi="宋体" w:eastAsia="仿宋_GB2312" w:cs="黑体"/>
          <w:color w:val="000000" w:themeColor="text1"/>
          <w:sz w:val="32"/>
          <w:szCs w:val="32"/>
          <w:highlight w:val="none"/>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未按规定做好安全文明施工牵连发包方受到行政处罚或对发包方造成严重社会影响的，由</w:t>
      </w:r>
      <w:r>
        <w:rPr>
          <w:rFonts w:ascii="宋体" w:hAnsi="宋体" w:eastAsia="仿宋_GB2312" w:cs="黑体"/>
          <w:color w:val="000000" w:themeColor="text1"/>
          <w:sz w:val="32"/>
          <w:szCs w:val="32"/>
          <w:highlight w:val="none"/>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承担全部的经济和法律责任。</w:t>
      </w:r>
    </w:p>
    <w:p w14:paraId="34D44FFC">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（二）</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发包方或上级主管部门检查承包方安全生产主体责任落实、现场安全文明服务等情况存在安全问题，发包方有权按以下规定进行处罚：</w:t>
      </w:r>
    </w:p>
    <w:p w14:paraId="1BFA221E">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 xml:space="preserve">按合同总金额（含税）将合同分为以下类别：  </w:t>
      </w:r>
    </w:p>
    <w:p w14:paraId="70D8307F">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 xml:space="preserve">一类合同：合同金额＜100万元；  </w:t>
      </w:r>
    </w:p>
    <w:p w14:paraId="00632FEF">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 xml:space="preserve">二类合同：100万元≤合同金额＜500万元；  </w:t>
      </w:r>
    </w:p>
    <w:p w14:paraId="29FAAA44">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三类合同：500万元≤合同金额＜5000万元；</w:t>
      </w:r>
    </w:p>
    <w:p w14:paraId="017C7CCA">
      <w:pPr>
        <w:spacing w:line="560" w:lineRule="exact"/>
        <w:ind w:firstLine="640" w:firstLineChars="200"/>
        <w:rPr>
          <w:rFonts w:hint="default"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四类合同：合同金额≥5000万元。</w:t>
      </w:r>
    </w:p>
    <w:p w14:paraId="33517CBD">
      <w:pPr>
        <w:spacing w:line="560" w:lineRule="exact"/>
        <w:ind w:firstLine="640" w:firstLineChars="200"/>
        <w:rPr>
          <w:rFonts w:hint="eastAsia" w:ascii="宋体" w:hAnsi="宋体" w:eastAsia="仿宋_GB2312" w:cs="黑体"/>
          <w:b/>
          <w:bCs/>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扣罚标准根据所属类别适用，若合同履行期间发生金额变更，则类别以变更后的最终金额为准。</w:t>
      </w:r>
    </w:p>
    <w:p w14:paraId="689F6239">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1.发现一般事故隐患的，责令立即整改或限期整改，并</w:t>
      </w:r>
      <w:r>
        <w:rPr>
          <w:rFonts w:hint="eastAsia" w:ascii="宋体" w:hAnsi="宋体" w:eastAsia="仿宋_GB2312" w:cs="黑体"/>
          <w:color w:val="000000" w:themeColor="text1"/>
          <w:sz w:val="32"/>
          <w:szCs w:val="32"/>
          <w:highlight w:val="none"/>
          <w:lang w:eastAsia="zh-CN"/>
          <w14:textFill>
            <w14:solidFill>
              <w14:schemeClr w14:val="tx1"/>
            </w14:solidFill>
          </w14:textFill>
        </w:rPr>
        <w:t>按</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以下方式进行扣罚：</w:t>
      </w:r>
    </w:p>
    <w:p w14:paraId="109BDB42">
      <w:pPr>
        <w:spacing w:line="560" w:lineRule="exact"/>
        <w:ind w:firstLine="640" w:firstLineChars="200"/>
        <w:rPr>
          <w:rFonts w:hint="eastAsia"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一类</w:t>
      </w:r>
      <w:r>
        <w:rPr>
          <w:rFonts w:hint="eastAsia" w:ascii="宋体" w:hAnsi="宋体" w:eastAsia="仿宋_GB2312" w:cs="黑体"/>
          <w:color w:val="000000" w:themeColor="text1"/>
          <w:sz w:val="32"/>
          <w:szCs w:val="32"/>
          <w:highlight w:val="none"/>
          <w14:textFill>
            <w14:solidFill>
              <w14:schemeClr w14:val="tx1"/>
            </w14:solidFill>
          </w14:textFill>
        </w:rPr>
        <w:t>合同：支付违约金人民币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200</w:t>
      </w:r>
      <w:r>
        <w:rPr>
          <w:rFonts w:hint="eastAsia" w:ascii="宋体" w:hAnsi="宋体" w:eastAsia="仿宋_GB2312" w:cs="黑体"/>
          <w:color w:val="000000" w:themeColor="text1"/>
          <w:sz w:val="32"/>
          <w:szCs w:val="32"/>
          <w:highlight w:val="none"/>
          <w14:textFill>
            <w14:solidFill>
              <w14:schemeClr w14:val="tx1"/>
            </w14:solidFill>
          </w14:textFill>
        </w:rPr>
        <w:t>元/项；</w:t>
      </w:r>
    </w:p>
    <w:p w14:paraId="4B58FC06">
      <w:pPr>
        <w:spacing w:line="560" w:lineRule="exact"/>
        <w:ind w:firstLine="640" w:firstLineChars="200"/>
        <w:rPr>
          <w:rFonts w:hint="eastAsia"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二类</w:t>
      </w:r>
      <w:r>
        <w:rPr>
          <w:rFonts w:hint="eastAsia" w:ascii="宋体" w:hAnsi="宋体" w:eastAsia="仿宋_GB2312" w:cs="黑体"/>
          <w:color w:val="000000" w:themeColor="text1"/>
          <w:sz w:val="32"/>
          <w:szCs w:val="32"/>
          <w:highlight w:val="none"/>
          <w14:textFill>
            <w14:solidFill>
              <w14:schemeClr w14:val="tx1"/>
            </w14:solidFill>
          </w14:textFill>
        </w:rPr>
        <w:t>合同：支付违约金人民币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500</w:t>
      </w:r>
      <w:r>
        <w:rPr>
          <w:rFonts w:hint="eastAsia" w:ascii="宋体" w:hAnsi="宋体" w:eastAsia="仿宋_GB2312" w:cs="黑体"/>
          <w:color w:val="000000" w:themeColor="text1"/>
          <w:sz w:val="32"/>
          <w:szCs w:val="32"/>
          <w:highlight w:val="none"/>
          <w14:textFill>
            <w14:solidFill>
              <w14:schemeClr w14:val="tx1"/>
            </w14:solidFill>
          </w14:textFill>
        </w:rPr>
        <w:t>元/项；</w:t>
      </w:r>
    </w:p>
    <w:p w14:paraId="1D6D8309">
      <w:pPr>
        <w:spacing w:line="560" w:lineRule="exact"/>
        <w:ind w:firstLine="640" w:firstLineChars="200"/>
        <w:rPr>
          <w:rFonts w:hint="eastAsia" w:ascii="宋体" w:hAnsi="宋体" w:eastAsia="仿宋_GB2312" w:cs="黑体"/>
          <w:color w:val="000000" w:themeColor="text1"/>
          <w:sz w:val="32"/>
          <w:szCs w:val="32"/>
          <w:highlight w:val="none"/>
          <w:lang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三类</w:t>
      </w:r>
      <w:r>
        <w:rPr>
          <w:rFonts w:hint="eastAsia" w:ascii="宋体" w:hAnsi="宋体" w:eastAsia="仿宋_GB2312" w:cs="黑体"/>
          <w:color w:val="000000" w:themeColor="text1"/>
          <w:sz w:val="32"/>
          <w:szCs w:val="32"/>
          <w:highlight w:val="none"/>
          <w14:textFill>
            <w14:solidFill>
              <w14:schemeClr w14:val="tx1"/>
            </w14:solidFill>
          </w14:textFill>
        </w:rPr>
        <w:t>合同：支付违约金人民币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1000</w:t>
      </w:r>
      <w:r>
        <w:rPr>
          <w:rFonts w:hint="eastAsia" w:ascii="宋体" w:hAnsi="宋体" w:eastAsia="仿宋_GB2312" w:cs="黑体"/>
          <w:color w:val="000000" w:themeColor="text1"/>
          <w:sz w:val="32"/>
          <w:szCs w:val="32"/>
          <w:highlight w:val="none"/>
          <w14:textFill>
            <w14:solidFill>
              <w14:schemeClr w14:val="tx1"/>
            </w14:solidFill>
          </w14:textFill>
        </w:rPr>
        <w:t>元/项</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p>
    <w:p w14:paraId="728EF9D0">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四类</w:t>
      </w:r>
      <w:r>
        <w:rPr>
          <w:rFonts w:hint="eastAsia" w:ascii="宋体" w:hAnsi="宋体" w:eastAsia="仿宋_GB2312" w:cs="黑体"/>
          <w:color w:val="000000" w:themeColor="text1"/>
          <w:sz w:val="32"/>
          <w:szCs w:val="32"/>
          <w:highlight w:val="none"/>
          <w14:textFill>
            <w14:solidFill>
              <w14:schemeClr w14:val="tx1"/>
            </w14:solidFill>
          </w14:textFill>
        </w:rPr>
        <w:t>合同：支付违约金人民币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2000</w:t>
      </w:r>
      <w:r>
        <w:rPr>
          <w:rFonts w:hint="eastAsia" w:ascii="宋体" w:hAnsi="宋体" w:eastAsia="仿宋_GB2312" w:cs="黑体"/>
          <w:color w:val="000000" w:themeColor="text1"/>
          <w:sz w:val="32"/>
          <w:szCs w:val="32"/>
          <w:highlight w:val="none"/>
          <w14:textFill>
            <w14:solidFill>
              <w14:schemeClr w14:val="tx1"/>
            </w14:solidFill>
          </w14:textFill>
        </w:rPr>
        <w:t>元/项</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p>
    <w:p w14:paraId="76B4EE0B">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2.同一自然月内同类一般事故隐患累计发生2次及以上或未按要求整改一般事故隐患的，责令立即整改或限期整改，并</w:t>
      </w:r>
      <w:r>
        <w:rPr>
          <w:rFonts w:hint="eastAsia" w:ascii="宋体" w:hAnsi="宋体" w:eastAsia="仿宋_GB2312" w:cs="黑体"/>
          <w:color w:val="000000" w:themeColor="text1"/>
          <w:sz w:val="32"/>
          <w:szCs w:val="32"/>
          <w:highlight w:val="none"/>
          <w:lang w:eastAsia="zh-CN"/>
          <w14:textFill>
            <w14:solidFill>
              <w14:schemeClr w14:val="tx1"/>
            </w14:solidFill>
          </w14:textFill>
        </w:rPr>
        <w:t>按</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以下方式进行扣罚：</w:t>
      </w:r>
    </w:p>
    <w:p w14:paraId="53884004">
      <w:pPr>
        <w:spacing w:line="560" w:lineRule="exact"/>
        <w:ind w:firstLine="640" w:firstLineChars="200"/>
        <w:rPr>
          <w:rFonts w:hint="eastAsia"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一类合同</w:t>
      </w:r>
      <w:r>
        <w:rPr>
          <w:rFonts w:hint="eastAsia" w:ascii="宋体" w:hAnsi="宋体" w:eastAsia="仿宋_GB2312" w:cs="黑体"/>
          <w:color w:val="000000" w:themeColor="text1"/>
          <w:sz w:val="32"/>
          <w:szCs w:val="32"/>
          <w:highlight w:val="none"/>
          <w14:textFill>
            <w14:solidFill>
              <w14:schemeClr w14:val="tx1"/>
            </w14:solidFill>
          </w14:textFill>
        </w:rPr>
        <w:t>：支付违约金人民币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500</w:t>
      </w:r>
      <w:r>
        <w:rPr>
          <w:rFonts w:hint="eastAsia" w:ascii="宋体" w:hAnsi="宋体" w:eastAsia="仿宋_GB2312" w:cs="黑体"/>
          <w:color w:val="000000" w:themeColor="text1"/>
          <w:sz w:val="32"/>
          <w:szCs w:val="32"/>
          <w:highlight w:val="none"/>
          <w14:textFill>
            <w14:solidFill>
              <w14:schemeClr w14:val="tx1"/>
            </w14:solidFill>
          </w14:textFill>
        </w:rPr>
        <w:t>元/项；</w:t>
      </w:r>
    </w:p>
    <w:p w14:paraId="3E562B49">
      <w:pPr>
        <w:spacing w:line="560" w:lineRule="exact"/>
        <w:ind w:firstLine="640" w:firstLineChars="200"/>
        <w:rPr>
          <w:rFonts w:hint="eastAsia"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二类</w:t>
      </w:r>
      <w:r>
        <w:rPr>
          <w:rFonts w:hint="eastAsia" w:ascii="宋体" w:hAnsi="宋体" w:eastAsia="仿宋_GB2312" w:cs="黑体"/>
          <w:color w:val="000000" w:themeColor="text1"/>
          <w:sz w:val="32"/>
          <w:szCs w:val="32"/>
          <w:highlight w:val="none"/>
          <w14:textFill>
            <w14:solidFill>
              <w14:schemeClr w14:val="tx1"/>
            </w14:solidFill>
          </w14:textFill>
        </w:rPr>
        <w:t>合同：支付违约金人民币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1000</w:t>
      </w:r>
      <w:r>
        <w:rPr>
          <w:rFonts w:hint="eastAsia" w:ascii="宋体" w:hAnsi="宋体" w:eastAsia="仿宋_GB2312" w:cs="黑体"/>
          <w:color w:val="000000" w:themeColor="text1"/>
          <w:sz w:val="32"/>
          <w:szCs w:val="32"/>
          <w:highlight w:val="none"/>
          <w14:textFill>
            <w14:solidFill>
              <w14:schemeClr w14:val="tx1"/>
            </w14:solidFill>
          </w14:textFill>
        </w:rPr>
        <w:t>元/项；</w:t>
      </w:r>
    </w:p>
    <w:p w14:paraId="4F11F895">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三类</w:t>
      </w:r>
      <w:r>
        <w:rPr>
          <w:rFonts w:hint="eastAsia" w:ascii="宋体" w:hAnsi="宋体" w:eastAsia="仿宋_GB2312" w:cs="黑体"/>
          <w:color w:val="000000" w:themeColor="text1"/>
          <w:sz w:val="32"/>
          <w:szCs w:val="32"/>
          <w:highlight w:val="none"/>
          <w14:textFill>
            <w14:solidFill>
              <w14:schemeClr w14:val="tx1"/>
            </w14:solidFill>
          </w14:textFill>
        </w:rPr>
        <w:t>合同：支付违约金人民币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2000</w:t>
      </w:r>
      <w:r>
        <w:rPr>
          <w:rFonts w:hint="eastAsia" w:ascii="宋体" w:hAnsi="宋体" w:eastAsia="仿宋_GB2312" w:cs="黑体"/>
          <w:color w:val="000000" w:themeColor="text1"/>
          <w:sz w:val="32"/>
          <w:szCs w:val="32"/>
          <w:highlight w:val="none"/>
          <w14:textFill>
            <w14:solidFill>
              <w14:schemeClr w14:val="tx1"/>
            </w14:solidFill>
          </w14:textFill>
        </w:rPr>
        <w:t>元/项</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p>
    <w:p w14:paraId="535D03BF">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四类</w:t>
      </w:r>
      <w:r>
        <w:rPr>
          <w:rFonts w:hint="eastAsia" w:ascii="宋体" w:hAnsi="宋体" w:eastAsia="仿宋_GB2312" w:cs="黑体"/>
          <w:color w:val="000000" w:themeColor="text1"/>
          <w:sz w:val="32"/>
          <w:szCs w:val="32"/>
          <w:highlight w:val="none"/>
          <w14:textFill>
            <w14:solidFill>
              <w14:schemeClr w14:val="tx1"/>
            </w14:solidFill>
          </w14:textFill>
        </w:rPr>
        <w:t>合同：支付违约金人民币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4000</w:t>
      </w:r>
      <w:r>
        <w:rPr>
          <w:rFonts w:hint="eastAsia" w:ascii="宋体" w:hAnsi="宋体" w:eastAsia="仿宋_GB2312" w:cs="黑体"/>
          <w:color w:val="000000" w:themeColor="text1"/>
          <w:sz w:val="32"/>
          <w:szCs w:val="32"/>
          <w:highlight w:val="none"/>
          <w14:textFill>
            <w14:solidFill>
              <w14:schemeClr w14:val="tx1"/>
            </w14:solidFill>
          </w14:textFill>
        </w:rPr>
        <w:t>元/项</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w:t>
      </w:r>
    </w:p>
    <w:p w14:paraId="4BE4C189">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3.发现重大事故隐患的，责令立即整改或限期整改，并</w:t>
      </w:r>
      <w:r>
        <w:rPr>
          <w:rFonts w:hint="eastAsia" w:ascii="宋体" w:hAnsi="宋体" w:eastAsia="仿宋_GB2312" w:cs="黑体"/>
          <w:color w:val="000000" w:themeColor="text1"/>
          <w:sz w:val="32"/>
          <w:szCs w:val="32"/>
          <w:highlight w:val="none"/>
          <w:lang w:eastAsia="zh-CN"/>
          <w14:textFill>
            <w14:solidFill>
              <w14:schemeClr w14:val="tx1"/>
            </w14:solidFill>
          </w14:textFill>
        </w:rPr>
        <w:t>按</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以下方式进行扣罚：</w:t>
      </w:r>
    </w:p>
    <w:p w14:paraId="214E22DA">
      <w:pPr>
        <w:spacing w:line="560" w:lineRule="exact"/>
        <w:ind w:firstLine="640" w:firstLineChars="200"/>
        <w:rPr>
          <w:rFonts w:hint="eastAsia"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一类合同</w:t>
      </w:r>
      <w:r>
        <w:rPr>
          <w:rFonts w:hint="eastAsia" w:ascii="宋体" w:hAnsi="宋体" w:eastAsia="仿宋_GB2312" w:cs="黑体"/>
          <w:color w:val="000000" w:themeColor="text1"/>
          <w:sz w:val="32"/>
          <w:szCs w:val="32"/>
          <w:highlight w:val="none"/>
          <w14:textFill>
            <w14:solidFill>
              <w14:schemeClr w14:val="tx1"/>
            </w14:solidFill>
          </w14:textFill>
        </w:rPr>
        <w:t>：支付违约金人民币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2万</w:t>
      </w:r>
      <w:r>
        <w:rPr>
          <w:rFonts w:hint="eastAsia" w:ascii="宋体" w:hAnsi="宋体" w:eastAsia="仿宋_GB2312" w:cs="黑体"/>
          <w:color w:val="000000" w:themeColor="text1"/>
          <w:sz w:val="32"/>
          <w:szCs w:val="32"/>
          <w:highlight w:val="none"/>
          <w14:textFill>
            <w14:solidFill>
              <w14:schemeClr w14:val="tx1"/>
            </w14:solidFill>
          </w14:textFill>
        </w:rPr>
        <w:t>元/项；</w:t>
      </w:r>
    </w:p>
    <w:p w14:paraId="526006B5">
      <w:pPr>
        <w:spacing w:line="560" w:lineRule="exact"/>
        <w:ind w:firstLine="640" w:firstLineChars="200"/>
        <w:rPr>
          <w:rFonts w:hint="eastAsia"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二类</w:t>
      </w:r>
      <w:r>
        <w:rPr>
          <w:rFonts w:hint="eastAsia" w:ascii="宋体" w:hAnsi="宋体" w:eastAsia="仿宋_GB2312" w:cs="黑体"/>
          <w:color w:val="000000" w:themeColor="text1"/>
          <w:sz w:val="32"/>
          <w:szCs w:val="32"/>
          <w:highlight w:val="none"/>
          <w14:textFill>
            <w14:solidFill>
              <w14:schemeClr w14:val="tx1"/>
            </w14:solidFill>
          </w14:textFill>
        </w:rPr>
        <w:t>合同：支付违约金人民币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5万</w:t>
      </w:r>
      <w:r>
        <w:rPr>
          <w:rFonts w:hint="eastAsia" w:ascii="宋体" w:hAnsi="宋体" w:eastAsia="仿宋_GB2312" w:cs="黑体"/>
          <w:color w:val="000000" w:themeColor="text1"/>
          <w:sz w:val="32"/>
          <w:szCs w:val="32"/>
          <w:highlight w:val="none"/>
          <w14:textFill>
            <w14:solidFill>
              <w14:schemeClr w14:val="tx1"/>
            </w14:solidFill>
          </w14:textFill>
        </w:rPr>
        <w:t>元/项；</w:t>
      </w:r>
    </w:p>
    <w:p w14:paraId="386BDB8C">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三类</w:t>
      </w:r>
      <w:r>
        <w:rPr>
          <w:rFonts w:hint="eastAsia" w:ascii="宋体" w:hAnsi="宋体" w:eastAsia="仿宋_GB2312" w:cs="黑体"/>
          <w:color w:val="000000" w:themeColor="text1"/>
          <w:sz w:val="32"/>
          <w:szCs w:val="32"/>
          <w:highlight w:val="none"/>
          <w14:textFill>
            <w14:solidFill>
              <w14:schemeClr w14:val="tx1"/>
            </w14:solidFill>
          </w14:textFill>
        </w:rPr>
        <w:t>合同：支付违约金人民币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10万</w:t>
      </w:r>
      <w:r>
        <w:rPr>
          <w:rFonts w:hint="eastAsia" w:ascii="宋体" w:hAnsi="宋体" w:eastAsia="仿宋_GB2312" w:cs="黑体"/>
          <w:color w:val="000000" w:themeColor="text1"/>
          <w:sz w:val="32"/>
          <w:szCs w:val="32"/>
          <w:highlight w:val="none"/>
          <w14:textFill>
            <w14:solidFill>
              <w14:schemeClr w14:val="tx1"/>
            </w14:solidFill>
          </w14:textFill>
        </w:rPr>
        <w:t>元/项</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p>
    <w:p w14:paraId="15CB6A45">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四类</w:t>
      </w:r>
      <w:r>
        <w:rPr>
          <w:rFonts w:hint="eastAsia" w:ascii="宋体" w:hAnsi="宋体" w:eastAsia="仿宋_GB2312" w:cs="黑体"/>
          <w:color w:val="000000" w:themeColor="text1"/>
          <w:sz w:val="32"/>
          <w:szCs w:val="32"/>
          <w:highlight w:val="none"/>
          <w14:textFill>
            <w14:solidFill>
              <w14:schemeClr w14:val="tx1"/>
            </w14:solidFill>
          </w14:textFill>
        </w:rPr>
        <w:t>合同：支付违约金人民币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20万</w:t>
      </w:r>
      <w:r>
        <w:rPr>
          <w:rFonts w:hint="eastAsia" w:ascii="宋体" w:hAnsi="宋体" w:eastAsia="仿宋_GB2312" w:cs="黑体"/>
          <w:color w:val="000000" w:themeColor="text1"/>
          <w:sz w:val="32"/>
          <w:szCs w:val="32"/>
          <w:highlight w:val="none"/>
          <w14:textFill>
            <w14:solidFill>
              <w14:schemeClr w14:val="tx1"/>
            </w14:solidFill>
          </w14:textFill>
        </w:rPr>
        <w:t>元/项</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w:t>
      </w:r>
    </w:p>
    <w:p w14:paraId="32EB26F1">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同类重大隐患重复出现，</w:t>
      </w:r>
      <w:r>
        <w:rPr>
          <w:rFonts w:hint="eastAsia" w:ascii="宋体" w:hAnsi="宋体" w:eastAsia="仿宋_GB2312" w:cs="黑体"/>
          <w:color w:val="000000" w:themeColor="text1"/>
          <w:sz w:val="32"/>
          <w:szCs w:val="32"/>
          <w:highlight w:val="none"/>
          <w14:textFill>
            <w14:solidFill>
              <w14:schemeClr w14:val="tx1"/>
            </w14:solidFill>
          </w14:textFill>
        </w:rPr>
        <w:t>每增加一次反复，扣罚</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金额</w:t>
      </w:r>
      <w:r>
        <w:rPr>
          <w:rFonts w:hint="eastAsia" w:ascii="宋体" w:hAnsi="宋体" w:eastAsia="仿宋_GB2312" w:cs="黑体"/>
          <w:color w:val="000000" w:themeColor="text1"/>
          <w:sz w:val="32"/>
          <w:szCs w:val="32"/>
          <w:highlight w:val="none"/>
          <w14:textFill>
            <w14:solidFill>
              <w14:schemeClr w14:val="tx1"/>
            </w14:solidFill>
          </w14:textFill>
        </w:rPr>
        <w:t>比例递增</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50</w:t>
      </w:r>
      <w:r>
        <w:rPr>
          <w:rFonts w:hint="eastAsia" w:ascii="宋体" w:hAnsi="宋体" w:eastAsia="仿宋_GB2312" w:cs="黑体"/>
          <w:color w:val="000000" w:themeColor="text1"/>
          <w:sz w:val="32"/>
          <w:szCs w:val="32"/>
          <w:highlight w:val="none"/>
          <w14:textFill>
            <w14:solidFill>
              <w14:schemeClr w14:val="tx1"/>
            </w14:solidFill>
          </w14:textFill>
        </w:rPr>
        <w:t>%。</w:t>
      </w:r>
    </w:p>
    <w:p w14:paraId="2F8A3D12">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4.承包方因安全管理问题被通报批评、警示约谈的，责令立即整改或限期整改，并</w:t>
      </w:r>
      <w:r>
        <w:rPr>
          <w:rFonts w:hint="eastAsia" w:ascii="宋体" w:hAnsi="宋体" w:eastAsia="仿宋_GB2312" w:cs="黑体"/>
          <w:color w:val="000000" w:themeColor="text1"/>
          <w:sz w:val="32"/>
          <w:szCs w:val="32"/>
          <w:highlight w:val="none"/>
          <w:lang w:eastAsia="zh-CN"/>
          <w14:textFill>
            <w14:solidFill>
              <w14:schemeClr w14:val="tx1"/>
            </w14:solidFill>
          </w14:textFill>
        </w:rPr>
        <w:t>按</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以下方式进行扣罚：</w:t>
      </w:r>
    </w:p>
    <w:p w14:paraId="216B2E69">
      <w:pPr>
        <w:spacing w:line="560" w:lineRule="exact"/>
        <w:ind w:firstLine="640" w:firstLineChars="200"/>
        <w:rPr>
          <w:rFonts w:hint="eastAsia"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一类合同</w:t>
      </w:r>
      <w:r>
        <w:rPr>
          <w:rFonts w:hint="eastAsia" w:ascii="宋体" w:hAnsi="宋体" w:eastAsia="仿宋_GB2312" w:cs="黑体"/>
          <w:color w:val="000000" w:themeColor="text1"/>
          <w:sz w:val="32"/>
          <w:szCs w:val="32"/>
          <w:highlight w:val="none"/>
          <w14:textFill>
            <w14:solidFill>
              <w14:schemeClr w14:val="tx1"/>
            </w14:solidFill>
          </w14:textFill>
        </w:rPr>
        <w:t>：支付违约金人民币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2万</w:t>
      </w:r>
      <w:r>
        <w:rPr>
          <w:rFonts w:hint="eastAsia" w:ascii="宋体" w:hAnsi="宋体" w:eastAsia="仿宋_GB2312" w:cs="黑体"/>
          <w:color w:val="000000" w:themeColor="text1"/>
          <w:sz w:val="32"/>
          <w:szCs w:val="32"/>
          <w:highlight w:val="none"/>
          <w14:textFill>
            <w14:solidFill>
              <w14:schemeClr w14:val="tx1"/>
            </w14:solidFill>
          </w14:textFill>
        </w:rPr>
        <w:t>元/项；</w:t>
      </w:r>
    </w:p>
    <w:p w14:paraId="5EEBCEF4">
      <w:pPr>
        <w:spacing w:line="560" w:lineRule="exact"/>
        <w:ind w:firstLine="640" w:firstLineChars="200"/>
        <w:rPr>
          <w:rFonts w:hint="eastAsia"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二类</w:t>
      </w:r>
      <w:r>
        <w:rPr>
          <w:rFonts w:hint="eastAsia" w:ascii="宋体" w:hAnsi="宋体" w:eastAsia="仿宋_GB2312" w:cs="黑体"/>
          <w:color w:val="000000" w:themeColor="text1"/>
          <w:sz w:val="32"/>
          <w:szCs w:val="32"/>
          <w:highlight w:val="none"/>
          <w14:textFill>
            <w14:solidFill>
              <w14:schemeClr w14:val="tx1"/>
            </w14:solidFill>
          </w14:textFill>
        </w:rPr>
        <w:t>合同：支付违约金人民币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5万</w:t>
      </w:r>
      <w:r>
        <w:rPr>
          <w:rFonts w:hint="eastAsia" w:ascii="宋体" w:hAnsi="宋体" w:eastAsia="仿宋_GB2312" w:cs="黑体"/>
          <w:color w:val="000000" w:themeColor="text1"/>
          <w:sz w:val="32"/>
          <w:szCs w:val="32"/>
          <w:highlight w:val="none"/>
          <w14:textFill>
            <w14:solidFill>
              <w14:schemeClr w14:val="tx1"/>
            </w14:solidFill>
          </w14:textFill>
        </w:rPr>
        <w:t>元/项；</w:t>
      </w:r>
    </w:p>
    <w:p w14:paraId="7CE56842">
      <w:pPr>
        <w:spacing w:line="560" w:lineRule="exact"/>
        <w:ind w:firstLine="640" w:firstLineChars="200"/>
        <w:rPr>
          <w:rFonts w:hint="eastAsia" w:ascii="宋体" w:hAnsi="宋体" w:eastAsia="仿宋_GB2312" w:cs="黑体"/>
          <w:color w:val="000000" w:themeColor="text1"/>
          <w:sz w:val="32"/>
          <w:szCs w:val="32"/>
          <w:highlight w:val="none"/>
          <w:lang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三类</w:t>
      </w:r>
      <w:r>
        <w:rPr>
          <w:rFonts w:hint="eastAsia" w:ascii="宋体" w:hAnsi="宋体" w:eastAsia="仿宋_GB2312" w:cs="黑体"/>
          <w:color w:val="000000" w:themeColor="text1"/>
          <w:sz w:val="32"/>
          <w:szCs w:val="32"/>
          <w:highlight w:val="none"/>
          <w14:textFill>
            <w14:solidFill>
              <w14:schemeClr w14:val="tx1"/>
            </w14:solidFill>
          </w14:textFill>
        </w:rPr>
        <w:t>合同：支付违约金人民币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10万</w:t>
      </w:r>
      <w:r>
        <w:rPr>
          <w:rFonts w:hint="eastAsia" w:ascii="宋体" w:hAnsi="宋体" w:eastAsia="仿宋_GB2312" w:cs="黑体"/>
          <w:color w:val="000000" w:themeColor="text1"/>
          <w:sz w:val="32"/>
          <w:szCs w:val="32"/>
          <w:highlight w:val="none"/>
          <w14:textFill>
            <w14:solidFill>
              <w14:schemeClr w14:val="tx1"/>
            </w14:solidFill>
          </w14:textFill>
        </w:rPr>
        <w:t>元/项</w:t>
      </w:r>
      <w:r>
        <w:rPr>
          <w:rFonts w:hint="eastAsia" w:ascii="宋体" w:hAnsi="宋体" w:eastAsia="仿宋_GB2312" w:cs="黑体"/>
          <w:color w:val="000000" w:themeColor="text1"/>
          <w:sz w:val="32"/>
          <w:szCs w:val="32"/>
          <w:highlight w:val="none"/>
          <w:lang w:eastAsia="zh-CN"/>
          <w14:textFill>
            <w14:solidFill>
              <w14:schemeClr w14:val="tx1"/>
            </w14:solidFill>
          </w14:textFill>
        </w:rPr>
        <w:t>；</w:t>
      </w:r>
    </w:p>
    <w:p w14:paraId="29A30FC9">
      <w:pPr>
        <w:spacing w:line="560" w:lineRule="exact"/>
        <w:ind w:firstLine="640" w:firstLineChars="200"/>
        <w:rPr>
          <w:rFonts w:hint="eastAsia"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四类</w:t>
      </w:r>
      <w:r>
        <w:rPr>
          <w:rFonts w:hint="eastAsia" w:ascii="宋体" w:hAnsi="宋体" w:eastAsia="仿宋_GB2312" w:cs="黑体"/>
          <w:color w:val="000000" w:themeColor="text1"/>
          <w:sz w:val="32"/>
          <w:szCs w:val="32"/>
          <w:highlight w:val="none"/>
          <w14:textFill>
            <w14:solidFill>
              <w14:schemeClr w14:val="tx1"/>
            </w14:solidFill>
          </w14:textFill>
        </w:rPr>
        <w:t>合同：支付违约金人民币</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20万</w:t>
      </w:r>
      <w:r>
        <w:rPr>
          <w:rFonts w:hint="eastAsia" w:ascii="宋体" w:hAnsi="宋体" w:eastAsia="仿宋_GB2312" w:cs="黑体"/>
          <w:color w:val="000000" w:themeColor="text1"/>
          <w:sz w:val="32"/>
          <w:szCs w:val="32"/>
          <w:highlight w:val="none"/>
          <w14:textFill>
            <w14:solidFill>
              <w14:schemeClr w14:val="tx1"/>
            </w14:solidFill>
          </w14:textFill>
        </w:rPr>
        <w:t>元/项</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w:t>
      </w:r>
    </w:p>
    <w:p w14:paraId="0C249A9A">
      <w:pPr>
        <w:spacing w:line="560" w:lineRule="exact"/>
        <w:ind w:firstLine="640" w:firstLineChars="200"/>
        <w:rPr>
          <w:rFonts w:hint="default" w:ascii="宋体" w:hAnsi="宋体" w:eastAsia="仿宋_GB2312" w:cs="黑体"/>
          <w:color w:val="000000" w:themeColor="text1"/>
          <w:sz w:val="32"/>
          <w:szCs w:val="32"/>
          <w:highlight w:val="none"/>
          <w:lang w:val="en-US" w:eastAsia="zh-CN"/>
          <w14:textFill>
            <w14:solidFill>
              <w14:schemeClr w14:val="tx1"/>
            </w14:solidFill>
          </w14:textFill>
        </w:rPr>
      </w:pP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（三）违约金扣除由发包方在当期应付给承包方的工程进度款内直接扣除。</w:t>
      </w:r>
    </w:p>
    <w:p w14:paraId="02BD9047">
      <w:pPr>
        <w:spacing w:line="560" w:lineRule="exact"/>
        <w:ind w:firstLine="640" w:firstLineChars="200"/>
        <w:rPr>
          <w:rFonts w:hint="eastAsia"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四</w:t>
      </w:r>
      <w:r>
        <w:rPr>
          <w:rFonts w:hint="eastAsia" w:ascii="宋体" w:hAnsi="宋体" w:eastAsia="仿宋_GB2312" w:cs="黑体"/>
          <w:color w:val="000000" w:themeColor="text1"/>
          <w:sz w:val="32"/>
          <w:szCs w:val="32"/>
          <w:highlight w:val="none"/>
          <w14:textFill>
            <w14:solidFill>
              <w14:schemeClr w14:val="tx1"/>
            </w14:solidFill>
          </w14:textFill>
        </w:rPr>
        <w:t>）对</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于安全生产管理不到位，</w:t>
      </w:r>
      <w:r>
        <w:rPr>
          <w:rFonts w:ascii="宋体" w:hAnsi="宋体" w:eastAsia="仿宋_GB2312" w:cs="黑体"/>
          <w:color w:val="000000" w:themeColor="text1"/>
          <w:sz w:val="32"/>
          <w:szCs w:val="32"/>
          <w:highlight w:val="none"/>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拒不采取切实有效的措施整改的，或整改效果不明显的，或造成严重社会影响，或被检查</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多次</w:t>
      </w:r>
      <w:r>
        <w:rPr>
          <w:rFonts w:hint="eastAsia" w:ascii="宋体" w:hAnsi="宋体" w:eastAsia="仿宋_GB2312" w:cs="黑体"/>
          <w:color w:val="000000" w:themeColor="text1"/>
          <w:sz w:val="32"/>
          <w:szCs w:val="32"/>
          <w:highlight w:val="none"/>
          <w14:textFill>
            <w14:solidFill>
              <w14:schemeClr w14:val="tx1"/>
            </w14:solidFill>
          </w14:textFill>
        </w:rPr>
        <w:t>仍不合格而被通报或被曝光的，发包方有权解除部分或全部合同，并追究</w:t>
      </w:r>
      <w:r>
        <w:rPr>
          <w:rFonts w:ascii="宋体" w:hAnsi="宋体" w:eastAsia="仿宋_GB2312" w:cs="黑体"/>
          <w:color w:val="000000" w:themeColor="text1"/>
          <w:sz w:val="32"/>
          <w:szCs w:val="32"/>
          <w:highlight w:val="none"/>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的违约赔偿责任，发包方全部解除合同后可将本工程另行发包。</w:t>
      </w:r>
    </w:p>
    <w:p w14:paraId="56E7B01B">
      <w:pPr>
        <w:spacing w:line="560" w:lineRule="exact"/>
        <w:ind w:firstLine="640" w:firstLineChars="200"/>
        <w:rPr>
          <w:rFonts w:ascii="宋体" w:hAnsi="宋体" w:eastAsia="仿宋_GB2312" w:cs="黑体"/>
          <w:color w:val="000000" w:themeColor="text1"/>
          <w:sz w:val="32"/>
          <w:szCs w:val="32"/>
          <w:highlight w:val="none"/>
          <w14:textFill>
            <w14:solidFill>
              <w14:schemeClr w14:val="tx1"/>
            </w14:solidFill>
          </w14:textFill>
        </w:rPr>
      </w:pPr>
      <w:r>
        <w:rPr>
          <w:rFonts w:hint="eastAsia" w:ascii="宋体" w:hAnsi="宋体" w:eastAsia="仿宋_GB2312" w:cs="黑体"/>
          <w:color w:val="000000" w:themeColor="text1"/>
          <w:sz w:val="32"/>
          <w:szCs w:val="32"/>
          <w:highlight w:val="none"/>
          <w14:textFill>
            <w14:solidFill>
              <w14:schemeClr w14:val="tx1"/>
            </w14:solidFill>
          </w14:textFill>
        </w:rPr>
        <w:t>（</w:t>
      </w:r>
      <w:r>
        <w:rPr>
          <w:rFonts w:hint="eastAsia" w:ascii="宋体" w:hAnsi="宋体" w:eastAsia="仿宋_GB2312" w:cs="黑体"/>
          <w:color w:val="000000" w:themeColor="text1"/>
          <w:sz w:val="32"/>
          <w:szCs w:val="32"/>
          <w:highlight w:val="none"/>
          <w:lang w:val="en-US" w:eastAsia="zh-CN"/>
          <w14:textFill>
            <w14:solidFill>
              <w14:schemeClr w14:val="tx1"/>
            </w14:solidFill>
          </w14:textFill>
        </w:rPr>
        <w:t>五</w:t>
      </w:r>
      <w:r>
        <w:rPr>
          <w:rFonts w:hint="eastAsia" w:ascii="宋体" w:hAnsi="宋体" w:eastAsia="仿宋_GB2312" w:cs="黑体"/>
          <w:color w:val="000000" w:themeColor="text1"/>
          <w:sz w:val="32"/>
          <w:szCs w:val="32"/>
          <w:highlight w:val="none"/>
          <w14:textFill>
            <w14:solidFill>
              <w14:schemeClr w14:val="tx1"/>
            </w14:solidFill>
          </w14:textFill>
        </w:rPr>
        <w:t>）</w:t>
      </w:r>
      <w:r>
        <w:rPr>
          <w:rFonts w:ascii="宋体" w:hAnsi="宋体" w:eastAsia="仿宋_GB2312" w:cs="黑体"/>
          <w:color w:val="000000" w:themeColor="text1"/>
          <w:sz w:val="32"/>
          <w:szCs w:val="32"/>
          <w:highlight w:val="none"/>
          <w14:textFill>
            <w14:solidFill>
              <w14:schemeClr w14:val="tx1"/>
            </w14:solidFill>
          </w14:textFill>
        </w:rPr>
        <w:t>承包方</w:t>
      </w:r>
      <w:r>
        <w:rPr>
          <w:rFonts w:hint="eastAsia" w:ascii="宋体" w:hAnsi="宋体" w:eastAsia="仿宋_GB2312" w:cs="黑体"/>
          <w:color w:val="000000" w:themeColor="text1"/>
          <w:sz w:val="32"/>
          <w:szCs w:val="32"/>
          <w:highlight w:val="none"/>
          <w14:textFill>
            <w14:solidFill>
              <w14:schemeClr w14:val="tx1"/>
            </w14:solidFill>
          </w14:textFill>
        </w:rPr>
        <w:t>因自身原因造成的安全事故，按国家规定由相关主管部门处罚，发包方视情况严重性，有权解除部分或全部合同，按施工合同专用条款中关于合同解除的规定执行。</w:t>
      </w:r>
    </w:p>
    <w:p w14:paraId="72D1448C">
      <w:pPr>
        <w:spacing w:line="560" w:lineRule="exact"/>
        <w:ind w:firstLine="640" w:firstLineChars="200"/>
        <w:rPr>
          <w:rFonts w:hint="eastAsia" w:ascii="宋体" w:hAnsi="宋体" w:eastAsia="仿宋_GB2312" w:cs="黑体"/>
          <w:b w:val="0"/>
          <w:bCs w:val="0"/>
          <w:color w:val="000000" w:themeColor="text1"/>
          <w:sz w:val="32"/>
          <w:szCs w:val="32"/>
          <w:highlight w:val="none"/>
          <w14:textFill>
            <w14:solidFill>
              <w14:schemeClr w14:val="tx1"/>
            </w14:solidFill>
          </w14:textFill>
        </w:rPr>
      </w:pPr>
      <w:r>
        <w:rPr>
          <w:rFonts w:hint="eastAsia" w:ascii="宋体" w:hAnsi="宋体" w:eastAsia="仿宋_GB2312" w:cs="黑体"/>
          <w:b w:val="0"/>
          <w:bCs w:val="0"/>
          <w:color w:val="000000" w:themeColor="text1"/>
          <w:sz w:val="32"/>
          <w:szCs w:val="32"/>
          <w:highlight w:val="none"/>
          <w:lang w:val="en-US" w:eastAsia="zh-CN"/>
          <w14:textFill>
            <w14:solidFill>
              <w14:schemeClr w14:val="tx1"/>
            </w14:solidFill>
          </w14:textFill>
        </w:rPr>
        <w:t>五</w:t>
      </w:r>
      <w:r>
        <w:rPr>
          <w:rFonts w:ascii="宋体" w:hAnsi="宋体" w:eastAsia="仿宋_GB2312" w:cs="黑体"/>
          <w:b w:val="0"/>
          <w:bCs w:val="0"/>
          <w:color w:val="000000" w:themeColor="text1"/>
          <w:sz w:val="32"/>
          <w:szCs w:val="32"/>
          <w:highlight w:val="none"/>
          <w14:textFill>
            <w14:solidFill>
              <w14:schemeClr w14:val="tx1"/>
            </w14:solidFill>
          </w14:textFill>
        </w:rPr>
        <w:t>、</w:t>
      </w:r>
      <w:r>
        <w:rPr>
          <w:rFonts w:hint="eastAsia" w:ascii="宋体" w:hAnsi="宋体" w:eastAsia="仿宋_GB2312" w:cs="黑体"/>
          <w:b w:val="0"/>
          <w:bCs w:val="0"/>
          <w:color w:val="000000" w:themeColor="text1"/>
          <w:sz w:val="32"/>
          <w:szCs w:val="32"/>
          <w:highlight w:val="none"/>
          <w14:textFill>
            <w14:solidFill>
              <w14:schemeClr w14:val="tx1"/>
            </w14:solidFill>
          </w14:textFill>
        </w:rPr>
        <w:t>本协议在执行过程中发生争议，双方应友好协商解决。如协商仍不能达成一致的，可将争议提交建设工程安全监督机构进行处理，或直接提请工程所在地有管辖权的人民法院提起诉讼。</w:t>
      </w:r>
    </w:p>
    <w:p w14:paraId="454F6E94">
      <w:pPr>
        <w:spacing w:line="560" w:lineRule="exact"/>
        <w:ind w:firstLine="640" w:firstLineChars="200"/>
        <w:rPr>
          <w:rFonts w:hint="eastAsia" w:ascii="宋体" w:hAnsi="宋体" w:eastAsia="仿宋_GB2312" w:cs="黑体"/>
          <w:b w:val="0"/>
          <w:bCs w:val="0"/>
          <w:color w:val="000000" w:themeColor="text1"/>
          <w:sz w:val="32"/>
          <w:szCs w:val="32"/>
          <w:highlight w:val="none"/>
          <w14:textFill>
            <w14:solidFill>
              <w14:schemeClr w14:val="tx1"/>
            </w14:solidFill>
          </w14:textFill>
        </w:rPr>
      </w:pPr>
      <w:r>
        <w:rPr>
          <w:rFonts w:hint="eastAsia" w:ascii="宋体" w:hAnsi="宋体" w:eastAsia="仿宋_GB2312" w:cs="黑体"/>
          <w:b w:val="0"/>
          <w:bCs w:val="0"/>
          <w:color w:val="000000" w:themeColor="text1"/>
          <w:sz w:val="32"/>
          <w:szCs w:val="32"/>
          <w:highlight w:val="none"/>
          <w:lang w:val="en-US" w:eastAsia="zh-CN"/>
          <w14:textFill>
            <w14:solidFill>
              <w14:schemeClr w14:val="tx1"/>
            </w14:solidFill>
          </w14:textFill>
        </w:rPr>
        <w:t>六</w:t>
      </w:r>
      <w:r>
        <w:rPr>
          <w:rFonts w:hint="eastAsia" w:ascii="宋体" w:hAnsi="宋体" w:eastAsia="仿宋_GB2312" w:cs="黑体"/>
          <w:b w:val="0"/>
          <w:bCs w:val="0"/>
          <w:color w:val="000000" w:themeColor="text1"/>
          <w:sz w:val="32"/>
          <w:szCs w:val="32"/>
          <w:highlight w:val="none"/>
          <w14:textFill>
            <w14:solidFill>
              <w14:schemeClr w14:val="tx1"/>
            </w14:solidFill>
          </w14:textFill>
        </w:rPr>
        <w:t>、本协议自双方</w:t>
      </w:r>
      <w:r>
        <w:rPr>
          <w:rFonts w:hint="eastAsia" w:ascii="宋体" w:hAnsi="宋体" w:eastAsia="仿宋_GB2312" w:cs="黑体"/>
          <w:b w:val="0"/>
          <w:bCs w:val="0"/>
          <w:color w:val="000000" w:themeColor="text1"/>
          <w:sz w:val="32"/>
          <w:szCs w:val="32"/>
          <w:highlight w:val="none"/>
          <w:lang w:val="en-US" w:eastAsia="zh-CN"/>
          <w14:textFill>
            <w14:solidFill>
              <w14:schemeClr w14:val="tx1"/>
            </w14:solidFill>
          </w14:textFill>
        </w:rPr>
        <w:t>法定代表人或授权代表</w:t>
      </w:r>
      <w:r>
        <w:rPr>
          <w:rFonts w:hint="eastAsia" w:ascii="宋体" w:hAnsi="宋体" w:eastAsia="仿宋_GB2312" w:cs="黑体"/>
          <w:b w:val="0"/>
          <w:bCs w:val="0"/>
          <w:color w:val="000000" w:themeColor="text1"/>
          <w:sz w:val="32"/>
          <w:szCs w:val="32"/>
          <w:highlight w:val="none"/>
          <w14:textFill>
            <w14:solidFill>
              <w14:schemeClr w14:val="tx1"/>
            </w14:solidFill>
          </w14:textFill>
        </w:rPr>
        <w:t>签字</w:t>
      </w:r>
      <w:r>
        <w:rPr>
          <w:rFonts w:hint="eastAsia" w:ascii="宋体" w:hAnsi="宋体" w:eastAsia="仿宋_GB2312" w:cs="黑体"/>
          <w:b w:val="0"/>
          <w:bCs w:val="0"/>
          <w:color w:val="000000" w:themeColor="text1"/>
          <w:sz w:val="32"/>
          <w:szCs w:val="32"/>
          <w:highlight w:val="none"/>
          <w:lang w:val="en-US" w:eastAsia="zh-CN"/>
          <w14:textFill>
            <w14:solidFill>
              <w14:schemeClr w14:val="tx1"/>
            </w14:solidFill>
          </w14:textFill>
        </w:rPr>
        <w:t>并加</w:t>
      </w:r>
      <w:r>
        <w:rPr>
          <w:rFonts w:hint="eastAsia" w:ascii="宋体" w:hAnsi="宋体" w:eastAsia="仿宋_GB2312" w:cs="黑体"/>
          <w:b w:val="0"/>
          <w:bCs w:val="0"/>
          <w:color w:val="000000" w:themeColor="text1"/>
          <w:sz w:val="32"/>
          <w:szCs w:val="32"/>
          <w:highlight w:val="none"/>
          <w14:textFill>
            <w14:solidFill>
              <w14:schemeClr w14:val="tx1"/>
            </w14:solidFill>
          </w14:textFill>
        </w:rPr>
        <w:t>盖</w:t>
      </w:r>
      <w:r>
        <w:rPr>
          <w:rFonts w:hint="eastAsia" w:ascii="宋体" w:hAnsi="宋体" w:eastAsia="仿宋_GB2312" w:cs="黑体"/>
          <w:b w:val="0"/>
          <w:bCs w:val="0"/>
          <w:color w:val="000000" w:themeColor="text1"/>
          <w:sz w:val="32"/>
          <w:szCs w:val="32"/>
          <w:highlight w:val="none"/>
          <w:lang w:val="en-US" w:eastAsia="zh-CN"/>
          <w14:textFill>
            <w14:solidFill>
              <w14:schemeClr w14:val="tx1"/>
            </w14:solidFill>
          </w14:textFill>
        </w:rPr>
        <w:t>公司公章或合同专用</w:t>
      </w:r>
      <w:r>
        <w:rPr>
          <w:rFonts w:hint="eastAsia" w:ascii="宋体" w:hAnsi="宋体" w:eastAsia="仿宋_GB2312" w:cs="黑体"/>
          <w:b w:val="0"/>
          <w:bCs w:val="0"/>
          <w:color w:val="000000" w:themeColor="text1"/>
          <w:sz w:val="32"/>
          <w:szCs w:val="32"/>
          <w:highlight w:val="none"/>
          <w14:textFill>
            <w14:solidFill>
              <w14:schemeClr w14:val="tx1"/>
            </w14:solidFill>
          </w14:textFill>
        </w:rPr>
        <w:t>章之日起生效，与施工合同具有同等法律效力，至合同中约定的</w:t>
      </w:r>
      <w:r>
        <w:rPr>
          <w:rFonts w:hint="eastAsia" w:ascii="宋体" w:hAnsi="宋体" w:eastAsia="仿宋_GB2312" w:cs="黑体"/>
          <w:b w:val="0"/>
          <w:bCs w:val="0"/>
          <w:color w:val="000000" w:themeColor="text1"/>
          <w:sz w:val="32"/>
          <w:szCs w:val="32"/>
          <w:highlight w:val="none"/>
          <w:lang w:val="en-US" w:eastAsia="zh-CN"/>
          <w14:textFill>
            <w14:solidFill>
              <w14:schemeClr w14:val="tx1"/>
            </w14:solidFill>
          </w14:textFill>
        </w:rPr>
        <w:t>承包</w:t>
      </w:r>
      <w:r>
        <w:rPr>
          <w:rFonts w:hint="eastAsia" w:ascii="宋体" w:hAnsi="宋体" w:eastAsia="仿宋_GB2312" w:cs="黑体"/>
          <w:b w:val="0"/>
          <w:bCs w:val="0"/>
          <w:color w:val="000000" w:themeColor="text1"/>
          <w:sz w:val="32"/>
          <w:szCs w:val="32"/>
          <w:highlight w:val="none"/>
          <w14:textFill>
            <w14:solidFill>
              <w14:schemeClr w14:val="tx1"/>
            </w14:solidFill>
          </w14:textFill>
        </w:rPr>
        <w:t>方权利</w:t>
      </w:r>
      <w:r>
        <w:rPr>
          <w:rFonts w:hint="eastAsia" w:ascii="宋体" w:hAnsi="宋体" w:eastAsia="仿宋_GB2312" w:cs="黑体"/>
          <w:b w:val="0"/>
          <w:bCs w:val="0"/>
          <w:color w:val="000000" w:themeColor="text1"/>
          <w:sz w:val="32"/>
          <w:szCs w:val="32"/>
          <w:highlight w:val="none"/>
          <w:lang w:eastAsia="zh-CN"/>
          <w14:textFill>
            <w14:solidFill>
              <w14:schemeClr w14:val="tx1"/>
            </w14:solidFill>
          </w14:textFill>
        </w:rPr>
        <w:t>、</w:t>
      </w:r>
      <w:r>
        <w:rPr>
          <w:rFonts w:hint="eastAsia" w:ascii="宋体" w:hAnsi="宋体" w:eastAsia="仿宋_GB2312" w:cs="黑体"/>
          <w:b w:val="0"/>
          <w:bCs w:val="0"/>
          <w:color w:val="000000" w:themeColor="text1"/>
          <w:sz w:val="32"/>
          <w:szCs w:val="32"/>
          <w:highlight w:val="none"/>
          <w14:textFill>
            <w14:solidFill>
              <w14:schemeClr w14:val="tx1"/>
            </w14:solidFill>
          </w14:textFill>
        </w:rPr>
        <w:t>义务</w:t>
      </w:r>
      <w:r>
        <w:rPr>
          <w:rFonts w:hint="eastAsia" w:ascii="宋体" w:hAnsi="宋体" w:eastAsia="仿宋_GB2312" w:cs="黑体"/>
          <w:b w:val="0"/>
          <w:bCs w:val="0"/>
          <w:color w:val="000000" w:themeColor="text1"/>
          <w:sz w:val="32"/>
          <w:szCs w:val="32"/>
          <w:highlight w:val="none"/>
          <w:lang w:eastAsia="zh-CN"/>
          <w14:textFill>
            <w14:solidFill>
              <w14:schemeClr w14:val="tx1"/>
            </w14:solidFill>
          </w14:textFill>
        </w:rPr>
        <w:t>、</w:t>
      </w:r>
      <w:r>
        <w:rPr>
          <w:rFonts w:hint="eastAsia" w:ascii="宋体" w:hAnsi="宋体" w:eastAsia="仿宋_GB2312" w:cs="黑体"/>
          <w:b w:val="0"/>
          <w:bCs w:val="0"/>
          <w:color w:val="000000" w:themeColor="text1"/>
          <w:sz w:val="32"/>
          <w:szCs w:val="32"/>
          <w:highlight w:val="none"/>
          <w:lang w:val="en-US" w:eastAsia="zh-CN"/>
          <w14:textFill>
            <w14:solidFill>
              <w14:schemeClr w14:val="tx1"/>
            </w14:solidFill>
          </w14:textFill>
        </w:rPr>
        <w:t>责任均履行完毕</w:t>
      </w:r>
      <w:r>
        <w:rPr>
          <w:rFonts w:hint="default" w:ascii="宋体" w:hAnsi="宋体" w:eastAsia="仿宋_GB2312" w:cs="黑体"/>
          <w:b w:val="0"/>
          <w:bCs w:val="0"/>
          <w:color w:val="000000" w:themeColor="text1"/>
          <w:sz w:val="32"/>
          <w:szCs w:val="32"/>
          <w:highlight w:val="none"/>
          <w:lang w:val="en-US"/>
          <w14:textFill>
            <w14:solidFill>
              <w14:schemeClr w14:val="tx1"/>
            </w14:solidFill>
          </w14:textFill>
        </w:rPr>
        <w:t>后</w:t>
      </w:r>
      <w:r>
        <w:rPr>
          <w:rFonts w:hint="eastAsia" w:ascii="宋体" w:hAnsi="宋体" w:eastAsia="仿宋_GB2312" w:cs="黑体"/>
          <w:b w:val="0"/>
          <w:bCs w:val="0"/>
          <w:color w:val="000000" w:themeColor="text1"/>
          <w:sz w:val="32"/>
          <w:szCs w:val="32"/>
          <w:highlight w:val="none"/>
          <w14:textFill>
            <w14:solidFill>
              <w14:schemeClr w14:val="tx1"/>
            </w14:solidFill>
          </w14:textFill>
        </w:rPr>
        <w:t>失效。本协议未尽事宜，双方另行签订补充协议。</w:t>
      </w:r>
    </w:p>
    <w:p w14:paraId="4FFFCFE8">
      <w:pPr>
        <w:spacing w:line="560" w:lineRule="exact"/>
        <w:ind w:firstLine="0" w:firstLineChars="0"/>
        <w:rPr>
          <w:rFonts w:hint="eastAsia" w:ascii="宋体" w:hAnsi="宋体" w:eastAsia="仿宋_GB2312" w:cs="Times New Roman"/>
          <w:color w:val="000000" w:themeColor="text1"/>
          <w:sz w:val="32"/>
          <w:szCs w:val="32"/>
          <w:highlight w:val="none"/>
          <w14:textFill>
            <w14:solidFill>
              <w14:schemeClr w14:val="tx1"/>
            </w14:solidFill>
          </w14:textFill>
        </w:rPr>
      </w:pPr>
      <w:r>
        <w:rPr>
          <w:rFonts w:hint="eastAsia" w:ascii="宋体" w:hAnsi="宋体" w:eastAsia="仿宋_GB2312" w:cs="Times New Roman"/>
          <w:color w:val="000000" w:themeColor="text1"/>
          <w:sz w:val="32"/>
          <w:szCs w:val="32"/>
          <w:highlight w:val="none"/>
          <w14:textFill>
            <w14:solidFill>
              <w14:schemeClr w14:val="tx1"/>
            </w14:solidFill>
          </w14:textFill>
        </w:rPr>
        <w:t xml:space="preserve">发包方：                    承包方： </w:t>
      </w:r>
    </w:p>
    <w:p w14:paraId="74B885C0">
      <w:pPr>
        <w:spacing w:line="560" w:lineRule="exact"/>
        <w:ind w:firstLine="0" w:firstLineChars="0"/>
        <w:rPr>
          <w:rFonts w:hint="eastAsia" w:ascii="宋体" w:hAnsi="宋体" w:eastAsia="仿宋_GB2312" w:cs="Times New Roman"/>
          <w:color w:val="000000" w:themeColor="text1"/>
          <w:sz w:val="32"/>
          <w:szCs w:val="32"/>
          <w:highlight w:val="none"/>
          <w14:textFill>
            <w14:solidFill>
              <w14:schemeClr w14:val="tx1"/>
            </w14:solidFill>
          </w14:textFill>
        </w:rPr>
      </w:pPr>
      <w:r>
        <w:rPr>
          <w:rFonts w:hint="eastAsia" w:ascii="宋体" w:hAnsi="宋体" w:eastAsia="仿宋_GB2312" w:cs="Times New Roman"/>
          <w:color w:val="000000" w:themeColor="text1"/>
          <w:sz w:val="32"/>
          <w:szCs w:val="32"/>
          <w:highlight w:val="none"/>
          <w14:textFill>
            <w14:solidFill>
              <w14:schemeClr w14:val="tx1"/>
            </w14:solidFill>
          </w14:textFill>
        </w:rPr>
        <w:t>广州市自来水有限公司</w:t>
      </w:r>
    </w:p>
    <w:p w14:paraId="6561DC9D">
      <w:pPr>
        <w:spacing w:line="560" w:lineRule="exact"/>
        <w:ind w:firstLine="0" w:firstLineChars="0"/>
        <w:rPr>
          <w:color w:val="000000" w:themeColor="text1"/>
          <w:sz w:val="32"/>
          <w:szCs w:val="32"/>
          <w:highlight w:val="none"/>
          <w14:textFill>
            <w14:solidFill>
              <w14:schemeClr w14:val="tx1"/>
            </w14:solidFill>
          </w14:textFill>
        </w:rPr>
      </w:pPr>
      <w:r>
        <w:rPr>
          <w:rFonts w:hint="eastAsia" w:ascii="宋体" w:hAnsi="宋体" w:eastAsia="仿宋_GB2312" w:cs="Times New Roman"/>
          <w:color w:val="000000" w:themeColor="text1"/>
          <w:sz w:val="32"/>
          <w:szCs w:val="32"/>
          <w:highlight w:val="none"/>
          <w14:textFill>
            <w14:solidFill>
              <w14:schemeClr w14:val="tx1"/>
            </w14:solidFill>
          </w14:textFill>
        </w:rPr>
        <w:t>（</w:t>
      </w:r>
      <w:r>
        <w:rPr>
          <w:rFonts w:hint="eastAsia" w:ascii="宋体" w:hAnsi="宋体" w:eastAsia="仿宋_GB2312" w:cs="Times New Roman"/>
          <w:color w:val="000000" w:themeColor="text1"/>
          <w:sz w:val="32"/>
          <w:szCs w:val="32"/>
          <w:highlight w:val="none"/>
          <w:lang w:val="en-US" w:eastAsia="zh-CN"/>
          <w14:textFill>
            <w14:solidFill>
              <w14:schemeClr w14:val="tx1"/>
            </w14:solidFill>
          </w14:textFill>
        </w:rPr>
        <w:t>盖</w:t>
      </w:r>
      <w:r>
        <w:rPr>
          <w:rFonts w:hint="eastAsia" w:ascii="宋体" w:hAnsi="宋体" w:eastAsia="仿宋_GB2312" w:cs="Times New Roman"/>
          <w:color w:val="000000" w:themeColor="text1"/>
          <w:sz w:val="32"/>
          <w:szCs w:val="32"/>
          <w:highlight w:val="none"/>
          <w14:textFill>
            <w14:solidFill>
              <w14:schemeClr w14:val="tx1"/>
            </w14:solidFill>
          </w14:textFill>
        </w:rPr>
        <w:t>章）                    （</w:t>
      </w:r>
      <w:r>
        <w:rPr>
          <w:rFonts w:hint="eastAsia" w:ascii="宋体" w:hAnsi="宋体" w:eastAsia="仿宋_GB2312" w:cs="Times New Roman"/>
          <w:color w:val="000000" w:themeColor="text1"/>
          <w:sz w:val="32"/>
          <w:szCs w:val="32"/>
          <w:highlight w:val="none"/>
          <w:lang w:val="en-US" w:eastAsia="zh-CN"/>
          <w14:textFill>
            <w14:solidFill>
              <w14:schemeClr w14:val="tx1"/>
            </w14:solidFill>
          </w14:textFill>
        </w:rPr>
        <w:t>盖</w:t>
      </w:r>
      <w:r>
        <w:rPr>
          <w:rFonts w:hint="eastAsia" w:ascii="宋体" w:hAnsi="宋体" w:eastAsia="仿宋_GB2312" w:cs="Times New Roman"/>
          <w:color w:val="000000" w:themeColor="text1"/>
          <w:sz w:val="32"/>
          <w:szCs w:val="32"/>
          <w:highlight w:val="none"/>
          <w14:textFill>
            <w14:solidFill>
              <w14:schemeClr w14:val="tx1"/>
            </w14:solidFill>
          </w14:textFill>
        </w:rPr>
        <w:t>章）</w:t>
      </w:r>
    </w:p>
    <w:p w14:paraId="707AA541">
      <w:pPr>
        <w:spacing w:line="460" w:lineRule="exact"/>
        <w:jc w:val="right"/>
        <w:rPr>
          <w:rFonts w:hint="eastAsia" w:ascii="仿宋_GB2312" w:hAnsi="仿宋_GB2312" w:eastAsia="仿宋_GB2312" w:cs="仿宋_GB2312"/>
          <w:color w:val="000000" w:themeColor="text1"/>
          <w:sz w:val="24"/>
          <w:szCs w:val="24"/>
          <w:highlight w:val="none"/>
          <w14:textFill>
            <w14:solidFill>
              <w14:schemeClr w14:val="tx1"/>
            </w14:solidFill>
          </w14:textFill>
        </w:rPr>
        <w:sectPr>
          <w:endnotePr>
            <w:numFmt w:val="decimal"/>
          </w:endnotePr>
          <w:pgSz w:w="11905" w:h="16838"/>
          <w:pgMar w:top="1440" w:right="1800" w:bottom="1440" w:left="1800" w:header="0" w:footer="0" w:gutter="0"/>
          <w:pgNumType w:fmt="decimal"/>
          <w:cols w:space="720" w:num="1"/>
          <w:titlePg/>
          <w:rtlGutter w:val="0"/>
          <w:docGrid w:linePitch="1" w:charSpace="0"/>
        </w:sectPr>
      </w:pPr>
    </w:p>
    <w:p w14:paraId="3A6F209C">
      <w:pPr>
        <w:spacing w:line="240" w:lineRule="auto"/>
        <w:outlineLvl w:val="9"/>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pPr>
      <w:bookmarkStart w:id="588" w:name="_Toc3302"/>
      <w:bookmarkStart w:id="589" w:name="_Toc31019"/>
      <w:bookmarkStart w:id="590" w:name="_Toc9663"/>
      <w:r>
        <w:rPr>
          <w:rFonts w:hint="eastAsia" w:ascii="黑体" w:hAnsi="黑体" w:eastAsia="黑体" w:cs="黑体"/>
          <w:b w:val="0"/>
          <w:bCs w:val="0"/>
          <w:color w:val="000000" w:themeColor="text1"/>
          <w:sz w:val="24"/>
          <w:szCs w:val="24"/>
          <w:highlight w:val="none"/>
          <w14:textFill>
            <w14:solidFill>
              <w14:schemeClr w14:val="tx1"/>
            </w14:solidFill>
          </w14:textFill>
        </w:rPr>
        <w:t>附件</w:t>
      </w: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6</w:t>
      </w:r>
      <w:bookmarkEnd w:id="588"/>
      <w:bookmarkEnd w:id="589"/>
      <w:bookmarkEnd w:id="590"/>
    </w:p>
    <w:permEnd w:id="408"/>
    <w:p w14:paraId="32690220">
      <w:pPr>
        <w:tabs>
          <w:tab w:val="left" w:pos="709"/>
        </w:tabs>
        <w:spacing w:line="560" w:lineRule="exact"/>
        <w:jc w:val="center"/>
        <w:rPr>
          <w:rFonts w:hint="eastAsia" w:ascii="方正小标宋简体" w:hAnsi="方正小标宋简体" w:eastAsia="方正小标宋简体" w:cs="方正小标宋简体"/>
          <w:b w:val="0"/>
          <w:bCs/>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2"/>
          <w:szCs w:val="32"/>
          <w:highlight w:val="none"/>
          <w14:textFill>
            <w14:solidFill>
              <w14:schemeClr w14:val="tx1"/>
            </w14:solidFill>
          </w14:textFill>
        </w:rPr>
        <w:t>廉洁责任书</w:t>
      </w:r>
    </w:p>
    <w:p w14:paraId="680FF63B">
      <w:pPr>
        <w:spacing w:line="56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（2023年修订版标准文本）</w:t>
      </w:r>
    </w:p>
    <w:p w14:paraId="046C0157">
      <w:pPr>
        <w:spacing w:line="560" w:lineRule="exact"/>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发包人（甲方）：</w:t>
      </w:r>
      <w:permStart w:id="409" w:edGrp="everyone"/>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广州市自来水有限公司         </w:t>
      </w:r>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permEnd w:id="409"/>
    </w:p>
    <w:p w14:paraId="50DDEE9E">
      <w:pPr>
        <w:tabs>
          <w:tab w:val="left" w:pos="709"/>
        </w:tabs>
        <w:spacing w:line="560" w:lineRule="exac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承包人（乙方）：</w:t>
      </w:r>
      <w:permStart w:id="410" w:edGrp="everyone"/>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permEnd w:id="410"/>
    </w:p>
    <w:p w14:paraId="2041CEE6">
      <w:pPr>
        <w:tabs>
          <w:tab w:val="left" w:pos="709"/>
        </w:tabs>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为加强廉洁建设，防止主合同履约过程中发生各种谋取不正当利益的违法违纪行为，甲、乙双方经共同协商，在双方签订的</w:t>
      </w:r>
      <w:permStart w:id="41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2024年中区片区内街管网改造工程（北京南等8个片区）施工总承包 </w:t>
      </w:r>
      <w:permEnd w:id="411"/>
      <w:r>
        <w:rPr>
          <w:rFonts w:hint="eastAsia" w:ascii="仿宋_GB2312" w:hAnsi="仿宋_GB2312" w:eastAsia="仿宋_GB2312" w:cs="仿宋_GB2312"/>
          <w:color w:val="000000" w:themeColor="text1"/>
          <w:sz w:val="24"/>
          <w:szCs w:val="24"/>
          <w:highlight w:val="none"/>
          <w14:textFill>
            <w14:solidFill>
              <w14:schemeClr w14:val="tx1"/>
            </w14:solidFill>
          </w14:textFill>
        </w:rPr>
        <w:t>项目（以下简称“本项目”）合同（合同编号：</w:t>
      </w:r>
      <w:permStart w:id="41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412"/>
      <w:r>
        <w:rPr>
          <w:rFonts w:hint="eastAsia" w:ascii="仿宋_GB2312" w:hAnsi="仿宋_GB2312" w:eastAsia="仿宋_GB2312" w:cs="仿宋_GB2312"/>
          <w:color w:val="000000" w:themeColor="text1"/>
          <w:sz w:val="24"/>
          <w:szCs w:val="24"/>
          <w:highlight w:val="none"/>
          <w14:textFill>
            <w14:solidFill>
              <w14:schemeClr w14:val="tx1"/>
            </w14:solidFill>
          </w14:textFill>
        </w:rPr>
        <w:t>，以下简称“主合同”）约定条款的基础上，根据国家有关法律法规和廉政建设的有关规定，特订立本廉洁责任书，以资共同遵守。</w:t>
      </w:r>
    </w:p>
    <w:p w14:paraId="2FFC33FC">
      <w:pPr>
        <w:spacing w:before="72" w:beforeLines="30" w:line="560" w:lineRule="exact"/>
        <w:ind w:firstLine="479" w:firstLineChars="19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一、双方的责任</w:t>
      </w:r>
    </w:p>
    <w:p w14:paraId="67CD9986">
      <w:pPr>
        <w:spacing w:line="560" w:lineRule="exact"/>
        <w:ind w:firstLine="352" w:firstLineChars="14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（一）严格遵守国家关于</w:t>
      </w:r>
      <w:permStart w:id="413"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sym w:font="Wingdings 2" w:char="0052"/>
      </w:r>
      <w:permEnd w:id="413"/>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建设工程、</w:t>
      </w:r>
      <w:permStart w:id="414"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414"/>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物资采购、</w:t>
      </w:r>
      <w:permStart w:id="415"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415"/>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营运类服务</w:t>
      </w:r>
      <w:r>
        <w:rPr>
          <w:rFonts w:hint="eastAsia" w:ascii="仿宋_GB2312" w:hAnsi="仿宋_GB2312" w:eastAsia="仿宋_GB2312" w:cs="仿宋_GB2312"/>
          <w:color w:val="000000" w:themeColor="text1"/>
          <w:sz w:val="24"/>
          <w:szCs w:val="24"/>
          <w:highlight w:val="none"/>
          <w14:textFill>
            <w14:solidFill>
              <w14:schemeClr w14:val="tx1"/>
            </w14:solidFill>
          </w14:textFill>
        </w:rPr>
        <w:t>等有关法律法规、相关政策以及廉政建设的各项规定。</w:t>
      </w:r>
    </w:p>
    <w:p w14:paraId="0B14346A">
      <w:pPr>
        <w:spacing w:line="560" w:lineRule="exact"/>
        <w:ind w:firstLine="352" w:firstLineChars="147"/>
        <w:rPr>
          <w:rFonts w:hint="eastAsia" w:ascii="仿宋_GB2312" w:hAnsi="仿宋_GB2312" w:eastAsia="仿宋_GB2312" w:cs="仿宋_GB2312"/>
          <w:color w:val="000000" w:themeColor="text1"/>
          <w:sz w:val="24"/>
          <w:szCs w:val="24"/>
          <w:highlight w:val="none"/>
          <w:shd w:val="clear" w:color="FFFFFF" w:fill="D9D9D9"/>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（二）严格执行主合同条款，自觉按合同办事。</w:t>
      </w:r>
    </w:p>
    <w:p w14:paraId="26739B0E">
      <w:pPr>
        <w:spacing w:line="560" w:lineRule="exact"/>
        <w:ind w:firstLine="352" w:firstLineChars="14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（三）业务活动必须坚持公开、公平、公正、诚信的原则，损害国家、集体和对方利益，不得违反</w:t>
      </w:r>
      <w:permStart w:id="416"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sym w:font="Wingdings 2" w:char="0052"/>
      </w:r>
      <w:permEnd w:id="416"/>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建设工程、</w:t>
      </w:r>
      <w:permStart w:id="417"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417"/>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物资采购、</w:t>
      </w:r>
      <w:permStart w:id="418"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sym w:font="Wingdings 2" w:char="0051"/>
      </w:r>
      <w:permEnd w:id="418"/>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营运类服务</w:t>
      </w:r>
      <w:r>
        <w:rPr>
          <w:rFonts w:hint="eastAsia" w:ascii="仿宋_GB2312" w:hAnsi="仿宋_GB2312" w:eastAsia="仿宋_GB2312" w:cs="仿宋_GB2312"/>
          <w:color w:val="000000" w:themeColor="text1"/>
          <w:sz w:val="24"/>
          <w:szCs w:val="24"/>
          <w:highlight w:val="none"/>
          <w14:textFill>
            <w14:solidFill>
              <w14:schemeClr w14:val="tx1"/>
            </w14:solidFill>
          </w14:textFill>
        </w:rPr>
        <w:t>管理的规章制度。</w:t>
      </w:r>
    </w:p>
    <w:p w14:paraId="51E094D9">
      <w:pPr>
        <w:tabs>
          <w:tab w:val="left" w:pos="709"/>
        </w:tabs>
        <w:spacing w:line="560" w:lineRule="exact"/>
        <w:ind w:firstLine="352" w:firstLineChars="14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（四）在业务活动中任何一方如发现单位或人员有违规、违纪、违法行为的，均有义务向其上级主管部门或纪检监察、司法等机关举报。</w:t>
      </w:r>
    </w:p>
    <w:p w14:paraId="7E64D8A5">
      <w:pPr>
        <w:tabs>
          <w:tab w:val="left" w:pos="709"/>
        </w:tabs>
        <w:spacing w:line="560" w:lineRule="exact"/>
        <w:ind w:firstLine="352" w:firstLineChars="14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（五）建立健全廉洁从业制度，开展项目人员廉洁教育，公布监督举报电话，接受群众监督。</w:t>
      </w:r>
    </w:p>
    <w:p w14:paraId="3DCDCD49">
      <w:pPr>
        <w:spacing w:before="72" w:beforeLines="30" w:line="560" w:lineRule="exact"/>
        <w:ind w:firstLine="479" w:firstLineChars="19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二、甲方责任</w:t>
      </w:r>
    </w:p>
    <w:p w14:paraId="7B8BE9C8">
      <w:pPr>
        <w:spacing w:line="560" w:lineRule="exact"/>
        <w:ind w:firstLine="360" w:firstLineChars="1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（一）甲方须向乙方介绍本单位有关廉政建设的各项制度和规定，并有权监督乙方履行主合同的廉洁情况。</w:t>
      </w:r>
    </w:p>
    <w:p w14:paraId="569A8774">
      <w:pPr>
        <w:spacing w:line="560" w:lineRule="exact"/>
        <w:ind w:firstLine="360" w:firstLineChars="1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（二）甲方须对本单位项目相关人员开展廉洁教育,督促本单位从业人员遵守以下规定：</w:t>
      </w:r>
    </w:p>
    <w:p w14:paraId="58F72D4D">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1.不得利用职务之便向乙方索要或接受回扣、礼金、有价证券、贵重物品、手续费、加班费、咨询费、劳务费、协调费、辛苦费等各种名义给予或赠送的钱物，难以拒收的，必须按登记上交。</w:t>
      </w:r>
    </w:p>
    <w:p w14:paraId="500995CC">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2.不得要求乙方报销任何应由甲方或其工作人员支付的费用。</w:t>
      </w:r>
    </w:p>
    <w:p w14:paraId="00D677F5">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3.不得要求、暗示或接受乙方为甲方工作人员的住房装修、婚丧嫁娶、配偶子女工作安排以及出国（境）、旅游等事项提供方便。</w:t>
      </w:r>
    </w:p>
    <w:p w14:paraId="3C82E172">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4.不得参加有可能影响公正履行岗位职责或相关业务公平公正开展的乙方安排的宴请、健身、娱乐等活动。</w:t>
      </w:r>
    </w:p>
    <w:p w14:paraId="65D5AFBB">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5.不得向乙方推荐与主合同有关的劳务分包单位。</w:t>
      </w:r>
    </w:p>
    <w:p w14:paraId="513AC0AD">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6.不得向乙方推荐甲方工作人员的配偶、子女、亲属参与双方合同履行有关的经济活动。</w:t>
      </w:r>
    </w:p>
    <w:p w14:paraId="52D5C008">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7.不得参与任何形式的赌博，并通过赌博方式收受乙方财物；不得接受乙方提供的通讯工具、交通工具（合同约定除外）和高档办公用品等。</w:t>
      </w:r>
    </w:p>
    <w:p w14:paraId="20FC310F">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8.不得有其他可能影响公正履行岗位职责的行为或其他违反廉洁规定。</w:t>
      </w:r>
    </w:p>
    <w:p w14:paraId="6CE1CAE8">
      <w:pPr>
        <w:spacing w:before="72" w:beforeLines="30" w:line="560" w:lineRule="exact"/>
        <w:ind w:firstLine="479" w:firstLineChars="19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三、乙方责任</w:t>
      </w:r>
    </w:p>
    <w:p w14:paraId="780ABA8D">
      <w:pPr>
        <w:spacing w:line="560" w:lineRule="exact"/>
        <w:ind w:firstLine="352" w:firstLineChars="14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（一）乙方应了解并配合执行甲方有关廉政建设的各项制度和规定。</w:t>
      </w:r>
    </w:p>
    <w:p w14:paraId="3FD83BC5">
      <w:pPr>
        <w:spacing w:line="560" w:lineRule="exact"/>
        <w:ind w:firstLine="352" w:firstLineChars="14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（二）乙方应对本单位工作人员开展廉洁教育（包括甲方制定的有关廉政建设方面的各项制度和规定），按时出席甲方召集的有关会议。</w:t>
      </w:r>
    </w:p>
    <w:p w14:paraId="0F21AB80">
      <w:pPr>
        <w:spacing w:line="560" w:lineRule="exact"/>
        <w:ind w:firstLine="352" w:firstLineChars="14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（三）乙方应与甲方保持正常的业务交往，按照有关法律法规和程序开展业务工作，严格执行有关政策规定，并遵守以下规定：</w:t>
      </w:r>
    </w:p>
    <w:p w14:paraId="1A106FF3">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1.不得向甲方及其工作人员以赠送回扣、礼金、有价证券、贵重物品、手续费、加班费、咨询费、劳务费、协调费、辛苦费等各种名义给予或赠送的钱物。</w:t>
      </w:r>
    </w:p>
    <w:p w14:paraId="3165B7AD">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2.不得为甲方报销应由甲方或其工作人员支付的费用。</w:t>
      </w:r>
    </w:p>
    <w:p w14:paraId="6B5D0778">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3.不得接受为甲方工作人员的住房装修、婚丧嫁娶、配偶子女工作安排以及出国（境）、旅游等事项提供便利。</w:t>
      </w:r>
    </w:p>
    <w:p w14:paraId="61736B1D">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4.不得为甲方及其工作人员安排、组织有可能影响公正履行岗位职责的宴请、健身、娱乐等活动。</w:t>
      </w:r>
    </w:p>
    <w:p w14:paraId="3036CCB2">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5.不得接受甲方推荐的与主合同有关的劳务分包单位。</w:t>
      </w:r>
    </w:p>
    <w:p w14:paraId="6FB046C0">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6.不得接受甲方工作人员推荐其配偶、子女、亲属参与主合同的设备材料、劳务分包等经济活动。</w:t>
      </w:r>
    </w:p>
    <w:p w14:paraId="6E3CDA5A">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7.乙方不得为甲方单位和个人购置或提供通讯工具和高档办公用品等物品，也不得为甲方提供与工作无关的房屋、汽车等。</w:t>
      </w:r>
    </w:p>
    <w:p w14:paraId="1E0F7197">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8.乙方不得擅自与甲方工作人员就主合同中的质量、数量、价格、工程量、验收等条款进行私下商谈或者达成默契。</w:t>
      </w:r>
    </w:p>
    <w:p w14:paraId="4B858BFF">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9.乙方不得向甲方工作人员提供干股或红利。</w:t>
      </w:r>
    </w:p>
    <w:p w14:paraId="4399DAEC">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10.不得有其他可能影响甲方工作人员公正履行岗位职责的行为或其他违反廉洁规定。</w:t>
      </w:r>
    </w:p>
    <w:p w14:paraId="63E958F7">
      <w:pPr>
        <w:spacing w:before="72" w:beforeLines="30" w:line="560" w:lineRule="exact"/>
        <w:ind w:firstLine="479" w:firstLineChars="19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四、违约责任及处理</w:t>
      </w:r>
    </w:p>
    <w:p w14:paraId="580281F0">
      <w:pPr>
        <w:spacing w:line="560" w:lineRule="exact"/>
        <w:ind w:firstLine="352" w:firstLineChars="14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（一）甲方工作人员有违反本责任书“一”“二”款约定的，视情节轻重，依据有关法律法规和甲方相关制度规定给予组织处理、党纪政纪处分；涉嫌犯罪的，移交司法机关追究刑事责任。</w:t>
      </w:r>
    </w:p>
    <w:p w14:paraId="7C3C98A7">
      <w:pPr>
        <w:adjustRightInd w:val="0"/>
        <w:snapToGrid w:val="0"/>
        <w:spacing w:line="560" w:lineRule="exact"/>
        <w:ind w:firstLine="420" w:firstLineChars="17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甲方举报投诉联系部门：广州市自来水有限公司纪检室，联系电话：020-87159082，电子邮箱：jjs@gzwatersupply.com。</w:t>
      </w:r>
    </w:p>
    <w:p w14:paraId="3DF8E1ED">
      <w:pPr>
        <w:numPr>
          <w:ilvl w:val="0"/>
          <w:numId w:val="16"/>
        </w:numPr>
        <w:adjustRightInd w:val="0"/>
        <w:snapToGrid w:val="0"/>
        <w:spacing w:line="560" w:lineRule="exact"/>
        <w:ind w:firstLine="420" w:firstLineChars="17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乙方工作人员有违反本责任书“一”“三”款约定的，甲方均有权根据具体情节和造成的后果，对乙方采取以下处理方式：</w:t>
      </w:r>
    </w:p>
    <w:p w14:paraId="7F2A2644">
      <w:pPr>
        <w:adjustRightInd w:val="0"/>
        <w:snapToGrid w:val="0"/>
        <w:spacing w:line="560" w:lineRule="exact"/>
        <w:ind w:firstLine="420" w:firstLineChars="17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1.扣除主合同的全部履约保证金。</w:t>
      </w:r>
    </w:p>
    <w:p w14:paraId="04615E8C">
      <w:pPr>
        <w:adjustRightInd w:val="0"/>
        <w:snapToGrid w:val="0"/>
        <w:spacing w:line="560" w:lineRule="exact"/>
        <w:ind w:firstLine="420" w:firstLineChars="17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2.对违纪违法相关责任人依规依法进行处理和更换，并取消乙方单位服务资格。</w:t>
      </w:r>
    </w:p>
    <w:p w14:paraId="7F8E1636">
      <w:pPr>
        <w:adjustRightInd w:val="0"/>
        <w:snapToGrid w:val="0"/>
        <w:spacing w:line="560" w:lineRule="exact"/>
        <w:ind w:firstLine="420" w:firstLineChars="17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3.追究乙方其他违约责任和损失赔偿。</w:t>
      </w:r>
    </w:p>
    <w:p w14:paraId="4C33F90C">
      <w:pPr>
        <w:adjustRightInd w:val="0"/>
        <w:snapToGrid w:val="0"/>
        <w:spacing w:line="560" w:lineRule="exact"/>
        <w:ind w:firstLine="420" w:firstLineChars="17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4.甲方有权向乙方单位上级纪检监察部门、有关行政管理部门等提出对乙方相关责任人进行责任追究和处罚；涉嫌犯罪的，移送司法机关追究刑事责任。</w:t>
      </w:r>
    </w:p>
    <w:p w14:paraId="15C242E0">
      <w:pPr>
        <w:adjustRightInd w:val="0"/>
        <w:snapToGrid w:val="0"/>
        <w:spacing w:line="560" w:lineRule="exact"/>
        <w:ind w:firstLine="420" w:firstLineChars="17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5.针对典型案例，形成廉洁问题专报，视情节严重程度上报上级管理部门，或在甲乙双方单位进行情况通报。</w:t>
      </w:r>
    </w:p>
    <w:p w14:paraId="530275A5">
      <w:pPr>
        <w:tabs>
          <w:tab w:val="left" w:pos="709"/>
        </w:tabs>
        <w:spacing w:line="560" w:lineRule="exact"/>
        <w:ind w:firstLine="482"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ermStart w:id="419" w:edGrp="everyone"/>
      <w:r>
        <w:rPr>
          <w:rFonts w:hint="eastAsia" w:ascii="仿宋_GB2312" w:hAnsi="仿宋_GB2312" w:eastAsia="仿宋_GB2312" w:cs="仿宋_GB2312"/>
          <w:b/>
          <w:bCs/>
          <w:color w:val="000000" w:themeColor="text1"/>
          <w:sz w:val="24"/>
          <w:szCs w:val="24"/>
          <w:highlight w:val="none"/>
          <w14:textFill>
            <w14:solidFill>
              <w14:schemeClr w14:val="tx1"/>
            </w14:solidFill>
          </w14:textFill>
        </w:rPr>
        <w:sym w:font="Wingdings 2" w:char="0052"/>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w:t>
      </w:r>
      <w:permEnd w:id="419"/>
      <w:r>
        <w:rPr>
          <w:rFonts w:hint="eastAsia" w:ascii="仿宋_GB2312" w:hAnsi="仿宋_GB2312" w:eastAsia="仿宋_GB2312" w:cs="仿宋_GB2312"/>
          <w:b/>
          <w:bCs/>
          <w:color w:val="000000" w:themeColor="text1"/>
          <w:sz w:val="24"/>
          <w:szCs w:val="24"/>
          <w:highlight w:val="none"/>
          <w14:textFill>
            <w14:solidFill>
              <w14:schemeClr w14:val="tx1"/>
            </w14:solidFill>
          </w14:textFill>
        </w:rPr>
        <w:t>工程建设项目选择此项</w:t>
      </w:r>
    </w:p>
    <w:p w14:paraId="26D3A803">
      <w:pPr>
        <w:tabs>
          <w:tab w:val="left" w:pos="709"/>
        </w:tabs>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乙方应严格执行有关勘察设计、建筑施工安装的强制性标准和规范，以及监理法规，根据广州市及甲方关于水务工程勘察设计、施工和监理企业诚信评价的有关规定，如乙方存在被纪检监察部门认定有行贿行为、被法院判决犯有行贿罪记录等违反廉政规定的，甲方书面提请水务行政主管部门处理。</w:t>
      </w:r>
    </w:p>
    <w:p w14:paraId="38DC4B67">
      <w:pPr>
        <w:tabs>
          <w:tab w:val="left" w:pos="7513"/>
        </w:tabs>
        <w:spacing w:before="72" w:beforeLines="30" w:line="560" w:lineRule="exact"/>
        <w:ind w:firstLine="479" w:firstLineChars="199"/>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五、责任书有效期</w:t>
      </w:r>
    </w:p>
    <w:p w14:paraId="1BB5A430">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（一）本责任书作为主合同组成部分，与主合同具有同等法律效力。经双方签署后立即生效。</w:t>
      </w:r>
    </w:p>
    <w:p w14:paraId="75587880">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（二）本责任书的有效期为合同生效之日起至主合同履约结束时止。</w:t>
      </w:r>
    </w:p>
    <w:p w14:paraId="409E2850">
      <w:pPr>
        <w:pStyle w:val="15"/>
        <w:rPr>
          <w:rFonts w:hint="eastAsia" w:ascii="仿宋_GB2312" w:hAnsi="仿宋_GB2312" w:eastAsia="仿宋_GB2312" w:cs="仿宋_GB2312"/>
          <w:color w:val="000000" w:themeColor="text1"/>
          <w:sz w:val="24"/>
          <w:szCs w:val="24"/>
          <w:highlight w:val="none"/>
          <w14:textFill>
            <w14:solidFill>
              <w14:schemeClr w14:val="tx1"/>
            </w14:solidFill>
          </w14:textFill>
        </w:rPr>
      </w:pPr>
    </w:p>
    <w:tbl>
      <w:tblPr>
        <w:tblStyle w:val="39"/>
        <w:tblpPr w:leftFromText="180" w:rightFromText="180" w:vertAnchor="text" w:horzAnchor="page" w:tblpX="1774" w:tblpY="231"/>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61"/>
      </w:tblGrid>
      <w:tr w14:paraId="229B8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noWrap w:val="0"/>
            <w:vAlign w:val="top"/>
          </w:tcPr>
          <w:p w14:paraId="21376F70">
            <w:pPr>
              <w:spacing w:line="560" w:lineRule="exact"/>
              <w:rPr>
                <w:rFonts w:hint="eastAsia" w:ascii="仿宋_GB2312" w:hAnsi="仿宋_GB2312" w:eastAsia="仿宋_GB2312" w:cs="仿宋_GB2312"/>
                <w:color w:val="000000" w:themeColor="text1"/>
                <w:kern w:val="0"/>
                <w:sz w:val="24"/>
                <w:szCs w:val="24"/>
                <w:highlight w:val="none"/>
                <w:vertAlign w:val="baseline"/>
                <w14:textFill>
                  <w14:solidFill>
                    <w14:schemeClr w14:val="tx1"/>
                  </w14:solidFill>
                </w14:textFill>
              </w:rPr>
            </w:pPr>
            <w:permStart w:id="420"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甲方单位：（盖章） </w:t>
            </w:r>
          </w:p>
        </w:tc>
        <w:tc>
          <w:tcPr>
            <w:tcW w:w="4261" w:type="dxa"/>
            <w:noWrap w:val="0"/>
            <w:vAlign w:val="top"/>
          </w:tcPr>
          <w:p w14:paraId="26FCB2B8">
            <w:pPr>
              <w:spacing w:line="560" w:lineRule="exact"/>
              <w:rPr>
                <w:rFonts w:hint="eastAsia" w:ascii="仿宋_GB2312" w:hAnsi="仿宋_GB2312" w:eastAsia="仿宋_GB2312" w:cs="仿宋_GB2312"/>
                <w:color w:val="000000" w:themeColor="text1"/>
                <w:kern w:val="0"/>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乙方单位：（盖章）</w:t>
            </w:r>
          </w:p>
        </w:tc>
      </w:tr>
      <w:tr w14:paraId="53FB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noWrap w:val="0"/>
            <w:vAlign w:val="top"/>
          </w:tcPr>
          <w:p w14:paraId="19153A90">
            <w:pPr>
              <w:spacing w:line="560" w:lineRule="exact"/>
              <w:rPr>
                <w:rFonts w:hint="eastAsia" w:ascii="仿宋_GB2312" w:hAnsi="仿宋_GB2312" w:eastAsia="仿宋_GB2312" w:cs="仿宋_GB2312"/>
                <w:color w:val="000000" w:themeColor="text1"/>
                <w:kern w:val="0"/>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甲方监督单位：广州市自来水有限公司纪检室 </w:t>
            </w:r>
          </w:p>
        </w:tc>
        <w:tc>
          <w:tcPr>
            <w:tcW w:w="4261" w:type="dxa"/>
            <w:noWrap w:val="0"/>
            <w:vAlign w:val="top"/>
          </w:tcPr>
          <w:p w14:paraId="71BF9C4A">
            <w:pPr>
              <w:spacing w:line="560" w:lineRule="exact"/>
              <w:rPr>
                <w:rFonts w:hint="eastAsia" w:ascii="仿宋_GB2312" w:hAnsi="仿宋_GB2312" w:eastAsia="仿宋_GB2312" w:cs="仿宋_GB2312"/>
                <w:color w:val="000000" w:themeColor="text1"/>
                <w:kern w:val="0"/>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乙方监督单位：</w:t>
            </w:r>
          </w:p>
        </w:tc>
      </w:tr>
      <w:tr w14:paraId="6BC9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noWrap w:val="0"/>
            <w:vAlign w:val="top"/>
          </w:tcPr>
          <w:p w14:paraId="2C6CFA80">
            <w:pPr>
              <w:spacing w:line="560" w:lineRule="exact"/>
              <w:rPr>
                <w:rFonts w:hint="eastAsia" w:ascii="仿宋_GB2312" w:hAnsi="仿宋_GB2312" w:eastAsia="仿宋_GB2312" w:cs="仿宋_GB2312"/>
                <w:color w:val="000000" w:themeColor="text1"/>
                <w:kern w:val="0"/>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甲方监督电话：020-87159082 </w:t>
            </w:r>
          </w:p>
        </w:tc>
        <w:tc>
          <w:tcPr>
            <w:tcW w:w="4261" w:type="dxa"/>
            <w:noWrap w:val="0"/>
            <w:vAlign w:val="top"/>
          </w:tcPr>
          <w:p w14:paraId="4A725749">
            <w:pPr>
              <w:spacing w:line="560" w:lineRule="exact"/>
              <w:rPr>
                <w:rFonts w:hint="eastAsia" w:ascii="仿宋_GB2312" w:hAnsi="仿宋_GB2312" w:eastAsia="仿宋_GB2312" w:cs="仿宋_GB2312"/>
                <w:color w:val="000000" w:themeColor="text1"/>
                <w:kern w:val="0"/>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乙方监督电话：</w:t>
            </w:r>
          </w:p>
        </w:tc>
      </w:tr>
      <w:permEnd w:id="420"/>
    </w:tbl>
    <w:p w14:paraId="6AA56202">
      <w:pPr>
        <w:rPr>
          <w:rFonts w:hint="eastAsia" w:ascii="Times New Roman" w:hAnsi="Times New Roman" w:eastAsia="宋体" w:cs="Times New Roman"/>
          <w:color w:val="000000" w:themeColor="text1"/>
          <w:highlight w:val="none"/>
          <w14:textFill>
            <w14:solidFill>
              <w14:schemeClr w14:val="tx1"/>
            </w14:solidFill>
          </w14:textFill>
        </w:rPr>
      </w:pPr>
    </w:p>
    <w:p w14:paraId="17803E47">
      <w:pPr>
        <w:outlineLvl w:val="9"/>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br w:type="page"/>
      </w:r>
      <w:bookmarkStart w:id="591" w:name="_Toc10122"/>
      <w:bookmarkStart w:id="592" w:name="_Toc16831"/>
      <w:bookmarkStart w:id="593" w:name="_Toc22275"/>
      <w:permStart w:id="421" w:edGrp="everyone"/>
      <w:r>
        <w:rPr>
          <w:rFonts w:hint="eastAsia" w:ascii="黑体" w:hAnsi="黑体" w:eastAsia="黑体" w:cs="黑体"/>
          <w:b w:val="0"/>
          <w:bCs w:val="0"/>
          <w:color w:val="000000" w:themeColor="text1"/>
          <w:kern w:val="0"/>
          <w:sz w:val="24"/>
          <w:szCs w:val="24"/>
          <w:highlight w:val="none"/>
          <w14:textFill>
            <w14:solidFill>
              <w14:schemeClr w14:val="tx1"/>
            </w14:solidFill>
          </w14:textFill>
        </w:rPr>
        <w:t>附件</w:t>
      </w:r>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7</w:t>
      </w:r>
      <w:bookmarkEnd w:id="591"/>
      <w:bookmarkEnd w:id="592"/>
      <w:bookmarkEnd w:id="593"/>
      <w:permEnd w:id="421"/>
    </w:p>
    <w:p w14:paraId="3B37CA40">
      <w:pPr>
        <w:keepNext/>
        <w:keepLines/>
        <w:ind w:right="85"/>
        <w:jc w:val="center"/>
        <w:outlineLvl w:val="9"/>
        <w:rPr>
          <w:rFonts w:hint="eastAsia" w:ascii="宋体" w:hAnsi="宋体" w:eastAsia="宋体" w:cs="宋体"/>
          <w:b/>
          <w:bCs/>
          <w:color w:val="000000" w:themeColor="text1"/>
          <w:kern w:val="44"/>
          <w:sz w:val="22"/>
          <w:szCs w:val="22"/>
          <w:highlight w:val="none"/>
          <w14:textFill>
            <w14:solidFill>
              <w14:schemeClr w14:val="tx1"/>
            </w14:solidFill>
          </w14:textFill>
        </w:rPr>
      </w:pPr>
    </w:p>
    <w:p w14:paraId="341F6EA3">
      <w:pPr>
        <w:keepNext/>
        <w:keepLines/>
        <w:ind w:right="85"/>
        <w:jc w:val="center"/>
        <w:outlineLvl w:val="0"/>
        <w:rPr>
          <w:rFonts w:hint="eastAsia" w:ascii="方正小标宋简体" w:hAnsi="方正小标宋简体" w:eastAsia="方正小标宋简体" w:cs="方正小标宋简体"/>
          <w:b w:val="0"/>
          <w:bCs w:val="0"/>
          <w:color w:val="000000" w:themeColor="text1"/>
          <w:kern w:val="44"/>
          <w:sz w:val="32"/>
          <w:szCs w:val="32"/>
          <w:highlight w:val="none"/>
          <w14:textFill>
            <w14:solidFill>
              <w14:schemeClr w14:val="tx1"/>
            </w14:solidFill>
          </w14:textFill>
        </w:rPr>
      </w:pPr>
      <w:bookmarkStart w:id="594" w:name="_Toc29761"/>
      <w:bookmarkStart w:id="595" w:name="_Toc22812"/>
      <w:bookmarkStart w:id="596" w:name="_Toc6374"/>
      <w:r>
        <w:rPr>
          <w:rFonts w:hint="eastAsia" w:ascii="方正小标宋简体" w:hAnsi="方正小标宋简体" w:eastAsia="方正小标宋简体" w:cs="方正小标宋简体"/>
          <w:b w:val="0"/>
          <w:bCs w:val="0"/>
          <w:color w:val="000000" w:themeColor="text1"/>
          <w:kern w:val="44"/>
          <w:sz w:val="32"/>
          <w:szCs w:val="32"/>
          <w:highlight w:val="none"/>
          <w14:textFill>
            <w14:solidFill>
              <w14:schemeClr w14:val="tx1"/>
            </w14:solidFill>
          </w14:textFill>
        </w:rPr>
        <w:t>建设工程绿色施工安全防护措施费协议书</w:t>
      </w:r>
      <w:bookmarkEnd w:id="594"/>
      <w:bookmarkEnd w:id="595"/>
      <w:bookmarkEnd w:id="596"/>
    </w:p>
    <w:p w14:paraId="28D812F1">
      <w:pPr>
        <w:spacing w:line="560" w:lineRule="exact"/>
        <w:jc w:val="left"/>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项目名称：</w:t>
      </w:r>
      <w:permStart w:id="422" w:edGrp="everyone"/>
      <w:r>
        <w:rPr>
          <w:rFonts w:hint="eastAsia" w:ascii="仿宋_GB2312" w:hAnsi="仿宋_GB2312" w:eastAsia="仿宋_GB2312" w:cs="仿宋_GB2312"/>
          <w:b/>
          <w:bCs/>
          <w:color w:val="000000" w:themeColor="text1"/>
          <w:kern w:val="0"/>
          <w:sz w:val="24"/>
          <w:szCs w:val="24"/>
          <w:highlight w:val="none"/>
          <w:u w:val="single"/>
          <w14:textFill>
            <w14:solidFill>
              <w14:schemeClr w14:val="tx1"/>
            </w14:solidFill>
          </w14:textFill>
        </w:rPr>
        <w:t xml:space="preserve">  2024年中区片区内街管网改造工程（北京南等8个片区）施工总承包项目  </w:t>
      </w:r>
      <w:permEnd w:id="422"/>
    </w:p>
    <w:p w14:paraId="2DFB5825">
      <w:pPr>
        <w:spacing w:line="560" w:lineRule="exact"/>
        <w:jc w:val="left"/>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甲方：</w:t>
      </w:r>
      <w:permStart w:id="423" w:edGrp="everyone"/>
      <w:r>
        <w:rPr>
          <w:rFonts w:hint="eastAsia" w:ascii="仿宋_GB2312" w:hAnsi="仿宋_GB2312" w:eastAsia="仿宋_GB2312" w:cs="仿宋_GB2312"/>
          <w:b/>
          <w:bCs/>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b/>
          <w:bCs/>
          <w:color w:val="000000" w:themeColor="text1"/>
          <w:kern w:val="0"/>
          <w:sz w:val="24"/>
          <w:szCs w:val="24"/>
          <w:highlight w:val="none"/>
          <w:u w:val="single"/>
          <w:lang w:val="en-US" w:eastAsia="zh-CN"/>
          <w14:textFill>
            <w14:solidFill>
              <w14:schemeClr w14:val="tx1"/>
            </w14:solidFill>
          </w14:textFill>
        </w:rPr>
        <w:t xml:space="preserve">广州市自来水有限公司      </w:t>
      </w:r>
      <w:r>
        <w:rPr>
          <w:rFonts w:hint="eastAsia" w:ascii="仿宋_GB2312" w:hAnsi="仿宋_GB2312" w:eastAsia="仿宋_GB2312" w:cs="仿宋_GB2312"/>
          <w:b/>
          <w:bCs/>
          <w:color w:val="000000" w:themeColor="text1"/>
          <w:kern w:val="0"/>
          <w:sz w:val="24"/>
          <w:szCs w:val="24"/>
          <w:highlight w:val="none"/>
          <w:u w:val="single"/>
          <w14:textFill>
            <w14:solidFill>
              <w14:schemeClr w14:val="tx1"/>
            </w14:solidFill>
          </w14:textFill>
        </w:rPr>
        <w:t xml:space="preserve">  </w:t>
      </w:r>
    </w:p>
    <w:permEnd w:id="423"/>
    <w:p w14:paraId="57B6FDB1">
      <w:pPr>
        <w:spacing w:line="560" w:lineRule="exact"/>
        <w:jc w:val="left"/>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乙方：</w:t>
      </w:r>
      <w:permStart w:id="424" w:edGrp="everyone"/>
      <w:r>
        <w:rPr>
          <w:rFonts w:hint="eastAsia" w:ascii="仿宋_GB2312" w:hAnsi="仿宋_GB2312" w:eastAsia="仿宋_GB2312" w:cs="仿宋_GB2312"/>
          <w:b/>
          <w:bCs/>
          <w:color w:val="000000" w:themeColor="text1"/>
          <w:kern w:val="0"/>
          <w:sz w:val="24"/>
          <w:szCs w:val="24"/>
          <w:highlight w:val="none"/>
          <w:u w:val="single"/>
          <w14:textFill>
            <w14:solidFill>
              <w14:schemeClr w14:val="tx1"/>
            </w14:solidFill>
          </w14:textFill>
        </w:rPr>
        <w:t xml:space="preserve">                      </w:t>
      </w:r>
      <w:permEnd w:id="424"/>
    </w:p>
    <w:p w14:paraId="2E6BC5F8">
      <w:pPr>
        <w:spacing w:line="56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根据《关于印发﹙建筑工程绿色施工安全防护措施费用及使用管理规定〉的通知》规定要求内容，经双方协商，对本工程的绿色施工安全防护措施费用达成以下协定共同遵守，并作为工程施工合同的补充。</w:t>
      </w:r>
    </w:p>
    <w:p w14:paraId="5CA6D6E8">
      <w:pPr>
        <w:spacing w:line="56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一、绿色施工安全防护措施费全部用于施工中的</w:t>
      </w:r>
      <w:r>
        <w:rPr>
          <w:rFonts w:hint="eastAsia" w:ascii="仿宋_GB2312" w:hAnsi="仿宋_GB2312" w:eastAsia="仿宋_GB2312" w:cs="仿宋_GB2312"/>
          <w:strike w:val="0"/>
          <w:color w:val="000000" w:themeColor="text1"/>
          <w:kern w:val="0"/>
          <w:sz w:val="24"/>
          <w:szCs w:val="24"/>
          <w:highlight w:val="none"/>
          <w14:textFill>
            <w14:solidFill>
              <w14:schemeClr w14:val="tx1"/>
            </w14:solidFill>
          </w14:textFill>
        </w:rPr>
        <w:t>绿色施工安全防护</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，单列设立，专款专用。</w:t>
      </w:r>
    </w:p>
    <w:p w14:paraId="529BA1CA">
      <w:pPr>
        <w:spacing w:line="56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二、双方责任：甲乙双方共同遵守《关于印发﹙建筑工程绿色施工安全防护措施费用及使用管理规定〉的通知》，并按其内容执行。</w:t>
      </w:r>
    </w:p>
    <w:p w14:paraId="22F3FB43">
      <w:pPr>
        <w:spacing w:line="56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三、根据文件内容要求甲方将绿色施工安全防护措施费划拨给乙方专款专用，做到符合《关于印发﹙建筑工程绿色施工安全防护措施费用及使用管理规定〉的通知》的要求。</w:t>
      </w:r>
    </w:p>
    <w:p w14:paraId="6F0BB041">
      <w:pPr>
        <w:spacing w:line="56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四、按照文件要求，甲方支付乙方绿色施工安全防护措施费为￥</w:t>
      </w:r>
      <w:permStart w:id="425"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42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元（大写：</w:t>
      </w:r>
      <w:permStart w:id="426"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42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元）。此项费用已包含在中标总价内。</w:t>
      </w:r>
    </w:p>
    <w:p w14:paraId="437F9CE7">
      <w:pPr>
        <w:spacing w:line="56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五、绿色施工安全防护措施费用的支付及结算：</w:t>
      </w:r>
    </w:p>
    <w:p w14:paraId="34746981">
      <w:pPr>
        <w:spacing w:line="56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1.合同生效后7日内，承包人提供本工程的绿色施工安全防护措施费实施方案，经监理工程师审核并报发包人批准后预付绿色施工安全防护措施费的</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50</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70544EA2">
      <w:pPr>
        <w:spacing w:line="56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2.承包人申请第一次工程进度款时，经监理工程师审核并报发包人批准后支付绿色施工安全防护措施费的20%；</w:t>
      </w:r>
    </w:p>
    <w:p w14:paraId="32E7C894">
      <w:pPr>
        <w:spacing w:line="56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3.工程施工安全评价合格后，承包人按实际发生的金额办理绿色施工安全防护措施费结算，经监理工程师审核并报发包人批准后，一次性支付绿色施工安全防护措施费余款。</w:t>
      </w:r>
    </w:p>
    <w:p w14:paraId="702D63C1">
      <w:pPr>
        <w:spacing w:line="56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六、违约责任：如果乙方提取了工程绿色施工安全防护措施费用而达不到安监机构有关规定，或未办理好施工许可证的，乙方须承担全部责任。</w:t>
      </w:r>
    </w:p>
    <w:p w14:paraId="41CBE7D4">
      <w:pPr>
        <w:spacing w:line="560" w:lineRule="exact"/>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以上条款共同遵守。未尽事宜，双方协商解决。</w:t>
      </w:r>
    </w:p>
    <w:tbl>
      <w:tblPr>
        <w:tblStyle w:val="39"/>
        <w:tblpPr w:leftFromText="180" w:rightFromText="180" w:vertAnchor="text" w:horzAnchor="page" w:tblpX="1812" w:tblpY="36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61"/>
      </w:tblGrid>
      <w:tr w14:paraId="799D1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noWrap w:val="0"/>
            <w:vAlign w:val="top"/>
          </w:tcPr>
          <w:p w14:paraId="3D937433">
            <w:pPr>
              <w:spacing w:line="560" w:lineRule="exact"/>
              <w:jc w:val="left"/>
              <w:rPr>
                <w:rFonts w:hint="eastAsia" w:ascii="仿宋_GB2312" w:hAnsi="仿宋_GB2312" w:eastAsia="仿宋_GB2312" w:cs="仿宋_GB2312"/>
                <w:color w:val="000000" w:themeColor="text1"/>
                <w:kern w:val="0"/>
                <w:sz w:val="24"/>
                <w:szCs w:val="24"/>
                <w:highlight w:val="none"/>
                <w:vertAlign w:val="baseline"/>
                <w14:textFill>
                  <w14:solidFill>
                    <w14:schemeClr w14:val="tx1"/>
                  </w14:solidFill>
                </w14:textFill>
              </w:rPr>
            </w:pPr>
            <w:permStart w:id="427" w:edGrp="everyone"/>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甲方：（盖章）</w:t>
            </w:r>
          </w:p>
        </w:tc>
        <w:tc>
          <w:tcPr>
            <w:tcW w:w="4261" w:type="dxa"/>
            <w:noWrap w:val="0"/>
            <w:vAlign w:val="top"/>
          </w:tcPr>
          <w:p w14:paraId="6C0ABF76">
            <w:pPr>
              <w:spacing w:line="560" w:lineRule="exact"/>
              <w:jc w:val="left"/>
              <w:rPr>
                <w:rFonts w:hint="eastAsia" w:ascii="仿宋_GB2312" w:hAnsi="仿宋_GB2312" w:eastAsia="仿宋_GB2312" w:cs="仿宋_GB2312"/>
                <w:color w:val="000000" w:themeColor="text1"/>
                <w:kern w:val="0"/>
                <w:sz w:val="24"/>
                <w:szCs w:val="24"/>
                <w:highlight w:val="none"/>
                <w:vertAlign w:val="baseli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乙方：（盖章）</w:t>
            </w:r>
          </w:p>
        </w:tc>
      </w:tr>
      <w:permEnd w:id="427"/>
    </w:tbl>
    <w:p w14:paraId="41015765">
      <w:pPr>
        <w:spacing w:line="560" w:lineRule="exact"/>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广州市自来水有限公司</w:t>
      </w:r>
    </w:p>
    <w:p w14:paraId="77908342">
      <w:pPr>
        <w:jc w:val="left"/>
        <w:outlineLvl w:val="9"/>
        <w:rPr>
          <w:rFonts w:hint="default" w:ascii="黑体" w:hAnsi="黑体" w:eastAsia="黑体" w:cs="黑体"/>
          <w:b w:val="0"/>
          <w:bCs w:val="0"/>
          <w:color w:val="000000" w:themeColor="text1"/>
          <w:sz w:val="24"/>
          <w:szCs w:val="24"/>
          <w:highlight w:val="none"/>
          <w:lang w:val="en-US" w:eastAsia="zh-CN"/>
          <w14:textFill>
            <w14:solidFill>
              <w14:schemeClr w14:val="tx1"/>
            </w14:solidFill>
          </w14:textFill>
        </w:rPr>
      </w:pPr>
      <w:bookmarkStart w:id="597" w:name="_Toc29983"/>
      <w:bookmarkStart w:id="598" w:name="_Toc26296"/>
      <w:bookmarkStart w:id="599" w:name="_Toc28145"/>
      <w:r>
        <w:rPr>
          <w:rFonts w:hint="eastAsia" w:ascii="仿宋_GB2312" w:hAnsi="仿宋_GB2312" w:eastAsia="仿宋_GB2312" w:cs="仿宋_GB2312"/>
          <w:color w:val="000000" w:themeColor="text1"/>
          <w:sz w:val="24"/>
          <w:szCs w:val="24"/>
          <w:highlight w:val="none"/>
          <w14:textFill>
            <w14:solidFill>
              <w14:schemeClr w14:val="tx1"/>
            </w14:solidFill>
          </w14:textFill>
        </w:rPr>
        <w:br w:type="column"/>
      </w:r>
      <w:permStart w:id="428" w:edGrp="everyone"/>
      <w:r>
        <w:rPr>
          <w:rFonts w:hint="eastAsia" w:ascii="黑体" w:hAnsi="黑体" w:eastAsia="黑体" w:cs="黑体"/>
          <w:b w:val="0"/>
          <w:bCs w:val="0"/>
          <w:color w:val="000000" w:themeColor="text1"/>
          <w:sz w:val="24"/>
          <w:szCs w:val="24"/>
          <w:highlight w:val="none"/>
          <w14:textFill>
            <w14:solidFill>
              <w14:schemeClr w14:val="tx1"/>
            </w14:solidFill>
          </w14:textFill>
        </w:rPr>
        <w:t>附件</w:t>
      </w: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8</w:t>
      </w:r>
      <w:bookmarkEnd w:id="597"/>
      <w:bookmarkEnd w:id="598"/>
      <w:bookmarkEnd w:id="599"/>
      <w:permEnd w:id="428"/>
    </w:p>
    <w:p w14:paraId="1547317F">
      <w:pPr>
        <w:jc w:val="center"/>
        <w:rPr>
          <w:rFonts w:hint="eastAsia" w:ascii="方正小标宋简体" w:hAnsi="方正小标宋简体" w:eastAsia="方正小标宋简体" w:cs="方正小标宋简体"/>
          <w:b w:val="0"/>
          <w:bCs w:val="0"/>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2"/>
          <w:szCs w:val="32"/>
          <w:highlight w:val="none"/>
          <w14:textFill>
            <w14:solidFill>
              <w14:schemeClr w14:val="tx1"/>
            </w14:solidFill>
          </w14:textFill>
        </w:rPr>
        <w:t>环保承诺书</w:t>
      </w:r>
    </w:p>
    <w:p w14:paraId="7B4ECA3E">
      <w:pPr>
        <w:spacing w:line="560" w:lineRule="exac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permStart w:id="429" w:edGrp="everyone"/>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项目名称:</w:t>
      </w:r>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4"/>
          <w:szCs w:val="24"/>
          <w:highlight w:val="none"/>
          <w:u w:val="single"/>
          <w14:textFill>
            <w14:solidFill>
              <w14:schemeClr w14:val="tx1"/>
            </w14:solidFill>
          </w14:textFill>
        </w:rPr>
        <w:t xml:space="preserve">2024年中区片区内街管网改造工程（北京南等8个片区）施工总承包项目  </w:t>
      </w:r>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w:t>
      </w:r>
    </w:p>
    <w:p w14:paraId="5A10C013">
      <w:pPr>
        <w:spacing w:line="560" w:lineRule="exac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项目地址：</w:t>
      </w:r>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4"/>
          <w:szCs w:val="24"/>
          <w:highlight w:val="none"/>
          <w:u w:val="single"/>
          <w:lang w:val="en-US" w:eastAsia="zh-CN"/>
          <w14:textFill>
            <w14:solidFill>
              <w14:schemeClr w14:val="tx1"/>
            </w14:solidFill>
          </w14:textFill>
        </w:rPr>
        <w:t xml:space="preserve">广州市     </w:t>
      </w:r>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p>
    <w:p w14:paraId="233575C5">
      <w:pPr>
        <w:spacing w:line="560" w:lineRule="exact"/>
        <w:rPr>
          <w:rFonts w:hint="eastAsia" w:ascii="仿宋_GB2312" w:hAnsi="仿宋_GB2312" w:eastAsia="仿宋_GB2312" w:cs="仿宋_GB2312"/>
          <w:b w:val="0"/>
          <w:bCs w:val="0"/>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承包范围：</w:t>
      </w:r>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4"/>
          <w:szCs w:val="24"/>
          <w:highlight w:val="none"/>
          <w:u w:val="single"/>
          <w14:textFill>
            <w14:solidFill>
              <w14:schemeClr w14:val="tx1"/>
            </w14:solidFill>
          </w14:textFill>
        </w:rPr>
        <w:t>（1）本工程施工范围包括但不限于本项目施工图纸内的施工内容，包括实施供水管道基坑开挖、支护、沟槽回填、管道吊放、管道安装、开叉接驳、试压、冲洗、消毒；路面修复、临时路面修复、交通疏解、现状设施查探及地下管线保护、土建施工。具体工作量以经审图单位审查的施工图设计文件及工程量清单为准。</w:t>
      </w:r>
    </w:p>
    <w:p w14:paraId="4F851FEA">
      <w:pPr>
        <w:spacing w:line="560" w:lineRule="exact"/>
        <w:rPr>
          <w:rFonts w:hint="eastAsia" w:ascii="仿宋_GB2312" w:hAnsi="仿宋_GB2312" w:eastAsia="仿宋_GB2312" w:cs="仿宋_GB2312"/>
          <w:b w:val="0"/>
          <w:bCs w:val="0"/>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u w:val="single"/>
          <w14:textFill>
            <w14:solidFill>
              <w14:schemeClr w14:val="tx1"/>
            </w14:solidFill>
          </w14:textFill>
        </w:rPr>
        <w:t>承包单位应做好本项目施工图纸内的所有工程内容的施工（包工、包料（除甲供材料外）、包安装、包工期、包质量、采取有效措施不发生安全事故、包文明施工、包劳保、包验收、包保修。包承包范围内工程验收通过、包移交、包结算、包资料整理、包施工承包管理和现场整体组织、包专业协调及配合等）；本项目施工范围内安全文明措施、道路安全评估、交通疏解、路面修复、耗水费代缴、土建、设备安装施工、完工验收、结算、保修、竣工验收、档案资料移交等施工过程管理，绿化树木保护，绘制竣工图，负责与本项目相关的沟通协调等工作、报批报建配合，竣工备案等。</w:t>
      </w:r>
    </w:p>
    <w:p w14:paraId="60AF915D">
      <w:pPr>
        <w:spacing w:line="560" w:lineRule="exact"/>
        <w:rPr>
          <w:rFonts w:hint="eastAsia" w:ascii="仿宋_GB2312" w:hAnsi="仿宋_GB2312" w:eastAsia="仿宋_GB2312" w:cs="仿宋_GB2312"/>
          <w:b w:val="0"/>
          <w:bCs w:val="0"/>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u w:val="single"/>
          <w14:textFill>
            <w14:solidFill>
              <w14:schemeClr w14:val="tx1"/>
            </w14:solidFill>
          </w14:textFill>
        </w:rPr>
        <w:t>（2）本项目在施工过程中，如遇燃气、电力通信、航道、石油、地铁等重点设施，应积极协调对应的管理部门，开展安全评估及施工过程中的监测等工作，配合管线迁改及迁移等施工过程管理，相关费用</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由</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承包人</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综合考虑在投标报价的下浮率中，不再单独计取</w:t>
      </w:r>
      <w:r>
        <w:rPr>
          <w:rFonts w:hint="eastAsia" w:ascii="仿宋_GB2312" w:hAnsi="仿宋_GB2312" w:eastAsia="仿宋_GB2312" w:cs="仿宋_GB2312"/>
          <w:b w:val="0"/>
          <w:bCs w:val="0"/>
          <w:color w:val="000000" w:themeColor="text1"/>
          <w:sz w:val="24"/>
          <w:szCs w:val="24"/>
          <w:highlight w:val="none"/>
          <w:u w:val="single"/>
          <w14:textFill>
            <w14:solidFill>
              <w14:schemeClr w14:val="tx1"/>
            </w14:solidFill>
          </w14:textFill>
        </w:rPr>
        <w:t>。</w:t>
      </w:r>
    </w:p>
    <w:p w14:paraId="44E0160E">
      <w:pPr>
        <w:spacing w:line="560" w:lineRule="exact"/>
        <w:rPr>
          <w:rFonts w:hint="eastAsia" w:ascii="仿宋_GB2312" w:hAnsi="仿宋_GB2312" w:eastAsia="仿宋_GB2312" w:cs="仿宋_GB2312"/>
          <w:b w:val="0"/>
          <w:bCs w:val="0"/>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u w:val="single"/>
          <w14:textFill>
            <w14:solidFill>
              <w14:schemeClr w14:val="tx1"/>
            </w14:solidFill>
          </w14:textFill>
        </w:rPr>
        <w:t>（3）开工前准备：①承包人应做好施工放线工作，做好地下管线会签交底。②负责编制交通疏导方案（含交通疏导流量评估）报项目所在交通管理部门审批并取得批复意见，配合道路安全评价单位根据道路行政管理部门的要求进行道路安全评估并出具项目涉路、桥梁、隧道、地铁等安全评估报告，取得本项目涉路、桥梁、隧道、地铁等权属单位的意见。③按照所属道路行政管理部门要求，编制符合要求的专项施工组织方案、路面修复方案等，报所属道路行政管理部门，并取得项目占道挖掘申请等行政许可。④承包人负责办理本项目质量登记监督备案及并办理取得项目监管部门的开工批复。⑤项目涉及地铁、河涌、城市绿化范围的，承包人应配合编制专项评估及保护方案，完善开工前准备工作。⑥承包人应做好各项水务质监在建工地的视频监控等信息化建设，落实扬尘防治六个百分百要求，落实海绵城市建设等要求，落实行政部门关于安全文明施工、标准化围蔽</w:t>
      </w:r>
      <w:r>
        <w:rPr>
          <w:rFonts w:hint="eastAsia" w:ascii="仿宋_GB2312" w:hAnsi="仿宋_GB2312" w:eastAsia="仿宋_GB2312" w:cs="仿宋_GB2312"/>
          <w:b w:val="0"/>
          <w:bCs w:val="0"/>
          <w:color w:val="000000" w:themeColor="text1"/>
          <w:sz w:val="24"/>
          <w:szCs w:val="24"/>
          <w:highlight w:val="none"/>
          <w:u w:val="singl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4"/>
          <w:szCs w:val="24"/>
          <w:highlight w:val="none"/>
          <w:u w:val="single"/>
          <w:lang w:val="en-US" w:eastAsia="zh-CN"/>
          <w14:textFill>
            <w14:solidFill>
              <w14:schemeClr w14:val="tx1"/>
            </w14:solidFill>
          </w14:textFill>
        </w:rPr>
        <w:t>疫情防控</w:t>
      </w:r>
      <w:r>
        <w:rPr>
          <w:rFonts w:hint="eastAsia" w:ascii="仿宋_GB2312" w:hAnsi="仿宋_GB2312" w:eastAsia="仿宋_GB2312" w:cs="仿宋_GB2312"/>
          <w:b w:val="0"/>
          <w:bCs w:val="0"/>
          <w:color w:val="000000" w:themeColor="text1"/>
          <w:sz w:val="24"/>
          <w:szCs w:val="24"/>
          <w:highlight w:val="none"/>
          <w:u w:val="single"/>
          <w14:textFill>
            <w14:solidFill>
              <w14:schemeClr w14:val="tx1"/>
            </w14:solidFill>
          </w14:textFill>
        </w:rPr>
        <w:t>等要求。相关费用</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由</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承包人</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综合考虑在投标报价的下浮率中，不再单独计取</w:t>
      </w:r>
      <w:r>
        <w:rPr>
          <w:rFonts w:hint="eastAsia" w:ascii="仿宋_GB2312" w:hAnsi="仿宋_GB2312" w:eastAsia="仿宋_GB2312" w:cs="仿宋_GB2312"/>
          <w:b w:val="0"/>
          <w:bCs w:val="0"/>
          <w:color w:val="000000" w:themeColor="text1"/>
          <w:sz w:val="24"/>
          <w:szCs w:val="24"/>
          <w:highlight w:val="none"/>
          <w:u w:val="single"/>
          <w14:textFill>
            <w14:solidFill>
              <w14:schemeClr w14:val="tx1"/>
            </w14:solidFill>
          </w14:textFill>
        </w:rPr>
        <w:t>。</w:t>
      </w:r>
    </w:p>
    <w:p w14:paraId="5C59E6EC">
      <w:pPr>
        <w:spacing w:line="560" w:lineRule="exac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u w:val="single"/>
          <w14:textFill>
            <w14:solidFill>
              <w14:schemeClr w14:val="tx1"/>
            </w14:solidFill>
          </w14:textFill>
        </w:rPr>
        <w:t>（具体工作内容详见施工设计图纸和工程量清单）。</w:t>
      </w:r>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w:t>
      </w:r>
    </w:p>
    <w:p w14:paraId="02117C13">
      <w:pPr>
        <w:spacing w:line="560" w:lineRule="exac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承包方式：</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包工、包料（除甲供材料外）、包安装、包工期、包质量、采取有效措施不发生安全事故、包文明施工、包劳保、包验收、包保修。包承包范围内工程验收通过、包移交、包结算、包资料整理、包施工承包管理和现场整体组织、包专业协调及配合等</w:t>
      </w:r>
      <w:r>
        <w:rPr>
          <w:rFonts w:hint="eastAsia" w:ascii="仿宋_GB2312" w:hAnsi="仿宋_GB2312" w:eastAsia="仿宋_GB2312" w:cs="仿宋_GB2312"/>
          <w:b w:val="0"/>
          <w:bCs w:val="0"/>
          <w:color w:val="000000" w:themeColor="text1"/>
          <w:sz w:val="24"/>
          <w:szCs w:val="24"/>
          <w:highlight w:val="none"/>
          <w:u w:val="single"/>
          <w:lang w:eastAsia="zh-CN"/>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p>
    <w:p w14:paraId="42A7BA6C">
      <w:pPr>
        <w:spacing w:line="560" w:lineRule="exac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项目合同编号：</w:t>
      </w:r>
    </w:p>
    <w:p w14:paraId="69C7191C">
      <w:pPr>
        <w:spacing w:line="480" w:lineRule="exact"/>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项目期限：</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2026</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31</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日起开工至</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2027</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11</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日完工。</w:t>
      </w:r>
    </w:p>
    <w:permEnd w:id="429"/>
    <w:p w14:paraId="66CCC781">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为确保</w:t>
      </w:r>
      <w:permStart w:id="43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2024年中区片区内街管网改造工程（北京南等8个片区）施工总承包 </w:t>
      </w:r>
      <w:permEnd w:id="430"/>
      <w:r>
        <w:rPr>
          <w:rFonts w:hint="eastAsia" w:ascii="仿宋_GB2312" w:hAnsi="仿宋_GB2312" w:eastAsia="仿宋_GB2312" w:cs="仿宋_GB2312"/>
          <w:color w:val="000000" w:themeColor="text1"/>
          <w:sz w:val="24"/>
          <w:szCs w:val="24"/>
          <w:highlight w:val="none"/>
          <w14:textFill>
            <w14:solidFill>
              <w14:schemeClr w14:val="tx1"/>
            </w14:solidFill>
          </w14:textFill>
        </w:rPr>
        <w:t>项目的顺利实施，特向甲方和各级主管部门作出如下承诺：</w:t>
      </w:r>
    </w:p>
    <w:p w14:paraId="0A1CA032">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一、项目实施期间我方将严格遵守国家、省市相关环保法律、法规。</w:t>
      </w:r>
    </w:p>
    <w:p w14:paraId="1678A203">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二、作为责任主体，我方对项目实施期间造成的环境侵权事故、不良环境影响及由此产生的所有费用及损失承担全部责任（包括给第三人造成损害导致的赔偿责任）。</w:t>
      </w:r>
    </w:p>
    <w:p w14:paraId="6027E2F3">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三、做好人员的环保教育培训，对经考核合格的人员，发放上岗证。乙方不定期对工作人员进行安全教育培训。</w:t>
      </w:r>
    </w:p>
    <w:p w14:paraId="493F2243">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四、作业之前，负责项目管理的技术人员对有关环保施工的技术要求向项目作业班组、作业人员作出详细说明。项目实施期间，我方采取必要的环境保护措施，作业人员严格遵守环保规章制度与环保操作规程。</w:t>
      </w:r>
    </w:p>
    <w:p w14:paraId="66CC378E">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五、我方将采取有效措施控制能源、资源消耗，杜绝排放物造成环境污染。</w:t>
      </w:r>
    </w:p>
    <w:p w14:paraId="50C199F3">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六、项目废料按规定地点分类堆放和处理，特别是严格按要求堆放和处理危险废弃物，做到工完、料净、场地清，杜绝安全隐患和环境污染。</w:t>
      </w:r>
    </w:p>
    <w:p w14:paraId="4F105CCB">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七、其他承诺</w:t>
      </w:r>
    </w:p>
    <w:p w14:paraId="54127CD2">
      <w:pPr>
        <w:spacing w:line="56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52A6549F">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本承诺书作为合同附件，与合同条款具有同等的法律效力。</w:t>
      </w:r>
    </w:p>
    <w:p w14:paraId="72BCD7CA">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本承诺书一式两份，甲方执一份，乙方执一份。</w:t>
      </w:r>
    </w:p>
    <w:p w14:paraId="2126A462">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05580D2F">
      <w:pPr>
        <w:spacing w:line="560" w:lineRule="exact"/>
        <w:ind w:firstLine="3840" w:firstLineChars="1600"/>
        <w:rPr>
          <w:rFonts w:hint="eastAsia" w:ascii="仿宋_GB2312" w:hAnsi="仿宋_GB2312" w:eastAsia="仿宋_GB2312" w:cs="仿宋_GB2312"/>
          <w:color w:val="000000" w:themeColor="text1"/>
          <w:sz w:val="24"/>
          <w:szCs w:val="24"/>
          <w:highlight w:val="none"/>
          <w14:textFill>
            <w14:solidFill>
              <w14:schemeClr w14:val="tx1"/>
            </w14:solidFill>
          </w14:textFill>
        </w:rPr>
      </w:pPr>
      <w:permStart w:id="431"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承诺单位（盖章）：</w:t>
      </w:r>
    </w:p>
    <w:p w14:paraId="39E127D7">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法定代表人</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或</w:t>
      </w:r>
      <w:r>
        <w:rPr>
          <w:rFonts w:hint="eastAsia" w:ascii="仿宋_GB2312" w:hAnsi="仿宋_GB2312" w:eastAsia="仿宋_GB2312" w:cs="仿宋_GB2312"/>
          <w:color w:val="000000" w:themeColor="text1"/>
          <w:sz w:val="24"/>
          <w:szCs w:val="24"/>
          <w:highlight w:val="none"/>
          <w14:textFill>
            <w14:solidFill>
              <w14:schemeClr w14:val="tx1"/>
            </w14:solidFill>
          </w14:textFill>
        </w:rPr>
        <w:t>委托代理人：</w:t>
      </w:r>
      <w:r>
        <w:rPr>
          <w:rFonts w:hint="eastAsia" w:ascii="仿宋_GB2312" w:hAnsi="仿宋_GB2312" w:eastAsia="仿宋_GB2312" w:cs="仿宋_GB2312"/>
          <w:color w:val="000000" w:themeColor="text1"/>
          <w:sz w:val="24"/>
          <w:szCs w:val="24"/>
          <w:highlight w:val="none"/>
          <w14:textFill>
            <w14:solidFill>
              <w14:schemeClr w14:val="tx1"/>
            </w14:solidFill>
          </w14:textFill>
        </w:rPr>
        <w:br w:type="textWrapping"/>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联系人：</w:t>
      </w:r>
    </w:p>
    <w:p w14:paraId="181ED392">
      <w:pPr>
        <w:spacing w:line="56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619FBA4B">
      <w:pPr>
        <w:spacing w:before="240" w:beforeLines="100" w:after="240" w:afterLines="100" w:line="420" w:lineRule="exact"/>
        <w:outlineLvl w:val="9"/>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sectPr>
          <w:endnotePr>
            <w:numFmt w:val="decimal"/>
          </w:endnotePr>
          <w:pgSz w:w="11905" w:h="16838"/>
          <w:pgMar w:top="1440" w:right="1800" w:bottom="1440" w:left="1800" w:header="0" w:footer="0" w:gutter="0"/>
          <w:pgNumType w:fmt="decimal"/>
          <w:cols w:space="720" w:num="1"/>
          <w:titlePg/>
          <w:rtlGutter w:val="0"/>
          <w:docGrid w:linePitch="1" w:charSpace="0"/>
        </w:sectPr>
      </w:pPr>
    </w:p>
    <w:p w14:paraId="3C50FCAF">
      <w:pPr>
        <w:ind w:right="87"/>
        <w:jc w:val="left"/>
        <w:outlineLvl w:val="9"/>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bookmarkStart w:id="600" w:name="_Toc8134"/>
      <w:bookmarkStart w:id="601" w:name="_Toc30871"/>
      <w:bookmarkStart w:id="602" w:name="_Toc16907"/>
      <w:r>
        <w:rPr>
          <w:rFonts w:hint="eastAsia" w:ascii="黑体" w:hAnsi="黑体" w:eastAsia="黑体" w:cs="黑体"/>
          <w:b w:val="0"/>
          <w:bCs w:val="0"/>
          <w:color w:val="000000" w:themeColor="text1"/>
          <w:kern w:val="0"/>
          <w:sz w:val="24"/>
          <w:szCs w:val="24"/>
          <w:highlight w:val="none"/>
          <w14:textFill>
            <w14:solidFill>
              <w14:schemeClr w14:val="tx1"/>
            </w14:solidFill>
          </w14:textFill>
        </w:rPr>
        <w:t>附件</w:t>
      </w:r>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9</w:t>
      </w:r>
      <w:bookmarkEnd w:id="600"/>
      <w:bookmarkEnd w:id="601"/>
      <w:bookmarkEnd w:id="602"/>
    </w:p>
    <w:permEnd w:id="431"/>
    <w:p w14:paraId="54F499C2">
      <w:pPr>
        <w:jc w:val="center"/>
        <w:rPr>
          <w:rFonts w:hint="eastAsia" w:ascii="方正小标宋简体" w:hAnsi="方正小标宋简体" w:eastAsia="方正小标宋简体" w:cs="方正小标宋简体"/>
          <w:b w:val="0"/>
          <w:bCs w:val="0"/>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2"/>
          <w:szCs w:val="32"/>
          <w:highlight w:val="none"/>
          <w14:textFill>
            <w14:solidFill>
              <w14:schemeClr w14:val="tx1"/>
            </w14:solidFill>
          </w14:textFill>
        </w:rPr>
        <w:drawing>
          <wp:anchor distT="0" distB="0" distL="114300" distR="114300" simplePos="0" relativeHeight="251659264" behindDoc="1" locked="0" layoutInCell="1" allowOverlap="1">
            <wp:simplePos x="0" y="0"/>
            <wp:positionH relativeFrom="column">
              <wp:posOffset>-17780</wp:posOffset>
            </wp:positionH>
            <wp:positionV relativeFrom="paragraph">
              <wp:posOffset>328930</wp:posOffset>
            </wp:positionV>
            <wp:extent cx="4336415" cy="3286125"/>
            <wp:effectExtent l="0" t="0" r="6985" b="9525"/>
            <wp:wrapNone/>
            <wp:docPr id="1"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15"/>
                    <pic:cNvPicPr>
                      <a:picLocks noChangeAspect="1"/>
                    </pic:cNvPicPr>
                  </pic:nvPicPr>
                  <pic:blipFill>
                    <a:blip r:embed="rId15"/>
                    <a:stretch>
                      <a:fillRect/>
                    </a:stretch>
                  </pic:blipFill>
                  <pic:spPr>
                    <a:xfrm>
                      <a:off x="0" y="0"/>
                      <a:ext cx="4336415" cy="3286125"/>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val="0"/>
          <w:color w:val="000000" w:themeColor="text1"/>
          <w:sz w:val="32"/>
          <w:szCs w:val="32"/>
          <w:highlight w:val="none"/>
          <w14:textFill>
            <w14:solidFill>
              <w14:schemeClr w14:val="tx1"/>
            </w14:solidFill>
          </w14:textFill>
        </w:rPr>
        <w:t>外来人员工作证样式</w:t>
      </w:r>
    </w:p>
    <w:p w14:paraId="713A3E20">
      <w:pPr>
        <w:jc w:val="center"/>
        <w:rPr>
          <w:rFonts w:ascii="宋体" w:hAnsi="宋体" w:eastAsia="宋体" w:cs="Calibri"/>
          <w:b/>
          <w:color w:val="000000" w:themeColor="text1"/>
          <w:sz w:val="44"/>
          <w:szCs w:val="44"/>
          <w:highlight w:val="none"/>
          <w14:textFill>
            <w14:solidFill>
              <w14:schemeClr w14:val="tx1"/>
            </w14:solidFill>
          </w14:textFill>
        </w:rPr>
      </w:pPr>
      <w:r>
        <w:rPr>
          <w:rFonts w:hint="eastAsia" w:ascii="仿宋_GB2312" w:hAnsi="Times New Roman" w:eastAsia="仿宋_GB2312" w:cs="Calibri"/>
          <w:color w:val="000000" w:themeColor="text1"/>
          <w:sz w:val="32"/>
          <w:szCs w:val="32"/>
          <w:highlight w:val="none"/>
          <w14:textFill>
            <w14:solidFill>
              <w14:schemeClr w14:val="tx1"/>
            </w14:solidFill>
          </w14:textFill>
        </w:rPr>
        <w:drawing>
          <wp:anchor distT="0" distB="0" distL="114300" distR="114300" simplePos="0" relativeHeight="252085248" behindDoc="0" locked="0" layoutInCell="1" allowOverlap="1">
            <wp:simplePos x="0" y="0"/>
            <wp:positionH relativeFrom="column">
              <wp:posOffset>4612005</wp:posOffset>
            </wp:positionH>
            <wp:positionV relativeFrom="paragraph">
              <wp:posOffset>243840</wp:posOffset>
            </wp:positionV>
            <wp:extent cx="4000500" cy="2933700"/>
            <wp:effectExtent l="0" t="0" r="0" b="0"/>
            <wp:wrapNone/>
            <wp:docPr id="417"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6"/>
                    <pic:cNvPicPr>
                      <a:picLocks noChangeAspect="1"/>
                    </pic:cNvPicPr>
                  </pic:nvPicPr>
                  <pic:blipFill>
                    <a:blip r:embed="rId16"/>
                    <a:stretch>
                      <a:fillRect/>
                    </a:stretch>
                  </pic:blipFill>
                  <pic:spPr>
                    <a:xfrm>
                      <a:off x="0" y="0"/>
                      <a:ext cx="4000500" cy="2933700"/>
                    </a:xfrm>
                    <a:prstGeom prst="rect">
                      <a:avLst/>
                    </a:prstGeom>
                    <a:noFill/>
                    <a:ln>
                      <a:noFill/>
                    </a:ln>
                  </pic:spPr>
                </pic:pic>
              </a:graphicData>
            </a:graphic>
          </wp:anchor>
        </w:drawing>
      </w:r>
    </w:p>
    <w:p w14:paraId="3D5B8771">
      <w:pPr>
        <w:rPr>
          <w:rFonts w:ascii="仿宋_GB2312" w:hAnsi="Times New Roman" w:eastAsia="仿宋_GB2312" w:cs="Calibri"/>
          <w:color w:val="000000" w:themeColor="text1"/>
          <w:sz w:val="32"/>
          <w:szCs w:val="32"/>
          <w:highlight w:val="none"/>
          <w14:textFill>
            <w14:solidFill>
              <w14:schemeClr w14:val="tx1"/>
            </w14:solidFill>
          </w14:textFill>
        </w:rPr>
      </w:pPr>
      <w:r>
        <w:rPr>
          <w:rFonts w:ascii="仿宋_GB2312" w:hAnsi="Times New Roman" w:eastAsia="仿宋_GB2312" w:cs="Calibri"/>
          <w:color w:val="000000" w:themeColor="text1"/>
          <w:sz w:val="32"/>
          <w:szCs w:val="32"/>
          <w:highlight w:val="none"/>
          <w14:textFill>
            <w14:solidFill>
              <w14:schemeClr w14:val="tx1"/>
            </w14:solidFill>
          </w14:textFill>
        </w:rPr>
        <w:pict>
          <v:shape id="艺术字 13" o:spid="_x0000_s4158" o:spt="136" type="#_x0000_t136" style="position:absolute;left:0pt;margin-left:403.5pt;margin-top:-0.1pt;height:24.25pt;width:248.25pt;z-index:252087296;mso-width-relative:page;mso-height-relative:page;" fillcolor="#0070C0" filled="t" coordsize="21600,21600">
            <v:path/>
            <v:fill on="t" focussize="0,0"/>
            <v:stroke/>
            <v:imagedata o:title=""/>
            <o:lock v:ext="edit"/>
            <v:textpath on="t" fitshape="t" fitpath="t" trim="t" xscale="f" string="广州市xxx有限公司" style="font-family:??;font-size:36pt;font-weight:bold;v-text-align:center;"/>
          </v:shape>
        </w:pict>
      </w:r>
      <w:r>
        <w:rPr>
          <w:rFonts w:ascii="仿宋_GB2312" w:hAnsi="Times New Roman" w:eastAsia="仿宋_GB2312" w:cs="Calibri"/>
          <w:color w:val="000000" w:themeColor="text1"/>
          <w:sz w:val="32"/>
          <w:szCs w:val="32"/>
          <w:highlight w:val="none"/>
          <w14:textFill>
            <w14:solidFill>
              <w14:schemeClr w14:val="tx1"/>
            </w14:solidFill>
          </w14:textFill>
        </w:rPr>
        <w:pict>
          <v:shape id="艺术字 14" o:spid="_x0000_s4159" o:spt="136" type="#_x0000_t136" style="position:absolute;left:0pt;margin-left:57pt;margin-top:8.35pt;height:24.25pt;width:248.25pt;z-index:252090368;mso-width-relative:page;mso-height-relative:page;" fillcolor="#0070C0" filled="t" coordsize="21600,21600">
            <v:path/>
            <v:fill on="t" focussize="0,0"/>
            <v:stroke/>
            <v:imagedata o:title=""/>
            <o:lock v:ext="edit"/>
            <v:textpath on="t" fitshape="t" fitpath="t" trim="t" xscale="f" string="广州市xxx有限公司" style="font-family:??;font-size:36pt;font-weight:bold;v-text-align:center;"/>
          </v:shape>
        </w:pict>
      </w:r>
    </w:p>
    <w:p w14:paraId="63DE2E46">
      <w:pPr>
        <w:rPr>
          <w:rFonts w:ascii="仿宋_GB2312" w:hAnsi="Times New Roman" w:eastAsia="仿宋_GB2312" w:cs="Calibri"/>
          <w:color w:val="000000" w:themeColor="text1"/>
          <w:sz w:val="32"/>
          <w:szCs w:val="32"/>
          <w:highlight w:val="none"/>
          <w14:textFill>
            <w14:solidFill>
              <w14:schemeClr w14:val="tx1"/>
            </w14:solidFill>
          </w14:textFill>
        </w:rPr>
      </w:pPr>
      <w:r>
        <w:rPr>
          <w:rFonts w:hint="eastAsia" w:ascii="仿宋_GB2312" w:hAnsi="Times New Roman" w:eastAsia="仿宋_GB2312" w:cs="Calibri"/>
          <w:color w:val="000000" w:themeColor="text1"/>
          <w:sz w:val="32"/>
          <w:szCs w:val="32"/>
          <w:highlight w:val="none"/>
          <w14:textFill>
            <w14:solidFill>
              <w14:schemeClr w14:val="tx1"/>
            </w14:solidFill>
          </w14:textFill>
        </w:rPr>
        <mc:AlternateContent>
          <mc:Choice Requires="wpc">
            <w:drawing>
              <wp:anchor distT="0" distB="0" distL="114300" distR="114300" simplePos="0" relativeHeight="252084224" behindDoc="0" locked="0" layoutInCell="1" allowOverlap="1">
                <wp:simplePos x="0" y="0"/>
                <wp:positionH relativeFrom="column">
                  <wp:posOffset>523875</wp:posOffset>
                </wp:positionH>
                <wp:positionV relativeFrom="paragraph">
                  <wp:posOffset>137795</wp:posOffset>
                </wp:positionV>
                <wp:extent cx="3848100" cy="885825"/>
                <wp:effectExtent l="0" t="0" r="0" b="0"/>
                <wp:wrapNone/>
                <wp:docPr id="416" name="画布 417"/>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id="画布 417" o:spid="_x0000_s1026" o:spt="203" style="position:absolute;left:0pt;margin-left:41.25pt;margin-top:10.85pt;height:69.75pt;width:303pt;z-index:252084224;mso-width-relative:page;mso-height-relative:page;" coordsize="3848100,885825" editas="canvas" o:gfxdata="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2Gy/zdkAAAAJAQAADwAAAAAAAAABACAAAAAiAAAAZHJzL2Rvd25yZXYueG1sUEsBAhQAFAAA&#10;AAgAh07iQGSqbzd8AQAAEQMAAA4AAAAAAAAAAQAgAAAAKAEAAGRycy9lMm9Eb2MueG1sUEsFBgAA&#10;AAAGAAYAWQEAABYFAAAAAA==&#10;">
                <o:lock v:ext="edit" aspectratio="f"/>
                <v:shape id="画布 417" o:spid="_x0000_s1026" style="position:absolute;left:0;top:0;height:885825;width:3848100;" filled="f" stroked="f" coordsize="21600,21600" o:gfxdata="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">
                  <v:fill on="f" focussize="0,0"/>
                  <v:stroke on="f"/>
                  <v:imagedata o:title=""/>
                  <o:lock v:ext="edit" aspectratio="f"/>
                </v:shape>
              </v:group>
            </w:pict>
          </mc:Fallback>
        </mc:AlternateContent>
      </w:r>
    </w:p>
    <w:p w14:paraId="7C331C79">
      <w:pPr>
        <w:rPr>
          <w:rFonts w:ascii="仿宋_GB2312" w:hAnsi="Times New Roman" w:eastAsia="仿宋_GB2312" w:cs="Calibri"/>
          <w:color w:val="000000" w:themeColor="text1"/>
          <w:sz w:val="32"/>
          <w:szCs w:val="32"/>
          <w:highlight w:val="none"/>
          <w14:textFill>
            <w14:solidFill>
              <w14:schemeClr w14:val="tx1"/>
            </w14:solidFill>
          </w14:textFill>
        </w:rPr>
      </w:pPr>
    </w:p>
    <w:p w14:paraId="2D63261C">
      <w:pPr>
        <w:rPr>
          <w:rFonts w:ascii="仿宋_GB2312" w:hAnsi="Times New Roman" w:eastAsia="仿宋_GB2312" w:cs="Calibri"/>
          <w:color w:val="000000" w:themeColor="text1"/>
          <w:sz w:val="32"/>
          <w:szCs w:val="32"/>
          <w:highlight w:val="none"/>
          <w14:textFill>
            <w14:solidFill>
              <w14:schemeClr w14:val="tx1"/>
            </w14:solidFill>
          </w14:textFill>
        </w:rPr>
      </w:pPr>
    </w:p>
    <w:p w14:paraId="659F0487">
      <w:pPr>
        <w:rPr>
          <w:rFonts w:ascii="仿宋_GB2312" w:hAnsi="Times New Roman" w:eastAsia="仿宋_GB2312" w:cs="Calibri"/>
          <w:color w:val="000000" w:themeColor="text1"/>
          <w:sz w:val="32"/>
          <w:szCs w:val="32"/>
          <w:highlight w:val="none"/>
          <w14:textFill>
            <w14:solidFill>
              <w14:schemeClr w14:val="tx1"/>
            </w14:solidFill>
          </w14:textFill>
        </w:rPr>
      </w:pPr>
      <w:r>
        <w:rPr>
          <w:rFonts w:ascii="仿宋_GB2312" w:hAnsi="Times New Roman" w:eastAsia="仿宋_GB2312" w:cs="Calibri"/>
          <w:color w:val="000000" w:themeColor="text1"/>
          <w:sz w:val="32"/>
          <w:szCs w:val="32"/>
          <w:highlight w:val="none"/>
          <w14:textFill>
            <w14:solidFill>
              <w14:schemeClr w14:val="tx1"/>
            </w14:solidFill>
          </w14:textFill>
        </w:rPr>
        <w:pict>
          <v:shape id="艺术字 10" o:spid="_x0000_s4162" o:spt="136" type="#_x0000_t136" style="position:absolute;left:0pt;margin-left:466.6pt;margin-top:19.35pt;height:15.75pt;width:105pt;z-index:252088320;mso-width-relative:page;mso-height-relative:page;" fillcolor="#0070C0" filled="t" coordsize="21600,21600">
            <v:path/>
            <v:fill on="t" focussize="0,0"/>
            <v:stroke/>
            <v:imagedata o:title=""/>
            <o:lock v:ext="edit"/>
            <v:textpath on="t" fitshape="t" fitpath="t" trim="t" xscale="f" string="证件编号：00000123" style="font-family:??;font-size:36pt;v-text-align:center;"/>
          </v:shape>
        </w:pict>
      </w:r>
      <w:r>
        <w:rPr>
          <w:rFonts w:ascii="仿宋_GB2312" w:hAnsi="Times New Roman" w:eastAsia="仿宋_GB2312" w:cs="Calibri"/>
          <w:color w:val="000000" w:themeColor="text1"/>
          <w:sz w:val="32"/>
          <w:szCs w:val="32"/>
          <w:highlight w:val="none"/>
          <w14:textFill>
            <w14:solidFill>
              <w14:schemeClr w14:val="tx1"/>
            </w14:solidFill>
          </w14:textFill>
        </w:rPr>
        <w:pict>
          <v:shape id="艺术字 16" o:spid="_x0000_s4163" o:spt="144" type="#_x0000_t144" style="position:absolute;left:0pt;margin-left:103.15pt;margin-top:21.7pt;height:71.25pt;width:60pt;z-index:252089344;mso-width-relative:page;mso-height-relative:page;" fillcolor="#FF0000" filled="t" stroked="t" coordsize="21600,21600">
            <v:path/>
            <v:fill on="t" focussize="0,0"/>
            <v:stroke color="#FF0000"/>
            <v:imagedata o:title=""/>
            <o:lock v:ext="edit"/>
            <v:textpath on="t" fitshape="t" fitpath="t" trim="t" xscale="f" string="广州市xxx有限公司" style="font-family:宋体;font-size:36pt;v-text-align:center;"/>
          </v:shape>
        </w:pict>
      </w:r>
      <w:r>
        <w:rPr>
          <w:rFonts w:hint="eastAsia" w:ascii="仿宋_GB2312" w:hAnsi="Times New Roman" w:eastAsia="仿宋_GB2312" w:cs="Calibri"/>
          <w:color w:val="000000" w:themeColor="text1"/>
          <w:sz w:val="32"/>
          <w:szCs w:val="32"/>
          <w:highlight w:val="none"/>
          <w14:textFill>
            <w14:solidFill>
              <w14:schemeClr w14:val="tx1"/>
            </w14:solidFill>
          </w14:textFill>
        </w:rPr>
        <mc:AlternateContent>
          <mc:Choice Requires="wpc">
            <w:drawing>
              <wp:anchor distT="0" distB="0" distL="114300" distR="114300" simplePos="0" relativeHeight="252086272" behindDoc="0" locked="0" layoutInCell="1" allowOverlap="1">
                <wp:simplePos x="0" y="0"/>
                <wp:positionH relativeFrom="column">
                  <wp:posOffset>4867275</wp:posOffset>
                </wp:positionH>
                <wp:positionV relativeFrom="paragraph">
                  <wp:posOffset>28575</wp:posOffset>
                </wp:positionV>
                <wp:extent cx="3848100" cy="885825"/>
                <wp:effectExtent l="0" t="0" r="0" b="0"/>
                <wp:wrapNone/>
                <wp:docPr id="418" name="画布 418"/>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id="_x0000_s1026" o:spid="_x0000_s1026" o:spt="203" style="position:absolute;left:0pt;margin-left:383.25pt;margin-top:2.25pt;height:69.75pt;width:303pt;z-index:252086272;mso-width-relative:page;mso-height-relative:page;" coordsize="3848100,885825" editas="canvas" o:gfxdata="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DNd5A62gAAAAoBAAAPAAAAAAAAAAEAIAAAACIAAABkcnMvZG93bnJldi54bWxQSwECFAAUAAAA&#10;CACHTuJAKIX1knoBAAARAwAADgAAAAAAAAABACAAAAApAQAAZHJzL2Uyb0RvYy54bWxQSwUGAAAA&#10;AAYABgBZAQAAFQUAAAAA&#10;">
                <o:lock v:ext="edit" aspectratio="f"/>
                <v:shape id="_x0000_s1026" o:spid="_x0000_s1026" style="position:absolute;left:0;top:0;height:885825;width:3848100;" filled="f" stroked="f" coordsize="21600,21600" o:gfxdata="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">
                  <v:fill on="f" focussize="0,0"/>
                  <v:stroke on="f"/>
                  <v:imagedata o:title=""/>
                  <o:lock v:ext="edit" aspectratio="f"/>
                </v:shape>
              </v:group>
            </w:pict>
          </mc:Fallback>
        </mc:AlternateContent>
      </w:r>
    </w:p>
    <w:p w14:paraId="25A56C65">
      <w:pPr>
        <w:rPr>
          <w:rFonts w:ascii="仿宋_GB2312" w:hAnsi="Times New Roman" w:eastAsia="仿宋_GB2312" w:cs="Calibri"/>
          <w:color w:val="000000" w:themeColor="text1"/>
          <w:sz w:val="32"/>
          <w:szCs w:val="32"/>
          <w:highlight w:val="none"/>
          <w14:textFill>
            <w14:solidFill>
              <w14:schemeClr w14:val="tx1"/>
            </w14:solidFill>
          </w14:textFill>
        </w:rPr>
      </w:pPr>
    </w:p>
    <w:p w14:paraId="38253550">
      <w:pPr>
        <w:rPr>
          <w:rFonts w:ascii="仿宋_GB2312" w:hAnsi="Times New Roman" w:eastAsia="仿宋_GB2312" w:cs="Calibri"/>
          <w:color w:val="000000" w:themeColor="text1"/>
          <w:sz w:val="32"/>
          <w:szCs w:val="32"/>
          <w:highlight w:val="none"/>
          <w14:textFill>
            <w14:solidFill>
              <w14:schemeClr w14:val="tx1"/>
            </w14:solidFill>
          </w14:textFill>
        </w:rPr>
      </w:pPr>
    </w:p>
    <w:p w14:paraId="5AA140C6">
      <w:pPr>
        <w:jc w:val="center"/>
        <w:rPr>
          <w:rFonts w:ascii="宋体" w:hAnsi="宋体" w:eastAsia="仿宋_GB2312" w:cs="Calibri"/>
          <w:b/>
          <w:color w:val="000000" w:themeColor="text1"/>
          <w:sz w:val="32"/>
          <w:szCs w:val="32"/>
          <w:highlight w:val="none"/>
          <w14:textFill>
            <w14:solidFill>
              <w14:schemeClr w14:val="tx1"/>
            </w14:solidFill>
          </w14:textFill>
        </w:rPr>
      </w:pPr>
      <w:r>
        <w:rPr>
          <w:rFonts w:hint="eastAsia" w:ascii="宋体" w:hAnsi="宋体" w:eastAsia="仿宋_GB2312" w:cs="Calibri"/>
          <w:b/>
          <w:color w:val="000000" w:themeColor="text1"/>
          <w:sz w:val="32"/>
          <w:szCs w:val="32"/>
          <w:highlight w:val="none"/>
          <w14:textFill>
            <w14:solidFill>
              <w14:schemeClr w14:val="tx1"/>
            </w14:solidFill>
          </w14:textFill>
        </w:rPr>
        <w:t>正面                                               背面</w:t>
      </w:r>
    </w:p>
    <w:p w14:paraId="3F61EE51">
      <w:pPr>
        <w:ind w:firstLine="560" w:firstLineChars="200"/>
        <w:rPr>
          <w:rFonts w:hint="eastAsia" w:ascii="仿宋_GB2312" w:hAnsi="Times New Roman" w:eastAsia="仿宋_GB2312" w:cs="Calibri"/>
          <w:color w:val="000000" w:themeColor="text1"/>
          <w:sz w:val="28"/>
          <w:szCs w:val="28"/>
          <w:highlight w:val="none"/>
          <w14:textFill>
            <w14:solidFill>
              <w14:schemeClr w14:val="tx1"/>
            </w14:solidFill>
          </w14:textFill>
        </w:rPr>
      </w:pPr>
    </w:p>
    <w:p w14:paraId="3CD137F1">
      <w:pPr>
        <w:ind w:firstLine="560" w:firstLineChars="200"/>
        <w:rPr>
          <w:rFonts w:hint="eastAsia" w:ascii="仿宋_GB2312" w:hAnsi="Times New Roman" w:eastAsia="仿宋_GB2312" w:cs="Calibri"/>
          <w:color w:val="000000" w:themeColor="text1"/>
          <w:sz w:val="28"/>
          <w:szCs w:val="28"/>
          <w:highlight w:val="none"/>
          <w14:textFill>
            <w14:solidFill>
              <w14:schemeClr w14:val="tx1"/>
            </w14:solidFill>
          </w14:textFill>
        </w:rPr>
      </w:pPr>
    </w:p>
    <w:p w14:paraId="1ADFE81F">
      <w:pPr>
        <w:ind w:firstLine="560" w:firstLineChars="200"/>
        <w:rPr>
          <w:rFonts w:hint="eastAsia" w:ascii="仿宋_GB2312" w:hAnsi="Times New Roman" w:eastAsia="仿宋_GB2312" w:cs="Calibri"/>
          <w:color w:val="000000" w:themeColor="text1"/>
          <w:sz w:val="28"/>
          <w:szCs w:val="28"/>
          <w:highlight w:val="none"/>
          <w14:textFill>
            <w14:solidFill>
              <w14:schemeClr w14:val="tx1"/>
            </w14:solidFill>
          </w14:textFill>
        </w:rPr>
      </w:pPr>
    </w:p>
    <w:p w14:paraId="6C641524">
      <w:pPr>
        <w:ind w:firstLine="560" w:firstLineChars="200"/>
        <w:rPr>
          <w:rFonts w:hint="eastAsia" w:ascii="仿宋_GB2312" w:hAnsi="Times New Roman" w:eastAsia="仿宋_GB2312" w:cs="Calibri"/>
          <w:color w:val="000000" w:themeColor="text1"/>
          <w:sz w:val="28"/>
          <w:szCs w:val="28"/>
          <w:highlight w:val="none"/>
          <w14:textFill>
            <w14:solidFill>
              <w14:schemeClr w14:val="tx1"/>
            </w14:solidFill>
          </w14:textFill>
        </w:rPr>
      </w:pPr>
    </w:p>
    <w:p w14:paraId="72BEED3E">
      <w:pPr>
        <w:ind w:firstLine="560" w:firstLineChars="200"/>
        <w:rPr>
          <w:rFonts w:hint="eastAsia" w:ascii="仿宋_GB2312" w:hAnsi="Times New Roman" w:eastAsia="仿宋_GB2312" w:cs="Calibri"/>
          <w:color w:val="000000" w:themeColor="text1"/>
          <w:sz w:val="28"/>
          <w:szCs w:val="28"/>
          <w:highlight w:val="none"/>
          <w14:textFill>
            <w14:solidFill>
              <w14:schemeClr w14:val="tx1"/>
            </w14:solidFill>
          </w14:textFill>
        </w:rPr>
      </w:pPr>
    </w:p>
    <w:p w14:paraId="06C86C70">
      <w:pPr>
        <w:ind w:firstLine="560" w:firstLineChars="200"/>
        <w:rPr>
          <w:rFonts w:hint="eastAsia" w:ascii="仿宋_GB2312" w:hAnsi="Times New Roman" w:eastAsia="仿宋_GB2312" w:cs="Calibri"/>
          <w:color w:val="000000" w:themeColor="text1"/>
          <w:sz w:val="28"/>
          <w:szCs w:val="28"/>
          <w:highlight w:val="none"/>
          <w14:textFill>
            <w14:solidFill>
              <w14:schemeClr w14:val="tx1"/>
            </w14:solidFill>
          </w14:textFill>
        </w:rPr>
      </w:pPr>
    </w:p>
    <w:p w14:paraId="4338E3EA">
      <w:pPr>
        <w:ind w:firstLine="560" w:firstLineChars="200"/>
        <w:rPr>
          <w:rFonts w:ascii="仿宋_GB2312" w:hAnsi="Times New Roman" w:eastAsia="仿宋_GB2312"/>
          <w:color w:val="000000" w:themeColor="text1"/>
          <w:sz w:val="32"/>
          <w:szCs w:val="32"/>
          <w:highlight w:val="none"/>
          <w14:textFill>
            <w14:solidFill>
              <w14:schemeClr w14:val="tx1"/>
            </w14:solidFill>
          </w14:textFill>
        </w:rPr>
        <w:sectPr>
          <w:pgSz w:w="16838" w:h="11905" w:orient="landscape"/>
          <w:pgMar w:top="1440" w:right="1800" w:bottom="1440" w:left="1800" w:header="0" w:footer="0" w:gutter="0"/>
          <w:pgNumType w:fmt="decimal"/>
          <w:cols w:space="720" w:num="1"/>
          <w:titlePg/>
          <w:rtlGutter w:val="0"/>
          <w:docGrid w:linePitch="319" w:charSpace="0"/>
        </w:sectPr>
      </w:pPr>
      <w:r>
        <w:rPr>
          <w:rFonts w:hint="eastAsia" w:ascii="仿宋_GB2312" w:hAnsi="Times New Roman" w:eastAsia="仿宋_GB2312" w:cs="Calibri"/>
          <w:color w:val="000000" w:themeColor="text1"/>
          <w:sz w:val="28"/>
          <w:szCs w:val="28"/>
          <w:highlight w:val="none"/>
          <w14:textFill>
            <w14:solidFill>
              <w14:schemeClr w14:val="tx1"/>
            </w14:solidFill>
          </w14:textFill>
        </w:rPr>
        <w:t>注：1.“工种”类包括：现场施工管理人员、电工、焊工等。2.“有效期”：该工程施工时段。3.“证件编号”：按照“一人一编号”原则进行编排。4.照片为小一寸彩色照片。5.公章必须骑缝照片之上。</w:t>
      </w:r>
    </w:p>
    <w:p w14:paraId="7904EC8C">
      <w:pPr>
        <w:ind w:right="87"/>
        <w:jc w:val="left"/>
        <w:outlineLvl w:val="9"/>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permStart w:id="432" w:edGrp="everyone"/>
      <w:bookmarkStart w:id="603" w:name="_Toc24931"/>
      <w:bookmarkStart w:id="604" w:name="_Toc208"/>
      <w:bookmarkStart w:id="605" w:name="_Toc21229"/>
      <w:r>
        <w:rPr>
          <w:rFonts w:hint="eastAsia" w:ascii="黑体" w:hAnsi="黑体" w:eastAsia="黑体" w:cs="黑体"/>
          <w:b w:val="0"/>
          <w:bCs w:val="0"/>
          <w:color w:val="000000" w:themeColor="text1"/>
          <w:kern w:val="0"/>
          <w:sz w:val="24"/>
          <w:szCs w:val="24"/>
          <w:highlight w:val="none"/>
          <w14:textFill>
            <w14:solidFill>
              <w14:schemeClr w14:val="tx1"/>
            </w14:solidFill>
          </w14:textFill>
        </w:rPr>
        <w:t>附件</w:t>
      </w:r>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10</w:t>
      </w:r>
      <w:bookmarkEnd w:id="603"/>
      <w:bookmarkEnd w:id="604"/>
      <w:bookmarkEnd w:id="605"/>
    </w:p>
    <w:permEnd w:id="432"/>
    <w:p w14:paraId="2F5F051F">
      <w:pPr>
        <w:jc w:val="center"/>
        <w:rPr>
          <w:rFonts w:hint="eastAsia" w:ascii="方正小标宋简体" w:hAnsi="方正小标宋简体" w:eastAsia="方正小标宋简体" w:cs="方正小标宋简体"/>
          <w:b w:val="0"/>
          <w:bCs w:val="0"/>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2"/>
          <w:szCs w:val="32"/>
          <w:highlight w:val="none"/>
          <w14:textFill>
            <w14:solidFill>
              <w14:schemeClr w14:val="tx1"/>
            </w14:solidFill>
          </w14:textFill>
        </w:rPr>
        <w:t>施工现场安全管理处罚细则</w:t>
      </w:r>
    </w:p>
    <w:p w14:paraId="7FA69991">
      <w:pPr>
        <w:ind w:firstLine="480" w:firstLineChars="200"/>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一、安全文明施工方面</w:t>
      </w:r>
    </w:p>
    <w:p w14:paraId="48D73B13">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（一）进入工地的任何人员必须戴安全帽、扣好帽绳，违反者每人罚款100元。</w:t>
      </w:r>
    </w:p>
    <w:p w14:paraId="2CA380F9">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（二）在施工现场作业的人员必须正确穿戴劳动保护用品，亚禁穿高跟鞋、拖鞋或光脚，违者每例罚款100元。</w:t>
      </w:r>
    </w:p>
    <w:p w14:paraId="57CFF3AE">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（三）酒后作业的，罚款300元。</w:t>
      </w:r>
    </w:p>
    <w:p w14:paraId="1727CA9F">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（四）特种作业人员不持有效证件上岗的，罚款500元；超过有效期，罚款300元；人员未备案，罚款300元。</w:t>
      </w:r>
    </w:p>
    <w:p w14:paraId="14649E9D">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（五）在施工现场打架斗殴的，罚款1000元；工作时间在施工现场戏耍打闹的，罚款100元。</w:t>
      </w:r>
    </w:p>
    <w:p w14:paraId="3E204A60">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（六）施工人员私自拆除或随意挪动(用)施工现场的防护设施或消防设施、安全标志的，罚款500-1000元。</w:t>
      </w:r>
    </w:p>
    <w:p w14:paraId="19FF9B9B">
      <w:pPr>
        <w:keepNext/>
        <w:keepLines/>
        <w:widowControl/>
        <w:numPr>
          <w:ilvl w:val="0"/>
          <w:numId w:val="0"/>
        </w:numPr>
        <w:tabs>
          <w:tab w:val="left" w:pos="420"/>
          <w:tab w:val="left" w:pos="1287"/>
        </w:tabs>
        <w:spacing w:before="260" w:after="260" w:line="420" w:lineRule="exact"/>
        <w:jc w:val="left"/>
        <w:outlineLvl w:val="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（七）在没有防护设施的高空、悬崖和陡坡上作业必须系好安全带，违者每例罚款100元。</w:t>
      </w:r>
    </w:p>
    <w:p w14:paraId="4A21CD86">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（八）施工期间，外脚手架、钢井架各立面设置密目安全网和挡脚板，两侧面和外立面设置疏目安全网，违者每例罚款200-500元。</w:t>
      </w:r>
    </w:p>
    <w:p w14:paraId="2EAA7E30">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（九）从高处向下抛掷物品及建筑垃圾的，每件罚款500-1000元。</w:t>
      </w:r>
    </w:p>
    <w:p w14:paraId="5D9E6D10">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（十）安排未经三级安全教育和没有安全培训证的新工人上岗作业，每一人罚款200元。</w:t>
      </w:r>
    </w:p>
    <w:p w14:paraId="22765BBF">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（十一）木工拆卸顶架模板时，先将顶架满堂红拆卸，再拆梁板底板枋的，罚款500元。</w:t>
      </w:r>
    </w:p>
    <w:p w14:paraId="2BAF54CD">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（十二）井架无搭设方案或无验收使用，每台罚款200元。</w:t>
      </w:r>
    </w:p>
    <w:p w14:paraId="136B6523">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（十三）凡施工机械应设防护罩的必须按规定设置，如没有设置安全防护罩的每台罚款200元。</w:t>
      </w:r>
    </w:p>
    <w:p w14:paraId="4B749408">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（十四）在施工现场随地大小便，大便罚款300元/人/次，小便罚款100元/人/次。</w:t>
      </w:r>
    </w:p>
    <w:p w14:paraId="15F9882F">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（十五）进入施工现场禁烟区域吸烟，罚款200元/人/次。</w:t>
      </w:r>
    </w:p>
    <w:p w14:paraId="762D4031">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（十六）施工现场不得使用电褥子、煤油炉、热得快、电炉、酒精炉、汽油炉，罚款1000元/台/次。</w:t>
      </w:r>
    </w:p>
    <w:p w14:paraId="6401B451">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（十七）建筑物内和库房内不准住人，否则，罚款100元/人/次。</w:t>
      </w:r>
    </w:p>
    <w:p w14:paraId="3E0C3D1C">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（十八）施工、装卸材料的过程中故意制造人为噪音、扬尘，罚款，500元/人/次。</w:t>
      </w:r>
    </w:p>
    <w:p w14:paraId="23998E28">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（十九）施工现场做到活完场地清、不得有建筑垃圾，否则，罚款100元/处/次。</w:t>
      </w:r>
    </w:p>
    <w:p w14:paraId="2CB2D131">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（二十）油漆库单独设置，否则，罚款200元/次。</w:t>
      </w:r>
    </w:p>
    <w:p w14:paraId="5C502371">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（二十一）建筑垃圾及时分拣、运到指定的堆放点，否则，罚款100元/人/次。</w:t>
      </w:r>
    </w:p>
    <w:p w14:paraId="3B62EF44">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（二十二）对其他单位已完成工序、工程造成破坏的，视破坏的情况和大小否罚款500-10000/处/次。</w:t>
      </w:r>
    </w:p>
    <w:p w14:paraId="45BA6CF7">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（二十三）未经许可擅自进入禁止区域或乱动电柜、电器、机械开关者的，100-500元/次。</w:t>
      </w:r>
    </w:p>
    <w:p w14:paraId="6DA852F6">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（二十四）各种机械、材料进出场必须有进出门须登记，遵守现场的保卫规定，否则，罚款500元/人/次。</w:t>
      </w:r>
    </w:p>
    <w:p w14:paraId="272A344F">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（二十五）对于要求的隐患整改必须按照要求的时间完成，否则每拖延一天罚款500元。</w:t>
      </w:r>
    </w:p>
    <w:p w14:paraId="5D8B941E">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（二十六）未按规定定期对施工现场作业人员的行为规范和安全措施的落实情况进行监督检查，每起扣除2000元。</w:t>
      </w:r>
    </w:p>
    <w:p w14:paraId="116CBCCF">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（二十七）不配合安全检查(包括建设单位、监理单位和主管部门对工程项目的检查)，每起扣除1000元；对存在问题不落实整改，每起扣除2000元；重复发生上述同类问题，加倍扣除。</w:t>
      </w:r>
    </w:p>
    <w:p w14:paraId="0CA5462C">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（二十八）未按照甲方监理审批过总平面布置和安全文明施工管理制度、标准，制定安全技术措施计划，每起扣除2000元；未报甲方备案，每起扣除1000元。</w:t>
      </w:r>
    </w:p>
    <w:p w14:paraId="2E1DB807">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（二十九）未建立完善相关安全记录台帐，每起扣除500元。</w:t>
      </w:r>
    </w:p>
    <w:p w14:paraId="13CD50DF">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（三十）施工方案和安全措施未向全体施工人员交底，未经双方签字确认，每起扣除1000元，出现代签字的每起罚款500元。</w:t>
      </w:r>
    </w:p>
    <w:p w14:paraId="5898C569">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（三十一）未按照国家规定为施工人员办理人身意外保险，每人次扣除1000元。</w:t>
      </w:r>
    </w:p>
    <w:p w14:paraId="27742364">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（三十二）未按规定配备具备相应的任职资格的专职安全员，每人次扣除1000-2000元。</w:t>
      </w:r>
    </w:p>
    <w:p w14:paraId="2BC71F42">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（三十三）使用不符合资质要求的劳务分包单位，责令停止作业、终止合同，并扣除5000元；劳务分包未经甲方同意，扣除1000-5000元;使用不符合资格要求的人员，每人次扣除200-500元。</w:t>
      </w:r>
    </w:p>
    <w:p w14:paraId="5F4F0B2E">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（三十四）未签订分包安全协议提前开工，责令停工并扣除2000-5000元。</w:t>
      </w:r>
    </w:p>
    <w:p w14:paraId="0A62C8FD">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（三十五）夜间施工对周边造成环境影响而被投诉，每起扣除2000元。</w:t>
      </w:r>
    </w:p>
    <w:p w14:paraId="3B724E83">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（三十六）交叉作业时未采取相应的隔离和措施施工等安全措施，每处扣除2000元。</w:t>
      </w:r>
    </w:p>
    <w:p w14:paraId="5AE847D3">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（三十七）未执行对危险化学品采购、运输、储存、领用、保管、退库和废料处理的安全措施，每项扣除500-1000元。</w:t>
      </w:r>
    </w:p>
    <w:p w14:paraId="5924999C">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（三十八）作业场所未按规定设置危险点告知牌，每处扣除500-1000元。</w:t>
      </w:r>
    </w:p>
    <w:p w14:paraId="057D131E">
      <w:pPr>
        <w:numPr>
          <w:ilvl w:val="0"/>
          <w:numId w:val="0"/>
        </w:num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十九）未为施工人员配备合格、规范的劳动防护用品，每起扣除1000元；施工人员未佩带和使用劳动防护用品，每人次扣除200元;未正确使用劳动防护用品的，每人次扣除100元。使用不合格的安全帽、安全带、绝缘鞋等劳动防护用品，视为未使用安全防护用品。</w:t>
      </w:r>
    </w:p>
    <w:p w14:paraId="5A7A57E1">
      <w:pPr>
        <w:ind w:left="105" w:firstLine="480" w:firstLineChars="200"/>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二、工程实体方面</w:t>
      </w:r>
    </w:p>
    <w:p w14:paraId="44F13CB3">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（一）基坑支护无方案，未经过专家论证，未按方案实施，罚款 1000元。基坑周边堆料距坑边距离小于设计规定的每处罚款500元。</w:t>
      </w:r>
    </w:p>
    <w:p w14:paraId="3F15E00C">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脚手架无方案施工的，罚款1000元。剪刀撑搭设情况、与建筑物拉接不符合方案的每处罚款300元。外脚手架架体要求高出建筑物1.2m，并与建筑物锚固，严禁随意抽取外脚手架棚板(延长累计1米为一处)，或拆卸拉顶的，违者每处罚款500元。</w:t>
      </w:r>
    </w:p>
    <w:p w14:paraId="5A1BFCFC">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（三）模板工程方案未按规定编制与审批，高支模、大跨度模板方案未按规定组织专家论证就施工的罚款1000元。</w:t>
      </w:r>
    </w:p>
    <w:p w14:paraId="7C877C28">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（四）作业面临边防护未同步的每处罚款500元。“四口”无防护措施的每处罚款500元。“五临边”无防护措施的每处罚款500元。</w:t>
      </w:r>
    </w:p>
    <w:p w14:paraId="58E46B2E">
      <w:pPr>
        <w:ind w:left="105" w:firstLine="480" w:firstLineChars="200"/>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三、安全用电方面</w:t>
      </w:r>
    </w:p>
    <w:p w14:paraId="4528B952">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（一）无临时施工用电方案或无审批即实施的，每项罚款200元。</w:t>
      </w:r>
    </w:p>
    <w:p w14:paraId="147EB370">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（二）配电箱、开关箱无防雨装置，箱体结构不符合要求，或安装位置不正确的，每处罚款50元。</w:t>
      </w:r>
    </w:p>
    <w:p w14:paraId="5D7CA966">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（三）不按规定采用三相五线制，或不按规定采用三级配电、三级保护的，每处罚款200元。</w:t>
      </w:r>
    </w:p>
    <w:p w14:paraId="54DF0B75">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（四）违反“一机、一闸、一漏、一箱”规定的，每处罚款 100 元。</w:t>
      </w:r>
    </w:p>
    <w:p w14:paraId="3646EA0B">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（五）工地现场不得乱拉乱接电线，电线、电缆不得拖地，违者每项罚款100元。</w:t>
      </w:r>
    </w:p>
    <w:p w14:paraId="77150855">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（六）电工、焊工、机械工、起重机司机、架子工、工地内机动车辆驾驶员等特种作业人员无证上岗的，每项罚款200元。</w:t>
      </w:r>
    </w:p>
    <w:p w14:paraId="7B395CC9">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（七）手持电动工具、潜水泵、电锯、移动式电气设备、宿舍用电线路等没有按规定装设漏电保护开关的，每项罚款100元。</w:t>
      </w:r>
    </w:p>
    <w:p w14:paraId="1FDF6779">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（八）电焊机的电源线、焊钳或其接线的绝缘破损、接线柱无护罩的，每台罚款50元。</w:t>
      </w:r>
    </w:p>
    <w:p w14:paraId="02F6D252">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（九）乙炔发生器或乙炔气瓶没有防止回火安全装置的，气瓶间距小于5米，距离明火小于10米而又没有隔离措施的，现场没有防晒、防雨措施的，每处罚款100元。</w:t>
      </w:r>
    </w:p>
    <w:p w14:paraId="119B1179">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（十）湿作业时未及时对灯线盒、地漏、管口等采取保护措施的，罚200元。</w:t>
      </w:r>
    </w:p>
    <w:p w14:paraId="44458E66">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（十一）使用破损的插头或用导a线直接插在插座上的，罚200元。</w:t>
      </w:r>
    </w:p>
    <w:p w14:paraId="33C6F335">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（十二）违反焊割作业“十不烧”规定，每起扣除500元。</w:t>
      </w:r>
    </w:p>
    <w:p w14:paraId="316D813C">
      <w:pPr>
        <w:ind w:left="105" w:firstLine="480" w:firstLineChars="200"/>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四、现场消防方面</w:t>
      </w:r>
    </w:p>
    <w:p w14:paraId="2CCD7612">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（一）施工现场临时消防车通道未设置、不满足消防车通行、停靠和扑救作业要求的或者被堆物、堆料或者挤占的每发现一次罚款500元。</w:t>
      </w:r>
    </w:p>
    <w:p w14:paraId="5F4DBB52">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（二）施工现场消防管网未设置或不能保持充足的管网压力和流量的罚款500元。</w:t>
      </w:r>
    </w:p>
    <w:p w14:paraId="39B7F2BA">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（三）两个相邻消火栓间距大于60米每发现一次罚款200元。</w:t>
      </w:r>
    </w:p>
    <w:p w14:paraId="2D28CC1A">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（四）手提式灭火器配备地下室重点防火部位少于2组的或者地上重点防火部位、现场可燃材料库房、工程实体内明火作业部位少于1组的，每次罚款500元。</w:t>
      </w:r>
    </w:p>
    <w:p w14:paraId="79ADDECD">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（五）易燃易爆物品库房或堆放处距离工程实体小于10m的每次罚款500元。</w:t>
      </w:r>
    </w:p>
    <w:p w14:paraId="640FC780">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（六）现场内动用电气焊及明火作业未开动火证或动火地点与证上地点不符的，罚200元。</w:t>
      </w:r>
    </w:p>
    <w:p w14:paraId="725EAEDA">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（七）未按规定在施工场所、生活区域配置消防设施和器材、设置消防安全标志和安全通道，每处扣除500-1000元；未定期组织检验、维修，保障消防设施和器材有效、完好，每起扣除500-1000元。</w:t>
      </w:r>
    </w:p>
    <w:p w14:paraId="69B765EA">
      <w:pPr>
        <w:ind w:left="105" w:firstLine="480" w:firstLineChars="200"/>
        <w:rPr>
          <w:rFonts w:hint="eastAsia" w:ascii="黑体" w:hAnsi="黑体" w:eastAsia="黑体" w:cs="黑体"/>
          <w:b w:val="0"/>
          <w:bCs w:val="0"/>
          <w:color w:val="000000" w:themeColor="text1"/>
          <w:sz w:val="24"/>
          <w:szCs w:val="24"/>
          <w:highlight w:val="none"/>
          <w14:textFill>
            <w14:solidFill>
              <w14:schemeClr w14:val="tx1"/>
            </w14:solidFill>
          </w14:textFill>
        </w:rPr>
      </w:pPr>
      <w:r>
        <w:rPr>
          <w:rFonts w:hint="eastAsia" w:ascii="黑体" w:hAnsi="黑体" w:eastAsia="黑体" w:cs="黑体"/>
          <w:b w:val="0"/>
          <w:bCs w:val="0"/>
          <w:color w:val="000000" w:themeColor="text1"/>
          <w:sz w:val="24"/>
          <w:szCs w:val="24"/>
          <w:highlight w:val="none"/>
          <w14:textFill>
            <w14:solidFill>
              <w14:schemeClr w14:val="tx1"/>
            </w14:solidFill>
          </w14:textFill>
        </w:rPr>
        <w:t>五、设备管理方面</w:t>
      </w:r>
    </w:p>
    <w:p w14:paraId="352ED785">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（一）塔机方面</w:t>
      </w:r>
    </w:p>
    <w:p w14:paraId="791DD874">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（1）没有编制安装拆卸方案的罚款500元。</w:t>
      </w:r>
    </w:p>
    <w:p w14:paraId="4FC4D665">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（2）作业人员无证上岗的罚款200元。</w:t>
      </w:r>
    </w:p>
    <w:p w14:paraId="59C8EB15">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（3）无指挥人员或无证指挥的罚款100元。</w:t>
      </w:r>
    </w:p>
    <w:p w14:paraId="64EE398A">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（4）未按要求办理起重机械登记编号，塔机安装没有验收就使用的罚款1000元。</w:t>
      </w:r>
    </w:p>
    <w:p w14:paraId="28CC770E">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（5）塔机指挥不使用对讲机的罚款100元。</w:t>
      </w:r>
    </w:p>
    <w:p w14:paraId="366A72F1">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（6）违反“十不吊”的每次罚款500元。</w:t>
      </w:r>
    </w:p>
    <w:p w14:paraId="2EEAC2AA">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（7）每天巡视检查未有详细的记录、未定期保养的每次罚款200元。</w:t>
      </w:r>
    </w:p>
    <w:p w14:paraId="3BE17EE7">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（二）施工电梯方面</w:t>
      </w:r>
    </w:p>
    <w:p w14:paraId="1465AFD3">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（1）司机无证上岗的罚款500元。</w:t>
      </w:r>
    </w:p>
    <w:p w14:paraId="3FA1A9E0">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（2）没有编制安装拆卸方案的罚款500元。</w:t>
      </w:r>
    </w:p>
    <w:p w14:paraId="2638CC0B">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（3）电梯安装后没有验收就使用的罚款1000元。</w:t>
      </w:r>
    </w:p>
    <w:p w14:paraId="199D82CE">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（4）楼层出入口没有安全防护门或有防护门不使用的每处罚款200元。</w:t>
      </w:r>
    </w:p>
    <w:p w14:paraId="35724A86">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（5）超过规定承载人数的罚款500元。</w:t>
      </w:r>
    </w:p>
    <w:p w14:paraId="57E381B5">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（三）吊篮、施工升降机等方面</w:t>
      </w:r>
    </w:p>
    <w:p w14:paraId="5698CDCD">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（1）未进行检测、验收而投入使用，罚款1000元。</w:t>
      </w:r>
    </w:p>
    <w:p w14:paraId="70410D94">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（2）施工升降机防护门10%以内未设置或常开的，每处罚款200元。</w:t>
      </w:r>
    </w:p>
    <w:p w14:paraId="02DC4096">
      <w:pPr>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（3）大型起重机械安全装置不完善或失效，每台扣除500元。</w:t>
      </w:r>
    </w:p>
    <w:p w14:paraId="635496B9">
      <w:pPr>
        <w:rPr>
          <w:rFonts w:hint="eastAsia" w:ascii="仿宋_GB2312" w:hAnsi="仿宋_GB2312" w:eastAsia="仿宋_GB2312" w:cs="仿宋_GB2312"/>
          <w:color w:val="000000" w:themeColor="text1"/>
          <w:sz w:val="24"/>
          <w:szCs w:val="24"/>
          <w:highlight w:val="none"/>
          <w14:textFill>
            <w14:solidFill>
              <w14:schemeClr w14:val="tx1"/>
            </w14:solidFill>
          </w14:textFill>
        </w:rPr>
        <w:sectPr>
          <w:pgSz w:w="11905" w:h="16838"/>
          <w:pgMar w:top="1440" w:right="1800" w:bottom="1440" w:left="1800" w:header="0" w:footer="0" w:gutter="0"/>
          <w:pgNumType w:fmt="decimal"/>
          <w:cols w:space="720" w:num="1"/>
          <w:titlePg/>
          <w:rtlGutter w:val="0"/>
          <w:docGrid w:linePitch="312" w:charSpace="0"/>
        </w:sectPr>
      </w:pPr>
    </w:p>
    <w:p w14:paraId="2DECFDA5">
      <w:pPr>
        <w:outlineLvl w:val="9"/>
        <w:rPr>
          <w:rFonts w:hint="default" w:ascii="黑体" w:hAnsi="黑体" w:eastAsia="黑体" w:cs="黑体"/>
          <w:b w:val="0"/>
          <w:bCs w:val="0"/>
          <w:color w:val="000000" w:themeColor="text1"/>
          <w:sz w:val="24"/>
          <w:szCs w:val="24"/>
          <w:highlight w:val="none"/>
          <w:lang w:val="en-US" w:eastAsia="zh-CN"/>
          <w14:textFill>
            <w14:solidFill>
              <w14:schemeClr w14:val="tx1"/>
            </w14:solidFill>
          </w14:textFill>
        </w:rPr>
      </w:pPr>
      <w:bookmarkStart w:id="606" w:name="_Toc10982"/>
      <w:bookmarkStart w:id="607" w:name="_Toc12136"/>
      <w:bookmarkStart w:id="608" w:name="_Toc10609"/>
      <w:permStart w:id="433" w:edGrp="everyone"/>
      <w:r>
        <w:rPr>
          <w:rFonts w:hint="eastAsia" w:ascii="黑体" w:hAnsi="黑体" w:eastAsia="黑体" w:cs="黑体"/>
          <w:b w:val="0"/>
          <w:bCs w:val="0"/>
          <w:color w:val="000000" w:themeColor="text1"/>
          <w:kern w:val="0"/>
          <w:sz w:val="24"/>
          <w:szCs w:val="24"/>
          <w:highlight w:val="none"/>
          <w14:textFill>
            <w14:solidFill>
              <w14:schemeClr w14:val="tx1"/>
            </w14:solidFill>
          </w14:textFill>
        </w:rPr>
        <w:t>附件</w:t>
      </w:r>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11</w:t>
      </w:r>
      <w:bookmarkEnd w:id="606"/>
      <w:bookmarkEnd w:id="607"/>
      <w:bookmarkEnd w:id="608"/>
    </w:p>
    <w:permEnd w:id="433"/>
    <w:tbl>
      <w:tblPr>
        <w:tblStyle w:val="38"/>
        <w:tblW w:w="9750" w:type="dxa"/>
        <w:tblInd w:w="-408" w:type="dxa"/>
        <w:tblLayout w:type="fixed"/>
        <w:tblCellMar>
          <w:top w:w="0" w:type="dxa"/>
          <w:left w:w="108" w:type="dxa"/>
          <w:bottom w:w="0" w:type="dxa"/>
          <w:right w:w="108" w:type="dxa"/>
        </w:tblCellMar>
      </w:tblPr>
      <w:tblGrid>
        <w:gridCol w:w="694"/>
        <w:gridCol w:w="3919"/>
        <w:gridCol w:w="3693"/>
        <w:gridCol w:w="1444"/>
      </w:tblGrid>
      <w:tr w14:paraId="7D3B321E">
        <w:tblPrEx>
          <w:tblCellMar>
            <w:top w:w="0" w:type="dxa"/>
            <w:left w:w="108" w:type="dxa"/>
            <w:bottom w:w="0" w:type="dxa"/>
            <w:right w:w="108" w:type="dxa"/>
          </w:tblCellMar>
        </w:tblPrEx>
        <w:trPr>
          <w:trHeight w:val="700" w:hRule="atLeast"/>
        </w:trPr>
        <w:tc>
          <w:tcPr>
            <w:tcW w:w="9750" w:type="dxa"/>
            <w:gridSpan w:val="4"/>
            <w:tcBorders>
              <w:top w:val="nil"/>
              <w:left w:val="nil"/>
              <w:bottom w:val="single" w:color="000000" w:sz="4" w:space="0"/>
              <w:right w:val="nil"/>
            </w:tcBorders>
            <w:noWrap w:val="0"/>
            <w:vAlign w:val="center"/>
          </w:tcPr>
          <w:p w14:paraId="0DBEB41C">
            <w:pPr>
              <w:widowControl/>
              <w:jc w:val="center"/>
              <w:textAlignment w:val="center"/>
              <w:rPr>
                <w:rFonts w:ascii="宋体" w:hAnsi="宋体" w:eastAsia="宋体" w:cs="宋体"/>
                <w:color w:val="000000" w:themeColor="text1"/>
                <w:sz w:val="22"/>
                <w:szCs w:val="2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2"/>
                <w:szCs w:val="32"/>
                <w:highlight w:val="none"/>
                <w14:textFill>
                  <w14:solidFill>
                    <w14:schemeClr w14:val="tx1"/>
                  </w14:solidFill>
                </w14:textFill>
              </w:rPr>
              <w:t>日间施工标准化清单</w:t>
            </w:r>
          </w:p>
        </w:tc>
      </w:tr>
      <w:tr w14:paraId="61D3288D">
        <w:tblPrEx>
          <w:tblCellMar>
            <w:top w:w="0" w:type="dxa"/>
            <w:left w:w="108" w:type="dxa"/>
            <w:bottom w:w="0" w:type="dxa"/>
            <w:right w:w="108" w:type="dxa"/>
          </w:tblCellMar>
        </w:tblPrEx>
        <w:trPr>
          <w:trHeight w:val="496" w:hRule="atLeast"/>
        </w:trPr>
        <w:tc>
          <w:tcPr>
            <w:tcW w:w="4613" w:type="dxa"/>
            <w:gridSpan w:val="2"/>
            <w:tcBorders>
              <w:top w:val="single" w:color="000000" w:sz="4" w:space="0"/>
              <w:left w:val="single" w:color="000000" w:sz="4" w:space="0"/>
              <w:bottom w:val="single" w:color="000000" w:sz="4" w:space="0"/>
              <w:right w:val="single" w:color="000000" w:sz="4" w:space="0"/>
            </w:tcBorders>
            <w:noWrap w:val="0"/>
            <w:vAlign w:val="center"/>
          </w:tcPr>
          <w:p w14:paraId="370F77E4">
            <w:pPr>
              <w:widowControl/>
              <w:jc w:val="center"/>
              <w:textAlignment w:val="center"/>
              <w:rPr>
                <w:rFonts w:ascii="等线" w:hAnsi="等线" w:eastAsia="等线" w:cs="等线"/>
                <w:b/>
                <w:bCs/>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管控要点</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4AF40A8A">
            <w:pPr>
              <w:widowControl/>
              <w:jc w:val="center"/>
              <w:textAlignment w:val="center"/>
              <w:rPr>
                <w:rFonts w:ascii="等线" w:hAnsi="等线" w:eastAsia="等线" w:cs="等线"/>
                <w:b/>
                <w:bCs/>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注意事项</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1F95CAE2">
            <w:pPr>
              <w:widowControl/>
              <w:jc w:val="center"/>
              <w:textAlignment w:val="center"/>
              <w:rPr>
                <w:rFonts w:ascii="等线" w:hAnsi="等线" w:eastAsia="等线" w:cs="等线"/>
                <w:b/>
                <w:bCs/>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记录情况</w:t>
            </w:r>
          </w:p>
        </w:tc>
      </w:tr>
      <w:tr w14:paraId="677E7AFD">
        <w:tblPrEx>
          <w:tblCellMar>
            <w:top w:w="0" w:type="dxa"/>
            <w:left w:w="108" w:type="dxa"/>
            <w:bottom w:w="0" w:type="dxa"/>
            <w:right w:w="108" w:type="dxa"/>
          </w:tblCellMar>
        </w:tblPrEx>
        <w:trPr>
          <w:trHeight w:val="850" w:hRule="atLeast"/>
        </w:trPr>
        <w:tc>
          <w:tcPr>
            <w:tcW w:w="694" w:type="dxa"/>
            <w:vMerge w:val="restart"/>
            <w:tcBorders>
              <w:top w:val="single" w:color="000000" w:sz="4" w:space="0"/>
              <w:left w:val="single" w:color="000000" w:sz="4" w:space="0"/>
              <w:bottom w:val="single" w:color="000000" w:sz="4" w:space="0"/>
              <w:right w:val="single" w:color="000000" w:sz="4" w:space="0"/>
            </w:tcBorders>
            <w:noWrap w:val="0"/>
            <w:vAlign w:val="center"/>
          </w:tcPr>
          <w:p w14:paraId="133546A1">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总则</w:t>
            </w: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28816E5">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展板</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0F239E8C">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要求展板上各类证件齐全，如占道、开挖、施工、延迟作业等证</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43EBC730">
            <w:pPr>
              <w:jc w:val="center"/>
              <w:rPr>
                <w:rFonts w:ascii="等线" w:hAnsi="等线" w:eastAsia="等线" w:cs="等线"/>
                <w:color w:val="000000" w:themeColor="text1"/>
                <w:sz w:val="20"/>
                <w:szCs w:val="20"/>
                <w:highlight w:val="none"/>
                <w14:textFill>
                  <w14:solidFill>
                    <w14:schemeClr w14:val="tx1"/>
                  </w14:solidFill>
                </w14:textFill>
              </w:rPr>
            </w:pPr>
          </w:p>
        </w:tc>
      </w:tr>
      <w:tr w14:paraId="518A4BC9">
        <w:tblPrEx>
          <w:tblCellMar>
            <w:top w:w="0" w:type="dxa"/>
            <w:left w:w="108" w:type="dxa"/>
            <w:bottom w:w="0" w:type="dxa"/>
            <w:right w:w="108" w:type="dxa"/>
          </w:tblCellMar>
        </w:tblPrEx>
        <w:trPr>
          <w:trHeight w:val="1078"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3D1246">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1535B5DC">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五牌一图</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62F467B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工程概况牌、管理人员名单及监督电话牌、消防保卫牌、安全生产牌、文明施工牌和施工现场总平面图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53731252">
            <w:pPr>
              <w:jc w:val="center"/>
              <w:rPr>
                <w:rFonts w:ascii="等线" w:hAnsi="等线" w:eastAsia="等线" w:cs="等线"/>
                <w:color w:val="000000" w:themeColor="text1"/>
                <w:sz w:val="20"/>
                <w:szCs w:val="20"/>
                <w:highlight w:val="none"/>
                <w14:textFill>
                  <w14:solidFill>
                    <w14:schemeClr w14:val="tx1"/>
                  </w14:solidFill>
                </w14:textFill>
              </w:rPr>
            </w:pPr>
          </w:p>
        </w:tc>
      </w:tr>
      <w:tr w14:paraId="4C2FCFAB">
        <w:tblPrEx>
          <w:tblCellMar>
            <w:top w:w="0" w:type="dxa"/>
            <w:left w:w="108" w:type="dxa"/>
            <w:bottom w:w="0" w:type="dxa"/>
            <w:right w:w="108" w:type="dxa"/>
          </w:tblCellMar>
        </w:tblPrEx>
        <w:trPr>
          <w:trHeight w:val="552"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B1817C">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0C18622">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危险源公示牌</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075F8FA8">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前方施工、基坑开挖等公示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24E8E5B7">
            <w:pPr>
              <w:jc w:val="center"/>
              <w:rPr>
                <w:rFonts w:ascii="等线" w:hAnsi="等线" w:eastAsia="等线" w:cs="等线"/>
                <w:color w:val="000000" w:themeColor="text1"/>
                <w:sz w:val="20"/>
                <w:szCs w:val="20"/>
                <w:highlight w:val="none"/>
                <w14:textFill>
                  <w14:solidFill>
                    <w14:schemeClr w14:val="tx1"/>
                  </w14:solidFill>
                </w14:textFill>
              </w:rPr>
            </w:pPr>
          </w:p>
        </w:tc>
      </w:tr>
      <w:tr w14:paraId="16497153">
        <w:tblPrEx>
          <w:tblCellMar>
            <w:top w:w="0" w:type="dxa"/>
            <w:left w:w="108" w:type="dxa"/>
            <w:bottom w:w="0" w:type="dxa"/>
            <w:right w:w="108" w:type="dxa"/>
          </w:tblCellMar>
        </w:tblPrEx>
        <w:trPr>
          <w:trHeight w:val="778"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E932A5">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751D2552">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安全警示标识</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45A4967F">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当心坑洞、当心坠落、当心用电等警示标识</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0052E631">
            <w:pPr>
              <w:jc w:val="center"/>
              <w:rPr>
                <w:rFonts w:ascii="等线" w:hAnsi="等线" w:eastAsia="等线" w:cs="等线"/>
                <w:color w:val="000000" w:themeColor="text1"/>
                <w:sz w:val="20"/>
                <w:szCs w:val="20"/>
                <w:highlight w:val="none"/>
                <w14:textFill>
                  <w14:solidFill>
                    <w14:schemeClr w14:val="tx1"/>
                  </w14:solidFill>
                </w14:textFill>
              </w:rPr>
            </w:pPr>
          </w:p>
        </w:tc>
      </w:tr>
      <w:tr w14:paraId="4C6EBCCF">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528937">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15AB210">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施工单位安全员到位（实名制）</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743F513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需佩戴红袖章</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50AACB9F">
            <w:pPr>
              <w:jc w:val="center"/>
              <w:rPr>
                <w:rFonts w:ascii="等线" w:hAnsi="等线" w:eastAsia="等线" w:cs="等线"/>
                <w:color w:val="000000" w:themeColor="text1"/>
                <w:sz w:val="20"/>
                <w:szCs w:val="20"/>
                <w:highlight w:val="none"/>
                <w14:textFill>
                  <w14:solidFill>
                    <w14:schemeClr w14:val="tx1"/>
                  </w14:solidFill>
                </w14:textFill>
              </w:rPr>
            </w:pPr>
          </w:p>
        </w:tc>
      </w:tr>
      <w:tr w14:paraId="3B5109CB">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70332E">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36EE7A51">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项目经理、现场负责人到位（实名制）</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4D0C7A4">
            <w:pPr>
              <w:jc w:val="left"/>
              <w:rPr>
                <w:rFonts w:ascii="等线" w:hAnsi="等线" w:eastAsia="等线" w:cs="等线"/>
                <w:color w:val="000000" w:themeColor="text1"/>
                <w:sz w:val="20"/>
                <w:szCs w:val="20"/>
                <w:highlight w:val="none"/>
                <w14:textFill>
                  <w14:solidFill>
                    <w14:schemeClr w14:val="tx1"/>
                  </w14:solidFill>
                </w14:textFill>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5C3DF713">
            <w:pPr>
              <w:jc w:val="center"/>
              <w:rPr>
                <w:rFonts w:ascii="等线" w:hAnsi="等线" w:eastAsia="等线" w:cs="等线"/>
                <w:color w:val="000000" w:themeColor="text1"/>
                <w:sz w:val="20"/>
                <w:szCs w:val="20"/>
                <w:highlight w:val="none"/>
                <w14:textFill>
                  <w14:solidFill>
                    <w14:schemeClr w14:val="tx1"/>
                  </w14:solidFill>
                </w14:textFill>
              </w:rPr>
            </w:pPr>
          </w:p>
        </w:tc>
      </w:tr>
      <w:tr w14:paraId="77E060B8">
        <w:tblPrEx>
          <w:tblCellMar>
            <w:top w:w="0" w:type="dxa"/>
            <w:left w:w="108" w:type="dxa"/>
            <w:bottom w:w="0" w:type="dxa"/>
            <w:right w:w="108" w:type="dxa"/>
          </w:tblCellMar>
        </w:tblPrEx>
        <w:trPr>
          <w:trHeight w:val="590"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2DC25B">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FCECF64">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旁站监理到位（实名制）</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CC283D8">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每个施工点一名旁站监理</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71D21428">
            <w:pPr>
              <w:jc w:val="center"/>
              <w:rPr>
                <w:rFonts w:ascii="等线" w:hAnsi="等线" w:eastAsia="等线" w:cs="等线"/>
                <w:color w:val="000000" w:themeColor="text1"/>
                <w:sz w:val="20"/>
                <w:szCs w:val="20"/>
                <w:highlight w:val="none"/>
                <w14:textFill>
                  <w14:solidFill>
                    <w14:schemeClr w14:val="tx1"/>
                  </w14:solidFill>
                </w14:textFill>
              </w:rPr>
            </w:pPr>
          </w:p>
        </w:tc>
      </w:tr>
      <w:tr w14:paraId="3C7BB207">
        <w:tblPrEx>
          <w:tblCellMar>
            <w:top w:w="0" w:type="dxa"/>
            <w:left w:w="108" w:type="dxa"/>
            <w:bottom w:w="0" w:type="dxa"/>
            <w:right w:w="108" w:type="dxa"/>
          </w:tblCellMar>
        </w:tblPrEx>
        <w:trPr>
          <w:trHeight w:val="1153"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4FF88B">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313B0F2">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班前教育</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0E827E1F">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每日根据现场不同状况按实教育，对当天难点、危险点进行交底，如穿越地下管线、架空线、电车线、绿化带等</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70904EFC">
            <w:pPr>
              <w:jc w:val="center"/>
              <w:rPr>
                <w:rFonts w:ascii="等线" w:hAnsi="等线" w:eastAsia="等线" w:cs="等线"/>
                <w:color w:val="000000" w:themeColor="text1"/>
                <w:sz w:val="20"/>
                <w:szCs w:val="20"/>
                <w:highlight w:val="none"/>
                <w14:textFill>
                  <w14:solidFill>
                    <w14:schemeClr w14:val="tx1"/>
                  </w14:solidFill>
                </w14:textFill>
              </w:rPr>
            </w:pPr>
          </w:p>
        </w:tc>
      </w:tr>
      <w:tr w14:paraId="716ABE63">
        <w:tblPrEx>
          <w:tblCellMar>
            <w:top w:w="0" w:type="dxa"/>
            <w:left w:w="108" w:type="dxa"/>
            <w:bottom w:w="0" w:type="dxa"/>
            <w:right w:w="108" w:type="dxa"/>
          </w:tblCellMar>
        </w:tblPrEx>
        <w:trPr>
          <w:trHeight w:val="684"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0824CA">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72F717F1">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施工、监理日志</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72BCC6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检查前一天的记录，应有人员、施工工序、工程计量等记录</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795AC2EE">
            <w:pPr>
              <w:jc w:val="center"/>
              <w:rPr>
                <w:rFonts w:ascii="等线" w:hAnsi="等线" w:eastAsia="等线" w:cs="等线"/>
                <w:color w:val="000000" w:themeColor="text1"/>
                <w:sz w:val="20"/>
                <w:szCs w:val="20"/>
                <w:highlight w:val="none"/>
                <w14:textFill>
                  <w14:solidFill>
                    <w14:schemeClr w14:val="tx1"/>
                  </w14:solidFill>
                </w14:textFill>
              </w:rPr>
            </w:pPr>
          </w:p>
        </w:tc>
      </w:tr>
      <w:tr w14:paraId="6F086D24">
        <w:tblPrEx>
          <w:tblCellMar>
            <w:top w:w="0" w:type="dxa"/>
            <w:left w:w="108" w:type="dxa"/>
            <w:bottom w:w="0" w:type="dxa"/>
            <w:right w:w="108" w:type="dxa"/>
          </w:tblCellMar>
        </w:tblPrEx>
        <w:trPr>
          <w:trHeight w:val="608"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C6975D">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413D36E4">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整改通知单</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30EA05F">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检查之前的整改单有无落实整改闭环</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59A4D3AA">
            <w:pPr>
              <w:jc w:val="center"/>
              <w:rPr>
                <w:rFonts w:ascii="等线" w:hAnsi="等线" w:eastAsia="等线" w:cs="等线"/>
                <w:color w:val="000000" w:themeColor="text1"/>
                <w:sz w:val="20"/>
                <w:szCs w:val="20"/>
                <w:highlight w:val="none"/>
                <w14:textFill>
                  <w14:solidFill>
                    <w14:schemeClr w14:val="tx1"/>
                  </w14:solidFill>
                </w14:textFill>
              </w:rPr>
            </w:pPr>
          </w:p>
        </w:tc>
      </w:tr>
      <w:tr w14:paraId="2F12E2A8">
        <w:tblPrEx>
          <w:tblCellMar>
            <w:top w:w="0" w:type="dxa"/>
            <w:left w:w="108" w:type="dxa"/>
            <w:bottom w:w="0" w:type="dxa"/>
            <w:right w:w="108" w:type="dxa"/>
          </w:tblCellMar>
        </w:tblPrEx>
        <w:trPr>
          <w:trHeight w:val="609"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7E3F60">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4A8645B">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特种作业人员证件核查（实名制）</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6E8647A9">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焊工、电工、吊装工等</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5A7ABDEF">
            <w:pPr>
              <w:jc w:val="center"/>
              <w:rPr>
                <w:rFonts w:ascii="等线" w:hAnsi="等线" w:eastAsia="等线" w:cs="等线"/>
                <w:color w:val="000000" w:themeColor="text1"/>
                <w:sz w:val="20"/>
                <w:szCs w:val="20"/>
                <w:highlight w:val="none"/>
                <w14:textFill>
                  <w14:solidFill>
                    <w14:schemeClr w14:val="tx1"/>
                  </w14:solidFill>
                </w14:textFill>
              </w:rPr>
            </w:pPr>
          </w:p>
        </w:tc>
      </w:tr>
      <w:tr w14:paraId="1CDE20ED">
        <w:tblPrEx>
          <w:tblCellMar>
            <w:top w:w="0" w:type="dxa"/>
            <w:left w:w="108" w:type="dxa"/>
            <w:bottom w:w="0" w:type="dxa"/>
            <w:right w:w="108" w:type="dxa"/>
          </w:tblCellMar>
        </w:tblPrEx>
        <w:trPr>
          <w:trHeight w:val="1693"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75B14D">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right w:val="single" w:color="000000" w:sz="4" w:space="0"/>
            </w:tcBorders>
            <w:noWrap w:val="0"/>
            <w:vAlign w:val="center"/>
          </w:tcPr>
          <w:p w14:paraId="40F01B2C">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资料箱</w:t>
            </w:r>
          </w:p>
        </w:tc>
        <w:tc>
          <w:tcPr>
            <w:tcW w:w="3693" w:type="dxa"/>
            <w:tcBorders>
              <w:top w:val="single" w:color="000000" w:sz="4" w:space="0"/>
              <w:left w:val="single" w:color="000000" w:sz="4" w:space="0"/>
              <w:right w:val="single" w:color="000000" w:sz="4" w:space="0"/>
            </w:tcBorders>
            <w:noWrap w:val="0"/>
            <w:vAlign w:val="center"/>
          </w:tcPr>
          <w:p w14:paraId="407F7CB6">
            <w:pPr>
              <w:widowControl/>
              <w:jc w:val="left"/>
              <w:textAlignment w:val="center"/>
              <w:rPr>
                <w:rFonts w:ascii="等线" w:hAnsi="等线" w:eastAsia="等线" w:cs="等线"/>
                <w:color w:val="000000" w:themeColor="text1"/>
                <w:kern w:val="0"/>
                <w:sz w:val="20"/>
                <w:szCs w:val="20"/>
                <w:highlight w:val="none"/>
                <w:lang w:bidi="ar"/>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当日参与施工所有人员的花名册、防疫一人一册；</w:t>
            </w:r>
          </w:p>
          <w:p w14:paraId="45D30417">
            <w:pPr>
              <w:widowControl/>
              <w:jc w:val="left"/>
              <w:textAlignment w:val="center"/>
              <w:rPr>
                <w:rFonts w:ascii="等线" w:hAnsi="等线" w:eastAsia="等线" w:cs="等线"/>
                <w:color w:val="000000" w:themeColor="text1"/>
                <w:kern w:val="0"/>
                <w:sz w:val="20"/>
                <w:szCs w:val="20"/>
                <w:highlight w:val="none"/>
                <w:lang w:bidi="ar"/>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当日涉及的施工工序的审批文件如动火作业、有限空间作业等;</w:t>
            </w:r>
          </w:p>
          <w:p w14:paraId="3EC9ADE6">
            <w:pPr>
              <w:widowControl/>
              <w:jc w:val="left"/>
              <w:textAlignment w:val="center"/>
              <w:rPr>
                <w:color w:val="000000" w:themeColor="text1"/>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所有特殊工种作业人员的特殊工种作业证</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336D587D">
            <w:pPr>
              <w:jc w:val="center"/>
              <w:rPr>
                <w:rFonts w:ascii="等线" w:hAnsi="等线" w:eastAsia="等线" w:cs="等线"/>
                <w:color w:val="000000" w:themeColor="text1"/>
                <w:sz w:val="20"/>
                <w:szCs w:val="20"/>
                <w:highlight w:val="none"/>
                <w14:textFill>
                  <w14:solidFill>
                    <w14:schemeClr w14:val="tx1"/>
                  </w14:solidFill>
                </w14:textFill>
              </w:rPr>
            </w:pPr>
          </w:p>
        </w:tc>
      </w:tr>
      <w:tr w14:paraId="22C7ADC1">
        <w:tblPrEx>
          <w:tblCellMar>
            <w:top w:w="0" w:type="dxa"/>
            <w:left w:w="108" w:type="dxa"/>
            <w:bottom w:w="0" w:type="dxa"/>
            <w:right w:w="108" w:type="dxa"/>
          </w:tblCellMar>
        </w:tblPrEx>
        <w:trPr>
          <w:trHeight w:val="815" w:hRule="atLeast"/>
        </w:trPr>
        <w:tc>
          <w:tcPr>
            <w:tcW w:w="694" w:type="dxa"/>
            <w:vMerge w:val="restart"/>
            <w:tcBorders>
              <w:top w:val="single" w:color="000000" w:sz="4" w:space="0"/>
              <w:left w:val="single" w:color="000000" w:sz="4" w:space="0"/>
              <w:bottom w:val="single" w:color="000000" w:sz="4" w:space="0"/>
              <w:right w:val="single" w:color="000000" w:sz="4" w:space="0"/>
            </w:tcBorders>
            <w:noWrap w:val="0"/>
            <w:vAlign w:val="center"/>
          </w:tcPr>
          <w:p w14:paraId="17A7DCD2">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监控</w:t>
            </w: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77CEDBE">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1个工作面1个监控，可连接手机观看</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48BA7568">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现场打开监控APP检查，不满足条件不允许开工</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2C29222C">
            <w:pPr>
              <w:jc w:val="center"/>
              <w:rPr>
                <w:rFonts w:ascii="等线" w:hAnsi="等线" w:eastAsia="等线" w:cs="等线"/>
                <w:color w:val="000000" w:themeColor="text1"/>
                <w:sz w:val="20"/>
                <w:szCs w:val="20"/>
                <w:highlight w:val="none"/>
                <w14:textFill>
                  <w14:solidFill>
                    <w14:schemeClr w14:val="tx1"/>
                  </w14:solidFill>
                </w14:textFill>
              </w:rPr>
            </w:pPr>
          </w:p>
        </w:tc>
      </w:tr>
      <w:tr w14:paraId="26B1EC52">
        <w:tblPrEx>
          <w:tblCellMar>
            <w:top w:w="0" w:type="dxa"/>
            <w:left w:w="108" w:type="dxa"/>
            <w:bottom w:w="0" w:type="dxa"/>
            <w:right w:w="108" w:type="dxa"/>
          </w:tblCellMar>
        </w:tblPrEx>
        <w:trPr>
          <w:trHeight w:val="515"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D4A7A5">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4AD82909">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监控是否能清晰看到施工面</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65CD319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不满足条件及时调整位置</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6776E565">
            <w:pPr>
              <w:jc w:val="center"/>
              <w:rPr>
                <w:rFonts w:ascii="等线" w:hAnsi="等线" w:eastAsia="等线" w:cs="等线"/>
                <w:color w:val="000000" w:themeColor="text1"/>
                <w:sz w:val="20"/>
                <w:szCs w:val="20"/>
                <w:highlight w:val="none"/>
                <w14:textFill>
                  <w14:solidFill>
                    <w14:schemeClr w14:val="tx1"/>
                  </w14:solidFill>
                </w14:textFill>
              </w:rPr>
            </w:pPr>
          </w:p>
        </w:tc>
      </w:tr>
      <w:tr w14:paraId="3FA30C40">
        <w:tblPrEx>
          <w:tblCellMar>
            <w:top w:w="0" w:type="dxa"/>
            <w:left w:w="108" w:type="dxa"/>
            <w:bottom w:w="0" w:type="dxa"/>
            <w:right w:w="108" w:type="dxa"/>
          </w:tblCellMar>
        </w:tblPrEx>
        <w:trPr>
          <w:trHeight w:val="646" w:hRule="atLeast"/>
        </w:trPr>
        <w:tc>
          <w:tcPr>
            <w:tcW w:w="694" w:type="dxa"/>
            <w:vMerge w:val="restart"/>
            <w:tcBorders>
              <w:top w:val="single" w:color="000000" w:sz="4" w:space="0"/>
              <w:left w:val="single" w:color="000000" w:sz="4" w:space="0"/>
              <w:bottom w:val="single" w:color="000000" w:sz="4" w:space="0"/>
              <w:right w:val="single" w:color="000000" w:sz="4" w:space="0"/>
            </w:tcBorders>
            <w:noWrap w:val="0"/>
            <w:vAlign w:val="center"/>
          </w:tcPr>
          <w:p w14:paraId="6AF5EF39">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人身安全</w:t>
            </w: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3BD7F015">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安全帽是否过期</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1A93613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检查有效日期，过期及时更换</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77C601A2">
            <w:pPr>
              <w:jc w:val="center"/>
              <w:rPr>
                <w:rFonts w:ascii="等线" w:hAnsi="等线" w:eastAsia="等线" w:cs="等线"/>
                <w:color w:val="000000" w:themeColor="text1"/>
                <w:sz w:val="20"/>
                <w:szCs w:val="20"/>
                <w:highlight w:val="none"/>
                <w14:textFill>
                  <w14:solidFill>
                    <w14:schemeClr w14:val="tx1"/>
                  </w14:solidFill>
                </w14:textFill>
              </w:rPr>
            </w:pPr>
          </w:p>
        </w:tc>
      </w:tr>
      <w:tr w14:paraId="03E5445C">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BF3B85">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41139FA8">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有无穿戴反光衣</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1076D7C7">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提醒穿戴</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4359C93B">
            <w:pPr>
              <w:jc w:val="center"/>
              <w:rPr>
                <w:rFonts w:ascii="等线" w:hAnsi="等线" w:eastAsia="等线" w:cs="等线"/>
                <w:color w:val="000000" w:themeColor="text1"/>
                <w:sz w:val="20"/>
                <w:szCs w:val="20"/>
                <w:highlight w:val="none"/>
                <w14:textFill>
                  <w14:solidFill>
                    <w14:schemeClr w14:val="tx1"/>
                  </w14:solidFill>
                </w14:textFill>
              </w:rPr>
            </w:pPr>
          </w:p>
        </w:tc>
      </w:tr>
      <w:tr w14:paraId="53853C70">
        <w:tblPrEx>
          <w:tblCellMar>
            <w:top w:w="0" w:type="dxa"/>
            <w:left w:w="108" w:type="dxa"/>
            <w:bottom w:w="0" w:type="dxa"/>
            <w:right w:w="108" w:type="dxa"/>
          </w:tblCellMar>
        </w:tblPrEx>
        <w:trPr>
          <w:trHeight w:val="440"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391223">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521343F2">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有无急救箱</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4A677ACA">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应有止血贴、纱布等</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03C6C677">
            <w:pPr>
              <w:jc w:val="center"/>
              <w:rPr>
                <w:rFonts w:ascii="等线" w:hAnsi="等线" w:eastAsia="等线" w:cs="等线"/>
                <w:color w:val="000000" w:themeColor="text1"/>
                <w:sz w:val="20"/>
                <w:szCs w:val="20"/>
                <w:highlight w:val="none"/>
                <w14:textFill>
                  <w14:solidFill>
                    <w14:schemeClr w14:val="tx1"/>
                  </w14:solidFill>
                </w14:textFill>
              </w:rPr>
            </w:pPr>
          </w:p>
        </w:tc>
      </w:tr>
      <w:tr w14:paraId="0D3AB6CC">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958A41">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228F3630">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作业人员有无佩戴防护手套</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04706481">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提醒穿戴</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478F3BB5">
            <w:pPr>
              <w:jc w:val="center"/>
              <w:rPr>
                <w:rFonts w:ascii="等线" w:hAnsi="等线" w:eastAsia="等线" w:cs="等线"/>
                <w:color w:val="000000" w:themeColor="text1"/>
                <w:sz w:val="20"/>
                <w:szCs w:val="20"/>
                <w:highlight w:val="none"/>
                <w14:textFill>
                  <w14:solidFill>
                    <w14:schemeClr w14:val="tx1"/>
                  </w14:solidFill>
                </w14:textFill>
              </w:rPr>
            </w:pPr>
          </w:p>
        </w:tc>
      </w:tr>
      <w:tr w14:paraId="1D8471B9">
        <w:tblPrEx>
          <w:tblCellMar>
            <w:top w:w="0" w:type="dxa"/>
            <w:left w:w="108" w:type="dxa"/>
            <w:bottom w:w="0" w:type="dxa"/>
            <w:right w:w="108" w:type="dxa"/>
          </w:tblCellMar>
        </w:tblPrEx>
        <w:trPr>
          <w:trHeight w:val="487" w:hRule="atLeast"/>
        </w:trPr>
        <w:tc>
          <w:tcPr>
            <w:tcW w:w="694" w:type="dxa"/>
            <w:vMerge w:val="restart"/>
            <w:tcBorders>
              <w:top w:val="single" w:color="000000" w:sz="4" w:space="0"/>
              <w:left w:val="single" w:color="000000" w:sz="4" w:space="0"/>
              <w:right w:val="single" w:color="000000" w:sz="4" w:space="0"/>
            </w:tcBorders>
            <w:noWrap w:val="0"/>
            <w:vAlign w:val="center"/>
          </w:tcPr>
          <w:p w14:paraId="212480B9">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交疏围蔽</w:t>
            </w: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DF460A8">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是否按交疏方案进行围蔽</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6095AC7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现场查看交警批准的交疏方案</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64B557D5">
            <w:pPr>
              <w:jc w:val="center"/>
              <w:rPr>
                <w:rFonts w:ascii="等线" w:hAnsi="等线" w:eastAsia="等线" w:cs="等线"/>
                <w:color w:val="000000" w:themeColor="text1"/>
                <w:sz w:val="20"/>
                <w:szCs w:val="20"/>
                <w:highlight w:val="none"/>
                <w14:textFill>
                  <w14:solidFill>
                    <w14:schemeClr w14:val="tx1"/>
                  </w14:solidFill>
                </w14:textFill>
              </w:rPr>
            </w:pPr>
          </w:p>
        </w:tc>
      </w:tr>
      <w:tr w14:paraId="2B007D46">
        <w:tblPrEx>
          <w:tblCellMar>
            <w:top w:w="0" w:type="dxa"/>
            <w:left w:w="108" w:type="dxa"/>
            <w:bottom w:w="0" w:type="dxa"/>
            <w:right w:w="108" w:type="dxa"/>
          </w:tblCellMar>
        </w:tblPrEx>
        <w:trPr>
          <w:trHeight w:val="459" w:hRule="atLeast"/>
        </w:trPr>
        <w:tc>
          <w:tcPr>
            <w:tcW w:w="694" w:type="dxa"/>
            <w:vMerge w:val="continue"/>
            <w:tcBorders>
              <w:left w:val="single" w:color="000000" w:sz="4" w:space="0"/>
              <w:right w:val="single" w:color="000000" w:sz="4" w:space="0"/>
            </w:tcBorders>
            <w:noWrap w:val="0"/>
            <w:vAlign w:val="center"/>
          </w:tcPr>
          <w:p w14:paraId="0CD5C860">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25A0CA6">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施工面前后围蔽长度是否足够</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0B5ECAC">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按规范留有足够缓冲带</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6F44F548">
            <w:pPr>
              <w:jc w:val="center"/>
              <w:rPr>
                <w:rFonts w:ascii="等线" w:hAnsi="等线" w:eastAsia="等线" w:cs="等线"/>
                <w:color w:val="000000" w:themeColor="text1"/>
                <w:sz w:val="20"/>
                <w:szCs w:val="20"/>
                <w:highlight w:val="none"/>
                <w14:textFill>
                  <w14:solidFill>
                    <w14:schemeClr w14:val="tx1"/>
                  </w14:solidFill>
                </w14:textFill>
              </w:rPr>
            </w:pPr>
          </w:p>
        </w:tc>
      </w:tr>
      <w:tr w14:paraId="4BC7D29B">
        <w:tblPrEx>
          <w:tblCellMar>
            <w:top w:w="0" w:type="dxa"/>
            <w:left w:w="108" w:type="dxa"/>
            <w:bottom w:w="0" w:type="dxa"/>
            <w:right w:w="108" w:type="dxa"/>
          </w:tblCellMar>
        </w:tblPrEx>
        <w:trPr>
          <w:trHeight w:val="756" w:hRule="atLeast"/>
        </w:trPr>
        <w:tc>
          <w:tcPr>
            <w:tcW w:w="694" w:type="dxa"/>
            <w:vMerge w:val="continue"/>
            <w:tcBorders>
              <w:left w:val="single" w:color="000000" w:sz="4" w:space="0"/>
              <w:right w:val="single" w:color="000000" w:sz="4" w:space="0"/>
            </w:tcBorders>
            <w:noWrap w:val="0"/>
            <w:vAlign w:val="center"/>
          </w:tcPr>
          <w:p w14:paraId="3F66AA91">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510A273">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在围蔽来车方向放置一部车辆作为防撞缓冲</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3BE1F144">
            <w:pPr>
              <w:jc w:val="left"/>
              <w:rPr>
                <w:rFonts w:ascii="等线" w:hAnsi="等线" w:eastAsia="等线" w:cs="等线"/>
                <w:color w:val="000000" w:themeColor="text1"/>
                <w:sz w:val="20"/>
                <w:szCs w:val="20"/>
                <w:highlight w:val="none"/>
                <w14:textFill>
                  <w14:solidFill>
                    <w14:schemeClr w14:val="tx1"/>
                  </w14:solidFill>
                </w14:textFill>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6596BCEA">
            <w:pPr>
              <w:jc w:val="center"/>
              <w:rPr>
                <w:rFonts w:ascii="等线" w:hAnsi="等线" w:eastAsia="等线" w:cs="等线"/>
                <w:color w:val="000000" w:themeColor="text1"/>
                <w:sz w:val="20"/>
                <w:szCs w:val="20"/>
                <w:highlight w:val="none"/>
                <w14:textFill>
                  <w14:solidFill>
                    <w14:schemeClr w14:val="tx1"/>
                  </w14:solidFill>
                </w14:textFill>
              </w:rPr>
            </w:pPr>
          </w:p>
        </w:tc>
      </w:tr>
      <w:tr w14:paraId="3B6408B1">
        <w:tblPrEx>
          <w:tblCellMar>
            <w:top w:w="0" w:type="dxa"/>
            <w:left w:w="108" w:type="dxa"/>
            <w:bottom w:w="0" w:type="dxa"/>
            <w:right w:w="108" w:type="dxa"/>
          </w:tblCellMar>
        </w:tblPrEx>
        <w:trPr>
          <w:trHeight w:val="365" w:hRule="atLeast"/>
        </w:trPr>
        <w:tc>
          <w:tcPr>
            <w:tcW w:w="694" w:type="dxa"/>
            <w:vMerge w:val="continue"/>
            <w:tcBorders>
              <w:left w:val="single" w:color="000000" w:sz="4" w:space="0"/>
              <w:right w:val="single" w:color="000000" w:sz="4" w:space="0"/>
            </w:tcBorders>
            <w:noWrap w:val="0"/>
            <w:vAlign w:val="center"/>
          </w:tcPr>
          <w:p w14:paraId="4320F622">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3E08DFCB">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爆闪灯、警示灯、信号灯等是否足够</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4BFDD714">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有损坏及时更换，数量不足及时补充</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4130736A">
            <w:pPr>
              <w:jc w:val="center"/>
              <w:rPr>
                <w:rFonts w:ascii="等线" w:hAnsi="等线" w:eastAsia="等线" w:cs="等线"/>
                <w:color w:val="000000" w:themeColor="text1"/>
                <w:sz w:val="20"/>
                <w:szCs w:val="20"/>
                <w:highlight w:val="none"/>
                <w14:textFill>
                  <w14:solidFill>
                    <w14:schemeClr w14:val="tx1"/>
                  </w14:solidFill>
                </w14:textFill>
              </w:rPr>
            </w:pPr>
          </w:p>
        </w:tc>
      </w:tr>
      <w:tr w14:paraId="7A9DF21E">
        <w:tblPrEx>
          <w:tblCellMar>
            <w:top w:w="0" w:type="dxa"/>
            <w:left w:w="108" w:type="dxa"/>
            <w:bottom w:w="0" w:type="dxa"/>
            <w:right w:w="108" w:type="dxa"/>
          </w:tblCellMar>
        </w:tblPrEx>
        <w:trPr>
          <w:trHeight w:val="477" w:hRule="atLeast"/>
        </w:trPr>
        <w:tc>
          <w:tcPr>
            <w:tcW w:w="694" w:type="dxa"/>
            <w:vMerge w:val="continue"/>
            <w:tcBorders>
              <w:left w:val="single" w:color="000000" w:sz="4" w:space="0"/>
              <w:right w:val="single" w:color="000000" w:sz="4" w:space="0"/>
            </w:tcBorders>
            <w:noWrap w:val="0"/>
            <w:vAlign w:val="center"/>
          </w:tcPr>
          <w:p w14:paraId="533F5A73">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46CC7263">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箭头指示灯、车流、行人导向标识</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4A6445A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设置在来车方向</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3AF313C7">
            <w:pPr>
              <w:jc w:val="center"/>
              <w:rPr>
                <w:rFonts w:ascii="等线" w:hAnsi="等线" w:eastAsia="等线" w:cs="等线"/>
                <w:color w:val="000000" w:themeColor="text1"/>
                <w:sz w:val="20"/>
                <w:szCs w:val="20"/>
                <w:highlight w:val="none"/>
                <w14:textFill>
                  <w14:solidFill>
                    <w14:schemeClr w14:val="tx1"/>
                  </w14:solidFill>
                </w14:textFill>
              </w:rPr>
            </w:pPr>
          </w:p>
        </w:tc>
      </w:tr>
      <w:tr w14:paraId="058168FD">
        <w:tblPrEx>
          <w:tblCellMar>
            <w:top w:w="0" w:type="dxa"/>
            <w:left w:w="108" w:type="dxa"/>
            <w:bottom w:w="0" w:type="dxa"/>
            <w:right w:w="108" w:type="dxa"/>
          </w:tblCellMar>
        </w:tblPrEx>
        <w:trPr>
          <w:trHeight w:val="459" w:hRule="atLeast"/>
        </w:trPr>
        <w:tc>
          <w:tcPr>
            <w:tcW w:w="694" w:type="dxa"/>
            <w:vMerge w:val="continue"/>
            <w:tcBorders>
              <w:left w:val="single" w:color="000000" w:sz="4" w:space="0"/>
              <w:right w:val="single" w:color="000000" w:sz="4" w:space="0"/>
            </w:tcBorders>
            <w:noWrap w:val="0"/>
            <w:vAlign w:val="center"/>
          </w:tcPr>
          <w:p w14:paraId="7697C4B3">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EB94BD9">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雪糕桶、水马、隔栏是否足够</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38428595">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有损坏及时更换，数量不足及时补充</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062C8E61">
            <w:pPr>
              <w:jc w:val="center"/>
              <w:rPr>
                <w:rFonts w:ascii="等线" w:hAnsi="等线" w:eastAsia="等线" w:cs="等线"/>
                <w:color w:val="000000" w:themeColor="text1"/>
                <w:sz w:val="20"/>
                <w:szCs w:val="20"/>
                <w:highlight w:val="none"/>
                <w14:textFill>
                  <w14:solidFill>
                    <w14:schemeClr w14:val="tx1"/>
                  </w14:solidFill>
                </w14:textFill>
              </w:rPr>
            </w:pPr>
          </w:p>
        </w:tc>
      </w:tr>
      <w:tr w14:paraId="3ABF286D">
        <w:tblPrEx>
          <w:tblCellMar>
            <w:top w:w="0" w:type="dxa"/>
            <w:left w:w="108" w:type="dxa"/>
            <w:bottom w:w="0" w:type="dxa"/>
            <w:right w:w="108" w:type="dxa"/>
          </w:tblCellMar>
        </w:tblPrEx>
        <w:trPr>
          <w:trHeight w:val="478" w:hRule="atLeast"/>
        </w:trPr>
        <w:tc>
          <w:tcPr>
            <w:tcW w:w="694" w:type="dxa"/>
            <w:vMerge w:val="continue"/>
            <w:tcBorders>
              <w:left w:val="single" w:color="000000" w:sz="4" w:space="0"/>
              <w:right w:val="single" w:color="000000" w:sz="4" w:space="0"/>
            </w:tcBorders>
            <w:noWrap w:val="0"/>
            <w:vAlign w:val="center"/>
          </w:tcPr>
          <w:p w14:paraId="2B38CB9F">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5586BBEA">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疏导员是否足够</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0EC9FF3A">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记录人数</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22FCF6F4">
            <w:pPr>
              <w:jc w:val="center"/>
              <w:rPr>
                <w:rFonts w:ascii="等线" w:hAnsi="等线" w:eastAsia="等线" w:cs="等线"/>
                <w:color w:val="000000" w:themeColor="text1"/>
                <w:sz w:val="20"/>
                <w:szCs w:val="20"/>
                <w:highlight w:val="none"/>
                <w14:textFill>
                  <w14:solidFill>
                    <w14:schemeClr w14:val="tx1"/>
                  </w14:solidFill>
                </w14:textFill>
              </w:rPr>
            </w:pPr>
          </w:p>
        </w:tc>
      </w:tr>
      <w:tr w14:paraId="09D26691">
        <w:tblPrEx>
          <w:tblCellMar>
            <w:top w:w="0" w:type="dxa"/>
            <w:left w:w="108" w:type="dxa"/>
            <w:bottom w:w="0" w:type="dxa"/>
            <w:right w:w="108" w:type="dxa"/>
          </w:tblCellMar>
        </w:tblPrEx>
        <w:trPr>
          <w:trHeight w:val="403" w:hRule="atLeast"/>
        </w:trPr>
        <w:tc>
          <w:tcPr>
            <w:tcW w:w="694" w:type="dxa"/>
            <w:vMerge w:val="continue"/>
            <w:tcBorders>
              <w:left w:val="single" w:color="000000" w:sz="4" w:space="0"/>
              <w:right w:val="single" w:color="000000" w:sz="4" w:space="0"/>
            </w:tcBorders>
            <w:noWrap w:val="0"/>
            <w:vAlign w:val="center"/>
          </w:tcPr>
          <w:p w14:paraId="0501FDEE">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5C174318">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施工人员是否随意横穿马路</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029843C4">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及时提醒，累犯扣罚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16473F57">
            <w:pPr>
              <w:jc w:val="center"/>
              <w:rPr>
                <w:rFonts w:ascii="等线" w:hAnsi="等线" w:eastAsia="等线" w:cs="等线"/>
                <w:color w:val="000000" w:themeColor="text1"/>
                <w:sz w:val="20"/>
                <w:szCs w:val="20"/>
                <w:highlight w:val="none"/>
                <w14:textFill>
                  <w14:solidFill>
                    <w14:schemeClr w14:val="tx1"/>
                  </w14:solidFill>
                </w14:textFill>
              </w:rPr>
            </w:pPr>
          </w:p>
        </w:tc>
      </w:tr>
      <w:tr w14:paraId="60B0405A">
        <w:tblPrEx>
          <w:tblCellMar>
            <w:top w:w="0" w:type="dxa"/>
            <w:left w:w="108" w:type="dxa"/>
            <w:bottom w:w="0" w:type="dxa"/>
            <w:right w:w="108" w:type="dxa"/>
          </w:tblCellMar>
        </w:tblPrEx>
        <w:trPr>
          <w:trHeight w:val="477" w:hRule="atLeast"/>
        </w:trPr>
        <w:tc>
          <w:tcPr>
            <w:tcW w:w="694" w:type="dxa"/>
            <w:vMerge w:val="continue"/>
            <w:tcBorders>
              <w:left w:val="single" w:color="000000" w:sz="4" w:space="0"/>
              <w:right w:val="single" w:color="000000" w:sz="4" w:space="0"/>
            </w:tcBorders>
            <w:noWrap w:val="0"/>
            <w:vAlign w:val="center"/>
          </w:tcPr>
          <w:p w14:paraId="6F55FE69">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4BD0FC7D">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作业期间是否提前撤走设备</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0A97D72C">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及时提醒，累犯扣罚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3A012172">
            <w:pPr>
              <w:jc w:val="center"/>
              <w:rPr>
                <w:rFonts w:ascii="等线" w:hAnsi="等线" w:eastAsia="等线" w:cs="等线"/>
                <w:color w:val="000000" w:themeColor="text1"/>
                <w:sz w:val="20"/>
                <w:szCs w:val="20"/>
                <w:highlight w:val="none"/>
                <w14:textFill>
                  <w14:solidFill>
                    <w14:schemeClr w14:val="tx1"/>
                  </w14:solidFill>
                </w14:textFill>
              </w:rPr>
            </w:pPr>
          </w:p>
        </w:tc>
      </w:tr>
      <w:tr w14:paraId="37A46551">
        <w:tblPrEx>
          <w:tblCellMar>
            <w:top w:w="0" w:type="dxa"/>
            <w:left w:w="108" w:type="dxa"/>
            <w:bottom w:w="0" w:type="dxa"/>
            <w:right w:w="108" w:type="dxa"/>
          </w:tblCellMar>
        </w:tblPrEx>
        <w:trPr>
          <w:trHeight w:val="392" w:hRule="atLeast"/>
        </w:trPr>
        <w:tc>
          <w:tcPr>
            <w:tcW w:w="694" w:type="dxa"/>
            <w:vMerge w:val="continue"/>
            <w:tcBorders>
              <w:left w:val="single" w:color="000000" w:sz="4" w:space="0"/>
              <w:right w:val="single" w:color="000000" w:sz="4" w:space="0"/>
            </w:tcBorders>
            <w:noWrap w:val="0"/>
            <w:vAlign w:val="center"/>
          </w:tcPr>
          <w:p w14:paraId="4F7E4453">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5E571C00">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有无测分贝仪及打路面时分贝</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5BC62B59">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记录分贝</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55B9C021">
            <w:pPr>
              <w:jc w:val="center"/>
              <w:rPr>
                <w:rFonts w:ascii="等线" w:hAnsi="等线" w:eastAsia="等线" w:cs="等线"/>
                <w:color w:val="000000" w:themeColor="text1"/>
                <w:sz w:val="20"/>
                <w:szCs w:val="20"/>
                <w:highlight w:val="none"/>
                <w14:textFill>
                  <w14:solidFill>
                    <w14:schemeClr w14:val="tx1"/>
                  </w14:solidFill>
                </w14:textFill>
              </w:rPr>
            </w:pPr>
          </w:p>
        </w:tc>
      </w:tr>
      <w:tr w14:paraId="2148C253">
        <w:tblPrEx>
          <w:tblCellMar>
            <w:top w:w="0" w:type="dxa"/>
            <w:left w:w="108" w:type="dxa"/>
            <w:bottom w:w="0" w:type="dxa"/>
            <w:right w:w="108" w:type="dxa"/>
          </w:tblCellMar>
        </w:tblPrEx>
        <w:trPr>
          <w:trHeight w:val="392" w:hRule="atLeast"/>
        </w:trPr>
        <w:tc>
          <w:tcPr>
            <w:tcW w:w="694" w:type="dxa"/>
            <w:vMerge w:val="continue"/>
            <w:tcBorders>
              <w:left w:val="single" w:color="000000" w:sz="4" w:space="0"/>
              <w:bottom w:val="single" w:color="000000" w:sz="4" w:space="0"/>
              <w:right w:val="single" w:color="000000" w:sz="4" w:space="0"/>
            </w:tcBorders>
            <w:noWrap w:val="0"/>
            <w:vAlign w:val="center"/>
          </w:tcPr>
          <w:p w14:paraId="5851C533">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195FD7D9">
            <w:pPr>
              <w:widowControl/>
              <w:jc w:val="center"/>
              <w:textAlignment w:val="center"/>
              <w:rPr>
                <w:rFonts w:hint="eastAsia" w:ascii="等线" w:hAnsi="等线" w:eastAsia="等线" w:cs="等线"/>
                <w:color w:val="000000" w:themeColor="text1"/>
                <w:kern w:val="0"/>
                <w:sz w:val="20"/>
                <w:szCs w:val="20"/>
                <w:highlight w:val="none"/>
                <w:lang w:val="en-US" w:eastAsia="zh-CN" w:bidi="ar"/>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LED信息告知牌是否正常</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191DF083">
            <w:pPr>
              <w:widowControl/>
              <w:jc w:val="left"/>
              <w:textAlignment w:val="center"/>
              <w:rPr>
                <w:rFonts w:hint="eastAsia" w:ascii="等线" w:hAnsi="等线" w:eastAsia="等线" w:cs="等线"/>
                <w:color w:val="000000" w:themeColor="text1"/>
                <w:kern w:val="0"/>
                <w:sz w:val="20"/>
                <w:szCs w:val="20"/>
                <w:highlight w:val="none"/>
                <w:lang w:val="en-US" w:eastAsia="zh-CN" w:bidi="ar"/>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及时提醒，累犯扣罚。</w:t>
            </w:r>
          </w:p>
          <w:p w14:paraId="1E154229">
            <w:pPr>
              <w:rPr>
                <w:color w:val="000000" w:themeColor="text1"/>
                <w:highlight w:val="none"/>
                <w14:textFill>
                  <w14:solidFill>
                    <w14:schemeClr w14:val="tx1"/>
                  </w14:solidFill>
                </w14:textFill>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2543A8AE">
            <w:pPr>
              <w:jc w:val="center"/>
              <w:rPr>
                <w:rFonts w:ascii="等线" w:hAnsi="等线" w:eastAsia="等线" w:cs="等线"/>
                <w:color w:val="000000" w:themeColor="text1"/>
                <w:sz w:val="20"/>
                <w:szCs w:val="20"/>
                <w:highlight w:val="none"/>
                <w14:textFill>
                  <w14:solidFill>
                    <w14:schemeClr w14:val="tx1"/>
                  </w14:solidFill>
                </w14:textFill>
              </w:rPr>
            </w:pPr>
          </w:p>
        </w:tc>
      </w:tr>
      <w:tr w14:paraId="714532B1">
        <w:tblPrEx>
          <w:tblCellMar>
            <w:top w:w="0" w:type="dxa"/>
            <w:left w:w="108" w:type="dxa"/>
            <w:bottom w:w="0" w:type="dxa"/>
            <w:right w:w="108" w:type="dxa"/>
          </w:tblCellMar>
        </w:tblPrEx>
        <w:trPr>
          <w:trHeight w:val="477" w:hRule="atLeast"/>
        </w:trPr>
        <w:tc>
          <w:tcPr>
            <w:tcW w:w="694" w:type="dxa"/>
            <w:vMerge w:val="restart"/>
            <w:tcBorders>
              <w:top w:val="single" w:color="000000" w:sz="4" w:space="0"/>
              <w:left w:val="single" w:color="000000" w:sz="4" w:space="0"/>
              <w:bottom w:val="single" w:color="000000" w:sz="4" w:space="0"/>
              <w:right w:val="single" w:color="000000" w:sz="4" w:space="0"/>
            </w:tcBorders>
            <w:noWrap w:val="0"/>
            <w:vAlign w:val="center"/>
          </w:tcPr>
          <w:p w14:paraId="67360FC6">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用火安全</w:t>
            </w: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2D3F0F89">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瓶身是否完好，有否防倾倒装置</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75C47362">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有损坏及时更换，缺少装置及时整改</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432E6AA2">
            <w:pPr>
              <w:jc w:val="center"/>
              <w:rPr>
                <w:rFonts w:ascii="等线" w:hAnsi="等线" w:eastAsia="等线" w:cs="等线"/>
                <w:color w:val="000000" w:themeColor="text1"/>
                <w:sz w:val="20"/>
                <w:szCs w:val="20"/>
                <w:highlight w:val="none"/>
                <w14:textFill>
                  <w14:solidFill>
                    <w14:schemeClr w14:val="tx1"/>
                  </w14:solidFill>
                </w14:textFill>
              </w:rPr>
            </w:pPr>
          </w:p>
        </w:tc>
      </w:tr>
      <w:tr w14:paraId="26BAF8D5">
        <w:tblPrEx>
          <w:tblCellMar>
            <w:top w:w="0" w:type="dxa"/>
            <w:left w:w="108" w:type="dxa"/>
            <w:bottom w:w="0" w:type="dxa"/>
            <w:right w:w="108" w:type="dxa"/>
          </w:tblCellMar>
        </w:tblPrEx>
        <w:trPr>
          <w:trHeight w:val="496"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DFC7CA">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6BA2CFE">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动火作业审批</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0BD20C2F">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查看申请时间、审批人员，严禁造假</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7A4541A0">
            <w:pPr>
              <w:jc w:val="center"/>
              <w:rPr>
                <w:rFonts w:ascii="等线" w:hAnsi="等线" w:eastAsia="等线" w:cs="等线"/>
                <w:color w:val="000000" w:themeColor="text1"/>
                <w:sz w:val="20"/>
                <w:szCs w:val="20"/>
                <w:highlight w:val="none"/>
                <w14:textFill>
                  <w14:solidFill>
                    <w14:schemeClr w14:val="tx1"/>
                  </w14:solidFill>
                </w14:textFill>
              </w:rPr>
            </w:pPr>
          </w:p>
        </w:tc>
      </w:tr>
      <w:tr w14:paraId="5469DE1A">
        <w:tblPrEx>
          <w:tblCellMar>
            <w:top w:w="0" w:type="dxa"/>
            <w:left w:w="108" w:type="dxa"/>
            <w:bottom w:w="0" w:type="dxa"/>
            <w:right w:w="108" w:type="dxa"/>
          </w:tblCellMar>
        </w:tblPrEx>
        <w:trPr>
          <w:trHeight w:val="478"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4C9DCB">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52A1C7AD">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压力表是否完好</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07E3BFCF">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有损坏及时更换</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2420280C">
            <w:pPr>
              <w:jc w:val="center"/>
              <w:rPr>
                <w:rFonts w:ascii="等线" w:hAnsi="等线" w:eastAsia="等线" w:cs="等线"/>
                <w:color w:val="000000" w:themeColor="text1"/>
                <w:sz w:val="20"/>
                <w:szCs w:val="20"/>
                <w:highlight w:val="none"/>
                <w14:textFill>
                  <w14:solidFill>
                    <w14:schemeClr w14:val="tx1"/>
                  </w14:solidFill>
                </w14:textFill>
              </w:rPr>
            </w:pPr>
          </w:p>
        </w:tc>
      </w:tr>
      <w:tr w14:paraId="708E9993">
        <w:tblPrEx>
          <w:tblCellMar>
            <w:top w:w="0" w:type="dxa"/>
            <w:left w:w="108" w:type="dxa"/>
            <w:bottom w:w="0" w:type="dxa"/>
            <w:right w:w="108" w:type="dxa"/>
          </w:tblCellMar>
        </w:tblPrEx>
        <w:trPr>
          <w:trHeight w:val="365"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B88197">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1060B68A">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有无防回火装置</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93B7CA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有损坏及时更换，缺少装置及时整改</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6A311F5E">
            <w:pPr>
              <w:jc w:val="center"/>
              <w:rPr>
                <w:rFonts w:ascii="等线" w:hAnsi="等线" w:eastAsia="等线" w:cs="等线"/>
                <w:color w:val="000000" w:themeColor="text1"/>
                <w:sz w:val="20"/>
                <w:szCs w:val="20"/>
                <w:highlight w:val="none"/>
                <w14:textFill>
                  <w14:solidFill>
                    <w14:schemeClr w14:val="tx1"/>
                  </w14:solidFill>
                </w14:textFill>
              </w:rPr>
            </w:pPr>
          </w:p>
        </w:tc>
      </w:tr>
      <w:tr w14:paraId="0955E902">
        <w:tblPrEx>
          <w:tblCellMar>
            <w:top w:w="0" w:type="dxa"/>
            <w:left w:w="108" w:type="dxa"/>
            <w:bottom w:w="0" w:type="dxa"/>
            <w:right w:w="108" w:type="dxa"/>
          </w:tblCellMar>
        </w:tblPrEx>
        <w:trPr>
          <w:trHeight w:val="497"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844085">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40395363">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乙炔瓶与氧气瓶间隔最少5米摆放</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4FEC282C">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及时提醒，累犯扣罚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52EC7063">
            <w:pPr>
              <w:jc w:val="center"/>
              <w:rPr>
                <w:rFonts w:ascii="等线" w:hAnsi="等线" w:eastAsia="等线" w:cs="等线"/>
                <w:color w:val="000000" w:themeColor="text1"/>
                <w:sz w:val="20"/>
                <w:szCs w:val="20"/>
                <w:highlight w:val="none"/>
                <w14:textFill>
                  <w14:solidFill>
                    <w14:schemeClr w14:val="tx1"/>
                  </w14:solidFill>
                </w14:textFill>
              </w:rPr>
            </w:pPr>
          </w:p>
        </w:tc>
      </w:tr>
      <w:tr w14:paraId="66735E01">
        <w:tblPrEx>
          <w:tblCellMar>
            <w:top w:w="0" w:type="dxa"/>
            <w:left w:w="108" w:type="dxa"/>
            <w:bottom w:w="0" w:type="dxa"/>
            <w:right w:w="108" w:type="dxa"/>
          </w:tblCellMar>
        </w:tblPrEx>
        <w:trPr>
          <w:trHeight w:val="459"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34EF0E">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3C0EEB1">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瓶子是否远离火源及施工现场</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3C464111">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及时提醒，累犯扣罚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484B7CFA">
            <w:pPr>
              <w:jc w:val="center"/>
              <w:rPr>
                <w:rFonts w:ascii="等线" w:hAnsi="等线" w:eastAsia="等线" w:cs="等线"/>
                <w:color w:val="000000" w:themeColor="text1"/>
                <w:sz w:val="20"/>
                <w:szCs w:val="20"/>
                <w:highlight w:val="none"/>
                <w14:textFill>
                  <w14:solidFill>
                    <w14:schemeClr w14:val="tx1"/>
                  </w14:solidFill>
                </w14:textFill>
              </w:rPr>
            </w:pPr>
          </w:p>
        </w:tc>
      </w:tr>
      <w:tr w14:paraId="3BC7A01D">
        <w:tblPrEx>
          <w:tblCellMar>
            <w:top w:w="0" w:type="dxa"/>
            <w:left w:w="108" w:type="dxa"/>
            <w:bottom w:w="0" w:type="dxa"/>
            <w:right w:w="108" w:type="dxa"/>
          </w:tblCellMar>
        </w:tblPrEx>
        <w:trPr>
          <w:trHeight w:val="402"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5B5B0A">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3EFBE1B4">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现场是否配备灭火装置</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51BDB7E9">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检查有效日期，记录数量</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0DA4A6CD">
            <w:pPr>
              <w:jc w:val="center"/>
              <w:rPr>
                <w:rFonts w:ascii="等线" w:hAnsi="等线" w:eastAsia="等线" w:cs="等线"/>
                <w:color w:val="000000" w:themeColor="text1"/>
                <w:sz w:val="20"/>
                <w:szCs w:val="20"/>
                <w:highlight w:val="none"/>
                <w14:textFill>
                  <w14:solidFill>
                    <w14:schemeClr w14:val="tx1"/>
                  </w14:solidFill>
                </w14:textFill>
              </w:rPr>
            </w:pPr>
          </w:p>
        </w:tc>
      </w:tr>
      <w:tr w14:paraId="41F9E1B3">
        <w:tblPrEx>
          <w:tblCellMar>
            <w:top w:w="0" w:type="dxa"/>
            <w:left w:w="108" w:type="dxa"/>
            <w:bottom w:w="0" w:type="dxa"/>
            <w:right w:w="108" w:type="dxa"/>
          </w:tblCellMar>
        </w:tblPrEx>
        <w:trPr>
          <w:trHeight w:val="421"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F215A0">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7DB5B7A4">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焊工有无特殊作业证</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02E0AE74">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实名制</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5AD2D90D">
            <w:pPr>
              <w:jc w:val="center"/>
              <w:rPr>
                <w:rFonts w:ascii="等线" w:hAnsi="等线" w:eastAsia="等线" w:cs="等线"/>
                <w:color w:val="000000" w:themeColor="text1"/>
                <w:sz w:val="20"/>
                <w:szCs w:val="20"/>
                <w:highlight w:val="none"/>
                <w14:textFill>
                  <w14:solidFill>
                    <w14:schemeClr w14:val="tx1"/>
                  </w14:solidFill>
                </w14:textFill>
              </w:rPr>
            </w:pPr>
          </w:p>
        </w:tc>
      </w:tr>
      <w:tr w14:paraId="6552E884">
        <w:tblPrEx>
          <w:tblCellMar>
            <w:top w:w="0" w:type="dxa"/>
            <w:left w:w="108" w:type="dxa"/>
            <w:bottom w:w="0" w:type="dxa"/>
            <w:right w:w="108" w:type="dxa"/>
          </w:tblCellMar>
        </w:tblPrEx>
        <w:trPr>
          <w:trHeight w:val="440"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C441A0">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0449298">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施工现场有无人员抽烟</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1BDF2674">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如有，记录数量进行扣罚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1BEDE0C0">
            <w:pPr>
              <w:jc w:val="center"/>
              <w:rPr>
                <w:rFonts w:ascii="等线" w:hAnsi="等线" w:eastAsia="等线" w:cs="等线"/>
                <w:color w:val="000000" w:themeColor="text1"/>
                <w:sz w:val="20"/>
                <w:szCs w:val="20"/>
                <w:highlight w:val="none"/>
                <w14:textFill>
                  <w14:solidFill>
                    <w14:schemeClr w14:val="tx1"/>
                  </w14:solidFill>
                </w14:textFill>
              </w:rPr>
            </w:pPr>
          </w:p>
        </w:tc>
      </w:tr>
      <w:tr w14:paraId="7489D1AD">
        <w:tblPrEx>
          <w:tblCellMar>
            <w:top w:w="0" w:type="dxa"/>
            <w:left w:w="108" w:type="dxa"/>
            <w:bottom w:w="0" w:type="dxa"/>
            <w:right w:w="108" w:type="dxa"/>
          </w:tblCellMar>
        </w:tblPrEx>
        <w:trPr>
          <w:trHeight w:val="478" w:hRule="atLeast"/>
        </w:trPr>
        <w:tc>
          <w:tcPr>
            <w:tcW w:w="694" w:type="dxa"/>
            <w:vMerge w:val="restart"/>
            <w:tcBorders>
              <w:top w:val="single" w:color="000000" w:sz="4" w:space="0"/>
              <w:left w:val="single" w:color="000000" w:sz="4" w:space="0"/>
              <w:bottom w:val="single" w:color="000000" w:sz="4" w:space="0"/>
              <w:right w:val="single" w:color="000000" w:sz="4" w:space="0"/>
            </w:tcBorders>
            <w:noWrap w:val="0"/>
            <w:vAlign w:val="center"/>
          </w:tcPr>
          <w:p w14:paraId="02817E9E">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用电安全</w:t>
            </w: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2FAA8D35">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电缆有否有破损、是否架空</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727CF555">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用黄色专用三脚架架空，严禁拖地或违规架设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6F63C53D">
            <w:pPr>
              <w:jc w:val="center"/>
              <w:rPr>
                <w:rFonts w:ascii="等线" w:hAnsi="等线" w:eastAsia="等线" w:cs="等线"/>
                <w:color w:val="000000" w:themeColor="text1"/>
                <w:sz w:val="20"/>
                <w:szCs w:val="20"/>
                <w:highlight w:val="none"/>
                <w14:textFill>
                  <w14:solidFill>
                    <w14:schemeClr w14:val="tx1"/>
                  </w14:solidFill>
                </w14:textFill>
              </w:rPr>
            </w:pPr>
          </w:p>
        </w:tc>
      </w:tr>
      <w:tr w14:paraId="41FEFBFA">
        <w:tblPrEx>
          <w:tblCellMar>
            <w:top w:w="0" w:type="dxa"/>
            <w:left w:w="108" w:type="dxa"/>
            <w:bottom w:w="0" w:type="dxa"/>
            <w:right w:w="108" w:type="dxa"/>
          </w:tblCellMar>
        </w:tblPrEx>
        <w:trPr>
          <w:trHeight w:val="600"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423930">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5E440DA7">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电箱有无检查记录及检查时间</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47BB6C3">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检查及记录人员应为有特殊作业证的电工</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686BE476">
            <w:pPr>
              <w:jc w:val="center"/>
              <w:rPr>
                <w:rFonts w:ascii="等线" w:hAnsi="等线" w:eastAsia="等线" w:cs="等线"/>
                <w:color w:val="000000" w:themeColor="text1"/>
                <w:sz w:val="20"/>
                <w:szCs w:val="20"/>
                <w:highlight w:val="none"/>
                <w14:textFill>
                  <w14:solidFill>
                    <w14:schemeClr w14:val="tx1"/>
                  </w14:solidFill>
                </w14:textFill>
              </w:rPr>
            </w:pPr>
          </w:p>
        </w:tc>
      </w:tr>
      <w:tr w14:paraId="2699C46B">
        <w:tblPrEx>
          <w:tblCellMar>
            <w:top w:w="0" w:type="dxa"/>
            <w:left w:w="108" w:type="dxa"/>
            <w:bottom w:w="0" w:type="dxa"/>
            <w:right w:w="108" w:type="dxa"/>
          </w:tblCellMar>
        </w:tblPrEx>
        <w:trPr>
          <w:trHeight w:val="478"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36D6B5">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2EE3048">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发电机、配电箱有否接地</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5D930AF">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附近要有危险警示标识</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732D8A5F">
            <w:pPr>
              <w:jc w:val="center"/>
              <w:rPr>
                <w:rFonts w:ascii="等线" w:hAnsi="等线" w:eastAsia="等线" w:cs="等线"/>
                <w:color w:val="000000" w:themeColor="text1"/>
                <w:sz w:val="20"/>
                <w:szCs w:val="20"/>
                <w:highlight w:val="none"/>
                <w14:textFill>
                  <w14:solidFill>
                    <w14:schemeClr w14:val="tx1"/>
                  </w14:solidFill>
                </w14:textFill>
              </w:rPr>
            </w:pPr>
          </w:p>
        </w:tc>
      </w:tr>
      <w:tr w14:paraId="600C89A6">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6AA063">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40C807C7">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漏电开关是否正常</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499B4CAA">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有损坏及时更换</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41B8651F">
            <w:pPr>
              <w:jc w:val="center"/>
              <w:rPr>
                <w:rFonts w:ascii="等线" w:hAnsi="等线" w:eastAsia="等线" w:cs="等线"/>
                <w:color w:val="000000" w:themeColor="text1"/>
                <w:sz w:val="20"/>
                <w:szCs w:val="20"/>
                <w:highlight w:val="none"/>
                <w14:textFill>
                  <w14:solidFill>
                    <w14:schemeClr w14:val="tx1"/>
                  </w14:solidFill>
                </w14:textFill>
              </w:rPr>
            </w:pPr>
          </w:p>
        </w:tc>
      </w:tr>
      <w:tr w14:paraId="5A165B8E">
        <w:tblPrEx>
          <w:tblCellMar>
            <w:top w:w="0" w:type="dxa"/>
            <w:left w:w="108" w:type="dxa"/>
            <w:bottom w:w="0" w:type="dxa"/>
            <w:right w:w="108" w:type="dxa"/>
          </w:tblCellMar>
        </w:tblPrEx>
        <w:trPr>
          <w:trHeight w:val="572"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9B48D2">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743FE1A">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电工有无特殊作业证</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3EF67E0B">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实名制</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5BC07457">
            <w:pPr>
              <w:jc w:val="center"/>
              <w:rPr>
                <w:rFonts w:ascii="等线" w:hAnsi="等线" w:eastAsia="等线" w:cs="等线"/>
                <w:color w:val="000000" w:themeColor="text1"/>
                <w:sz w:val="20"/>
                <w:szCs w:val="20"/>
                <w:highlight w:val="none"/>
                <w14:textFill>
                  <w14:solidFill>
                    <w14:schemeClr w14:val="tx1"/>
                  </w14:solidFill>
                </w14:textFill>
              </w:rPr>
            </w:pPr>
          </w:p>
        </w:tc>
      </w:tr>
      <w:tr w14:paraId="4A01BF95">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696359">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2603A0EC">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有无防止触电等安全警示牌及标识</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5F3328AD">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如无，及时补充</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7D415897">
            <w:pPr>
              <w:jc w:val="center"/>
              <w:rPr>
                <w:rFonts w:ascii="等线" w:hAnsi="等线" w:eastAsia="等线" w:cs="等线"/>
                <w:color w:val="000000" w:themeColor="text1"/>
                <w:sz w:val="20"/>
                <w:szCs w:val="20"/>
                <w:highlight w:val="none"/>
                <w14:textFill>
                  <w14:solidFill>
                    <w14:schemeClr w14:val="tx1"/>
                  </w14:solidFill>
                </w14:textFill>
              </w:rPr>
            </w:pPr>
          </w:p>
        </w:tc>
      </w:tr>
      <w:tr w14:paraId="2F643FFB">
        <w:tblPrEx>
          <w:tblCellMar>
            <w:top w:w="0" w:type="dxa"/>
            <w:left w:w="108" w:type="dxa"/>
            <w:bottom w:w="0" w:type="dxa"/>
            <w:right w:w="108" w:type="dxa"/>
          </w:tblCellMar>
        </w:tblPrEx>
        <w:trPr>
          <w:trHeight w:val="534"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2E62E0">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4407E81">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LED灯接线柱是否有绝缘防护</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789324D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如无，及时补充</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28CFCDA9">
            <w:pPr>
              <w:jc w:val="center"/>
              <w:rPr>
                <w:rFonts w:ascii="等线" w:hAnsi="等线" w:eastAsia="等线" w:cs="等线"/>
                <w:color w:val="000000" w:themeColor="text1"/>
                <w:sz w:val="20"/>
                <w:szCs w:val="20"/>
                <w:highlight w:val="none"/>
                <w14:textFill>
                  <w14:solidFill>
                    <w14:schemeClr w14:val="tx1"/>
                  </w14:solidFill>
                </w14:textFill>
              </w:rPr>
            </w:pPr>
          </w:p>
        </w:tc>
      </w:tr>
      <w:tr w14:paraId="02F0DDBD">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0B5AA5">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4677D91">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电箱开关上是否有对应设备标识</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13D5EB2B">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如无，及时补充</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1E11A7F8">
            <w:pPr>
              <w:jc w:val="center"/>
              <w:rPr>
                <w:rFonts w:ascii="等线" w:hAnsi="等线" w:eastAsia="等线" w:cs="等线"/>
                <w:color w:val="000000" w:themeColor="text1"/>
                <w:sz w:val="20"/>
                <w:szCs w:val="20"/>
                <w:highlight w:val="none"/>
                <w14:textFill>
                  <w14:solidFill>
                    <w14:schemeClr w14:val="tx1"/>
                  </w14:solidFill>
                </w14:textFill>
              </w:rPr>
            </w:pPr>
          </w:p>
        </w:tc>
      </w:tr>
      <w:tr w14:paraId="388294EB">
        <w:tblPrEx>
          <w:tblCellMar>
            <w:top w:w="0" w:type="dxa"/>
            <w:left w:w="108" w:type="dxa"/>
            <w:bottom w:w="0" w:type="dxa"/>
            <w:right w:w="108" w:type="dxa"/>
          </w:tblCellMar>
        </w:tblPrEx>
        <w:trPr>
          <w:trHeight w:val="590"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139D76">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E0194B7">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发电机是否远离施工现场</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0BBC8573">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及时提醒，累犯扣罚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21DA4E8F">
            <w:pPr>
              <w:jc w:val="center"/>
              <w:rPr>
                <w:rFonts w:ascii="等线" w:hAnsi="等线" w:eastAsia="等线" w:cs="等线"/>
                <w:color w:val="000000" w:themeColor="text1"/>
                <w:sz w:val="20"/>
                <w:szCs w:val="20"/>
                <w:highlight w:val="none"/>
                <w14:textFill>
                  <w14:solidFill>
                    <w14:schemeClr w14:val="tx1"/>
                  </w14:solidFill>
                </w14:textFill>
              </w:rPr>
            </w:pPr>
          </w:p>
        </w:tc>
      </w:tr>
      <w:tr w14:paraId="05439EB6">
        <w:tblPrEx>
          <w:tblCellMar>
            <w:top w:w="0" w:type="dxa"/>
            <w:left w:w="108" w:type="dxa"/>
            <w:bottom w:w="0" w:type="dxa"/>
            <w:right w:w="108" w:type="dxa"/>
          </w:tblCellMar>
        </w:tblPrEx>
        <w:trPr>
          <w:trHeight w:val="478" w:hRule="atLeast"/>
        </w:trPr>
        <w:tc>
          <w:tcPr>
            <w:tcW w:w="694" w:type="dxa"/>
            <w:vMerge w:val="restart"/>
            <w:tcBorders>
              <w:top w:val="single" w:color="000000" w:sz="4" w:space="0"/>
              <w:left w:val="single" w:color="000000" w:sz="4" w:space="0"/>
              <w:bottom w:val="single" w:color="000000" w:sz="4" w:space="0"/>
              <w:right w:val="single" w:color="000000" w:sz="4" w:space="0"/>
            </w:tcBorders>
            <w:noWrap w:val="0"/>
            <w:vAlign w:val="center"/>
          </w:tcPr>
          <w:p w14:paraId="686BCCF5">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有限空间作业安全</w:t>
            </w: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1650F053">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有无通风设备</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732519EE">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鼓风机、送风带</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2FF9E0D5">
            <w:pPr>
              <w:jc w:val="center"/>
              <w:rPr>
                <w:rFonts w:ascii="等线" w:hAnsi="等线" w:eastAsia="等线" w:cs="等线"/>
                <w:color w:val="000000" w:themeColor="text1"/>
                <w:sz w:val="20"/>
                <w:szCs w:val="20"/>
                <w:highlight w:val="none"/>
                <w14:textFill>
                  <w14:solidFill>
                    <w14:schemeClr w14:val="tx1"/>
                  </w14:solidFill>
                </w14:textFill>
              </w:rPr>
            </w:pPr>
          </w:p>
        </w:tc>
      </w:tr>
      <w:tr w14:paraId="4ECFBA94">
        <w:tblPrEx>
          <w:tblCellMar>
            <w:top w:w="0" w:type="dxa"/>
            <w:left w:w="108" w:type="dxa"/>
            <w:bottom w:w="0" w:type="dxa"/>
            <w:right w:w="108" w:type="dxa"/>
          </w:tblCellMar>
        </w:tblPrEx>
        <w:trPr>
          <w:trHeight w:val="665"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BB2A78">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750A05F8">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有限空间作业审批</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5C3FD7C">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查看申请时间、审批人员，严禁造假</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1BFA143A">
            <w:pPr>
              <w:jc w:val="center"/>
              <w:rPr>
                <w:rFonts w:ascii="等线" w:hAnsi="等线" w:eastAsia="等线" w:cs="等线"/>
                <w:color w:val="000000" w:themeColor="text1"/>
                <w:sz w:val="20"/>
                <w:szCs w:val="20"/>
                <w:highlight w:val="none"/>
                <w14:textFill>
                  <w14:solidFill>
                    <w14:schemeClr w14:val="tx1"/>
                  </w14:solidFill>
                </w14:textFill>
              </w:rPr>
            </w:pPr>
          </w:p>
        </w:tc>
      </w:tr>
      <w:tr w14:paraId="4D79F4AD">
        <w:tblPrEx>
          <w:tblCellMar>
            <w:top w:w="0" w:type="dxa"/>
            <w:left w:w="108" w:type="dxa"/>
            <w:bottom w:w="0" w:type="dxa"/>
            <w:right w:w="108" w:type="dxa"/>
          </w:tblCellMar>
        </w:tblPrEx>
        <w:trPr>
          <w:trHeight w:val="300"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C0F975">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25EAE430">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有无毒气检测设备</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52D32872">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进入有限空间前记录数值</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1744DD91">
            <w:pPr>
              <w:jc w:val="center"/>
              <w:rPr>
                <w:rFonts w:ascii="等线" w:hAnsi="等线" w:eastAsia="等线" w:cs="等线"/>
                <w:color w:val="000000" w:themeColor="text1"/>
                <w:sz w:val="20"/>
                <w:szCs w:val="20"/>
                <w:highlight w:val="none"/>
                <w14:textFill>
                  <w14:solidFill>
                    <w14:schemeClr w14:val="tx1"/>
                  </w14:solidFill>
                </w14:textFill>
              </w:rPr>
            </w:pPr>
          </w:p>
        </w:tc>
      </w:tr>
      <w:tr w14:paraId="630182B3">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84073D">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2CB58C9E">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进入管道内施工人员是否佩戴安全绳</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4C477E97">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佩戴才能进入基坑</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7552B6B4">
            <w:pPr>
              <w:jc w:val="center"/>
              <w:rPr>
                <w:rFonts w:ascii="等线" w:hAnsi="等线" w:eastAsia="等线" w:cs="等线"/>
                <w:color w:val="000000" w:themeColor="text1"/>
                <w:sz w:val="20"/>
                <w:szCs w:val="20"/>
                <w:highlight w:val="none"/>
                <w14:textFill>
                  <w14:solidFill>
                    <w14:schemeClr w14:val="tx1"/>
                  </w14:solidFill>
                </w14:textFill>
              </w:rPr>
            </w:pPr>
          </w:p>
        </w:tc>
      </w:tr>
      <w:tr w14:paraId="280AF6B7">
        <w:tblPrEx>
          <w:tblCellMar>
            <w:top w:w="0" w:type="dxa"/>
            <w:left w:w="108" w:type="dxa"/>
            <w:bottom w:w="0" w:type="dxa"/>
            <w:right w:w="108" w:type="dxa"/>
          </w:tblCellMar>
        </w:tblPrEx>
        <w:trPr>
          <w:trHeight w:val="719" w:hRule="atLeast"/>
        </w:trPr>
        <w:tc>
          <w:tcPr>
            <w:tcW w:w="694" w:type="dxa"/>
            <w:vMerge w:val="restart"/>
            <w:tcBorders>
              <w:top w:val="single" w:color="000000" w:sz="4" w:space="0"/>
              <w:left w:val="single" w:color="000000" w:sz="4" w:space="0"/>
              <w:bottom w:val="single" w:color="000000" w:sz="4" w:space="0"/>
              <w:right w:val="single" w:color="000000" w:sz="4" w:space="0"/>
            </w:tcBorders>
            <w:noWrap w:val="0"/>
            <w:vAlign w:val="center"/>
          </w:tcPr>
          <w:p w14:paraId="54E8F53A">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基坑作业</w:t>
            </w: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1B65A970">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施工作业机具转动半径是否超出围蔽范围</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4D71FE4">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专人指挥作业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129D8C3D">
            <w:pPr>
              <w:jc w:val="center"/>
              <w:rPr>
                <w:rFonts w:ascii="等线" w:hAnsi="等线" w:eastAsia="等线" w:cs="等线"/>
                <w:color w:val="000000" w:themeColor="text1"/>
                <w:sz w:val="20"/>
                <w:szCs w:val="20"/>
                <w:highlight w:val="none"/>
                <w14:textFill>
                  <w14:solidFill>
                    <w14:schemeClr w14:val="tx1"/>
                  </w14:solidFill>
                </w14:textFill>
              </w:rPr>
            </w:pPr>
          </w:p>
        </w:tc>
      </w:tr>
      <w:tr w14:paraId="132BA224">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7B3457">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4C2DF6E7">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淤泥外运车辆有否相关检测、运输证</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EA72461">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进场前进行检查</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04CBA21A">
            <w:pPr>
              <w:jc w:val="center"/>
              <w:rPr>
                <w:rFonts w:ascii="等线" w:hAnsi="等线" w:eastAsia="等线" w:cs="等线"/>
                <w:color w:val="000000" w:themeColor="text1"/>
                <w:sz w:val="20"/>
                <w:szCs w:val="20"/>
                <w:highlight w:val="none"/>
                <w14:textFill>
                  <w14:solidFill>
                    <w14:schemeClr w14:val="tx1"/>
                  </w14:solidFill>
                </w14:textFill>
              </w:rPr>
            </w:pPr>
          </w:p>
        </w:tc>
      </w:tr>
      <w:tr w14:paraId="144BC60A">
        <w:tblPrEx>
          <w:tblCellMar>
            <w:top w:w="0" w:type="dxa"/>
            <w:left w:w="108" w:type="dxa"/>
            <w:bottom w:w="0" w:type="dxa"/>
            <w:right w:w="108" w:type="dxa"/>
          </w:tblCellMar>
        </w:tblPrEx>
        <w:trPr>
          <w:trHeight w:val="590"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C075A7">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4971083D">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重型机械有否骑压管坑</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3C421CA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及时提醒，累犯扣罚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057BBC15">
            <w:pPr>
              <w:jc w:val="center"/>
              <w:rPr>
                <w:rFonts w:ascii="等线" w:hAnsi="等线" w:eastAsia="等线" w:cs="等线"/>
                <w:color w:val="000000" w:themeColor="text1"/>
                <w:sz w:val="20"/>
                <w:szCs w:val="20"/>
                <w:highlight w:val="none"/>
                <w14:textFill>
                  <w14:solidFill>
                    <w14:schemeClr w14:val="tx1"/>
                  </w14:solidFill>
                </w14:textFill>
              </w:rPr>
            </w:pPr>
          </w:p>
        </w:tc>
      </w:tr>
      <w:tr w14:paraId="2088DB39">
        <w:tblPrEx>
          <w:tblCellMar>
            <w:top w:w="0" w:type="dxa"/>
            <w:left w:w="108" w:type="dxa"/>
            <w:bottom w:w="0" w:type="dxa"/>
            <w:right w:w="108" w:type="dxa"/>
          </w:tblCellMar>
        </w:tblPrEx>
        <w:trPr>
          <w:trHeight w:val="534"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017205">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C2E39A7">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破路面时有无喷水</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B6947A9">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防尘专项方案</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3A358884">
            <w:pPr>
              <w:jc w:val="center"/>
              <w:rPr>
                <w:rFonts w:ascii="等线" w:hAnsi="等线" w:eastAsia="等线" w:cs="等线"/>
                <w:color w:val="000000" w:themeColor="text1"/>
                <w:sz w:val="20"/>
                <w:szCs w:val="20"/>
                <w:highlight w:val="none"/>
                <w14:textFill>
                  <w14:solidFill>
                    <w14:schemeClr w14:val="tx1"/>
                  </w14:solidFill>
                </w14:textFill>
              </w:rPr>
            </w:pPr>
          </w:p>
        </w:tc>
      </w:tr>
      <w:tr w14:paraId="4686DC84">
        <w:tblPrEx>
          <w:tblCellMar>
            <w:top w:w="0" w:type="dxa"/>
            <w:left w:w="108" w:type="dxa"/>
            <w:bottom w:w="0" w:type="dxa"/>
            <w:right w:w="108" w:type="dxa"/>
          </w:tblCellMar>
        </w:tblPrEx>
        <w:trPr>
          <w:trHeight w:val="759"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C770D3">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B47BD1E">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淤泥外运车辆是否堆放过高，车身、车轮是否冲洗干净</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4A6146FB">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及时提醒，累犯扣罚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479655B5">
            <w:pPr>
              <w:jc w:val="center"/>
              <w:rPr>
                <w:rFonts w:ascii="等线" w:hAnsi="等线" w:eastAsia="等线" w:cs="等线"/>
                <w:color w:val="000000" w:themeColor="text1"/>
                <w:sz w:val="20"/>
                <w:szCs w:val="20"/>
                <w:highlight w:val="none"/>
                <w14:textFill>
                  <w14:solidFill>
                    <w14:schemeClr w14:val="tx1"/>
                  </w14:solidFill>
                </w14:textFill>
              </w:rPr>
            </w:pPr>
          </w:p>
        </w:tc>
      </w:tr>
      <w:tr w14:paraId="0111EF5D">
        <w:tblPrEx>
          <w:tblCellMar>
            <w:top w:w="0" w:type="dxa"/>
            <w:left w:w="108" w:type="dxa"/>
            <w:bottom w:w="0" w:type="dxa"/>
            <w:right w:w="108" w:type="dxa"/>
          </w:tblCellMar>
        </w:tblPrEx>
        <w:trPr>
          <w:trHeight w:val="572"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E821CB">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4AAEDEB6">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有无钢梯，钢梯是否满足要求</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7D0117EA">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有损坏及时更换，缺少装置及时整改</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0B5E6C4E">
            <w:pPr>
              <w:jc w:val="center"/>
              <w:rPr>
                <w:rFonts w:ascii="等线" w:hAnsi="等线" w:eastAsia="等线" w:cs="等线"/>
                <w:color w:val="000000" w:themeColor="text1"/>
                <w:sz w:val="20"/>
                <w:szCs w:val="20"/>
                <w:highlight w:val="none"/>
                <w14:textFill>
                  <w14:solidFill>
                    <w14:schemeClr w14:val="tx1"/>
                  </w14:solidFill>
                </w14:textFill>
              </w:rPr>
            </w:pPr>
          </w:p>
        </w:tc>
      </w:tr>
      <w:tr w14:paraId="60358A1F">
        <w:tblPrEx>
          <w:tblCellMar>
            <w:top w:w="0" w:type="dxa"/>
            <w:left w:w="108" w:type="dxa"/>
            <w:bottom w:w="0" w:type="dxa"/>
            <w:right w:w="108" w:type="dxa"/>
          </w:tblCellMar>
        </w:tblPrEx>
        <w:trPr>
          <w:trHeight w:val="533"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6CEDB5">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2AA31724">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基坑是否有积水</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1A4117B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严禁积水乱排放</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28451816">
            <w:pPr>
              <w:jc w:val="center"/>
              <w:rPr>
                <w:rFonts w:ascii="等线" w:hAnsi="等线" w:eastAsia="等线" w:cs="等线"/>
                <w:color w:val="000000" w:themeColor="text1"/>
                <w:sz w:val="20"/>
                <w:szCs w:val="20"/>
                <w:highlight w:val="none"/>
                <w14:textFill>
                  <w14:solidFill>
                    <w14:schemeClr w14:val="tx1"/>
                  </w14:solidFill>
                </w14:textFill>
              </w:rPr>
            </w:pPr>
          </w:p>
        </w:tc>
      </w:tr>
      <w:tr w14:paraId="6B2FF029">
        <w:tblPrEx>
          <w:tblCellMar>
            <w:top w:w="0" w:type="dxa"/>
            <w:left w:w="108" w:type="dxa"/>
            <w:bottom w:w="0" w:type="dxa"/>
            <w:right w:w="108" w:type="dxa"/>
          </w:tblCellMar>
        </w:tblPrEx>
        <w:trPr>
          <w:trHeight w:val="552"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0993E0">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38662599">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有无配备抽水泵</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19DA105">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台数、大小</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5288ED6A">
            <w:pPr>
              <w:jc w:val="center"/>
              <w:rPr>
                <w:rFonts w:ascii="等线" w:hAnsi="等线" w:eastAsia="等线" w:cs="等线"/>
                <w:color w:val="000000" w:themeColor="text1"/>
                <w:sz w:val="20"/>
                <w:szCs w:val="20"/>
                <w:highlight w:val="none"/>
                <w14:textFill>
                  <w14:solidFill>
                    <w14:schemeClr w14:val="tx1"/>
                  </w14:solidFill>
                </w14:textFill>
              </w:rPr>
            </w:pPr>
          </w:p>
        </w:tc>
      </w:tr>
      <w:tr w14:paraId="74E2F1A6">
        <w:tblPrEx>
          <w:tblCellMar>
            <w:top w:w="0" w:type="dxa"/>
            <w:left w:w="108" w:type="dxa"/>
            <w:bottom w:w="0" w:type="dxa"/>
            <w:right w:w="108" w:type="dxa"/>
          </w:tblCellMar>
        </w:tblPrEx>
        <w:trPr>
          <w:trHeight w:val="1228"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0CEE1F">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0470902">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是否存在基坑裸露而不施工的情况</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178910D">
            <w:pPr>
              <w:widowControl/>
              <w:jc w:val="left"/>
              <w:textAlignment w:val="center"/>
              <w:rPr>
                <w:rFonts w:ascii="等线" w:hAnsi="等线" w:eastAsia="等线" w:cs="等线"/>
                <w:color w:val="000000" w:themeColor="text1"/>
                <w:kern w:val="0"/>
                <w:sz w:val="20"/>
                <w:szCs w:val="20"/>
                <w:highlight w:val="none"/>
                <w:lang w:bidi="ar"/>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如有特殊原因致使基坑裸露，应设置临边防护及铺设防坠网以及警示标识；</w:t>
            </w:r>
          </w:p>
          <w:p w14:paraId="64A7F1E8">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如无原因，应及时提醒回填，累犯扣罚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2F88BC0E">
            <w:pPr>
              <w:jc w:val="center"/>
              <w:rPr>
                <w:rFonts w:ascii="等线" w:hAnsi="等线" w:eastAsia="等线" w:cs="等线"/>
                <w:color w:val="000000" w:themeColor="text1"/>
                <w:sz w:val="20"/>
                <w:szCs w:val="20"/>
                <w:highlight w:val="none"/>
                <w14:textFill>
                  <w14:solidFill>
                    <w14:schemeClr w14:val="tx1"/>
                  </w14:solidFill>
                </w14:textFill>
              </w:rPr>
            </w:pPr>
          </w:p>
        </w:tc>
      </w:tr>
      <w:tr w14:paraId="261A8BE5">
        <w:tblPrEx>
          <w:tblCellMar>
            <w:top w:w="0" w:type="dxa"/>
            <w:left w:w="108" w:type="dxa"/>
            <w:bottom w:w="0" w:type="dxa"/>
            <w:right w:w="108" w:type="dxa"/>
          </w:tblCellMar>
        </w:tblPrEx>
        <w:trPr>
          <w:trHeight w:val="1228"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6E91C8">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1F06113">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是否有淤泥不及时外运的情况</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6A3543FF">
            <w:pPr>
              <w:widowControl/>
              <w:jc w:val="left"/>
              <w:textAlignment w:val="center"/>
              <w:rPr>
                <w:rFonts w:ascii="等线" w:hAnsi="等线" w:eastAsia="等线" w:cs="等线"/>
                <w:color w:val="000000" w:themeColor="text1"/>
                <w:kern w:val="0"/>
                <w:sz w:val="20"/>
                <w:szCs w:val="20"/>
                <w:highlight w:val="none"/>
                <w:lang w:bidi="ar"/>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如有特殊原因致使淤泥无法及时装车运走，覆盖绿网；</w:t>
            </w:r>
          </w:p>
          <w:p w14:paraId="60FE6FB6">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如无原因，应及时提醒运走，累犯扣罚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7F6964A1">
            <w:pPr>
              <w:jc w:val="center"/>
              <w:rPr>
                <w:rFonts w:ascii="等线" w:hAnsi="等线" w:eastAsia="等线" w:cs="等线"/>
                <w:color w:val="000000" w:themeColor="text1"/>
                <w:sz w:val="20"/>
                <w:szCs w:val="20"/>
                <w:highlight w:val="none"/>
                <w14:textFill>
                  <w14:solidFill>
                    <w14:schemeClr w14:val="tx1"/>
                  </w14:solidFill>
                </w14:textFill>
              </w:rPr>
            </w:pPr>
          </w:p>
        </w:tc>
      </w:tr>
      <w:tr w14:paraId="2F6D9C41">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20B6CA">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38E4A5CB">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是否回填前就拆除支护</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36587984">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及时提醒，累犯扣罚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32E4D8AA">
            <w:pPr>
              <w:jc w:val="center"/>
              <w:rPr>
                <w:rFonts w:ascii="等线" w:hAnsi="等线" w:eastAsia="等线" w:cs="等线"/>
                <w:color w:val="000000" w:themeColor="text1"/>
                <w:sz w:val="20"/>
                <w:szCs w:val="20"/>
                <w:highlight w:val="none"/>
                <w14:textFill>
                  <w14:solidFill>
                    <w14:schemeClr w14:val="tx1"/>
                  </w14:solidFill>
                </w14:textFill>
              </w:rPr>
            </w:pPr>
          </w:p>
        </w:tc>
      </w:tr>
      <w:tr w14:paraId="5F89C350">
        <w:tblPrEx>
          <w:tblCellMar>
            <w:top w:w="0" w:type="dxa"/>
            <w:left w:w="108" w:type="dxa"/>
            <w:bottom w:w="0" w:type="dxa"/>
            <w:right w:w="108" w:type="dxa"/>
          </w:tblCellMar>
        </w:tblPrEx>
        <w:trPr>
          <w:trHeight w:val="572"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CF818D">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2BFB142D">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基坑作业完成后有否清点人数</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665C6A91">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记录人数</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6DCE9813">
            <w:pPr>
              <w:jc w:val="center"/>
              <w:rPr>
                <w:rFonts w:ascii="等线" w:hAnsi="等线" w:eastAsia="等线" w:cs="等线"/>
                <w:color w:val="000000" w:themeColor="text1"/>
                <w:sz w:val="20"/>
                <w:szCs w:val="20"/>
                <w:highlight w:val="none"/>
                <w14:textFill>
                  <w14:solidFill>
                    <w14:schemeClr w14:val="tx1"/>
                  </w14:solidFill>
                </w14:textFill>
              </w:rPr>
            </w:pPr>
          </w:p>
        </w:tc>
      </w:tr>
      <w:tr w14:paraId="1A9AB22F">
        <w:tblPrEx>
          <w:tblCellMar>
            <w:top w:w="0" w:type="dxa"/>
            <w:left w:w="108" w:type="dxa"/>
            <w:bottom w:w="0" w:type="dxa"/>
            <w:right w:w="108" w:type="dxa"/>
          </w:tblCellMar>
        </w:tblPrEx>
        <w:trPr>
          <w:trHeight w:val="627" w:hRule="atLeast"/>
        </w:trPr>
        <w:tc>
          <w:tcPr>
            <w:tcW w:w="694" w:type="dxa"/>
            <w:vMerge w:val="restart"/>
            <w:tcBorders>
              <w:top w:val="single" w:color="000000" w:sz="4" w:space="0"/>
              <w:left w:val="single" w:color="000000" w:sz="4" w:space="0"/>
              <w:bottom w:val="single" w:color="000000" w:sz="4" w:space="0"/>
              <w:right w:val="single" w:color="000000" w:sz="4" w:space="0"/>
            </w:tcBorders>
            <w:noWrap w:val="0"/>
            <w:vAlign w:val="center"/>
          </w:tcPr>
          <w:p w14:paraId="7B74018A">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地下管线</w:t>
            </w: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2B922B0B">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有无探到地下管线及做好标识</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02165C8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记录地下管线种类</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3468C143">
            <w:pPr>
              <w:jc w:val="center"/>
              <w:rPr>
                <w:rFonts w:ascii="等线" w:hAnsi="等线" w:eastAsia="等线" w:cs="等线"/>
                <w:color w:val="000000" w:themeColor="text1"/>
                <w:sz w:val="20"/>
                <w:szCs w:val="20"/>
                <w:highlight w:val="none"/>
                <w14:textFill>
                  <w14:solidFill>
                    <w14:schemeClr w14:val="tx1"/>
                  </w14:solidFill>
                </w14:textFill>
              </w:rPr>
            </w:pPr>
          </w:p>
        </w:tc>
      </w:tr>
      <w:tr w14:paraId="0CB9D4DD">
        <w:tblPrEx>
          <w:tblCellMar>
            <w:top w:w="0" w:type="dxa"/>
            <w:left w:w="108" w:type="dxa"/>
            <w:bottom w:w="0" w:type="dxa"/>
            <w:right w:w="108" w:type="dxa"/>
          </w:tblCellMar>
        </w:tblPrEx>
        <w:trPr>
          <w:trHeight w:val="552"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11DEE2">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4883E919">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有否通知产权单位相关人员到场旁站施工</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1C513924">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记录到场产权单位及人员数量、名字</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3A0A87AC">
            <w:pPr>
              <w:jc w:val="center"/>
              <w:rPr>
                <w:rFonts w:ascii="等线" w:hAnsi="等线" w:eastAsia="等线" w:cs="等线"/>
                <w:color w:val="000000" w:themeColor="text1"/>
                <w:sz w:val="20"/>
                <w:szCs w:val="20"/>
                <w:highlight w:val="none"/>
                <w14:textFill>
                  <w14:solidFill>
                    <w14:schemeClr w14:val="tx1"/>
                  </w14:solidFill>
                </w14:textFill>
              </w:rPr>
            </w:pPr>
          </w:p>
        </w:tc>
      </w:tr>
      <w:tr w14:paraId="199320E8">
        <w:tblPrEx>
          <w:tblCellMar>
            <w:top w:w="0" w:type="dxa"/>
            <w:left w:w="108" w:type="dxa"/>
            <w:bottom w:w="0" w:type="dxa"/>
            <w:right w:w="108" w:type="dxa"/>
          </w:tblCellMar>
        </w:tblPrEx>
        <w:trPr>
          <w:trHeight w:val="609"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4FF045">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34FA015B">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图上是否有该管，迁改还是保护</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19A1EC52">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记录作为变更依据</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4B4BCB7A">
            <w:pPr>
              <w:jc w:val="center"/>
              <w:rPr>
                <w:rFonts w:ascii="等线" w:hAnsi="等线" w:eastAsia="等线" w:cs="等线"/>
                <w:color w:val="000000" w:themeColor="text1"/>
                <w:sz w:val="20"/>
                <w:szCs w:val="20"/>
                <w:highlight w:val="none"/>
                <w14:textFill>
                  <w14:solidFill>
                    <w14:schemeClr w14:val="tx1"/>
                  </w14:solidFill>
                </w14:textFill>
              </w:rPr>
            </w:pPr>
          </w:p>
        </w:tc>
      </w:tr>
      <w:tr w14:paraId="6236F226">
        <w:tblPrEx>
          <w:tblCellMar>
            <w:top w:w="0" w:type="dxa"/>
            <w:left w:w="108" w:type="dxa"/>
            <w:bottom w:w="0" w:type="dxa"/>
            <w:right w:w="108" w:type="dxa"/>
          </w:tblCellMar>
        </w:tblPrEx>
        <w:trPr>
          <w:trHeight w:val="632" w:hRule="atLeast"/>
        </w:trPr>
        <w:tc>
          <w:tcPr>
            <w:tcW w:w="694" w:type="dxa"/>
            <w:vMerge w:val="restart"/>
            <w:tcBorders>
              <w:top w:val="single" w:color="000000" w:sz="4" w:space="0"/>
              <w:left w:val="single" w:color="000000" w:sz="4" w:space="0"/>
              <w:bottom w:val="single" w:color="000000" w:sz="4" w:space="0"/>
              <w:right w:val="single" w:color="000000" w:sz="4" w:space="0"/>
            </w:tcBorders>
            <w:noWrap w:val="0"/>
            <w:vAlign w:val="center"/>
          </w:tcPr>
          <w:p w14:paraId="37D692F4">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管道安装</w:t>
            </w: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4E982168">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管道吊装</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5E50ECC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检查吊装司机证件、吊装丝索和防脱钩装置是否完好</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3AAABB5E">
            <w:pPr>
              <w:jc w:val="center"/>
              <w:rPr>
                <w:rFonts w:ascii="等线" w:hAnsi="等线" w:eastAsia="等线" w:cs="等线"/>
                <w:color w:val="000000" w:themeColor="text1"/>
                <w:sz w:val="20"/>
                <w:szCs w:val="20"/>
                <w:highlight w:val="none"/>
                <w14:textFill>
                  <w14:solidFill>
                    <w14:schemeClr w14:val="tx1"/>
                  </w14:solidFill>
                </w14:textFill>
              </w:rPr>
            </w:pPr>
          </w:p>
        </w:tc>
      </w:tr>
      <w:tr w14:paraId="06268C95">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900127">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8FC1D7D">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管道卸载</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1BCAD2E3">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下地前铺垫木方进行固定</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051FD958">
            <w:pPr>
              <w:jc w:val="center"/>
              <w:rPr>
                <w:rFonts w:ascii="等线" w:hAnsi="等线" w:eastAsia="等线" w:cs="等线"/>
                <w:color w:val="000000" w:themeColor="text1"/>
                <w:sz w:val="20"/>
                <w:szCs w:val="20"/>
                <w:highlight w:val="none"/>
                <w14:textFill>
                  <w14:solidFill>
                    <w14:schemeClr w14:val="tx1"/>
                  </w14:solidFill>
                </w14:textFill>
              </w:rPr>
            </w:pPr>
          </w:p>
        </w:tc>
      </w:tr>
      <w:tr w14:paraId="40C8BE44">
        <w:tblPrEx>
          <w:tblCellMar>
            <w:top w:w="0" w:type="dxa"/>
            <w:left w:w="108" w:type="dxa"/>
            <w:bottom w:w="0" w:type="dxa"/>
            <w:right w:w="108" w:type="dxa"/>
          </w:tblCellMar>
        </w:tblPrEx>
        <w:trPr>
          <w:trHeight w:val="609"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D1CF58">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1852BB90">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是否按图做好支护</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1AAFDC25">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记录支护方式及数量</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223D0D86">
            <w:pPr>
              <w:jc w:val="center"/>
              <w:rPr>
                <w:rFonts w:ascii="等线" w:hAnsi="等线" w:eastAsia="等线" w:cs="等线"/>
                <w:color w:val="000000" w:themeColor="text1"/>
                <w:sz w:val="20"/>
                <w:szCs w:val="20"/>
                <w:highlight w:val="none"/>
                <w14:textFill>
                  <w14:solidFill>
                    <w14:schemeClr w14:val="tx1"/>
                  </w14:solidFill>
                </w14:textFill>
              </w:rPr>
            </w:pPr>
          </w:p>
        </w:tc>
      </w:tr>
      <w:tr w14:paraId="6E2FA51A">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8BDB0C">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B45912E">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有无横撑、腰梁</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484B5D4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是否按图施工</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4998243D">
            <w:pPr>
              <w:jc w:val="center"/>
              <w:rPr>
                <w:rFonts w:ascii="等线" w:hAnsi="等线" w:eastAsia="等线" w:cs="等线"/>
                <w:color w:val="000000" w:themeColor="text1"/>
                <w:sz w:val="20"/>
                <w:szCs w:val="20"/>
                <w:highlight w:val="none"/>
                <w14:textFill>
                  <w14:solidFill>
                    <w14:schemeClr w14:val="tx1"/>
                  </w14:solidFill>
                </w14:textFill>
              </w:rPr>
            </w:pPr>
          </w:p>
        </w:tc>
      </w:tr>
      <w:tr w14:paraId="00FDA2E6">
        <w:tblPrEx>
          <w:tblCellMar>
            <w:top w:w="0" w:type="dxa"/>
            <w:left w:w="108" w:type="dxa"/>
            <w:bottom w:w="0" w:type="dxa"/>
            <w:right w:w="108" w:type="dxa"/>
          </w:tblCellMar>
        </w:tblPrEx>
        <w:trPr>
          <w:trHeight w:val="534"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DC6841">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435AA8DA">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有无配备虾壳弯</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3360D4BE">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记录数量</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7616A3BD">
            <w:pPr>
              <w:jc w:val="center"/>
              <w:rPr>
                <w:rFonts w:ascii="等线" w:hAnsi="等线" w:eastAsia="等线" w:cs="等线"/>
                <w:color w:val="000000" w:themeColor="text1"/>
                <w:sz w:val="20"/>
                <w:szCs w:val="20"/>
                <w:highlight w:val="none"/>
                <w14:textFill>
                  <w14:solidFill>
                    <w14:schemeClr w14:val="tx1"/>
                  </w14:solidFill>
                </w14:textFill>
              </w:rPr>
            </w:pPr>
          </w:p>
        </w:tc>
      </w:tr>
      <w:tr w14:paraId="322D3B92">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DE44A8">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7A2A6858">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球管胶圈</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4D9F2706">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是否完好无损</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7310F4CD">
            <w:pPr>
              <w:jc w:val="center"/>
              <w:rPr>
                <w:rFonts w:ascii="等线" w:hAnsi="等线" w:eastAsia="等线" w:cs="等线"/>
                <w:color w:val="000000" w:themeColor="text1"/>
                <w:sz w:val="20"/>
                <w:szCs w:val="20"/>
                <w:highlight w:val="none"/>
                <w14:textFill>
                  <w14:solidFill>
                    <w14:schemeClr w14:val="tx1"/>
                  </w14:solidFill>
                </w14:textFill>
              </w:rPr>
            </w:pPr>
          </w:p>
        </w:tc>
      </w:tr>
      <w:tr w14:paraId="1693A26C">
        <w:tblPrEx>
          <w:tblCellMar>
            <w:top w:w="0" w:type="dxa"/>
            <w:left w:w="108" w:type="dxa"/>
            <w:bottom w:w="0" w:type="dxa"/>
            <w:right w:w="108" w:type="dxa"/>
          </w:tblCellMar>
        </w:tblPrEx>
        <w:trPr>
          <w:trHeight w:val="449"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1AD2EF">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1A2AAC2">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管道焊接</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6CA4C528">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检测单位是否到场</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77465130">
            <w:pPr>
              <w:jc w:val="center"/>
              <w:rPr>
                <w:rFonts w:ascii="等线" w:hAnsi="等线" w:eastAsia="等线" w:cs="等线"/>
                <w:color w:val="000000" w:themeColor="text1"/>
                <w:sz w:val="20"/>
                <w:szCs w:val="20"/>
                <w:highlight w:val="none"/>
                <w14:textFill>
                  <w14:solidFill>
                    <w14:schemeClr w14:val="tx1"/>
                  </w14:solidFill>
                </w14:textFill>
              </w:rPr>
            </w:pPr>
          </w:p>
        </w:tc>
      </w:tr>
      <w:tr w14:paraId="54C051F1">
        <w:tblPrEx>
          <w:tblCellMar>
            <w:top w:w="0" w:type="dxa"/>
            <w:left w:w="108" w:type="dxa"/>
            <w:bottom w:w="0" w:type="dxa"/>
            <w:right w:w="108" w:type="dxa"/>
          </w:tblCellMar>
        </w:tblPrEx>
        <w:trPr>
          <w:trHeight w:val="411"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1BAAAC">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5914AA28">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管道防腐</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1582260">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焊接后冷却一定时间才能按图进行防腐</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470E97EE">
            <w:pPr>
              <w:jc w:val="center"/>
              <w:rPr>
                <w:rFonts w:ascii="等线" w:hAnsi="等线" w:eastAsia="等线" w:cs="等线"/>
                <w:color w:val="000000" w:themeColor="text1"/>
                <w:sz w:val="20"/>
                <w:szCs w:val="20"/>
                <w:highlight w:val="none"/>
                <w14:textFill>
                  <w14:solidFill>
                    <w14:schemeClr w14:val="tx1"/>
                  </w14:solidFill>
                </w14:textFill>
              </w:rPr>
            </w:pPr>
          </w:p>
        </w:tc>
      </w:tr>
      <w:tr w14:paraId="56A182C1">
        <w:tblPrEx>
          <w:tblCellMar>
            <w:top w:w="0" w:type="dxa"/>
            <w:left w:w="108" w:type="dxa"/>
            <w:bottom w:w="0" w:type="dxa"/>
            <w:right w:w="108" w:type="dxa"/>
          </w:tblCellMar>
        </w:tblPrEx>
        <w:trPr>
          <w:trHeight w:val="496" w:hRule="atLeast"/>
        </w:trPr>
        <w:tc>
          <w:tcPr>
            <w:tcW w:w="694" w:type="dxa"/>
            <w:vMerge w:val="restart"/>
            <w:tcBorders>
              <w:top w:val="single" w:color="000000" w:sz="4" w:space="0"/>
              <w:left w:val="single" w:color="000000" w:sz="4" w:space="0"/>
              <w:bottom w:val="single" w:color="000000" w:sz="4" w:space="0"/>
              <w:right w:val="single" w:color="000000" w:sz="4" w:space="0"/>
            </w:tcBorders>
            <w:noWrap w:val="0"/>
            <w:vAlign w:val="center"/>
          </w:tcPr>
          <w:p w14:paraId="6C720456">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b/>
                <w:bCs/>
                <w:color w:val="000000" w:themeColor="text1"/>
                <w:kern w:val="0"/>
                <w:sz w:val="20"/>
                <w:szCs w:val="20"/>
                <w:highlight w:val="none"/>
                <w:lang w:bidi="ar"/>
                <w14:textFill>
                  <w14:solidFill>
                    <w14:schemeClr w14:val="tx1"/>
                  </w14:solidFill>
                </w14:textFill>
              </w:rPr>
              <w:t>路面修复</w:t>
            </w: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203A9750">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钢板</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51630D71">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记录数量及尺寸</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6DD2F1DA">
            <w:pPr>
              <w:jc w:val="center"/>
              <w:rPr>
                <w:rFonts w:ascii="等线" w:hAnsi="等线" w:eastAsia="等线" w:cs="等线"/>
                <w:color w:val="000000" w:themeColor="text1"/>
                <w:sz w:val="20"/>
                <w:szCs w:val="20"/>
                <w:highlight w:val="none"/>
                <w14:textFill>
                  <w14:solidFill>
                    <w14:schemeClr w14:val="tx1"/>
                  </w14:solidFill>
                </w14:textFill>
              </w:rPr>
            </w:pPr>
          </w:p>
        </w:tc>
      </w:tr>
      <w:tr w14:paraId="1D42B744">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2C1DAC">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6775FE58">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沥青冷料</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0DCD2867">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记录数量</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5BB6E56F">
            <w:pPr>
              <w:jc w:val="center"/>
              <w:rPr>
                <w:rFonts w:ascii="等线" w:hAnsi="等线" w:eastAsia="等线" w:cs="等线"/>
                <w:color w:val="000000" w:themeColor="text1"/>
                <w:sz w:val="20"/>
                <w:szCs w:val="20"/>
                <w:highlight w:val="none"/>
                <w14:textFill>
                  <w14:solidFill>
                    <w14:schemeClr w14:val="tx1"/>
                  </w14:solidFill>
                </w14:textFill>
              </w:rPr>
            </w:pPr>
          </w:p>
        </w:tc>
      </w:tr>
      <w:tr w14:paraId="3BF3F35E">
        <w:tblPrEx>
          <w:tblCellMar>
            <w:top w:w="0" w:type="dxa"/>
            <w:left w:w="108" w:type="dxa"/>
            <w:bottom w:w="0" w:type="dxa"/>
            <w:right w:w="108" w:type="dxa"/>
          </w:tblCellMar>
        </w:tblPrEx>
        <w:trPr>
          <w:trHeight w:val="457"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E04C9D">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06B34688">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回填时有无分层压实</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60CE6026">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按要求达到密实度</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3DBA8FF1">
            <w:pPr>
              <w:jc w:val="center"/>
              <w:rPr>
                <w:rFonts w:ascii="等线" w:hAnsi="等线" w:eastAsia="等线" w:cs="等线"/>
                <w:color w:val="000000" w:themeColor="text1"/>
                <w:sz w:val="20"/>
                <w:szCs w:val="20"/>
                <w:highlight w:val="none"/>
                <w14:textFill>
                  <w14:solidFill>
                    <w14:schemeClr w14:val="tx1"/>
                  </w14:solidFill>
                </w14:textFill>
              </w:rPr>
            </w:pPr>
          </w:p>
        </w:tc>
      </w:tr>
      <w:tr w14:paraId="45FCB37E">
        <w:tblPrEx>
          <w:tblCellMar>
            <w:top w:w="0" w:type="dxa"/>
            <w:left w:w="108" w:type="dxa"/>
            <w:bottom w:w="0" w:type="dxa"/>
            <w:right w:w="108" w:type="dxa"/>
          </w:tblCellMar>
        </w:tblPrEx>
        <w:trPr>
          <w:trHeight w:val="749" w:hRule="atLeast"/>
        </w:trPr>
        <w:tc>
          <w:tcPr>
            <w:tcW w:w="69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5258A2">
            <w:pPr>
              <w:jc w:val="center"/>
              <w:rPr>
                <w:rFonts w:ascii="等线" w:hAnsi="等线" w:eastAsia="等线" w:cs="等线"/>
                <w:color w:val="000000" w:themeColor="text1"/>
                <w:sz w:val="20"/>
                <w:szCs w:val="20"/>
                <w:highlight w:val="none"/>
                <w14:textFill>
                  <w14:solidFill>
                    <w14:schemeClr w14:val="tx1"/>
                  </w14:solidFill>
                </w14:textFill>
              </w:rPr>
            </w:pPr>
          </w:p>
        </w:tc>
        <w:tc>
          <w:tcPr>
            <w:tcW w:w="3919" w:type="dxa"/>
            <w:tcBorders>
              <w:top w:val="single" w:color="000000" w:sz="4" w:space="0"/>
              <w:left w:val="single" w:color="000000" w:sz="4" w:space="0"/>
              <w:bottom w:val="single" w:color="000000" w:sz="4" w:space="0"/>
              <w:right w:val="single" w:color="000000" w:sz="4" w:space="0"/>
            </w:tcBorders>
            <w:noWrap w:val="0"/>
            <w:vAlign w:val="center"/>
          </w:tcPr>
          <w:p w14:paraId="37BE9823">
            <w:pPr>
              <w:widowControl/>
              <w:jc w:val="center"/>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恢复后有无坑洼不平</w:t>
            </w:r>
          </w:p>
        </w:tc>
        <w:tc>
          <w:tcPr>
            <w:tcW w:w="3693" w:type="dxa"/>
            <w:tcBorders>
              <w:top w:val="single" w:color="000000" w:sz="4" w:space="0"/>
              <w:left w:val="single" w:color="000000" w:sz="4" w:space="0"/>
              <w:bottom w:val="single" w:color="000000" w:sz="4" w:space="0"/>
              <w:right w:val="single" w:color="000000" w:sz="4" w:space="0"/>
            </w:tcBorders>
            <w:noWrap w:val="0"/>
            <w:vAlign w:val="center"/>
          </w:tcPr>
          <w:p w14:paraId="2D8A93E8">
            <w:pPr>
              <w:widowControl/>
              <w:jc w:val="left"/>
              <w:textAlignment w:val="center"/>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每次2日对路面进行巡查，把照片发到工作群内</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47E884D3">
            <w:pPr>
              <w:jc w:val="center"/>
              <w:rPr>
                <w:rFonts w:ascii="等线" w:hAnsi="等线" w:eastAsia="等线" w:cs="等线"/>
                <w:color w:val="000000" w:themeColor="text1"/>
                <w:sz w:val="20"/>
                <w:szCs w:val="20"/>
                <w:highlight w:val="none"/>
                <w14:textFill>
                  <w14:solidFill>
                    <w14:schemeClr w14:val="tx1"/>
                  </w14:solidFill>
                </w14:textFill>
              </w:rPr>
            </w:pPr>
          </w:p>
        </w:tc>
      </w:tr>
      <w:tr w14:paraId="3C1103E2">
        <w:tblPrEx>
          <w:tblCellMar>
            <w:top w:w="0" w:type="dxa"/>
            <w:left w:w="108" w:type="dxa"/>
            <w:bottom w:w="0" w:type="dxa"/>
            <w:right w:w="108" w:type="dxa"/>
          </w:tblCellMar>
        </w:tblPrEx>
        <w:trPr>
          <w:trHeight w:val="624" w:hRule="atLeast"/>
        </w:trPr>
        <w:tc>
          <w:tcPr>
            <w:tcW w:w="9750" w:type="dxa"/>
            <w:gridSpan w:val="4"/>
            <w:vMerge w:val="restart"/>
            <w:tcBorders>
              <w:top w:val="single" w:color="000000" w:sz="4" w:space="0"/>
              <w:left w:val="single" w:color="000000" w:sz="4" w:space="0"/>
              <w:bottom w:val="single" w:color="000000" w:sz="4" w:space="0"/>
              <w:right w:val="single" w:color="000000" w:sz="4" w:space="0"/>
            </w:tcBorders>
            <w:noWrap w:val="0"/>
            <w:vAlign w:val="top"/>
          </w:tcPr>
          <w:p w14:paraId="13C6F519">
            <w:pPr>
              <w:widowControl/>
              <w:jc w:val="left"/>
              <w:textAlignment w:val="top"/>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其他需落实工作：</w:t>
            </w:r>
          </w:p>
        </w:tc>
      </w:tr>
      <w:tr w14:paraId="25E6A3A9">
        <w:tblPrEx>
          <w:tblCellMar>
            <w:top w:w="0" w:type="dxa"/>
            <w:left w:w="108" w:type="dxa"/>
            <w:bottom w:w="0" w:type="dxa"/>
            <w:right w:w="108" w:type="dxa"/>
          </w:tblCellMar>
        </w:tblPrEx>
        <w:trPr>
          <w:trHeight w:val="624"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noWrap w:val="0"/>
            <w:vAlign w:val="top"/>
          </w:tcPr>
          <w:p w14:paraId="5A3767D0">
            <w:pPr>
              <w:jc w:val="left"/>
              <w:rPr>
                <w:rFonts w:ascii="等线" w:hAnsi="等线" w:eastAsia="等线" w:cs="等线"/>
                <w:color w:val="000000" w:themeColor="text1"/>
                <w:sz w:val="20"/>
                <w:szCs w:val="20"/>
                <w:highlight w:val="none"/>
                <w14:textFill>
                  <w14:solidFill>
                    <w14:schemeClr w14:val="tx1"/>
                  </w14:solidFill>
                </w14:textFill>
              </w:rPr>
            </w:pPr>
          </w:p>
        </w:tc>
      </w:tr>
      <w:tr w14:paraId="1ECDE53B">
        <w:tblPrEx>
          <w:tblCellMar>
            <w:top w:w="0" w:type="dxa"/>
            <w:left w:w="108" w:type="dxa"/>
            <w:bottom w:w="0" w:type="dxa"/>
            <w:right w:w="108" w:type="dxa"/>
          </w:tblCellMar>
        </w:tblPrEx>
        <w:trPr>
          <w:trHeight w:val="624"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noWrap w:val="0"/>
            <w:vAlign w:val="top"/>
          </w:tcPr>
          <w:p w14:paraId="09CC111B">
            <w:pPr>
              <w:jc w:val="left"/>
              <w:rPr>
                <w:rFonts w:ascii="等线" w:hAnsi="等线" w:eastAsia="等线" w:cs="等线"/>
                <w:color w:val="000000" w:themeColor="text1"/>
                <w:sz w:val="20"/>
                <w:szCs w:val="20"/>
                <w:highlight w:val="none"/>
                <w14:textFill>
                  <w14:solidFill>
                    <w14:schemeClr w14:val="tx1"/>
                  </w14:solidFill>
                </w14:textFill>
              </w:rPr>
            </w:pPr>
          </w:p>
        </w:tc>
      </w:tr>
      <w:tr w14:paraId="3C209B63">
        <w:tblPrEx>
          <w:tblCellMar>
            <w:top w:w="0" w:type="dxa"/>
            <w:left w:w="108" w:type="dxa"/>
            <w:bottom w:w="0" w:type="dxa"/>
            <w:right w:w="108" w:type="dxa"/>
          </w:tblCellMar>
        </w:tblPrEx>
        <w:trPr>
          <w:trHeight w:val="624"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noWrap w:val="0"/>
            <w:vAlign w:val="top"/>
          </w:tcPr>
          <w:p w14:paraId="05DF6934">
            <w:pPr>
              <w:jc w:val="left"/>
              <w:rPr>
                <w:rFonts w:ascii="等线" w:hAnsi="等线" w:eastAsia="等线" w:cs="等线"/>
                <w:color w:val="000000" w:themeColor="text1"/>
                <w:sz w:val="20"/>
                <w:szCs w:val="20"/>
                <w:highlight w:val="none"/>
                <w14:textFill>
                  <w14:solidFill>
                    <w14:schemeClr w14:val="tx1"/>
                  </w14:solidFill>
                </w14:textFill>
              </w:rPr>
            </w:pPr>
          </w:p>
        </w:tc>
      </w:tr>
      <w:tr w14:paraId="26F14574">
        <w:tblPrEx>
          <w:tblCellMar>
            <w:top w:w="0" w:type="dxa"/>
            <w:left w:w="108" w:type="dxa"/>
            <w:bottom w:w="0" w:type="dxa"/>
            <w:right w:w="108" w:type="dxa"/>
          </w:tblCellMar>
        </w:tblPrEx>
        <w:trPr>
          <w:trHeight w:val="312"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noWrap w:val="0"/>
            <w:vAlign w:val="top"/>
          </w:tcPr>
          <w:p w14:paraId="212FF258">
            <w:pPr>
              <w:jc w:val="left"/>
              <w:rPr>
                <w:rFonts w:ascii="等线" w:hAnsi="等线" w:eastAsia="等线" w:cs="等线"/>
                <w:color w:val="000000" w:themeColor="text1"/>
                <w:sz w:val="20"/>
                <w:szCs w:val="20"/>
                <w:highlight w:val="none"/>
                <w14:textFill>
                  <w14:solidFill>
                    <w14:schemeClr w14:val="tx1"/>
                  </w14:solidFill>
                </w14:textFill>
              </w:rPr>
            </w:pPr>
          </w:p>
        </w:tc>
      </w:tr>
      <w:tr w14:paraId="6D1DC9F5">
        <w:tblPrEx>
          <w:tblCellMar>
            <w:top w:w="0" w:type="dxa"/>
            <w:left w:w="108" w:type="dxa"/>
            <w:bottom w:w="0" w:type="dxa"/>
            <w:right w:w="108" w:type="dxa"/>
          </w:tblCellMar>
        </w:tblPrEx>
        <w:trPr>
          <w:trHeight w:val="624" w:hRule="atLeast"/>
        </w:trPr>
        <w:tc>
          <w:tcPr>
            <w:tcW w:w="4613" w:type="dxa"/>
            <w:gridSpan w:val="2"/>
            <w:vMerge w:val="restart"/>
            <w:tcBorders>
              <w:top w:val="single" w:color="000000" w:sz="4" w:space="0"/>
              <w:left w:val="single" w:color="000000" w:sz="4" w:space="0"/>
              <w:bottom w:val="single" w:color="000000" w:sz="4" w:space="0"/>
              <w:right w:val="single" w:color="000000" w:sz="4" w:space="0"/>
            </w:tcBorders>
            <w:noWrap w:val="0"/>
            <w:vAlign w:val="top"/>
          </w:tcPr>
          <w:p w14:paraId="4122072F">
            <w:pPr>
              <w:widowControl/>
              <w:jc w:val="left"/>
              <w:textAlignment w:val="top"/>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施工路段：</w:t>
            </w:r>
          </w:p>
        </w:tc>
        <w:tc>
          <w:tcPr>
            <w:tcW w:w="5137" w:type="dxa"/>
            <w:gridSpan w:val="2"/>
            <w:vMerge w:val="restart"/>
            <w:tcBorders>
              <w:top w:val="single" w:color="000000" w:sz="4" w:space="0"/>
              <w:left w:val="single" w:color="000000" w:sz="4" w:space="0"/>
              <w:bottom w:val="single" w:color="000000" w:sz="4" w:space="0"/>
              <w:right w:val="single" w:color="000000" w:sz="4" w:space="0"/>
            </w:tcBorders>
            <w:noWrap w:val="0"/>
            <w:vAlign w:val="top"/>
          </w:tcPr>
          <w:p w14:paraId="74A5A716">
            <w:pPr>
              <w:widowControl/>
              <w:jc w:val="left"/>
              <w:textAlignment w:val="top"/>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值班业主代表：</w:t>
            </w:r>
          </w:p>
        </w:tc>
      </w:tr>
      <w:tr w14:paraId="7963B7CE">
        <w:tblPrEx>
          <w:tblCellMar>
            <w:top w:w="0" w:type="dxa"/>
            <w:left w:w="108" w:type="dxa"/>
            <w:bottom w:w="0" w:type="dxa"/>
            <w:right w:w="108" w:type="dxa"/>
          </w:tblCellMar>
        </w:tblPrEx>
        <w:trPr>
          <w:trHeight w:val="312" w:hRule="atLeast"/>
        </w:trPr>
        <w:tc>
          <w:tcPr>
            <w:tcW w:w="4613" w:type="dxa"/>
            <w:gridSpan w:val="2"/>
            <w:vMerge w:val="continue"/>
            <w:tcBorders>
              <w:top w:val="single" w:color="000000" w:sz="4" w:space="0"/>
              <w:left w:val="single" w:color="000000" w:sz="4" w:space="0"/>
              <w:bottom w:val="single" w:color="000000" w:sz="4" w:space="0"/>
              <w:right w:val="single" w:color="000000" w:sz="4" w:space="0"/>
            </w:tcBorders>
            <w:noWrap w:val="0"/>
            <w:vAlign w:val="top"/>
          </w:tcPr>
          <w:p w14:paraId="684ACFDE">
            <w:pPr>
              <w:jc w:val="left"/>
              <w:rPr>
                <w:rFonts w:ascii="等线" w:hAnsi="等线" w:eastAsia="等线" w:cs="等线"/>
                <w:color w:val="000000" w:themeColor="text1"/>
                <w:sz w:val="20"/>
                <w:szCs w:val="20"/>
                <w:highlight w:val="none"/>
                <w14:textFill>
                  <w14:solidFill>
                    <w14:schemeClr w14:val="tx1"/>
                  </w14:solidFill>
                </w14:textFill>
              </w:rPr>
            </w:pPr>
          </w:p>
        </w:tc>
        <w:tc>
          <w:tcPr>
            <w:tcW w:w="5137" w:type="dxa"/>
            <w:gridSpan w:val="2"/>
            <w:vMerge w:val="continue"/>
            <w:tcBorders>
              <w:top w:val="single" w:color="000000" w:sz="4" w:space="0"/>
              <w:left w:val="single" w:color="000000" w:sz="4" w:space="0"/>
              <w:bottom w:val="single" w:color="000000" w:sz="4" w:space="0"/>
              <w:right w:val="single" w:color="000000" w:sz="4" w:space="0"/>
            </w:tcBorders>
            <w:noWrap w:val="0"/>
            <w:vAlign w:val="top"/>
          </w:tcPr>
          <w:p w14:paraId="28235C59">
            <w:pPr>
              <w:jc w:val="left"/>
              <w:rPr>
                <w:rFonts w:ascii="等线" w:hAnsi="等线" w:eastAsia="等线" w:cs="等线"/>
                <w:color w:val="000000" w:themeColor="text1"/>
                <w:sz w:val="20"/>
                <w:szCs w:val="20"/>
                <w:highlight w:val="none"/>
                <w14:textFill>
                  <w14:solidFill>
                    <w14:schemeClr w14:val="tx1"/>
                  </w14:solidFill>
                </w14:textFill>
              </w:rPr>
            </w:pPr>
          </w:p>
        </w:tc>
      </w:tr>
      <w:tr w14:paraId="42F41CE8">
        <w:tblPrEx>
          <w:tblCellMar>
            <w:top w:w="0" w:type="dxa"/>
            <w:left w:w="108" w:type="dxa"/>
            <w:bottom w:w="0" w:type="dxa"/>
            <w:right w:w="108" w:type="dxa"/>
          </w:tblCellMar>
        </w:tblPrEx>
        <w:trPr>
          <w:trHeight w:val="624" w:hRule="atLeast"/>
        </w:trPr>
        <w:tc>
          <w:tcPr>
            <w:tcW w:w="4613" w:type="dxa"/>
            <w:gridSpan w:val="2"/>
            <w:vMerge w:val="restart"/>
            <w:tcBorders>
              <w:top w:val="single" w:color="000000" w:sz="4" w:space="0"/>
              <w:left w:val="single" w:color="000000" w:sz="4" w:space="0"/>
              <w:bottom w:val="single" w:color="000000" w:sz="4" w:space="0"/>
              <w:right w:val="single" w:color="000000" w:sz="4" w:space="0"/>
            </w:tcBorders>
            <w:noWrap w:val="0"/>
            <w:vAlign w:val="top"/>
          </w:tcPr>
          <w:p w14:paraId="54C0BAF3">
            <w:pPr>
              <w:widowControl/>
              <w:jc w:val="left"/>
              <w:textAlignment w:val="top"/>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旁站监理：</w:t>
            </w:r>
          </w:p>
        </w:tc>
        <w:tc>
          <w:tcPr>
            <w:tcW w:w="5137" w:type="dxa"/>
            <w:gridSpan w:val="2"/>
            <w:vMerge w:val="restart"/>
            <w:tcBorders>
              <w:top w:val="single" w:color="000000" w:sz="4" w:space="0"/>
              <w:left w:val="single" w:color="000000" w:sz="4" w:space="0"/>
              <w:bottom w:val="single" w:color="000000" w:sz="4" w:space="0"/>
              <w:right w:val="single" w:color="000000" w:sz="4" w:space="0"/>
            </w:tcBorders>
            <w:noWrap w:val="0"/>
            <w:vAlign w:val="top"/>
          </w:tcPr>
          <w:p w14:paraId="30586101">
            <w:pPr>
              <w:widowControl/>
              <w:jc w:val="left"/>
              <w:textAlignment w:val="top"/>
              <w:rPr>
                <w:rFonts w:ascii="等线" w:hAnsi="等线" w:eastAsia="等线" w:cs="等线"/>
                <w:color w:val="000000" w:themeColor="text1"/>
                <w:sz w:val="20"/>
                <w:szCs w:val="20"/>
                <w:highlight w:val="none"/>
                <w14:textFill>
                  <w14:solidFill>
                    <w14:schemeClr w14:val="tx1"/>
                  </w14:solidFill>
                </w14:textFill>
              </w:rPr>
            </w:pPr>
            <w:r>
              <w:rPr>
                <w:rFonts w:hint="eastAsia" w:ascii="等线" w:hAnsi="等线" w:eastAsia="等线" w:cs="等线"/>
                <w:color w:val="000000" w:themeColor="text1"/>
                <w:kern w:val="0"/>
                <w:sz w:val="20"/>
                <w:szCs w:val="20"/>
                <w:highlight w:val="none"/>
                <w:lang w:bidi="ar"/>
                <w14:textFill>
                  <w14:solidFill>
                    <w14:schemeClr w14:val="tx1"/>
                  </w14:solidFill>
                </w14:textFill>
              </w:rPr>
              <w:t>施工负责人：</w:t>
            </w:r>
          </w:p>
        </w:tc>
      </w:tr>
      <w:tr w14:paraId="4F4C86B8">
        <w:tblPrEx>
          <w:tblCellMar>
            <w:top w:w="0" w:type="dxa"/>
            <w:left w:w="108" w:type="dxa"/>
            <w:bottom w:w="0" w:type="dxa"/>
            <w:right w:w="108" w:type="dxa"/>
          </w:tblCellMar>
        </w:tblPrEx>
        <w:trPr>
          <w:trHeight w:val="312" w:hRule="atLeast"/>
        </w:trPr>
        <w:tc>
          <w:tcPr>
            <w:tcW w:w="4613" w:type="dxa"/>
            <w:gridSpan w:val="2"/>
            <w:vMerge w:val="continue"/>
            <w:tcBorders>
              <w:top w:val="single" w:color="000000" w:sz="4" w:space="0"/>
              <w:left w:val="single" w:color="000000" w:sz="4" w:space="0"/>
              <w:bottom w:val="single" w:color="000000" w:sz="4" w:space="0"/>
              <w:right w:val="single" w:color="000000" w:sz="4" w:space="0"/>
            </w:tcBorders>
            <w:noWrap w:val="0"/>
            <w:vAlign w:val="top"/>
          </w:tcPr>
          <w:p w14:paraId="36124900">
            <w:pPr>
              <w:jc w:val="left"/>
              <w:rPr>
                <w:rFonts w:ascii="等线" w:hAnsi="等线" w:eastAsia="等线" w:cs="等线"/>
                <w:color w:val="000000" w:themeColor="text1"/>
                <w:sz w:val="20"/>
                <w:szCs w:val="20"/>
                <w:highlight w:val="none"/>
                <w14:textFill>
                  <w14:solidFill>
                    <w14:schemeClr w14:val="tx1"/>
                  </w14:solidFill>
                </w14:textFill>
              </w:rPr>
            </w:pPr>
          </w:p>
        </w:tc>
        <w:tc>
          <w:tcPr>
            <w:tcW w:w="5137" w:type="dxa"/>
            <w:gridSpan w:val="2"/>
            <w:vMerge w:val="continue"/>
            <w:tcBorders>
              <w:top w:val="single" w:color="000000" w:sz="4" w:space="0"/>
              <w:left w:val="single" w:color="000000" w:sz="4" w:space="0"/>
              <w:bottom w:val="single" w:color="000000" w:sz="4" w:space="0"/>
              <w:right w:val="single" w:color="000000" w:sz="4" w:space="0"/>
            </w:tcBorders>
            <w:noWrap w:val="0"/>
            <w:vAlign w:val="top"/>
          </w:tcPr>
          <w:p w14:paraId="1F457107">
            <w:pPr>
              <w:jc w:val="left"/>
              <w:rPr>
                <w:rFonts w:ascii="等线" w:hAnsi="等线" w:eastAsia="等线" w:cs="等线"/>
                <w:color w:val="000000" w:themeColor="text1"/>
                <w:sz w:val="20"/>
                <w:szCs w:val="20"/>
                <w:highlight w:val="none"/>
                <w14:textFill>
                  <w14:solidFill>
                    <w14:schemeClr w14:val="tx1"/>
                  </w14:solidFill>
                </w14:textFill>
              </w:rPr>
            </w:pPr>
          </w:p>
        </w:tc>
      </w:tr>
    </w:tbl>
    <w:p w14:paraId="7B488E2E">
      <w:pPr>
        <w:rPr>
          <w:rFonts w:ascii="黑体" w:hAnsi="黑体" w:eastAsia="黑体" w:cs="黑体"/>
          <w:color w:val="000000" w:themeColor="text1"/>
          <w:highlight w:val="none"/>
          <w14:textFill>
            <w14:solidFill>
              <w14:schemeClr w14:val="tx1"/>
            </w14:solidFill>
          </w14:textFill>
        </w:rPr>
        <w:sectPr>
          <w:pgSz w:w="11905" w:h="16838"/>
          <w:pgMar w:top="1440" w:right="1800" w:bottom="1440" w:left="1800" w:header="0" w:footer="0" w:gutter="0"/>
          <w:pgNumType w:fmt="decimal"/>
          <w:cols w:space="720" w:num="1"/>
          <w:titlePg/>
          <w:rtlGutter w:val="0"/>
          <w:docGrid w:linePitch="312" w:charSpace="0"/>
        </w:sectPr>
      </w:pPr>
    </w:p>
    <w:tbl>
      <w:tblPr>
        <w:tblStyle w:val="38"/>
        <w:tblW w:w="9506" w:type="dxa"/>
        <w:tblInd w:w="-333" w:type="dxa"/>
        <w:tblLayout w:type="fixed"/>
        <w:tblCellMar>
          <w:top w:w="0" w:type="dxa"/>
          <w:left w:w="108" w:type="dxa"/>
          <w:bottom w:w="0" w:type="dxa"/>
          <w:right w:w="108" w:type="dxa"/>
        </w:tblCellMar>
      </w:tblPr>
      <w:tblGrid>
        <w:gridCol w:w="1106"/>
        <w:gridCol w:w="909"/>
        <w:gridCol w:w="776"/>
        <w:gridCol w:w="2984"/>
        <w:gridCol w:w="1014"/>
        <w:gridCol w:w="2717"/>
      </w:tblGrid>
      <w:tr w14:paraId="3F6392FE">
        <w:tblPrEx>
          <w:tblCellMar>
            <w:top w:w="0" w:type="dxa"/>
            <w:left w:w="108" w:type="dxa"/>
            <w:bottom w:w="0" w:type="dxa"/>
            <w:right w:w="108" w:type="dxa"/>
          </w:tblCellMar>
        </w:tblPrEx>
        <w:trPr>
          <w:trHeight w:val="1079" w:hRule="atLeast"/>
        </w:trPr>
        <w:tc>
          <w:tcPr>
            <w:tcW w:w="9506" w:type="dxa"/>
            <w:gridSpan w:val="6"/>
            <w:tcBorders>
              <w:top w:val="nil"/>
              <w:left w:val="nil"/>
              <w:bottom w:val="nil"/>
              <w:right w:val="nil"/>
            </w:tcBorders>
            <w:noWrap/>
            <w:vAlign w:val="center"/>
          </w:tcPr>
          <w:p w14:paraId="35770C6F">
            <w:pPr>
              <w:ind w:right="87" w:firstLine="480" w:firstLineChars="200"/>
              <w:rPr>
                <w:rFonts w:hint="default" w:ascii="黑体" w:hAnsi="黑体" w:eastAsia="黑体" w:cs="黑体"/>
                <w:b w:val="0"/>
                <w:bCs w:val="0"/>
                <w:color w:val="000000" w:themeColor="text1"/>
                <w:sz w:val="24"/>
                <w:szCs w:val="24"/>
                <w:highlight w:val="none"/>
                <w:lang w:val="en-US" w:eastAsia="zh-CN"/>
                <w14:textFill>
                  <w14:solidFill>
                    <w14:schemeClr w14:val="tx1"/>
                  </w14:solidFill>
                </w14:textFill>
              </w:rPr>
            </w:pPr>
            <w:permStart w:id="434" w:edGrp="everyone"/>
            <w:r>
              <w:rPr>
                <w:rFonts w:hint="eastAsia" w:ascii="黑体" w:hAnsi="黑体" w:eastAsia="黑体" w:cs="黑体"/>
                <w:b w:val="0"/>
                <w:bCs w:val="0"/>
                <w:color w:val="000000" w:themeColor="text1"/>
                <w:sz w:val="24"/>
                <w:szCs w:val="24"/>
                <w:highlight w:val="none"/>
                <w14:textFill>
                  <w14:solidFill>
                    <w14:schemeClr w14:val="tx1"/>
                  </w14:solidFill>
                </w14:textFill>
              </w:rPr>
              <w:t>附件</w:t>
            </w: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12</w:t>
            </w:r>
          </w:p>
          <w:permEnd w:id="434"/>
          <w:p w14:paraId="49FB7960">
            <w:pPr>
              <w:widowControl/>
              <w:jc w:val="center"/>
              <w:textAlignment w:val="center"/>
              <w:rPr>
                <w:rFonts w:ascii="方正小标宋简体" w:hAnsi="方正小标宋简体" w:eastAsia="方正小标宋简体" w:cs="方正小标宋简体"/>
                <w:color w:val="000000" w:themeColor="text1"/>
                <w:sz w:val="56"/>
                <w:szCs w:val="56"/>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2"/>
                <w:szCs w:val="32"/>
                <w:highlight w:val="none"/>
                <w14:textFill>
                  <w14:solidFill>
                    <w14:schemeClr w14:val="tx1"/>
                  </w14:solidFill>
                </w14:textFill>
              </w:rPr>
              <w:t>夜间施工标准化清单</w:t>
            </w:r>
          </w:p>
        </w:tc>
      </w:tr>
      <w:tr w14:paraId="5222AC58">
        <w:tblPrEx>
          <w:tblCellMar>
            <w:top w:w="0" w:type="dxa"/>
            <w:left w:w="108" w:type="dxa"/>
            <w:bottom w:w="0" w:type="dxa"/>
            <w:right w:w="108" w:type="dxa"/>
          </w:tblCellMar>
        </w:tblPrEx>
        <w:trPr>
          <w:trHeight w:val="748" w:hRule="atLeast"/>
        </w:trPr>
        <w:tc>
          <w:tcPr>
            <w:tcW w:w="2015" w:type="dxa"/>
            <w:gridSpan w:val="2"/>
            <w:tcBorders>
              <w:top w:val="nil"/>
              <w:left w:val="nil"/>
              <w:bottom w:val="single" w:color="000000" w:sz="8" w:space="0"/>
              <w:right w:val="nil"/>
            </w:tcBorders>
            <w:noWrap/>
            <w:vAlign w:val="center"/>
          </w:tcPr>
          <w:p w14:paraId="656D7BC8">
            <w:pPr>
              <w:widowControl/>
              <w:jc w:val="left"/>
              <w:textAlignment w:val="center"/>
              <w:rPr>
                <w:rFonts w:ascii="等线" w:hAnsi="等线" w:eastAsia="等线" w:cs="等线"/>
                <w:color w:val="000000" w:themeColor="text1"/>
                <w:sz w:val="36"/>
                <w:szCs w:val="36"/>
                <w:highlight w:val="none"/>
                <w14:textFill>
                  <w14:solidFill>
                    <w14:schemeClr w14:val="tx1"/>
                  </w14:solidFill>
                </w14:textFill>
              </w:rPr>
            </w:pPr>
            <w:r>
              <w:rPr>
                <w:rFonts w:hint="eastAsia" w:ascii="等线" w:hAnsi="等线" w:eastAsia="等线" w:cs="等线"/>
                <w:color w:val="000000" w:themeColor="text1"/>
                <w:kern w:val="0"/>
                <w:sz w:val="18"/>
                <w:szCs w:val="18"/>
                <w:highlight w:val="none"/>
                <w:lang w:bidi="ar"/>
                <w14:textFill>
                  <w14:solidFill>
                    <w14:schemeClr w14:val="tx1"/>
                  </w14:solidFill>
                </w14:textFill>
              </w:rPr>
              <w:t>工程名称：</w:t>
            </w:r>
            <w:r>
              <w:rPr>
                <w:rFonts w:hint="eastAsia" w:ascii="等线" w:hAnsi="等线" w:eastAsia="等线" w:cs="等线"/>
                <w:color w:val="000000" w:themeColor="text1"/>
                <w:kern w:val="0"/>
                <w:sz w:val="36"/>
                <w:szCs w:val="36"/>
                <w:highlight w:val="none"/>
                <w:lang w:bidi="ar"/>
                <w14:textFill>
                  <w14:solidFill>
                    <w14:schemeClr w14:val="tx1"/>
                  </w14:solidFill>
                </w14:textFill>
              </w:rPr>
              <w:t>　　　　　　　　　　　　　　　　　　　　　　　　　</w:t>
            </w:r>
          </w:p>
        </w:tc>
        <w:tc>
          <w:tcPr>
            <w:tcW w:w="776" w:type="dxa"/>
            <w:tcBorders>
              <w:top w:val="nil"/>
              <w:left w:val="nil"/>
              <w:bottom w:val="single" w:color="000000" w:sz="8" w:space="0"/>
              <w:right w:val="nil"/>
            </w:tcBorders>
            <w:noWrap/>
            <w:vAlign w:val="bottom"/>
          </w:tcPr>
          <w:p w14:paraId="61BEFB73">
            <w:pPr>
              <w:rPr>
                <w:rFonts w:ascii="等线" w:hAnsi="等线" w:eastAsia="等线" w:cs="等线"/>
                <w:color w:val="000000" w:themeColor="text1"/>
                <w:sz w:val="36"/>
                <w:szCs w:val="36"/>
                <w:highlight w:val="none"/>
                <w14:textFill>
                  <w14:solidFill>
                    <w14:schemeClr w14:val="tx1"/>
                  </w14:solidFill>
                </w14:textFill>
              </w:rPr>
            </w:pPr>
          </w:p>
        </w:tc>
        <w:tc>
          <w:tcPr>
            <w:tcW w:w="3998" w:type="dxa"/>
            <w:gridSpan w:val="2"/>
            <w:tcBorders>
              <w:top w:val="nil"/>
              <w:left w:val="nil"/>
              <w:bottom w:val="single" w:color="000000" w:sz="8" w:space="0"/>
              <w:right w:val="nil"/>
            </w:tcBorders>
            <w:noWrap/>
            <w:vAlign w:val="bottom"/>
          </w:tcPr>
          <w:p w14:paraId="6A46C754">
            <w:pPr>
              <w:rPr>
                <w:rFonts w:ascii="等线" w:hAnsi="等线" w:eastAsia="等线" w:cs="等线"/>
                <w:color w:val="000000" w:themeColor="text1"/>
                <w:sz w:val="36"/>
                <w:szCs w:val="36"/>
                <w:highlight w:val="none"/>
                <w14:textFill>
                  <w14:solidFill>
                    <w14:schemeClr w14:val="tx1"/>
                  </w14:solidFill>
                </w14:textFill>
              </w:rPr>
            </w:pPr>
          </w:p>
        </w:tc>
        <w:tc>
          <w:tcPr>
            <w:tcW w:w="2717" w:type="dxa"/>
            <w:tcBorders>
              <w:top w:val="nil"/>
              <w:left w:val="nil"/>
              <w:bottom w:val="single" w:color="000000" w:sz="8" w:space="0"/>
              <w:right w:val="nil"/>
            </w:tcBorders>
            <w:noWrap/>
            <w:vAlign w:val="bottom"/>
          </w:tcPr>
          <w:p w14:paraId="41D29E27">
            <w:pPr>
              <w:rPr>
                <w:rFonts w:ascii="等线" w:hAnsi="等线" w:eastAsia="等线" w:cs="等线"/>
                <w:color w:val="000000" w:themeColor="text1"/>
                <w:sz w:val="36"/>
                <w:szCs w:val="36"/>
                <w:highlight w:val="none"/>
                <w14:textFill>
                  <w14:solidFill>
                    <w14:schemeClr w14:val="tx1"/>
                  </w14:solidFill>
                </w14:textFill>
              </w:rPr>
            </w:pPr>
          </w:p>
        </w:tc>
      </w:tr>
      <w:tr w14:paraId="35704180">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noWrap w:val="0"/>
            <w:vAlign w:val="top"/>
          </w:tcPr>
          <w:p w14:paraId="31F96CD1">
            <w:pPr>
              <w:widowControl/>
              <w:jc w:val="left"/>
              <w:textAlignment w:val="top"/>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 xml:space="preserve">  工序时间</w:t>
            </w:r>
          </w:p>
          <w:p w14:paraId="38C6B4A6">
            <w:pPr>
              <w:widowControl/>
              <w:jc w:val="left"/>
              <w:textAlignment w:val="top"/>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 xml:space="preserve">                  要素                </w:t>
            </w:r>
          </w:p>
        </w:tc>
        <w:tc>
          <w:tcPr>
            <w:tcW w:w="4669" w:type="dxa"/>
            <w:gridSpan w:val="3"/>
            <w:tcBorders>
              <w:top w:val="nil"/>
              <w:left w:val="single" w:color="000000" w:sz="4" w:space="0"/>
              <w:bottom w:val="single" w:color="000000" w:sz="4" w:space="0"/>
              <w:right w:val="single" w:color="000000" w:sz="4" w:space="0"/>
            </w:tcBorders>
            <w:noWrap/>
            <w:vAlign w:val="center"/>
          </w:tcPr>
          <w:p w14:paraId="2DE32D52">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T1（21：30-22：15）</w:t>
            </w:r>
          </w:p>
        </w:tc>
        <w:tc>
          <w:tcPr>
            <w:tcW w:w="3731" w:type="dxa"/>
            <w:gridSpan w:val="2"/>
            <w:tcBorders>
              <w:top w:val="nil"/>
              <w:left w:val="single" w:color="000000" w:sz="4" w:space="0"/>
              <w:bottom w:val="single" w:color="000000" w:sz="4" w:space="0"/>
              <w:right w:val="single" w:color="000000" w:sz="4" w:space="0"/>
            </w:tcBorders>
            <w:noWrap/>
            <w:vAlign w:val="center"/>
          </w:tcPr>
          <w:p w14:paraId="74B35472">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T2（22：15-00：30）</w:t>
            </w:r>
          </w:p>
        </w:tc>
      </w:tr>
      <w:tr w14:paraId="2C9814CC">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000000" w:sz="4" w:space="0"/>
              <w:right w:val="single" w:color="000000" w:sz="4" w:space="0"/>
              <w:tl2br w:val="single" w:color="000000" w:sz="4" w:space="0"/>
            </w:tcBorders>
            <w:noWrap w:val="0"/>
            <w:vAlign w:val="top"/>
          </w:tcPr>
          <w:p w14:paraId="5033A0C9">
            <w:pPr>
              <w:jc w:val="left"/>
              <w:rPr>
                <w:rFonts w:ascii="微软雅黑" w:hAnsi="微软雅黑" w:eastAsia="微软雅黑" w:cs="微软雅黑"/>
                <w:color w:val="000000" w:themeColor="text1"/>
                <w:sz w:val="16"/>
                <w:szCs w:val="16"/>
                <w:highlight w:val="none"/>
                <w14:textFill>
                  <w14:solidFill>
                    <w14:schemeClr w14:val="tx1"/>
                  </w14:solidFill>
                </w14:textFill>
              </w:rPr>
            </w:pPr>
          </w:p>
        </w:tc>
        <w:tc>
          <w:tcPr>
            <w:tcW w:w="4669" w:type="dxa"/>
            <w:gridSpan w:val="3"/>
            <w:tcBorders>
              <w:top w:val="single" w:color="000000" w:sz="4" w:space="0"/>
              <w:left w:val="single" w:color="000000" w:sz="4" w:space="0"/>
              <w:bottom w:val="single" w:color="000000" w:sz="4" w:space="0"/>
              <w:right w:val="single" w:color="000000" w:sz="4" w:space="0"/>
            </w:tcBorders>
            <w:noWrap/>
            <w:vAlign w:val="center"/>
          </w:tcPr>
          <w:p w14:paraId="6C39D736">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施工前准备工作、交疏围蔽</w:t>
            </w:r>
          </w:p>
        </w:tc>
        <w:tc>
          <w:tcPr>
            <w:tcW w:w="3731" w:type="dxa"/>
            <w:gridSpan w:val="2"/>
            <w:tcBorders>
              <w:top w:val="single" w:color="000000" w:sz="4" w:space="0"/>
              <w:left w:val="single" w:color="000000" w:sz="4" w:space="0"/>
              <w:bottom w:val="single" w:color="000000" w:sz="4" w:space="0"/>
              <w:right w:val="single" w:color="000000" w:sz="4" w:space="0"/>
            </w:tcBorders>
            <w:noWrap w:val="0"/>
            <w:vAlign w:val="center"/>
          </w:tcPr>
          <w:p w14:paraId="29BC730D">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路面打凿、管坑支护、管坑开挖、测量标高</w:t>
            </w:r>
          </w:p>
        </w:tc>
      </w:tr>
      <w:tr w14:paraId="6285E4DD">
        <w:tblPrEx>
          <w:tblCellMar>
            <w:top w:w="0" w:type="dxa"/>
            <w:left w:w="108" w:type="dxa"/>
            <w:bottom w:w="0" w:type="dxa"/>
            <w:right w:w="108" w:type="dxa"/>
          </w:tblCellMar>
        </w:tblPrEx>
        <w:trPr>
          <w:trHeight w:val="6518" w:hRule="atLeast"/>
        </w:trPr>
        <w:tc>
          <w:tcPr>
            <w:tcW w:w="1106" w:type="dxa"/>
            <w:tcBorders>
              <w:top w:val="single" w:color="000000" w:sz="4" w:space="0"/>
              <w:left w:val="single" w:color="000000" w:sz="4" w:space="0"/>
              <w:bottom w:val="nil"/>
              <w:right w:val="single" w:color="000000" w:sz="4" w:space="0"/>
            </w:tcBorders>
            <w:noWrap/>
            <w:vAlign w:val="center"/>
          </w:tcPr>
          <w:p w14:paraId="6D822770">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人</w:t>
            </w:r>
          </w:p>
        </w:tc>
        <w:tc>
          <w:tcPr>
            <w:tcW w:w="4669" w:type="dxa"/>
            <w:gridSpan w:val="3"/>
            <w:tcBorders>
              <w:top w:val="single" w:color="000000" w:sz="4" w:space="0"/>
              <w:left w:val="single" w:color="000000" w:sz="4" w:space="0"/>
              <w:bottom w:val="nil"/>
              <w:right w:val="single" w:color="000000" w:sz="4" w:space="0"/>
            </w:tcBorders>
            <w:noWrap w:val="0"/>
            <w:vAlign w:val="center"/>
          </w:tcPr>
          <w:p w14:paraId="35127CC1">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施工班组人员及交疏、物探班组人员到场进行班前教育：</w:t>
            </w:r>
          </w:p>
          <w:p w14:paraId="5C51AF27">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1.对当晚施工内容、安全点进行交底（安全教育留痕）</w:t>
            </w:r>
          </w:p>
          <w:p w14:paraId="5908D689">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2.对技术难点进行交底</w:t>
            </w:r>
          </w:p>
          <w:p w14:paraId="3EEB95E4">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3.对交疏班组当晚的交疏布置及关键点进行交底</w:t>
            </w:r>
          </w:p>
          <w:p w14:paraId="09C2EF29">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4.交疏指挥人员进场围蔽</w:t>
            </w:r>
          </w:p>
          <w:p w14:paraId="0FFCBA97">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5..对作业人员状态、防护用品佩戴、特种作业人员证件核查</w:t>
            </w:r>
          </w:p>
          <w:p w14:paraId="5BCA67D3">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风险点：交通安全风险、超龄、酒后上岗、疲劳作业</w:t>
            </w:r>
          </w:p>
          <w:p w14:paraId="5DDF9AA1">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4B561B5A">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□人员必须在安全地点进行集中，不得在道路边聚集；交疏人员辅助过马路。</w:t>
            </w:r>
          </w:p>
          <w:p w14:paraId="44B760E4">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交疏人员按照交疏方案进行交通疏导围蔽，配备反光锥、爆闪灯、警示灯等警示设施，特别是围蔽开始阶段，未完成交疏布置前施工人员及其他施工车辆不得进入道路；在路口及交通疏导缓冲区，安排交疏人员进行交通指挥。</w:t>
            </w:r>
          </w:p>
          <w:p w14:paraId="26E1A756">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□涉地下管线产权单位旁站人员到位。</w:t>
            </w:r>
          </w:p>
          <w:p w14:paraId="7F8546FF">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□禁止作业人员超龄、酒后上岗、疲劳作业。</w:t>
            </w:r>
          </w:p>
        </w:tc>
        <w:tc>
          <w:tcPr>
            <w:tcW w:w="3731" w:type="dxa"/>
            <w:gridSpan w:val="2"/>
            <w:tcBorders>
              <w:top w:val="single" w:color="000000" w:sz="4" w:space="0"/>
              <w:left w:val="single" w:color="000000" w:sz="4" w:space="0"/>
              <w:bottom w:val="nil"/>
              <w:right w:val="single" w:color="000000" w:sz="4" w:space="0"/>
            </w:tcBorders>
            <w:noWrap w:val="0"/>
            <w:vAlign w:val="center"/>
          </w:tcPr>
          <w:p w14:paraId="63E95CE6">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施工班组及交疏人员：</w:t>
            </w:r>
          </w:p>
          <w:p w14:paraId="1A433B5B">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1.挖机路面破除、钢板桩打插、管坑开挖、渣土清运</w:t>
            </w:r>
          </w:p>
          <w:p w14:paraId="121A3313">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2.标高控制、测量</w:t>
            </w:r>
          </w:p>
          <w:p w14:paraId="17829CE2">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3.管材到场</w:t>
            </w:r>
          </w:p>
          <w:p w14:paraId="2AFF482C">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w:t>
            </w:r>
          </w:p>
          <w:p w14:paraId="2538211D">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1.交通车辆风险</w:t>
            </w:r>
          </w:p>
          <w:p w14:paraId="2319B7C9">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2.基坑稳定风险</w:t>
            </w:r>
          </w:p>
          <w:p w14:paraId="246EB901">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3.地下管线破坏风险</w:t>
            </w:r>
          </w:p>
          <w:p w14:paraId="6FB803B9">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4.土方挖掘过程中的人员风险</w:t>
            </w:r>
          </w:p>
          <w:p w14:paraId="599E4FD0">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025CC4DF">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□交疏人员合理配置、设施摆放合理、警示标志足够且有效；管材到场须安排人员指挥交通，保障运输车辆安全进入施工区域。</w:t>
            </w:r>
          </w:p>
          <w:p w14:paraId="6FB13589">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□按要求做好管坑支护，未进行支护前禁止安排人员下管坑作业。</w:t>
            </w:r>
          </w:p>
          <w:p w14:paraId="6261916A">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□开挖前进行物探并进行现场标识，牵涉到地下管线的联系好产权单位进行现场交底，地下管线复杂的位置必须采用人工探挖，直至完全暴露；按要求做好保护措施。</w:t>
            </w:r>
          </w:p>
          <w:p w14:paraId="78412EE8">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□管控人员在未完成支护前不得离管坑边缘过近，机械专人指挥，挖机转盘半径内不得站人。</w:t>
            </w:r>
          </w:p>
          <w:p w14:paraId="467CA8FD">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□仅限晚上10点至11点可破路。</w:t>
            </w:r>
          </w:p>
        </w:tc>
      </w:tr>
      <w:tr w14:paraId="76FB0F2A">
        <w:tblPrEx>
          <w:tblCellMar>
            <w:top w:w="0" w:type="dxa"/>
            <w:left w:w="108" w:type="dxa"/>
            <w:bottom w:w="0" w:type="dxa"/>
            <w:right w:w="108" w:type="dxa"/>
          </w:tblCellMar>
        </w:tblPrEx>
        <w:trPr>
          <w:trHeight w:val="3939"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3FCEB6B3">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机</w:t>
            </w:r>
          </w:p>
        </w:tc>
        <w:tc>
          <w:tcPr>
            <w:tcW w:w="4669" w:type="dxa"/>
            <w:gridSpan w:val="3"/>
            <w:tcBorders>
              <w:top w:val="single" w:color="000000" w:sz="4" w:space="0"/>
              <w:left w:val="single" w:color="000000" w:sz="4" w:space="0"/>
              <w:bottom w:val="single" w:color="000000" w:sz="4" w:space="0"/>
              <w:right w:val="single" w:color="000000" w:sz="4" w:space="0"/>
            </w:tcBorders>
            <w:noWrap w:val="0"/>
            <w:vAlign w:val="center"/>
          </w:tcPr>
          <w:p w14:paraId="4BB4D0EF">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人员运输车辆、交疏车辆、打压设备等。</w:t>
            </w:r>
          </w:p>
          <w:p w14:paraId="41965100">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风险点：交通安全风险。</w:t>
            </w:r>
          </w:p>
          <w:p w14:paraId="005024ED">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58C5FBF5">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□车辆按照交通管控要求，停放至交警要求停放的区域，并做好警示；所有车辆在完成交疏围蔽后进入围蔽区内。</w:t>
            </w:r>
          </w:p>
          <w:p w14:paraId="65DF63A1">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□在围蔽来车方向放置一部车辆。</w:t>
            </w:r>
          </w:p>
          <w:p w14:paraId="72987EAD">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□渣土运输车合理安排进场时间，避免扎堆到场。</w:t>
            </w:r>
          </w:p>
          <w:p w14:paraId="011B50E0">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□做好打压设备管口密封胶连接，连接口严格扳手拧紧，管道笔直，不得任意弯沉。</w:t>
            </w:r>
          </w:p>
        </w:tc>
        <w:tc>
          <w:tcPr>
            <w:tcW w:w="3731" w:type="dxa"/>
            <w:gridSpan w:val="2"/>
            <w:tcBorders>
              <w:top w:val="single" w:color="000000" w:sz="4" w:space="0"/>
              <w:left w:val="single" w:color="000000" w:sz="4" w:space="0"/>
              <w:bottom w:val="single" w:color="000000" w:sz="4" w:space="0"/>
              <w:right w:val="single" w:color="000000" w:sz="4" w:space="0"/>
            </w:tcBorders>
            <w:noWrap w:val="0"/>
            <w:vAlign w:val="center"/>
          </w:tcPr>
          <w:p w14:paraId="3DCE832C">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挖掘机、随车吊、渣土运输车。</w:t>
            </w:r>
          </w:p>
          <w:p w14:paraId="310D796B">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风险点：打凿路面时的碎石飞溅、交通安全风险，设备故障风险，土方开挖时挖掘机操作不当倾倒风险。</w:t>
            </w:r>
          </w:p>
          <w:p w14:paraId="4F8BF48C">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36EFACF7">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□打凿路面时用高水马进行围蔽并用水雾炮机进行降尘。</w:t>
            </w:r>
          </w:p>
          <w:p w14:paraId="5AEC0578">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□车辆按照交通管控要求，在完成交疏围蔽后进入围蔽区内。</w:t>
            </w:r>
          </w:p>
          <w:p w14:paraId="0EEB8B71">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□渣土运输车在靠近围蔽边缘进行作业时，安排人员进行指挥，渣土车进入围蔽区过程中安排交疏人员进行交通指挥。</w:t>
            </w:r>
          </w:p>
          <w:p w14:paraId="05911592">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□车辆必须符合车辆检测要求，有相关检测证明及运输证，在进场前进行检查并报审，并在现场进行检查，不符合的不得进入现场施工区域。</w:t>
            </w:r>
          </w:p>
        </w:tc>
      </w:tr>
      <w:tr w14:paraId="5F02898D">
        <w:tblPrEx>
          <w:tblCellMar>
            <w:top w:w="0" w:type="dxa"/>
            <w:left w:w="108" w:type="dxa"/>
            <w:bottom w:w="0" w:type="dxa"/>
            <w:right w:w="108" w:type="dxa"/>
          </w:tblCellMar>
        </w:tblPrEx>
        <w:trPr>
          <w:trHeight w:val="3308"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74AB0879">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料</w:t>
            </w:r>
          </w:p>
        </w:tc>
        <w:tc>
          <w:tcPr>
            <w:tcW w:w="4669" w:type="dxa"/>
            <w:gridSpan w:val="3"/>
            <w:tcBorders>
              <w:top w:val="single" w:color="000000" w:sz="4" w:space="0"/>
              <w:left w:val="single" w:color="000000" w:sz="4" w:space="0"/>
              <w:bottom w:val="single" w:color="000000" w:sz="4" w:space="0"/>
              <w:right w:val="single" w:color="000000" w:sz="4" w:space="0"/>
            </w:tcBorders>
            <w:noWrap w:val="0"/>
            <w:vAlign w:val="center"/>
          </w:tcPr>
          <w:p w14:paraId="7A7B61B8">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交通疏解围蔽材料；围蔽、警示灯、信号灯、水马、箭头指示灯、行人指引牌</w:t>
            </w:r>
            <w:r>
              <w:rPr>
                <w:rFonts w:hint="eastAsia" w:ascii="微软雅黑" w:hAnsi="微软雅黑" w:eastAsia="微软雅黑" w:cs="微软雅黑"/>
                <w:color w:val="000000" w:themeColor="text1"/>
                <w:kern w:val="0"/>
                <w:sz w:val="16"/>
                <w:szCs w:val="16"/>
                <w:highlight w:val="none"/>
                <w:lang w:eastAsia="zh-CN" w:bidi="ar"/>
                <w14:textFill>
                  <w14:solidFill>
                    <w14:schemeClr w14:val="tx1"/>
                  </w14:solidFill>
                </w14:textFill>
              </w:rPr>
              <w:t>、LED信息告知牌</w:t>
            </w: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、医药箱；应急物资核查</w:t>
            </w:r>
          </w:p>
          <w:p w14:paraId="17E3A86A">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风险点：设施损坏、老化、故障等；物资不足。</w:t>
            </w:r>
          </w:p>
          <w:p w14:paraId="10060465">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0B455303">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□在出车前须对交疏设施进行检查，故障不能使用的必须进行更换，电池无效的进行更换。</w:t>
            </w:r>
          </w:p>
          <w:p w14:paraId="45C02C4D">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□标牌、警示灯具不足进行补充。</w:t>
            </w:r>
          </w:p>
          <w:p w14:paraId="14D69BF9">
            <w:pPr>
              <w:widowControl/>
              <w:jc w:val="left"/>
              <w:textAlignment w:val="cente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□专人核查后及时补充物资。</w:t>
            </w:r>
          </w:p>
          <w:p w14:paraId="55B805EC">
            <w:pPr>
              <w:pStyle w:val="15"/>
              <w:rPr>
                <w:color w:val="000000" w:themeColor="text1"/>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w:t>
            </w:r>
            <w:r>
              <w:rPr>
                <w:rFonts w:hint="default" w:ascii="微软雅黑" w:hAnsi="微软雅黑" w:eastAsia="微软雅黑" w:cs="微软雅黑"/>
                <w:color w:val="000000" w:themeColor="text1"/>
                <w:sz w:val="16"/>
                <w:szCs w:val="16"/>
                <w:highlight w:val="none"/>
                <w:lang w:bidi="ar"/>
                <w14:textFill>
                  <w14:solidFill>
                    <w14:schemeClr w14:val="tx1"/>
                  </w14:solidFill>
                </w14:textFill>
              </w:rPr>
              <w:t>LED 信息告知牌有异常应及时更换。</w:t>
            </w:r>
          </w:p>
        </w:tc>
        <w:tc>
          <w:tcPr>
            <w:tcW w:w="3731" w:type="dxa"/>
            <w:gridSpan w:val="2"/>
            <w:tcBorders>
              <w:top w:val="single" w:color="000000" w:sz="4" w:space="0"/>
              <w:left w:val="single" w:color="000000" w:sz="4" w:space="0"/>
              <w:bottom w:val="single" w:color="000000" w:sz="4" w:space="0"/>
              <w:right w:val="single" w:color="000000" w:sz="4" w:space="0"/>
            </w:tcBorders>
            <w:noWrap w:val="0"/>
            <w:vAlign w:val="center"/>
          </w:tcPr>
          <w:p w14:paraId="19482672">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钢管、渣土</w:t>
            </w:r>
          </w:p>
          <w:p w14:paraId="1FFB25D3">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风险点：钢管运输到场时，固定不牢导致钢管滚落；渣土堆放过高或未进行封闭运输导致物料抛洒；渣土含水量过高导致运输过程，泥水撒漏污染路面。</w:t>
            </w:r>
          </w:p>
          <w:p w14:paraId="42704382">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36CB1197">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□钢管出厂装车一定要进行固定并检查。</w:t>
            </w:r>
          </w:p>
          <w:p w14:paraId="694C0943">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□渣土堆放不能高过盖板，对进场渣土车进行检查，不正规的渣土车不能进场运输；及时清扫散落渣土，存在裸土及时覆盖。</w:t>
            </w:r>
          </w:p>
          <w:p w14:paraId="1D6139B3">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□对含水量高的渣土在挖运入车前，先利用水泵排水，不得将水和泥土一并挖运入车。</w:t>
            </w:r>
          </w:p>
        </w:tc>
      </w:tr>
      <w:tr w14:paraId="28E15DBD">
        <w:tblPrEx>
          <w:tblCellMar>
            <w:top w:w="0" w:type="dxa"/>
            <w:left w:w="108" w:type="dxa"/>
            <w:bottom w:w="0" w:type="dxa"/>
            <w:right w:w="108" w:type="dxa"/>
          </w:tblCellMar>
        </w:tblPrEx>
        <w:trPr>
          <w:trHeight w:val="2743"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0908DDBB">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法</w:t>
            </w:r>
          </w:p>
        </w:tc>
        <w:tc>
          <w:tcPr>
            <w:tcW w:w="4669" w:type="dxa"/>
            <w:gridSpan w:val="3"/>
            <w:tcBorders>
              <w:top w:val="single" w:color="000000" w:sz="4" w:space="0"/>
              <w:left w:val="single" w:color="000000" w:sz="4" w:space="0"/>
              <w:bottom w:val="single" w:color="000000" w:sz="4" w:space="0"/>
              <w:right w:val="single" w:color="000000" w:sz="4" w:space="0"/>
            </w:tcBorders>
            <w:noWrap w:val="0"/>
            <w:vAlign w:val="center"/>
          </w:tcPr>
          <w:p w14:paraId="3CEA9CC1">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开工前：</w:t>
            </w:r>
          </w:p>
          <w:p w14:paraId="6B3022FC">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□通过专业的交疏单位编制交通流量评估报告及交通疏解方案，现场按照交警意见及交疏方案，合理安排交疏设置及人员；对于涉及路口、公交车站施工，提前规划，疏导标牌设置。</w:t>
            </w:r>
          </w:p>
          <w:p w14:paraId="4E0A00E2">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□地下管线现场复核。</w:t>
            </w:r>
          </w:p>
          <w:p w14:paraId="4DB4AFC4">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□危险源公示牌、许可证件设置。</w:t>
            </w:r>
          </w:p>
          <w:p w14:paraId="3A9F6762">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□视频监控正常运行，对准作业点。</w:t>
            </w:r>
          </w:p>
          <w:p w14:paraId="749CA8F9">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□安全检查、隐患治理。</w:t>
            </w:r>
          </w:p>
        </w:tc>
        <w:tc>
          <w:tcPr>
            <w:tcW w:w="3731" w:type="dxa"/>
            <w:gridSpan w:val="2"/>
            <w:tcBorders>
              <w:top w:val="single" w:color="000000" w:sz="4" w:space="0"/>
              <w:left w:val="single" w:color="000000" w:sz="4" w:space="0"/>
              <w:bottom w:val="single" w:color="000000" w:sz="4" w:space="0"/>
              <w:right w:val="single" w:color="000000" w:sz="4" w:space="0"/>
            </w:tcBorders>
            <w:noWrap w:val="0"/>
            <w:vAlign w:val="center"/>
          </w:tcPr>
          <w:p w14:paraId="0874A0D8">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土方开挖风险点：土方超挖、渗水积水。</w:t>
            </w:r>
          </w:p>
          <w:p w14:paraId="331A050A">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按照要求，严格落实每晚23点后严禁路面破除工作，编制夜间降噪、扬尘防治专项方案，按方案落实相关降尘降噪措施，减少投诉；配备噪音检测设备，做好监测台账；编制基坑开挖专项方案，并进行专家评审，严格按照方案进行开挖及支护，现场未做好支护不得下管坑作业。</w:t>
            </w:r>
          </w:p>
          <w:p w14:paraId="55422995">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□定期基坑监测，做好日常监测，拟定应急预案、开展应急演练。</w:t>
            </w:r>
          </w:p>
          <w:p w14:paraId="6A5ADD34">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□安全检查、隐患治理。</w:t>
            </w:r>
          </w:p>
        </w:tc>
      </w:tr>
      <w:tr w14:paraId="01672696">
        <w:tblPrEx>
          <w:tblCellMar>
            <w:top w:w="0" w:type="dxa"/>
            <w:left w:w="108" w:type="dxa"/>
            <w:bottom w:w="0" w:type="dxa"/>
            <w:right w:w="108" w:type="dxa"/>
          </w:tblCellMar>
        </w:tblPrEx>
        <w:trPr>
          <w:trHeight w:val="2099" w:hRule="atLeast"/>
        </w:trPr>
        <w:tc>
          <w:tcPr>
            <w:tcW w:w="1106" w:type="dxa"/>
            <w:tcBorders>
              <w:top w:val="single" w:color="000000" w:sz="4" w:space="0"/>
              <w:left w:val="single" w:color="000000" w:sz="4" w:space="0"/>
              <w:bottom w:val="single" w:color="000000" w:sz="8" w:space="0"/>
              <w:right w:val="single" w:color="000000" w:sz="4" w:space="0"/>
            </w:tcBorders>
            <w:noWrap/>
            <w:vAlign w:val="center"/>
          </w:tcPr>
          <w:p w14:paraId="6C4EA997">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环</w:t>
            </w:r>
          </w:p>
        </w:tc>
        <w:tc>
          <w:tcPr>
            <w:tcW w:w="4669" w:type="dxa"/>
            <w:gridSpan w:val="3"/>
            <w:tcBorders>
              <w:top w:val="single" w:color="000000" w:sz="4" w:space="0"/>
              <w:left w:val="nil"/>
              <w:bottom w:val="single" w:color="000000" w:sz="8" w:space="0"/>
              <w:right w:val="single" w:color="000000" w:sz="4" w:space="0"/>
            </w:tcBorders>
            <w:noWrap w:val="0"/>
            <w:vAlign w:val="center"/>
          </w:tcPr>
          <w:p w14:paraId="2A2E0EB3">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□交通标识线。</w:t>
            </w:r>
          </w:p>
          <w:p w14:paraId="24317BC8">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□特殊天气（雷雨、酷暑、寒冬），预判是否作业；若作业，施工告知注意事项。</w:t>
            </w:r>
          </w:p>
          <w:p w14:paraId="3022CE54">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□施工照明灯光源扰民。</w:t>
            </w:r>
          </w:p>
          <w:p w14:paraId="7C62A72C">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□架空线、电车线、桥墩、人行天桥、绿化带等安全距离。</w:t>
            </w:r>
          </w:p>
        </w:tc>
        <w:tc>
          <w:tcPr>
            <w:tcW w:w="3731" w:type="dxa"/>
            <w:gridSpan w:val="2"/>
            <w:tcBorders>
              <w:top w:val="single" w:color="000000" w:sz="4" w:space="0"/>
              <w:left w:val="single" w:color="000000" w:sz="4" w:space="0"/>
              <w:bottom w:val="single" w:color="000000" w:sz="8" w:space="0"/>
              <w:right w:val="single" w:color="000000" w:sz="4" w:space="0"/>
            </w:tcBorders>
            <w:noWrap w:val="0"/>
            <w:vAlign w:val="center"/>
          </w:tcPr>
          <w:p w14:paraId="4B7A0ABB">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□噪声扰民管理。</w:t>
            </w:r>
          </w:p>
          <w:p w14:paraId="1D40486F">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□路面清扫，泥水处理。</w:t>
            </w:r>
          </w:p>
          <w:p w14:paraId="6672B47E">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□基坑影响范围巡视。</w:t>
            </w:r>
          </w:p>
          <w:p w14:paraId="0E67692F">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□架空线、电车线、桥墩、人行天桥、绿化带等安全距离。</w:t>
            </w:r>
          </w:p>
          <w:p w14:paraId="1D75471B">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□施工照明灯光源扰民。</w:t>
            </w:r>
          </w:p>
        </w:tc>
      </w:tr>
      <w:tr w14:paraId="21B37F50">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noWrap w:val="0"/>
            <w:vAlign w:val="top"/>
          </w:tcPr>
          <w:p w14:paraId="3F8125AC">
            <w:pPr>
              <w:widowControl/>
              <w:jc w:val="left"/>
              <w:textAlignment w:val="top"/>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 xml:space="preserve">  工序时间</w:t>
            </w:r>
          </w:p>
          <w:p w14:paraId="0191DDF3">
            <w:pPr>
              <w:widowControl/>
              <w:jc w:val="left"/>
              <w:textAlignment w:val="top"/>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 xml:space="preserve">                  要素                </w:t>
            </w:r>
          </w:p>
        </w:tc>
        <w:tc>
          <w:tcPr>
            <w:tcW w:w="4669" w:type="dxa"/>
            <w:gridSpan w:val="3"/>
            <w:tcBorders>
              <w:top w:val="nil"/>
              <w:left w:val="single" w:color="000000" w:sz="4" w:space="0"/>
              <w:bottom w:val="single" w:color="000000" w:sz="4" w:space="0"/>
              <w:right w:val="single" w:color="000000" w:sz="4" w:space="0"/>
            </w:tcBorders>
            <w:noWrap/>
            <w:vAlign w:val="center"/>
          </w:tcPr>
          <w:p w14:paraId="4E56BB8B">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T4（01：30-03：30）</w:t>
            </w:r>
          </w:p>
        </w:tc>
        <w:tc>
          <w:tcPr>
            <w:tcW w:w="3731" w:type="dxa"/>
            <w:gridSpan w:val="2"/>
            <w:tcBorders>
              <w:top w:val="nil"/>
              <w:left w:val="single" w:color="000000" w:sz="4" w:space="0"/>
              <w:bottom w:val="single" w:color="000000" w:sz="4" w:space="0"/>
              <w:right w:val="single" w:color="000000" w:sz="4" w:space="0"/>
            </w:tcBorders>
            <w:noWrap/>
            <w:vAlign w:val="center"/>
          </w:tcPr>
          <w:p w14:paraId="5F8D5121">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T3（00：30-01：30）</w:t>
            </w:r>
          </w:p>
        </w:tc>
      </w:tr>
      <w:tr w14:paraId="47705328">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auto" w:sz="4" w:space="0"/>
              <w:right w:val="single" w:color="000000" w:sz="4" w:space="0"/>
              <w:tl2br w:val="single" w:color="000000" w:sz="4" w:space="0"/>
            </w:tcBorders>
            <w:noWrap w:val="0"/>
            <w:vAlign w:val="top"/>
          </w:tcPr>
          <w:p w14:paraId="6BD28316">
            <w:pPr>
              <w:jc w:val="left"/>
              <w:rPr>
                <w:rFonts w:ascii="微软雅黑" w:hAnsi="微软雅黑" w:eastAsia="微软雅黑" w:cs="微软雅黑"/>
                <w:color w:val="000000" w:themeColor="text1"/>
                <w:sz w:val="16"/>
                <w:szCs w:val="16"/>
                <w:highlight w:val="none"/>
                <w14:textFill>
                  <w14:solidFill>
                    <w14:schemeClr w14:val="tx1"/>
                  </w14:solidFill>
                </w14:textFill>
              </w:rPr>
            </w:pPr>
          </w:p>
        </w:tc>
        <w:tc>
          <w:tcPr>
            <w:tcW w:w="4669" w:type="dxa"/>
            <w:gridSpan w:val="3"/>
            <w:tcBorders>
              <w:top w:val="single" w:color="000000" w:sz="4" w:space="0"/>
              <w:left w:val="single" w:color="000000" w:sz="4" w:space="0"/>
              <w:bottom w:val="single" w:color="auto" w:sz="4" w:space="0"/>
              <w:right w:val="single" w:color="000000" w:sz="4" w:space="0"/>
            </w:tcBorders>
            <w:noWrap/>
            <w:vAlign w:val="center"/>
          </w:tcPr>
          <w:p w14:paraId="66058B7A">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管道焊接、铺设、防腐处理</w:t>
            </w:r>
          </w:p>
        </w:tc>
        <w:tc>
          <w:tcPr>
            <w:tcW w:w="3731" w:type="dxa"/>
            <w:gridSpan w:val="2"/>
            <w:tcBorders>
              <w:top w:val="single" w:color="000000" w:sz="4" w:space="0"/>
              <w:left w:val="single" w:color="000000" w:sz="4" w:space="0"/>
              <w:bottom w:val="single" w:color="auto" w:sz="4" w:space="0"/>
              <w:right w:val="single" w:color="000000" w:sz="4" w:space="0"/>
            </w:tcBorders>
            <w:noWrap/>
            <w:vAlign w:val="center"/>
          </w:tcPr>
          <w:p w14:paraId="06F56648">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基础处理、管道吊装</w:t>
            </w:r>
          </w:p>
        </w:tc>
      </w:tr>
      <w:tr w14:paraId="47688772">
        <w:tblPrEx>
          <w:tblCellMar>
            <w:top w:w="0" w:type="dxa"/>
            <w:left w:w="108" w:type="dxa"/>
            <w:bottom w:w="0" w:type="dxa"/>
            <w:right w:w="108" w:type="dxa"/>
          </w:tblCellMar>
        </w:tblPrEx>
        <w:trPr>
          <w:trHeight w:val="2335" w:hRule="atLeast"/>
        </w:trPr>
        <w:tc>
          <w:tcPr>
            <w:tcW w:w="1106" w:type="dxa"/>
            <w:tcBorders>
              <w:top w:val="single" w:color="auto" w:sz="4" w:space="0"/>
              <w:left w:val="single" w:color="auto" w:sz="4" w:space="0"/>
              <w:bottom w:val="single" w:color="auto" w:sz="4" w:space="0"/>
              <w:right w:val="single" w:color="auto" w:sz="4" w:space="0"/>
            </w:tcBorders>
            <w:noWrap/>
            <w:vAlign w:val="center"/>
          </w:tcPr>
          <w:p w14:paraId="693C49FD">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人</w:t>
            </w:r>
          </w:p>
        </w:tc>
        <w:tc>
          <w:tcPr>
            <w:tcW w:w="4669" w:type="dxa"/>
            <w:gridSpan w:val="3"/>
            <w:tcBorders>
              <w:top w:val="single" w:color="auto" w:sz="4" w:space="0"/>
              <w:left w:val="single" w:color="auto" w:sz="4" w:space="0"/>
              <w:bottom w:val="single" w:color="auto" w:sz="4" w:space="0"/>
              <w:right w:val="single" w:color="auto" w:sz="4" w:space="0"/>
            </w:tcBorders>
            <w:noWrap w:val="0"/>
            <w:vAlign w:val="center"/>
          </w:tcPr>
          <w:p w14:paraId="0C380B34">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施工班组及交疏人员：</w:t>
            </w:r>
          </w:p>
          <w:p w14:paraId="0CC868B7">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管道焊接，防腐及下管对接</w:t>
            </w:r>
          </w:p>
          <w:p w14:paraId="1DEE1857">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w:t>
            </w:r>
          </w:p>
          <w:p w14:paraId="5A09FA67">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1.交通车辆风险</w:t>
            </w:r>
          </w:p>
          <w:p w14:paraId="13A5E1E5">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2.有限空间作业风险</w:t>
            </w:r>
          </w:p>
          <w:p w14:paraId="2F1413C4">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3.吊装风险</w:t>
            </w:r>
          </w:p>
          <w:p w14:paraId="6FAD3F0B">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4.用电及消防风险</w:t>
            </w:r>
          </w:p>
          <w:p w14:paraId="56075E39">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4F0795C9">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□交疏人员合理配置、设施摆放合理、警示标志足够且有效。</w:t>
            </w:r>
          </w:p>
          <w:p w14:paraId="3EB1D868">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□焊工、电工、司索工等特种作业人员必须持证上岗且进行了班前交底教育。</w:t>
            </w:r>
          </w:p>
          <w:p w14:paraId="62EF96DD">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□吊装指挥人员持证上岗，现场管控严格执行“十不吊”，特别注意管道吊装过程与围蔽边缘的位置，吊物在需跨过通行车道前须安排人员指挥暂停交通。</w:t>
            </w:r>
          </w:p>
          <w:p w14:paraId="16B5857C">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□现场电箱配置严格按照施工临时用电规范要求，检查电箱接地是否牢固，电箱是否有日常检查记录，各级电箱接线是否规范，电线是否破损，电线是否拖地；用电设备在使用前检查是否有故障。</w:t>
            </w:r>
          </w:p>
          <w:p w14:paraId="7BF68DD0">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□现场使用的气瓶是否有检定在有效期内，是否配置安全阀，各种气体是否存在混放，乙炔气瓶是否按要求离明火及氧气瓶的距离足够。是否用专用架子存放，标识是否清晰，灭火器材是否配备足够。</w:t>
            </w:r>
          </w:p>
          <w:p w14:paraId="256263A9">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□焊接位置必须保证无易燃易爆物品，现场不能存放发电机、水泵等使用的柴油。</w:t>
            </w:r>
          </w:p>
          <w:p w14:paraId="3444AFA4">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□有限空间作业必须严格按照规范要求，提前打开通风井通风，未经作业审批、通风、检测合格，未配备防护设施及监护人员，不得进入管道内作业。</w:t>
            </w:r>
          </w:p>
        </w:tc>
        <w:tc>
          <w:tcPr>
            <w:tcW w:w="3731" w:type="dxa"/>
            <w:gridSpan w:val="2"/>
            <w:tcBorders>
              <w:top w:val="single" w:color="auto" w:sz="4" w:space="0"/>
              <w:left w:val="single" w:color="auto" w:sz="4" w:space="0"/>
              <w:bottom w:val="single" w:color="auto" w:sz="4" w:space="0"/>
              <w:right w:val="single" w:color="auto" w:sz="4" w:space="0"/>
            </w:tcBorders>
            <w:noWrap w:val="0"/>
            <w:vAlign w:val="center"/>
          </w:tcPr>
          <w:p w14:paraId="5F90C1D0">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施工班组及交疏人员：</w:t>
            </w:r>
          </w:p>
          <w:p w14:paraId="5D74A67F">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1.基础换填</w:t>
            </w:r>
          </w:p>
          <w:p w14:paraId="38DF55C5">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2.管道卸车、吊装</w:t>
            </w:r>
          </w:p>
          <w:p w14:paraId="204BAB27">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3.管道基础垫层</w:t>
            </w:r>
          </w:p>
          <w:p w14:paraId="440A56FE">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w:t>
            </w:r>
          </w:p>
          <w:p w14:paraId="0CD00103">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1.交通车辆风险</w:t>
            </w:r>
          </w:p>
          <w:p w14:paraId="3004E9D6">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2.吊装风险</w:t>
            </w:r>
          </w:p>
          <w:p w14:paraId="6FE88C52">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3.基坑风险</w:t>
            </w:r>
          </w:p>
          <w:p w14:paraId="28B71CC7">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3EC902D5">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□交疏人员合理配置、设施摆放合理、警示标志足够且有效。</w:t>
            </w:r>
          </w:p>
          <w:p w14:paraId="2EA6A7C1">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□吊装指挥司索工持证上岗，现场管控严格执行“十不吊”，特别注意管道吊装过程与围蔽边缘的位置，吊物在需跨过通行车道前须安排人员指挥暂停交通。</w:t>
            </w:r>
          </w:p>
          <w:p w14:paraId="0622C182">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□按要求做好管坑支护，未进行支护前禁止安排人员下管坑作业。</w:t>
            </w:r>
          </w:p>
        </w:tc>
      </w:tr>
      <w:tr w14:paraId="2101378B">
        <w:tblPrEx>
          <w:tblCellMar>
            <w:top w:w="0" w:type="dxa"/>
            <w:left w:w="108" w:type="dxa"/>
            <w:bottom w:w="0" w:type="dxa"/>
            <w:right w:w="108" w:type="dxa"/>
          </w:tblCellMar>
        </w:tblPrEx>
        <w:trPr>
          <w:trHeight w:val="2657" w:hRule="atLeast"/>
        </w:trPr>
        <w:tc>
          <w:tcPr>
            <w:tcW w:w="1106" w:type="dxa"/>
            <w:tcBorders>
              <w:top w:val="single" w:color="auto" w:sz="4" w:space="0"/>
              <w:left w:val="single" w:color="000000" w:sz="4" w:space="0"/>
              <w:bottom w:val="single" w:color="000000" w:sz="4" w:space="0"/>
              <w:right w:val="single" w:color="000000" w:sz="4" w:space="0"/>
            </w:tcBorders>
            <w:noWrap/>
            <w:vAlign w:val="center"/>
          </w:tcPr>
          <w:p w14:paraId="4E8059BB">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机</w:t>
            </w:r>
          </w:p>
        </w:tc>
        <w:tc>
          <w:tcPr>
            <w:tcW w:w="4669" w:type="dxa"/>
            <w:gridSpan w:val="3"/>
            <w:tcBorders>
              <w:top w:val="single" w:color="auto" w:sz="4" w:space="0"/>
              <w:left w:val="single" w:color="000000" w:sz="4" w:space="0"/>
              <w:bottom w:val="single" w:color="000000" w:sz="4" w:space="0"/>
              <w:right w:val="single" w:color="000000" w:sz="4" w:space="0"/>
            </w:tcBorders>
            <w:noWrap w:val="0"/>
            <w:vAlign w:val="center"/>
          </w:tcPr>
          <w:p w14:paraId="5D494D2B">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汽车吊、焊机、抽风机</w:t>
            </w:r>
          </w:p>
          <w:p w14:paraId="37B2ED35">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风险点：吊具老化故障风险，汽车吊吊运前支脚未固定导致倾倒风险，焊机故障风险，风机故障风险。</w:t>
            </w:r>
          </w:p>
          <w:p w14:paraId="764767E1">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45C3ED03">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□定时检查吊具，出现老化破损的吊索必须进行更换。</w:t>
            </w:r>
          </w:p>
          <w:p w14:paraId="4DF4C683">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□吊运前检查必须固定支脚后方可作业。</w:t>
            </w:r>
          </w:p>
          <w:p w14:paraId="2ACE7A08">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□定时检查焊机，保障设备安全。</w:t>
            </w:r>
          </w:p>
          <w:p w14:paraId="64916D18">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□消防设施齐全。</w:t>
            </w:r>
          </w:p>
        </w:tc>
        <w:tc>
          <w:tcPr>
            <w:tcW w:w="3731" w:type="dxa"/>
            <w:gridSpan w:val="2"/>
            <w:tcBorders>
              <w:top w:val="single" w:color="auto" w:sz="4" w:space="0"/>
              <w:left w:val="single" w:color="000000" w:sz="4" w:space="0"/>
              <w:bottom w:val="single" w:color="000000" w:sz="4" w:space="0"/>
              <w:right w:val="single" w:color="000000" w:sz="4" w:space="0"/>
            </w:tcBorders>
            <w:noWrap w:val="0"/>
            <w:vAlign w:val="center"/>
          </w:tcPr>
          <w:p w14:paraId="5E0BDD15">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汽车吊、挖掘机</w:t>
            </w:r>
          </w:p>
          <w:p w14:paraId="652C0911">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风险点：吊具老化故障风险，汽车吊吊运前支脚未固定导致倾倒风险，土方开挖时挖掘机操作不当倾倒风险。</w:t>
            </w:r>
          </w:p>
          <w:p w14:paraId="1D17D3E2">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74049294">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□定时检查吊具，出现老化破损的吊索必须进行更换。</w:t>
            </w:r>
          </w:p>
          <w:p w14:paraId="3018E506">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□吊运前检查必须固定支脚后方可作业。</w:t>
            </w:r>
          </w:p>
          <w:p w14:paraId="3635F163">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□挖掘机司机须严格按照要求进行开挖，不得冒险作业，现场施工人员进行指挥，无指挥不得作业。</w:t>
            </w:r>
          </w:p>
        </w:tc>
      </w:tr>
      <w:tr w14:paraId="569F2BA4">
        <w:tblPrEx>
          <w:tblCellMar>
            <w:top w:w="0" w:type="dxa"/>
            <w:left w:w="108" w:type="dxa"/>
            <w:bottom w:w="0" w:type="dxa"/>
            <w:right w:w="108" w:type="dxa"/>
          </w:tblCellMar>
        </w:tblPrEx>
        <w:trPr>
          <w:trHeight w:val="3402"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546BB808">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料</w:t>
            </w:r>
          </w:p>
        </w:tc>
        <w:tc>
          <w:tcPr>
            <w:tcW w:w="4669" w:type="dxa"/>
            <w:gridSpan w:val="3"/>
            <w:tcBorders>
              <w:top w:val="single" w:color="000000" w:sz="4" w:space="0"/>
              <w:left w:val="single" w:color="000000" w:sz="4" w:space="0"/>
              <w:bottom w:val="single" w:color="000000" w:sz="4" w:space="0"/>
              <w:right w:val="single" w:color="000000" w:sz="4" w:space="0"/>
            </w:tcBorders>
            <w:noWrap w:val="0"/>
            <w:vAlign w:val="center"/>
          </w:tcPr>
          <w:p w14:paraId="1E9C32CE">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钢管、防腐涂料、纤维布等</w:t>
            </w:r>
          </w:p>
          <w:p w14:paraId="300BA909">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风险点：钢管吊运过程产生的碰撞风险；防腐涂敷时烫伤风险；焊口打磨时火花飞溅风险</w:t>
            </w:r>
          </w:p>
          <w:p w14:paraId="4DEF447B">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2ECA7F89">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□安排人员负责在吊运时进行指挥，在围蔽边缘作业时注意交通安全。</w:t>
            </w:r>
          </w:p>
          <w:p w14:paraId="008F5193">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□吊管下管坑时必须保证管坑内无人员作业。</w:t>
            </w:r>
          </w:p>
          <w:p w14:paraId="0FE936DD">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□专人监护防腐作业，作业人员佩戴好防护手套，采用工具涂敷。</w:t>
            </w:r>
          </w:p>
          <w:p w14:paraId="01E56F3E">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□专人监护，作业人员佩戴好护目镜，火花朝向安全区域，适时遮挡，周围无易燃易爆物品，灭火器材充足。</w:t>
            </w:r>
          </w:p>
        </w:tc>
        <w:tc>
          <w:tcPr>
            <w:tcW w:w="3731" w:type="dxa"/>
            <w:gridSpan w:val="2"/>
            <w:tcBorders>
              <w:top w:val="single" w:color="000000" w:sz="4" w:space="0"/>
              <w:left w:val="single" w:color="000000" w:sz="4" w:space="0"/>
              <w:bottom w:val="single" w:color="000000" w:sz="4" w:space="0"/>
              <w:right w:val="single" w:color="000000" w:sz="4" w:space="0"/>
            </w:tcBorders>
            <w:noWrap w:val="0"/>
            <w:vAlign w:val="center"/>
          </w:tcPr>
          <w:p w14:paraId="188A6F6D">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钢管</w:t>
            </w:r>
          </w:p>
          <w:p w14:paraId="75003F26">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风险点：钢管卸车落地时未进行保护及固定导致钢管滚动、土方材料堆放不稳、坑边堆载。</w:t>
            </w:r>
          </w:p>
          <w:p w14:paraId="1C27DADD">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1722B0E9">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□安排人员负责在卸管时进行指挥，并在钢管下地前铺垫木方及木楔进行保护及固定，防止钢管破话及滚动。</w:t>
            </w:r>
          </w:p>
          <w:p w14:paraId="7E20522E">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土方材料</w:t>
            </w:r>
          </w:p>
          <w:p w14:paraId="255DCF42">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□回填料质量把控，运送入基坑时均匀有序。</w:t>
            </w:r>
          </w:p>
          <w:p w14:paraId="65240D85">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□严禁超高堆载及坑边重力堆载。</w:t>
            </w:r>
          </w:p>
        </w:tc>
      </w:tr>
      <w:tr w14:paraId="6C2E462C">
        <w:tblPrEx>
          <w:tblCellMar>
            <w:top w:w="0" w:type="dxa"/>
            <w:left w:w="108" w:type="dxa"/>
            <w:bottom w:w="0" w:type="dxa"/>
            <w:right w:w="108" w:type="dxa"/>
          </w:tblCellMar>
        </w:tblPrEx>
        <w:trPr>
          <w:trHeight w:val="2220"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16702208">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法</w:t>
            </w:r>
          </w:p>
        </w:tc>
        <w:tc>
          <w:tcPr>
            <w:tcW w:w="4669" w:type="dxa"/>
            <w:gridSpan w:val="3"/>
            <w:tcBorders>
              <w:top w:val="single" w:color="000000" w:sz="4" w:space="0"/>
              <w:left w:val="single" w:color="000000" w:sz="4" w:space="0"/>
              <w:bottom w:val="single" w:color="000000" w:sz="4" w:space="0"/>
              <w:right w:val="single" w:color="000000" w:sz="4" w:space="0"/>
            </w:tcBorders>
            <w:noWrap w:val="0"/>
            <w:vAlign w:val="center"/>
          </w:tcPr>
          <w:p w14:paraId="73B06E55">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□制定有限空间作业专项方案，现场落实有限空间作业审批制度；编制临时用电专项安全方案，现场进行检查落实，保障用电安全。</w:t>
            </w:r>
          </w:p>
          <w:p w14:paraId="0CBFFDD6">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□动火方案、消防方案。</w:t>
            </w:r>
          </w:p>
          <w:p w14:paraId="414F07A1">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□配备气体检测仪器，做好气体检测。</w:t>
            </w:r>
          </w:p>
          <w:p w14:paraId="6CB6EF35">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□编制应急演练方案，定期演练。</w:t>
            </w:r>
          </w:p>
          <w:p w14:paraId="636AA6CE">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□安全检查、隐患治理。</w:t>
            </w:r>
          </w:p>
        </w:tc>
        <w:tc>
          <w:tcPr>
            <w:tcW w:w="3731" w:type="dxa"/>
            <w:gridSpan w:val="2"/>
            <w:tcBorders>
              <w:top w:val="single" w:color="000000" w:sz="4" w:space="0"/>
              <w:left w:val="single" w:color="000000" w:sz="4" w:space="0"/>
              <w:bottom w:val="single" w:color="000000" w:sz="4" w:space="0"/>
              <w:right w:val="single" w:color="000000" w:sz="4" w:space="0"/>
            </w:tcBorders>
            <w:noWrap w:val="0"/>
            <w:vAlign w:val="center"/>
          </w:tcPr>
          <w:p w14:paraId="0A798E6A">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□编制吊装安全专项方案，落实吊装作业安全措施。</w:t>
            </w:r>
          </w:p>
          <w:p w14:paraId="077DA164">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□管道施工技术方案。</w:t>
            </w:r>
          </w:p>
          <w:p w14:paraId="776C049D">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□安全检查、隐患治理。</w:t>
            </w:r>
          </w:p>
        </w:tc>
      </w:tr>
      <w:tr w14:paraId="44E5B068">
        <w:tblPrEx>
          <w:tblCellMar>
            <w:top w:w="0" w:type="dxa"/>
            <w:left w:w="108" w:type="dxa"/>
            <w:bottom w:w="0" w:type="dxa"/>
            <w:right w:w="108" w:type="dxa"/>
          </w:tblCellMar>
        </w:tblPrEx>
        <w:trPr>
          <w:trHeight w:val="1382" w:hRule="atLeast"/>
        </w:trPr>
        <w:tc>
          <w:tcPr>
            <w:tcW w:w="1106" w:type="dxa"/>
            <w:tcBorders>
              <w:top w:val="single" w:color="000000" w:sz="4" w:space="0"/>
              <w:left w:val="single" w:color="000000" w:sz="4" w:space="0"/>
              <w:bottom w:val="single" w:color="000000" w:sz="8" w:space="0"/>
              <w:right w:val="single" w:color="000000" w:sz="4" w:space="0"/>
            </w:tcBorders>
            <w:noWrap/>
            <w:vAlign w:val="center"/>
          </w:tcPr>
          <w:p w14:paraId="0BD03581">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环</w:t>
            </w:r>
          </w:p>
        </w:tc>
        <w:tc>
          <w:tcPr>
            <w:tcW w:w="4669" w:type="dxa"/>
            <w:gridSpan w:val="3"/>
            <w:tcBorders>
              <w:top w:val="single" w:color="000000" w:sz="4" w:space="0"/>
              <w:left w:val="single" w:color="000000" w:sz="4" w:space="0"/>
              <w:bottom w:val="single" w:color="000000" w:sz="8" w:space="0"/>
              <w:right w:val="single" w:color="000000" w:sz="4" w:space="0"/>
            </w:tcBorders>
            <w:noWrap w:val="0"/>
            <w:vAlign w:val="center"/>
          </w:tcPr>
          <w:p w14:paraId="72C00CD1">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□施工照明充足。</w:t>
            </w:r>
          </w:p>
          <w:p w14:paraId="5087B92C">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□基坑影响范围巡视（含基坑监测）。</w:t>
            </w:r>
          </w:p>
          <w:p w14:paraId="0184011C">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□施工照明灯光源扰民。</w:t>
            </w:r>
          </w:p>
        </w:tc>
        <w:tc>
          <w:tcPr>
            <w:tcW w:w="3731" w:type="dxa"/>
            <w:gridSpan w:val="2"/>
            <w:tcBorders>
              <w:top w:val="single" w:color="000000" w:sz="4" w:space="0"/>
              <w:left w:val="single" w:color="000000" w:sz="4" w:space="0"/>
              <w:bottom w:val="single" w:color="000000" w:sz="8" w:space="0"/>
              <w:right w:val="single" w:color="000000" w:sz="4" w:space="0"/>
            </w:tcBorders>
            <w:noWrap w:val="0"/>
            <w:vAlign w:val="center"/>
          </w:tcPr>
          <w:p w14:paraId="1D1C3A91">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□施工照明充足。</w:t>
            </w:r>
          </w:p>
          <w:p w14:paraId="06782E41">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□基坑影响范围巡视（含基坑监测）。</w:t>
            </w:r>
          </w:p>
          <w:p w14:paraId="1A6BE16A">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□架空线、电车线、桥墩、人行天桥、绿化带等安全距离。</w:t>
            </w:r>
          </w:p>
          <w:p w14:paraId="0D5307CB">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□施工照明灯光源扰民。</w:t>
            </w:r>
          </w:p>
        </w:tc>
      </w:tr>
      <w:tr w14:paraId="74E8D7F1">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noWrap w:val="0"/>
            <w:vAlign w:val="top"/>
          </w:tcPr>
          <w:p w14:paraId="0DE650B9">
            <w:pPr>
              <w:widowControl/>
              <w:jc w:val="left"/>
              <w:textAlignment w:val="top"/>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 xml:space="preserve">  工序时间</w:t>
            </w:r>
          </w:p>
          <w:p w14:paraId="23EBE220">
            <w:pPr>
              <w:widowControl/>
              <w:jc w:val="left"/>
              <w:textAlignment w:val="top"/>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 xml:space="preserve">                  要素                </w:t>
            </w:r>
          </w:p>
        </w:tc>
        <w:tc>
          <w:tcPr>
            <w:tcW w:w="4669" w:type="dxa"/>
            <w:gridSpan w:val="3"/>
            <w:tcBorders>
              <w:top w:val="nil"/>
              <w:left w:val="single" w:color="000000" w:sz="4" w:space="0"/>
              <w:bottom w:val="single" w:color="000000" w:sz="4" w:space="0"/>
              <w:right w:val="single" w:color="000000" w:sz="4" w:space="0"/>
            </w:tcBorders>
            <w:noWrap/>
            <w:vAlign w:val="center"/>
          </w:tcPr>
          <w:p w14:paraId="214A2928">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T5（03：30-05：00）</w:t>
            </w:r>
          </w:p>
        </w:tc>
        <w:tc>
          <w:tcPr>
            <w:tcW w:w="3731" w:type="dxa"/>
            <w:gridSpan w:val="2"/>
            <w:tcBorders>
              <w:top w:val="nil"/>
              <w:left w:val="single" w:color="000000" w:sz="4" w:space="0"/>
              <w:bottom w:val="single" w:color="000000" w:sz="4" w:space="0"/>
              <w:right w:val="single" w:color="000000" w:sz="4" w:space="0"/>
            </w:tcBorders>
            <w:noWrap/>
            <w:vAlign w:val="center"/>
          </w:tcPr>
          <w:p w14:paraId="0253C2C6">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T6（05：00-06：00）</w:t>
            </w:r>
          </w:p>
        </w:tc>
      </w:tr>
      <w:tr w14:paraId="0BCB0A19">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000000" w:sz="4" w:space="0"/>
              <w:right w:val="single" w:color="000000" w:sz="4" w:space="0"/>
              <w:tl2br w:val="single" w:color="000000" w:sz="4" w:space="0"/>
            </w:tcBorders>
            <w:noWrap w:val="0"/>
            <w:vAlign w:val="top"/>
          </w:tcPr>
          <w:p w14:paraId="591AB199">
            <w:pPr>
              <w:jc w:val="left"/>
              <w:rPr>
                <w:rFonts w:ascii="微软雅黑" w:hAnsi="微软雅黑" w:eastAsia="微软雅黑" w:cs="微软雅黑"/>
                <w:color w:val="000000" w:themeColor="text1"/>
                <w:sz w:val="16"/>
                <w:szCs w:val="16"/>
                <w:highlight w:val="none"/>
                <w14:textFill>
                  <w14:solidFill>
                    <w14:schemeClr w14:val="tx1"/>
                  </w14:solidFill>
                </w14:textFill>
              </w:rPr>
            </w:pPr>
          </w:p>
        </w:tc>
        <w:tc>
          <w:tcPr>
            <w:tcW w:w="4669" w:type="dxa"/>
            <w:gridSpan w:val="3"/>
            <w:tcBorders>
              <w:top w:val="single" w:color="000000" w:sz="4" w:space="0"/>
              <w:left w:val="single" w:color="000000" w:sz="4" w:space="0"/>
              <w:bottom w:val="single" w:color="000000" w:sz="4" w:space="0"/>
              <w:right w:val="single" w:color="000000" w:sz="4" w:space="0"/>
            </w:tcBorders>
            <w:noWrap/>
            <w:vAlign w:val="center"/>
          </w:tcPr>
          <w:p w14:paraId="1474F3C5">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管坑回填、路面修复</w:t>
            </w:r>
          </w:p>
        </w:tc>
        <w:tc>
          <w:tcPr>
            <w:tcW w:w="3731" w:type="dxa"/>
            <w:gridSpan w:val="2"/>
            <w:tcBorders>
              <w:top w:val="single" w:color="000000" w:sz="4" w:space="0"/>
              <w:left w:val="single" w:color="000000" w:sz="4" w:space="0"/>
              <w:bottom w:val="single" w:color="000000" w:sz="4" w:space="0"/>
              <w:right w:val="single" w:color="000000" w:sz="4" w:space="0"/>
            </w:tcBorders>
            <w:noWrap/>
            <w:vAlign w:val="center"/>
          </w:tcPr>
          <w:p w14:paraId="4CD8D8F9">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路面冲洗、恢复交通</w:t>
            </w:r>
          </w:p>
        </w:tc>
      </w:tr>
      <w:tr w14:paraId="71436417">
        <w:tblPrEx>
          <w:tblCellMar>
            <w:top w:w="0" w:type="dxa"/>
            <w:left w:w="108" w:type="dxa"/>
            <w:bottom w:w="0" w:type="dxa"/>
            <w:right w:w="108" w:type="dxa"/>
          </w:tblCellMar>
        </w:tblPrEx>
        <w:trPr>
          <w:trHeight w:val="4181" w:hRule="atLeast"/>
        </w:trPr>
        <w:tc>
          <w:tcPr>
            <w:tcW w:w="1106" w:type="dxa"/>
            <w:tcBorders>
              <w:top w:val="single" w:color="000000" w:sz="4" w:space="0"/>
              <w:left w:val="single" w:color="000000" w:sz="4" w:space="0"/>
              <w:bottom w:val="nil"/>
              <w:right w:val="single" w:color="000000" w:sz="4" w:space="0"/>
            </w:tcBorders>
            <w:noWrap/>
            <w:vAlign w:val="center"/>
          </w:tcPr>
          <w:p w14:paraId="38F569F5">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人</w:t>
            </w:r>
          </w:p>
        </w:tc>
        <w:tc>
          <w:tcPr>
            <w:tcW w:w="4669" w:type="dxa"/>
            <w:gridSpan w:val="3"/>
            <w:tcBorders>
              <w:top w:val="single" w:color="000000" w:sz="4" w:space="0"/>
              <w:left w:val="single" w:color="000000" w:sz="4" w:space="0"/>
              <w:bottom w:val="nil"/>
              <w:right w:val="single" w:color="000000" w:sz="4" w:space="0"/>
            </w:tcBorders>
            <w:noWrap w:val="0"/>
            <w:vAlign w:val="center"/>
          </w:tcPr>
          <w:p w14:paraId="1BE8624D">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施工班组及交疏人员：</w:t>
            </w:r>
          </w:p>
          <w:p w14:paraId="600995DC">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1.沟槽回填、分层压实</w:t>
            </w:r>
          </w:p>
          <w:p w14:paraId="45BDB5E2">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2.沥青铺摊压实</w:t>
            </w:r>
          </w:p>
          <w:p w14:paraId="0691203D">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w:t>
            </w:r>
          </w:p>
          <w:p w14:paraId="1D304B20">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1.交通车辆风险</w:t>
            </w:r>
          </w:p>
          <w:p w14:paraId="3E0436DC">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2.机械设备风险</w:t>
            </w:r>
          </w:p>
          <w:p w14:paraId="0E4E5721">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3.临时修复路面质量风险</w:t>
            </w:r>
          </w:p>
          <w:p w14:paraId="30FBBEC1">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15F377C3">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□交疏人员合理配置、设施摆放合理、警示标志足够且有效。</w:t>
            </w:r>
          </w:p>
          <w:p w14:paraId="5BADBC3D">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□合理安排现场机械，并保证有专人指挥。</w:t>
            </w:r>
          </w:p>
          <w:p w14:paraId="35D5D0C5">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□专人指挥压实作业，检查回填材料质量，保证压实度；沥青摊铺保证摊铺厚度及沥青料的质量；对于压路机无法压实的井口等位置，采用人工蛙夯等压实。</w:t>
            </w:r>
          </w:p>
        </w:tc>
        <w:tc>
          <w:tcPr>
            <w:tcW w:w="3731" w:type="dxa"/>
            <w:gridSpan w:val="2"/>
            <w:tcBorders>
              <w:top w:val="single" w:color="000000" w:sz="4" w:space="0"/>
              <w:left w:val="single" w:color="000000" w:sz="4" w:space="0"/>
              <w:bottom w:val="single" w:color="000000" w:sz="4" w:space="0"/>
              <w:right w:val="single" w:color="000000" w:sz="4" w:space="0"/>
            </w:tcBorders>
            <w:noWrap w:val="0"/>
            <w:vAlign w:val="center"/>
          </w:tcPr>
          <w:p w14:paraId="1536C346">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施工班组及交疏人员：</w:t>
            </w:r>
          </w:p>
          <w:p w14:paraId="4C35634F">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沥青冷却后进行冲洗、冲洗完毕后对围蔽进行拆除、人员撤离</w:t>
            </w:r>
          </w:p>
          <w:p w14:paraId="0B1FCCA6">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w:t>
            </w:r>
          </w:p>
          <w:p w14:paraId="71AAA22E">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1.交通车辆风险</w:t>
            </w:r>
          </w:p>
          <w:p w14:paraId="4089AA60">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435DA0C6">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□交疏人员及设施按规范要求进行拆除撤离，场内施工人员及机械设备撤场后，交疏及设施方最后撤离。</w:t>
            </w:r>
          </w:p>
          <w:p w14:paraId="1B47F117">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□必须留足至少20分钟的沥青冷却时间，才能进行路面冲洗，防止沥青过快冷却强度降低引起路面问题。</w:t>
            </w:r>
          </w:p>
        </w:tc>
      </w:tr>
      <w:tr w14:paraId="0822C3C7">
        <w:tblPrEx>
          <w:tblCellMar>
            <w:top w:w="0" w:type="dxa"/>
            <w:left w:w="108" w:type="dxa"/>
            <w:bottom w:w="0" w:type="dxa"/>
            <w:right w:w="108" w:type="dxa"/>
          </w:tblCellMar>
        </w:tblPrEx>
        <w:trPr>
          <w:trHeight w:val="1588"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03E7B24F">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机</w:t>
            </w:r>
          </w:p>
        </w:tc>
        <w:tc>
          <w:tcPr>
            <w:tcW w:w="4669" w:type="dxa"/>
            <w:gridSpan w:val="3"/>
            <w:tcBorders>
              <w:top w:val="single" w:color="000000" w:sz="4" w:space="0"/>
              <w:left w:val="single" w:color="000000" w:sz="4" w:space="0"/>
              <w:bottom w:val="single" w:color="000000" w:sz="4" w:space="0"/>
              <w:right w:val="single" w:color="000000" w:sz="4" w:space="0"/>
            </w:tcBorders>
            <w:noWrap w:val="0"/>
            <w:vAlign w:val="center"/>
          </w:tcPr>
          <w:p w14:paraId="6BB20057">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压路机</w:t>
            </w:r>
          </w:p>
          <w:p w14:paraId="53CBF8A9">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风险点：操作不当引发的交通风险及倾倒风险。</w:t>
            </w:r>
          </w:p>
          <w:p w14:paraId="7C01FB19">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1C0DAE79">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□教育压路机驾驶员按操作规范作业，施工员进行指挥。</w:t>
            </w:r>
          </w:p>
        </w:tc>
        <w:tc>
          <w:tcPr>
            <w:tcW w:w="3731" w:type="dxa"/>
            <w:gridSpan w:val="2"/>
            <w:tcBorders>
              <w:top w:val="single" w:color="000000" w:sz="4" w:space="0"/>
              <w:left w:val="single" w:color="000000" w:sz="4" w:space="0"/>
              <w:bottom w:val="single" w:color="000000" w:sz="4" w:space="0"/>
              <w:right w:val="single" w:color="000000" w:sz="4" w:space="0"/>
            </w:tcBorders>
            <w:noWrap w:val="0"/>
            <w:vAlign w:val="center"/>
          </w:tcPr>
          <w:p w14:paraId="000AE8F6">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洒水车、交疏车辆</w:t>
            </w:r>
          </w:p>
          <w:p w14:paraId="7626361B">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风险点：操作不当、故障引发的交通风险。</w:t>
            </w:r>
          </w:p>
          <w:p w14:paraId="717E849A">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3BB62114">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□教育驾驶员按操作规范作业；定期维修保养，保证设备正常运作。</w:t>
            </w:r>
          </w:p>
        </w:tc>
      </w:tr>
      <w:tr w14:paraId="210F2377">
        <w:tblPrEx>
          <w:tblCellMar>
            <w:top w:w="0" w:type="dxa"/>
            <w:left w:w="108" w:type="dxa"/>
            <w:bottom w:w="0" w:type="dxa"/>
            <w:right w:w="108" w:type="dxa"/>
          </w:tblCellMar>
        </w:tblPrEx>
        <w:trPr>
          <w:trHeight w:val="1954"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24EC41EA">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料</w:t>
            </w:r>
          </w:p>
        </w:tc>
        <w:tc>
          <w:tcPr>
            <w:tcW w:w="4669" w:type="dxa"/>
            <w:gridSpan w:val="3"/>
            <w:tcBorders>
              <w:top w:val="single" w:color="000000" w:sz="4" w:space="0"/>
              <w:left w:val="single" w:color="000000" w:sz="4" w:space="0"/>
              <w:bottom w:val="single" w:color="000000" w:sz="4" w:space="0"/>
              <w:right w:val="single" w:color="000000" w:sz="4" w:space="0"/>
            </w:tcBorders>
            <w:noWrap w:val="0"/>
            <w:vAlign w:val="center"/>
          </w:tcPr>
          <w:p w14:paraId="6E6E222C">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石屑、水泥、碎石、沥青</w:t>
            </w:r>
          </w:p>
          <w:p w14:paraId="7A39E930">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风险点：材料质量不达标引起的临时路面质量风险</w:t>
            </w:r>
          </w:p>
          <w:p w14:paraId="03A349C8">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04F53F8F">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□材料入场前进行报审检查合格证，对进场材料进行抽检，现场材料不符合标准的及时更换；管道两侧均匀对称回填。</w:t>
            </w:r>
          </w:p>
        </w:tc>
        <w:tc>
          <w:tcPr>
            <w:tcW w:w="3731" w:type="dxa"/>
            <w:gridSpan w:val="2"/>
            <w:tcBorders>
              <w:top w:val="single" w:color="000000" w:sz="4" w:space="0"/>
              <w:left w:val="single" w:color="000000" w:sz="4" w:space="0"/>
              <w:bottom w:val="single" w:color="000000" w:sz="4" w:space="0"/>
              <w:right w:val="single" w:color="000000" w:sz="4" w:space="0"/>
            </w:tcBorders>
            <w:noWrap w:val="0"/>
            <w:vAlign w:val="center"/>
          </w:tcPr>
          <w:p w14:paraId="377F6442">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□通车前，全面排查路面是否散落石子、块料、钢板等，及时清场。</w:t>
            </w:r>
          </w:p>
        </w:tc>
      </w:tr>
      <w:tr w14:paraId="614ACAA8">
        <w:tblPrEx>
          <w:tblCellMar>
            <w:top w:w="0" w:type="dxa"/>
            <w:left w:w="108" w:type="dxa"/>
            <w:bottom w:w="0" w:type="dxa"/>
            <w:right w:w="108" w:type="dxa"/>
          </w:tblCellMar>
        </w:tblPrEx>
        <w:trPr>
          <w:trHeight w:val="1936"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60E3D5F1">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法</w:t>
            </w:r>
          </w:p>
        </w:tc>
        <w:tc>
          <w:tcPr>
            <w:tcW w:w="4669" w:type="dxa"/>
            <w:gridSpan w:val="3"/>
            <w:tcBorders>
              <w:top w:val="single" w:color="000000" w:sz="4" w:space="0"/>
              <w:left w:val="single" w:color="000000" w:sz="4" w:space="0"/>
              <w:bottom w:val="single" w:color="000000" w:sz="4" w:space="0"/>
              <w:right w:val="single" w:color="000000" w:sz="4" w:space="0"/>
            </w:tcBorders>
            <w:noWrap w:val="0"/>
            <w:vAlign w:val="center"/>
          </w:tcPr>
          <w:p w14:paraId="5E8C2D3F">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地面沉降风险：变形、结构破坏、沉降、路面开裂、空洞。</w:t>
            </w:r>
          </w:p>
          <w:p w14:paraId="55DF958D">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□进行压实度的检测。</w:t>
            </w:r>
          </w:p>
          <w:p w14:paraId="4D551FD9">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□做好日常路面巡查措施，做好日常维护，把控基坑回填及沥青路面摊铺质量。</w:t>
            </w:r>
          </w:p>
          <w:p w14:paraId="4B5FB08A">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□安全检查、隐患治理。</w:t>
            </w:r>
          </w:p>
        </w:tc>
        <w:tc>
          <w:tcPr>
            <w:tcW w:w="3731" w:type="dxa"/>
            <w:gridSpan w:val="2"/>
            <w:tcBorders>
              <w:top w:val="single" w:color="000000" w:sz="4" w:space="0"/>
              <w:left w:val="single" w:color="000000" w:sz="4" w:space="0"/>
              <w:bottom w:val="single" w:color="000000" w:sz="4" w:space="0"/>
              <w:right w:val="single" w:color="000000" w:sz="4" w:space="0"/>
            </w:tcBorders>
            <w:noWrap w:val="0"/>
            <w:vAlign w:val="center"/>
          </w:tcPr>
          <w:p w14:paraId="0D8A92CD">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□先人工清扫，后冲洗，注意冲洗压力、时间、接缝位置。</w:t>
            </w:r>
          </w:p>
          <w:p w14:paraId="3ADC9874">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□安全检查、隐患治理。</w:t>
            </w:r>
          </w:p>
        </w:tc>
      </w:tr>
      <w:tr w14:paraId="036FAA43">
        <w:tblPrEx>
          <w:tblCellMar>
            <w:top w:w="0" w:type="dxa"/>
            <w:left w:w="108" w:type="dxa"/>
            <w:bottom w:w="0" w:type="dxa"/>
            <w:right w:w="108" w:type="dxa"/>
          </w:tblCellMar>
        </w:tblPrEx>
        <w:trPr>
          <w:trHeight w:val="1462" w:hRule="atLeast"/>
        </w:trPr>
        <w:tc>
          <w:tcPr>
            <w:tcW w:w="1106" w:type="dxa"/>
            <w:tcBorders>
              <w:top w:val="single" w:color="000000" w:sz="4" w:space="0"/>
              <w:left w:val="single" w:color="000000" w:sz="4" w:space="0"/>
              <w:bottom w:val="single" w:color="000000" w:sz="8" w:space="0"/>
              <w:right w:val="single" w:color="000000" w:sz="4" w:space="0"/>
            </w:tcBorders>
            <w:noWrap/>
            <w:vAlign w:val="center"/>
          </w:tcPr>
          <w:p w14:paraId="7D514FC0">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环</w:t>
            </w:r>
          </w:p>
        </w:tc>
        <w:tc>
          <w:tcPr>
            <w:tcW w:w="4669" w:type="dxa"/>
            <w:gridSpan w:val="3"/>
            <w:tcBorders>
              <w:top w:val="single" w:color="000000" w:sz="4" w:space="0"/>
              <w:left w:val="single" w:color="000000" w:sz="4" w:space="0"/>
              <w:bottom w:val="single" w:color="000000" w:sz="8" w:space="0"/>
              <w:right w:val="single" w:color="000000" w:sz="4" w:space="0"/>
            </w:tcBorders>
            <w:noWrap w:val="0"/>
            <w:vAlign w:val="center"/>
          </w:tcPr>
          <w:p w14:paraId="52663C29">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□施工照明充足。</w:t>
            </w:r>
          </w:p>
          <w:p w14:paraId="22319E5C">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□架空线、电车线、桥墩、人行天桥、绿化带等安全距离。</w:t>
            </w:r>
          </w:p>
          <w:p w14:paraId="6442F304">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□施工照明灯光源扰民。</w:t>
            </w:r>
          </w:p>
        </w:tc>
        <w:tc>
          <w:tcPr>
            <w:tcW w:w="3731" w:type="dxa"/>
            <w:gridSpan w:val="2"/>
            <w:tcBorders>
              <w:top w:val="single" w:color="000000" w:sz="4" w:space="0"/>
              <w:left w:val="single" w:color="000000" w:sz="4" w:space="0"/>
              <w:bottom w:val="single" w:color="auto" w:sz="4" w:space="0"/>
              <w:right w:val="single" w:color="000000" w:sz="4" w:space="0"/>
            </w:tcBorders>
            <w:noWrap w:val="0"/>
            <w:vAlign w:val="center"/>
          </w:tcPr>
          <w:p w14:paraId="5E783402">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□施工照明充足。</w:t>
            </w:r>
          </w:p>
          <w:p w14:paraId="6E8E808C">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□施工照明灯光源扰民。</w:t>
            </w:r>
          </w:p>
        </w:tc>
      </w:tr>
      <w:tr w14:paraId="372C550C">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noWrap w:val="0"/>
            <w:vAlign w:val="top"/>
          </w:tcPr>
          <w:p w14:paraId="41FB8584">
            <w:pPr>
              <w:widowControl/>
              <w:jc w:val="left"/>
              <w:textAlignment w:val="top"/>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 xml:space="preserve">  工序时间</w:t>
            </w:r>
          </w:p>
          <w:p w14:paraId="4BB53DBA">
            <w:pPr>
              <w:widowControl/>
              <w:jc w:val="left"/>
              <w:textAlignment w:val="top"/>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 xml:space="preserve">             要素                </w:t>
            </w:r>
          </w:p>
        </w:tc>
        <w:tc>
          <w:tcPr>
            <w:tcW w:w="4669" w:type="dxa"/>
            <w:gridSpan w:val="3"/>
            <w:tcBorders>
              <w:top w:val="nil"/>
              <w:left w:val="single" w:color="000000" w:sz="4" w:space="0"/>
              <w:bottom w:val="single" w:color="000000" w:sz="4" w:space="0"/>
              <w:right w:val="single" w:color="auto" w:sz="4" w:space="0"/>
            </w:tcBorders>
            <w:noWrap/>
            <w:vAlign w:val="center"/>
          </w:tcPr>
          <w:p w14:paraId="73970C11">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T7（06：00-08：00）</w:t>
            </w:r>
          </w:p>
        </w:tc>
        <w:tc>
          <w:tcPr>
            <w:tcW w:w="3731" w:type="dxa"/>
            <w:gridSpan w:val="2"/>
            <w:tcBorders>
              <w:top w:val="single" w:color="auto" w:sz="4" w:space="0"/>
              <w:left w:val="single" w:color="auto" w:sz="4" w:space="0"/>
              <w:bottom w:val="single" w:color="auto" w:sz="4" w:space="0"/>
              <w:right w:val="single" w:color="auto" w:sz="4" w:space="0"/>
            </w:tcBorders>
            <w:noWrap w:val="0"/>
            <w:vAlign w:val="center"/>
          </w:tcPr>
          <w:p w14:paraId="0D07AA2C">
            <w:pPr>
              <w:rPr>
                <w:rFonts w:ascii="微软雅黑" w:hAnsi="微软雅黑" w:eastAsia="微软雅黑" w:cs="微软雅黑"/>
                <w:color w:val="000000" w:themeColor="text1"/>
                <w:sz w:val="16"/>
                <w:szCs w:val="16"/>
                <w:highlight w:val="none"/>
                <w14:textFill>
                  <w14:solidFill>
                    <w14:schemeClr w14:val="tx1"/>
                  </w14:solidFill>
                </w14:textFill>
              </w:rPr>
            </w:pPr>
          </w:p>
        </w:tc>
      </w:tr>
      <w:tr w14:paraId="633F7957">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000000" w:sz="4" w:space="0"/>
              <w:right w:val="single" w:color="000000" w:sz="4" w:space="0"/>
              <w:tl2br w:val="single" w:color="000000" w:sz="4" w:space="0"/>
            </w:tcBorders>
            <w:noWrap w:val="0"/>
            <w:vAlign w:val="top"/>
          </w:tcPr>
          <w:p w14:paraId="49747B1D">
            <w:pPr>
              <w:jc w:val="left"/>
              <w:rPr>
                <w:rFonts w:ascii="微软雅黑" w:hAnsi="微软雅黑" w:eastAsia="微软雅黑" w:cs="微软雅黑"/>
                <w:color w:val="000000" w:themeColor="text1"/>
                <w:sz w:val="16"/>
                <w:szCs w:val="16"/>
                <w:highlight w:val="none"/>
                <w14:textFill>
                  <w14:solidFill>
                    <w14:schemeClr w14:val="tx1"/>
                  </w14:solidFill>
                </w14:textFill>
              </w:rPr>
            </w:pPr>
          </w:p>
        </w:tc>
        <w:tc>
          <w:tcPr>
            <w:tcW w:w="4669" w:type="dxa"/>
            <w:gridSpan w:val="3"/>
            <w:tcBorders>
              <w:top w:val="single" w:color="000000" w:sz="4" w:space="0"/>
              <w:left w:val="single" w:color="000000" w:sz="4" w:space="0"/>
              <w:bottom w:val="single" w:color="000000" w:sz="4" w:space="0"/>
              <w:right w:val="single" w:color="auto" w:sz="4" w:space="0"/>
            </w:tcBorders>
            <w:noWrap/>
            <w:vAlign w:val="center"/>
          </w:tcPr>
          <w:p w14:paraId="1BBBC68B">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路面巡查及应急抢险</w:t>
            </w:r>
          </w:p>
        </w:tc>
        <w:tc>
          <w:tcPr>
            <w:tcW w:w="3731" w:type="dxa"/>
            <w:gridSpan w:val="2"/>
            <w:tcBorders>
              <w:top w:val="single" w:color="auto" w:sz="4" w:space="0"/>
              <w:left w:val="single" w:color="auto" w:sz="4" w:space="0"/>
              <w:bottom w:val="single" w:color="auto" w:sz="4" w:space="0"/>
              <w:right w:val="single" w:color="auto" w:sz="4" w:space="0"/>
            </w:tcBorders>
            <w:noWrap w:val="0"/>
            <w:vAlign w:val="center"/>
          </w:tcPr>
          <w:p w14:paraId="0554D279">
            <w:pPr>
              <w:rPr>
                <w:rFonts w:ascii="微软雅黑" w:hAnsi="微软雅黑" w:eastAsia="微软雅黑" w:cs="微软雅黑"/>
                <w:color w:val="000000" w:themeColor="text1"/>
                <w:sz w:val="16"/>
                <w:szCs w:val="16"/>
                <w:highlight w:val="none"/>
                <w14:textFill>
                  <w14:solidFill>
                    <w14:schemeClr w14:val="tx1"/>
                  </w14:solidFill>
                </w14:textFill>
              </w:rPr>
            </w:pPr>
          </w:p>
        </w:tc>
      </w:tr>
      <w:tr w14:paraId="336F0994">
        <w:tblPrEx>
          <w:tblCellMar>
            <w:top w:w="0" w:type="dxa"/>
            <w:left w:w="108" w:type="dxa"/>
            <w:bottom w:w="0" w:type="dxa"/>
            <w:right w:w="108" w:type="dxa"/>
          </w:tblCellMar>
        </w:tblPrEx>
        <w:trPr>
          <w:trHeight w:val="3009" w:hRule="atLeast"/>
        </w:trPr>
        <w:tc>
          <w:tcPr>
            <w:tcW w:w="1106" w:type="dxa"/>
            <w:tcBorders>
              <w:top w:val="single" w:color="000000" w:sz="4" w:space="0"/>
              <w:left w:val="single" w:color="000000" w:sz="4" w:space="0"/>
              <w:bottom w:val="single" w:color="auto" w:sz="4" w:space="0"/>
              <w:right w:val="single" w:color="000000" w:sz="4" w:space="0"/>
            </w:tcBorders>
            <w:noWrap/>
            <w:vAlign w:val="center"/>
          </w:tcPr>
          <w:p w14:paraId="6C57B035">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人</w:t>
            </w:r>
          </w:p>
        </w:tc>
        <w:tc>
          <w:tcPr>
            <w:tcW w:w="4669" w:type="dxa"/>
            <w:gridSpan w:val="3"/>
            <w:tcBorders>
              <w:top w:val="single" w:color="000000" w:sz="4" w:space="0"/>
              <w:left w:val="single" w:color="000000" w:sz="4" w:space="0"/>
              <w:bottom w:val="single" w:color="auto" w:sz="4" w:space="0"/>
              <w:right w:val="single" w:color="auto" w:sz="4" w:space="0"/>
            </w:tcBorders>
            <w:noWrap w:val="0"/>
            <w:vAlign w:val="center"/>
          </w:tcPr>
          <w:p w14:paraId="3B9AC879">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路面巡查人员及应急抢险人员：对新修复的临时路面进行巡查，出现路面问题时进行路面问题抢修</w:t>
            </w:r>
          </w:p>
          <w:p w14:paraId="59ED4DC5">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1.交通安全风险</w:t>
            </w:r>
          </w:p>
          <w:p w14:paraId="043D7D00">
            <w:pPr>
              <w:widowControl/>
              <w:jc w:val="left"/>
              <w:textAlignment w:val="center"/>
              <w:rPr>
                <w:rFonts w:ascii="微软雅黑" w:hAnsi="微软雅黑" w:eastAsia="微软雅黑" w:cs="微软雅黑"/>
                <w:b/>
                <w:bCs/>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b/>
                <w:bCs/>
                <w:color w:val="000000" w:themeColor="text1"/>
                <w:kern w:val="0"/>
                <w:sz w:val="16"/>
                <w:szCs w:val="16"/>
                <w:highlight w:val="none"/>
                <w:lang w:bidi="ar"/>
                <w14:textFill>
                  <w14:solidFill>
                    <w14:schemeClr w14:val="tx1"/>
                  </w14:solidFill>
                </w14:textFill>
              </w:rPr>
              <w:t>管控要点：</w:t>
            </w:r>
          </w:p>
          <w:p w14:paraId="5B72FEF1">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□第一时间汇报并与交警部门报备。</w:t>
            </w:r>
          </w:p>
          <w:p w14:paraId="040A7FE7">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□围蔽设施摆放合理、警示标志足够且有效。</w:t>
            </w:r>
          </w:p>
          <w:p w14:paraId="016A1E59">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□及时与交警部门沟通，进行有效交通疏导。</w:t>
            </w:r>
          </w:p>
          <w:p w14:paraId="72CDD8EA">
            <w:pPr>
              <w:widowControl/>
              <w:jc w:val="left"/>
              <w:textAlignment w:val="center"/>
              <w:rPr>
                <w:rFonts w:hint="default" w:ascii="Calibri" w:hAnsi="Calibri" w:eastAsia="宋体" w:cs="Times New Roman"/>
                <w:color w:val="000000" w:themeColor="text1"/>
                <w:szCs w:val="21"/>
                <w:highlight w:val="none"/>
                <w:lang w:bidi="ar"/>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□抢修人员及物资配备充足，物资存放点合理，较短时间内能快速反应及有效修复。</w:t>
            </w:r>
          </w:p>
          <w:p w14:paraId="7C4D93FF">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default" w:ascii="微软雅黑" w:hAnsi="微软雅黑" w:eastAsia="微软雅黑" w:cs="微软雅黑"/>
                <w:color w:val="000000" w:themeColor="text1"/>
                <w:sz w:val="16"/>
                <w:szCs w:val="16"/>
                <w:highlight w:val="none"/>
                <w:u w:val="none"/>
                <w:lang w:bidi="ar"/>
                <w14:textFill>
                  <w14:solidFill>
                    <w14:schemeClr w14:val="tx1"/>
                  </w14:solidFill>
                </w14:textFill>
              </w:rPr>
              <w:t>□专人巡查，抢修位置专人监视。</w:t>
            </w:r>
          </w:p>
        </w:tc>
        <w:tc>
          <w:tcPr>
            <w:tcW w:w="3731" w:type="dxa"/>
            <w:gridSpan w:val="2"/>
            <w:tcBorders>
              <w:top w:val="single" w:color="auto" w:sz="4" w:space="0"/>
              <w:left w:val="single" w:color="auto" w:sz="4" w:space="0"/>
              <w:bottom w:val="single" w:color="auto" w:sz="4" w:space="0"/>
              <w:right w:val="single" w:color="auto" w:sz="4" w:space="0"/>
            </w:tcBorders>
            <w:noWrap w:val="0"/>
            <w:vAlign w:val="center"/>
          </w:tcPr>
          <w:p w14:paraId="0EE13F5A">
            <w:pPr>
              <w:rPr>
                <w:rFonts w:ascii="微软雅黑" w:hAnsi="微软雅黑" w:eastAsia="微软雅黑" w:cs="微软雅黑"/>
                <w:color w:val="000000" w:themeColor="text1"/>
                <w:sz w:val="16"/>
                <w:szCs w:val="16"/>
                <w:highlight w:val="none"/>
                <w14:textFill>
                  <w14:solidFill>
                    <w14:schemeClr w14:val="tx1"/>
                  </w14:solidFill>
                </w14:textFill>
              </w:rPr>
            </w:pPr>
          </w:p>
        </w:tc>
      </w:tr>
      <w:tr w14:paraId="42CA40DD">
        <w:tblPrEx>
          <w:tblCellMar>
            <w:top w:w="0" w:type="dxa"/>
            <w:left w:w="108" w:type="dxa"/>
            <w:bottom w:w="0" w:type="dxa"/>
            <w:right w:w="108" w:type="dxa"/>
          </w:tblCellMar>
        </w:tblPrEx>
        <w:trPr>
          <w:trHeight w:val="672" w:hRule="atLeast"/>
        </w:trPr>
        <w:tc>
          <w:tcPr>
            <w:tcW w:w="1106" w:type="dxa"/>
            <w:tcBorders>
              <w:top w:val="single" w:color="auto" w:sz="4" w:space="0"/>
              <w:left w:val="single" w:color="auto" w:sz="4" w:space="0"/>
              <w:bottom w:val="single" w:color="000000" w:sz="4" w:space="0"/>
              <w:right w:val="single" w:color="000000" w:sz="4" w:space="0"/>
            </w:tcBorders>
            <w:noWrap/>
            <w:vAlign w:val="center"/>
          </w:tcPr>
          <w:p w14:paraId="78E2E76B">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机</w:t>
            </w:r>
          </w:p>
        </w:tc>
        <w:tc>
          <w:tcPr>
            <w:tcW w:w="4669" w:type="dxa"/>
            <w:gridSpan w:val="3"/>
            <w:tcBorders>
              <w:top w:val="single" w:color="auto" w:sz="4" w:space="0"/>
              <w:left w:val="single" w:color="000000" w:sz="4" w:space="0"/>
              <w:bottom w:val="single" w:color="000000" w:sz="4" w:space="0"/>
              <w:right w:val="single" w:color="auto" w:sz="4" w:space="0"/>
            </w:tcBorders>
            <w:noWrap w:val="0"/>
            <w:vAlign w:val="center"/>
          </w:tcPr>
          <w:p w14:paraId="6543FC49">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配备巡查车辆及应急抢险设备。</w:t>
            </w:r>
          </w:p>
        </w:tc>
        <w:tc>
          <w:tcPr>
            <w:tcW w:w="3731" w:type="dxa"/>
            <w:gridSpan w:val="2"/>
            <w:tcBorders>
              <w:top w:val="single" w:color="auto" w:sz="4" w:space="0"/>
              <w:left w:val="single" w:color="auto" w:sz="4" w:space="0"/>
              <w:bottom w:val="single" w:color="auto" w:sz="4" w:space="0"/>
              <w:right w:val="single" w:color="auto" w:sz="4" w:space="0"/>
            </w:tcBorders>
            <w:noWrap w:val="0"/>
            <w:vAlign w:val="center"/>
          </w:tcPr>
          <w:p w14:paraId="64CFFF6C">
            <w:pPr>
              <w:rPr>
                <w:rFonts w:ascii="微软雅黑" w:hAnsi="微软雅黑" w:eastAsia="微软雅黑" w:cs="微软雅黑"/>
                <w:color w:val="000000" w:themeColor="text1"/>
                <w:sz w:val="16"/>
                <w:szCs w:val="16"/>
                <w:highlight w:val="none"/>
                <w14:textFill>
                  <w14:solidFill>
                    <w14:schemeClr w14:val="tx1"/>
                  </w14:solidFill>
                </w14:textFill>
              </w:rPr>
            </w:pPr>
          </w:p>
        </w:tc>
      </w:tr>
      <w:tr w14:paraId="7B70D0C5">
        <w:tblPrEx>
          <w:tblCellMar>
            <w:top w:w="0" w:type="dxa"/>
            <w:left w:w="108" w:type="dxa"/>
            <w:bottom w:w="0" w:type="dxa"/>
            <w:right w:w="108" w:type="dxa"/>
          </w:tblCellMar>
        </w:tblPrEx>
        <w:trPr>
          <w:trHeight w:val="1005" w:hRule="atLeast"/>
        </w:trPr>
        <w:tc>
          <w:tcPr>
            <w:tcW w:w="1106" w:type="dxa"/>
            <w:tcBorders>
              <w:top w:val="single" w:color="000000" w:sz="4" w:space="0"/>
              <w:left w:val="single" w:color="auto" w:sz="4" w:space="0"/>
              <w:bottom w:val="single" w:color="000000" w:sz="4" w:space="0"/>
              <w:right w:val="single" w:color="000000" w:sz="4" w:space="0"/>
            </w:tcBorders>
            <w:noWrap/>
            <w:vAlign w:val="center"/>
          </w:tcPr>
          <w:p w14:paraId="7D90EAAB">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料</w:t>
            </w:r>
          </w:p>
        </w:tc>
        <w:tc>
          <w:tcPr>
            <w:tcW w:w="4669" w:type="dxa"/>
            <w:gridSpan w:val="3"/>
            <w:tcBorders>
              <w:top w:val="single" w:color="000000" w:sz="4" w:space="0"/>
              <w:left w:val="single" w:color="000000" w:sz="4" w:space="0"/>
              <w:bottom w:val="single" w:color="000000" w:sz="4" w:space="0"/>
              <w:right w:val="single" w:color="auto" w:sz="4" w:space="0"/>
            </w:tcBorders>
            <w:noWrap w:val="0"/>
            <w:vAlign w:val="center"/>
          </w:tcPr>
          <w:p w14:paraId="6CDDDF93">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□在各应急物资存放点，按应急预案要求储备足够的应急物资：沥青冷料、钢板等。</w:t>
            </w:r>
          </w:p>
          <w:p w14:paraId="7A544B70">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□使用后及时核查数量与补充。</w:t>
            </w:r>
          </w:p>
        </w:tc>
        <w:tc>
          <w:tcPr>
            <w:tcW w:w="3731" w:type="dxa"/>
            <w:gridSpan w:val="2"/>
            <w:tcBorders>
              <w:top w:val="single" w:color="auto" w:sz="4" w:space="0"/>
              <w:left w:val="single" w:color="auto" w:sz="4" w:space="0"/>
              <w:bottom w:val="single" w:color="auto" w:sz="4" w:space="0"/>
              <w:right w:val="single" w:color="auto" w:sz="4" w:space="0"/>
            </w:tcBorders>
            <w:noWrap w:val="0"/>
            <w:vAlign w:val="center"/>
          </w:tcPr>
          <w:p w14:paraId="75E503C0">
            <w:pPr>
              <w:rPr>
                <w:rFonts w:ascii="微软雅黑" w:hAnsi="微软雅黑" w:eastAsia="微软雅黑" w:cs="微软雅黑"/>
                <w:color w:val="000000" w:themeColor="text1"/>
                <w:sz w:val="16"/>
                <w:szCs w:val="16"/>
                <w:highlight w:val="none"/>
                <w14:textFill>
                  <w14:solidFill>
                    <w14:schemeClr w14:val="tx1"/>
                  </w14:solidFill>
                </w14:textFill>
              </w:rPr>
            </w:pPr>
          </w:p>
        </w:tc>
      </w:tr>
      <w:tr w14:paraId="44499398">
        <w:tblPrEx>
          <w:tblCellMar>
            <w:top w:w="0" w:type="dxa"/>
            <w:left w:w="108" w:type="dxa"/>
            <w:bottom w:w="0" w:type="dxa"/>
            <w:right w:w="108" w:type="dxa"/>
          </w:tblCellMar>
        </w:tblPrEx>
        <w:trPr>
          <w:trHeight w:val="921" w:hRule="atLeast"/>
        </w:trPr>
        <w:tc>
          <w:tcPr>
            <w:tcW w:w="1106" w:type="dxa"/>
            <w:tcBorders>
              <w:top w:val="single" w:color="000000" w:sz="4" w:space="0"/>
              <w:left w:val="single" w:color="auto" w:sz="4" w:space="0"/>
              <w:bottom w:val="single" w:color="000000" w:sz="4" w:space="0"/>
              <w:right w:val="single" w:color="000000" w:sz="4" w:space="0"/>
            </w:tcBorders>
            <w:noWrap/>
            <w:vAlign w:val="center"/>
          </w:tcPr>
          <w:p w14:paraId="57BA8959">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法</w:t>
            </w:r>
          </w:p>
        </w:tc>
        <w:tc>
          <w:tcPr>
            <w:tcW w:w="4669" w:type="dxa"/>
            <w:gridSpan w:val="3"/>
            <w:tcBorders>
              <w:top w:val="single" w:color="000000" w:sz="4" w:space="0"/>
              <w:left w:val="single" w:color="000000" w:sz="4" w:space="0"/>
              <w:bottom w:val="single" w:color="000000" w:sz="4" w:space="0"/>
              <w:right w:val="single" w:color="auto" w:sz="4" w:space="0"/>
            </w:tcBorders>
            <w:noWrap w:val="0"/>
            <w:vAlign w:val="center"/>
          </w:tcPr>
          <w:p w14:paraId="7BF4660F">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p>
          <w:p w14:paraId="40268452">
            <w:pPr>
              <w:widowControl/>
              <w:jc w:val="left"/>
              <w:textAlignment w:val="center"/>
              <w:rPr>
                <w:rFonts w:ascii="微软雅黑" w:hAnsi="微软雅黑" w:eastAsia="微软雅黑" w:cs="微软雅黑"/>
                <w:color w:val="000000" w:themeColor="text1"/>
                <w:kern w:val="0"/>
                <w:sz w:val="16"/>
                <w:szCs w:val="16"/>
                <w:highlight w:val="none"/>
                <w:lang w:bidi="ar"/>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□编制路面应急预案，交底与演练。</w:t>
            </w:r>
          </w:p>
          <w:p w14:paraId="4BC044A7">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□安全检查、隐患治理。</w:t>
            </w:r>
          </w:p>
        </w:tc>
        <w:tc>
          <w:tcPr>
            <w:tcW w:w="3731" w:type="dxa"/>
            <w:gridSpan w:val="2"/>
            <w:tcBorders>
              <w:top w:val="single" w:color="auto" w:sz="4" w:space="0"/>
              <w:left w:val="single" w:color="auto" w:sz="4" w:space="0"/>
              <w:bottom w:val="single" w:color="auto" w:sz="4" w:space="0"/>
              <w:right w:val="single" w:color="auto" w:sz="4" w:space="0"/>
            </w:tcBorders>
            <w:noWrap w:val="0"/>
            <w:vAlign w:val="center"/>
          </w:tcPr>
          <w:p w14:paraId="2B4F2BF3">
            <w:pPr>
              <w:rPr>
                <w:rFonts w:ascii="微软雅黑" w:hAnsi="微软雅黑" w:eastAsia="微软雅黑" w:cs="微软雅黑"/>
                <w:color w:val="000000" w:themeColor="text1"/>
                <w:sz w:val="16"/>
                <w:szCs w:val="16"/>
                <w:highlight w:val="none"/>
                <w14:textFill>
                  <w14:solidFill>
                    <w14:schemeClr w14:val="tx1"/>
                  </w14:solidFill>
                </w14:textFill>
              </w:rPr>
            </w:pPr>
          </w:p>
        </w:tc>
      </w:tr>
      <w:tr w14:paraId="7B99E526">
        <w:tblPrEx>
          <w:tblCellMar>
            <w:top w:w="0" w:type="dxa"/>
            <w:left w:w="108" w:type="dxa"/>
            <w:bottom w:w="0" w:type="dxa"/>
            <w:right w:w="108" w:type="dxa"/>
          </w:tblCellMar>
        </w:tblPrEx>
        <w:trPr>
          <w:trHeight w:val="763" w:hRule="atLeast"/>
        </w:trPr>
        <w:tc>
          <w:tcPr>
            <w:tcW w:w="1106" w:type="dxa"/>
            <w:tcBorders>
              <w:top w:val="single" w:color="000000" w:sz="4" w:space="0"/>
              <w:left w:val="single" w:color="auto" w:sz="4" w:space="0"/>
              <w:bottom w:val="single" w:color="auto" w:sz="4" w:space="0"/>
              <w:right w:val="single" w:color="000000" w:sz="4" w:space="0"/>
            </w:tcBorders>
            <w:noWrap/>
            <w:vAlign w:val="center"/>
          </w:tcPr>
          <w:p w14:paraId="1DD6D349">
            <w:pPr>
              <w:widowControl/>
              <w:jc w:val="center"/>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环</w:t>
            </w:r>
          </w:p>
        </w:tc>
        <w:tc>
          <w:tcPr>
            <w:tcW w:w="4669" w:type="dxa"/>
            <w:gridSpan w:val="3"/>
            <w:tcBorders>
              <w:top w:val="single" w:color="000000" w:sz="4" w:space="0"/>
              <w:left w:val="single" w:color="000000" w:sz="4" w:space="0"/>
              <w:bottom w:val="single" w:color="auto" w:sz="4" w:space="0"/>
              <w:right w:val="single" w:color="auto" w:sz="4" w:space="0"/>
            </w:tcBorders>
            <w:noWrap w:val="0"/>
            <w:vAlign w:val="center"/>
          </w:tcPr>
          <w:p w14:paraId="7F93B38E">
            <w:pPr>
              <w:widowControl/>
              <w:jc w:val="left"/>
              <w:textAlignment w:val="center"/>
              <w:rPr>
                <w:rFonts w:ascii="微软雅黑" w:hAnsi="微软雅黑" w:eastAsia="微软雅黑" w:cs="微软雅黑"/>
                <w:color w:val="000000" w:themeColor="text1"/>
                <w:sz w:val="16"/>
                <w:szCs w:val="16"/>
                <w:highlight w:val="none"/>
                <w14:textFill>
                  <w14:solidFill>
                    <w14:schemeClr w14:val="tx1"/>
                  </w14:solidFill>
                </w14:textFill>
              </w:rPr>
            </w:pPr>
            <w:r>
              <w:rPr>
                <w:rFonts w:hint="eastAsia" w:ascii="微软雅黑" w:hAnsi="微软雅黑" w:eastAsia="微软雅黑" w:cs="微软雅黑"/>
                <w:color w:val="000000" w:themeColor="text1"/>
                <w:kern w:val="0"/>
                <w:sz w:val="16"/>
                <w:szCs w:val="16"/>
                <w:highlight w:val="none"/>
                <w:lang w:bidi="ar"/>
                <w14:textFill>
                  <w14:solidFill>
                    <w14:schemeClr w14:val="tx1"/>
                  </w14:solidFill>
                </w14:textFill>
              </w:rPr>
              <w:t>□特殊天气加强巡查频率，抢修位置完成后专人监视。</w:t>
            </w:r>
          </w:p>
        </w:tc>
        <w:tc>
          <w:tcPr>
            <w:tcW w:w="3731" w:type="dxa"/>
            <w:gridSpan w:val="2"/>
            <w:tcBorders>
              <w:top w:val="single" w:color="auto" w:sz="4" w:space="0"/>
              <w:left w:val="single" w:color="auto" w:sz="4" w:space="0"/>
              <w:bottom w:val="single" w:color="auto" w:sz="4" w:space="0"/>
              <w:right w:val="single" w:color="auto" w:sz="4" w:space="0"/>
            </w:tcBorders>
            <w:noWrap w:val="0"/>
            <w:vAlign w:val="center"/>
          </w:tcPr>
          <w:p w14:paraId="3DB879A1">
            <w:pPr>
              <w:rPr>
                <w:rFonts w:ascii="微软雅黑" w:hAnsi="微软雅黑" w:eastAsia="微软雅黑" w:cs="微软雅黑"/>
                <w:color w:val="000000" w:themeColor="text1"/>
                <w:sz w:val="16"/>
                <w:szCs w:val="16"/>
                <w:highlight w:val="none"/>
                <w14:textFill>
                  <w14:solidFill>
                    <w14:schemeClr w14:val="tx1"/>
                  </w14:solidFill>
                </w14:textFill>
              </w:rPr>
            </w:pPr>
          </w:p>
        </w:tc>
      </w:tr>
      <w:tr w14:paraId="27C43C63">
        <w:tblPrEx>
          <w:tblCellMar>
            <w:top w:w="0" w:type="dxa"/>
            <w:left w:w="108" w:type="dxa"/>
            <w:bottom w:w="0" w:type="dxa"/>
            <w:right w:w="108" w:type="dxa"/>
          </w:tblCellMar>
        </w:tblPrEx>
        <w:trPr>
          <w:trHeight w:val="2016" w:hRule="atLeast"/>
        </w:trPr>
        <w:tc>
          <w:tcPr>
            <w:tcW w:w="9506" w:type="dxa"/>
            <w:gridSpan w:val="6"/>
            <w:tcBorders>
              <w:top w:val="single" w:color="000000" w:sz="8" w:space="0"/>
              <w:left w:val="nil"/>
              <w:bottom w:val="nil"/>
              <w:right w:val="nil"/>
            </w:tcBorders>
            <w:noWrap/>
            <w:vAlign w:val="center"/>
          </w:tcPr>
          <w:p w14:paraId="288C8038">
            <w:pPr>
              <w:widowControl/>
              <w:jc w:val="left"/>
              <w:textAlignment w:val="center"/>
              <w:rPr>
                <w:rFonts w:ascii="等线" w:hAnsi="等线" w:eastAsia="等线" w:cs="等线"/>
                <w:color w:val="000000" w:themeColor="text1"/>
                <w:sz w:val="16"/>
                <w:szCs w:val="16"/>
                <w:highlight w:val="none"/>
                <w14:textFill>
                  <w14:solidFill>
                    <w14:schemeClr w14:val="tx1"/>
                  </w14:solidFill>
                </w14:textFill>
              </w:rPr>
            </w:pPr>
            <w:r>
              <w:rPr>
                <w:rFonts w:hint="eastAsia" w:ascii="等线" w:hAnsi="等线" w:eastAsia="等线" w:cs="等线"/>
                <w:color w:val="000000" w:themeColor="text1"/>
                <w:kern w:val="0"/>
                <w:sz w:val="16"/>
                <w:szCs w:val="16"/>
                <w:highlight w:val="none"/>
                <w:lang w:bidi="ar"/>
                <w14:textFill>
                  <w14:solidFill>
                    <w14:schemeClr w14:val="tx1"/>
                  </w14:solidFill>
                </w14:textFill>
              </w:rPr>
              <w:t>检查单位：　　　　　　　　　　监理单位：                       施工单位：                        检查日期：</w:t>
            </w:r>
          </w:p>
        </w:tc>
      </w:tr>
    </w:tbl>
    <w:p w14:paraId="102FA698">
      <w:pPr>
        <w:rPr>
          <w:rFonts w:ascii="Calibri" w:hAnsi="Calibri" w:eastAsia="宋体" w:cs="Calibri"/>
          <w:color w:val="000000" w:themeColor="text1"/>
          <w:szCs w:val="21"/>
          <w:highlight w:val="none"/>
          <w14:textFill>
            <w14:solidFill>
              <w14:schemeClr w14:val="tx1"/>
            </w14:solidFill>
          </w14:textFill>
        </w:rPr>
      </w:pPr>
    </w:p>
    <w:p w14:paraId="1A5660DF">
      <w:pPr>
        <w:rPr>
          <w:rFonts w:ascii="宋体" w:hAnsi="宋体" w:eastAsia="宋体" w:cs="宋体"/>
          <w:b/>
          <w:bCs/>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br w:type="page"/>
      </w:r>
    </w:p>
    <w:p w14:paraId="43AF534E">
      <w:pPr>
        <w:widowControl w:val="0"/>
        <w:adjustRightInd w:val="0"/>
        <w:spacing w:line="360" w:lineRule="auto"/>
        <w:ind w:left="0" w:leftChars="0" w:firstLine="0" w:firstLineChars="0"/>
        <w:jc w:val="left"/>
        <w:textAlignment w:val="baseline"/>
        <w:outlineLvl w:val="0"/>
        <w:rPr>
          <w:rFonts w:hint="eastAsia" w:ascii="宋体" w:hAnsi="宋体" w:eastAsia="宋体" w:cs="宋体"/>
          <w:b/>
          <w:bCs/>
          <w:color w:val="000000" w:themeColor="text1"/>
          <w:kern w:val="2"/>
          <w:sz w:val="22"/>
          <w:szCs w:val="22"/>
          <w:highlight w:val="none"/>
          <w:lang w:val="en-US" w:eastAsia="zh-CN" w:bidi="ar"/>
          <w14:textFill>
            <w14:solidFill>
              <w14:schemeClr w14:val="tx1"/>
            </w14:solidFill>
          </w14:textFill>
        </w:rPr>
      </w:pPr>
      <w:permStart w:id="435" w:edGrp="everyone"/>
      <w:bookmarkStart w:id="609" w:name="_Toc13427"/>
      <w:bookmarkStart w:id="610" w:name="_Toc13283"/>
      <w:bookmarkStart w:id="611" w:name="_Toc20292"/>
      <w:bookmarkStart w:id="612" w:name="_Toc7815"/>
      <w:bookmarkStart w:id="613" w:name="_Toc3942"/>
      <w:bookmarkStart w:id="614" w:name="_Toc17793"/>
      <w:r>
        <w:rPr>
          <w:rFonts w:hint="eastAsia" w:ascii="黑体" w:hAnsi="黑体" w:eastAsia="黑体" w:cs="黑体"/>
          <w:b w:val="0"/>
          <w:bCs w:val="0"/>
          <w:color w:val="000000" w:themeColor="text1"/>
          <w:kern w:val="2"/>
          <w:sz w:val="24"/>
          <w:szCs w:val="24"/>
          <w:highlight w:val="none"/>
          <w:lang w:val="en-US" w:eastAsia="zh-CN" w:bidi="ar"/>
          <w14:textFill>
            <w14:solidFill>
              <w14:schemeClr w14:val="tx1"/>
            </w14:solidFill>
          </w14:textFill>
        </w:rPr>
        <w:t>附件13</w:t>
      </w:r>
      <w:bookmarkEnd w:id="609"/>
      <w:bookmarkEnd w:id="610"/>
      <w:bookmarkEnd w:id="611"/>
      <w:bookmarkEnd w:id="612"/>
      <w:bookmarkEnd w:id="613"/>
      <w:bookmarkEnd w:id="614"/>
      <w:r>
        <w:rPr>
          <w:rFonts w:hint="eastAsia" w:ascii="黑体" w:hAnsi="黑体" w:eastAsia="黑体" w:cs="黑体"/>
          <w:b w:val="0"/>
          <w:bCs w:val="0"/>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b/>
          <w:bCs/>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b/>
          <w:bCs/>
          <w:color w:val="000000" w:themeColor="text1"/>
          <w:kern w:val="2"/>
          <w:sz w:val="22"/>
          <w:szCs w:val="22"/>
          <w:highlight w:val="none"/>
          <w:lang w:val="en-US" w:eastAsia="zh-CN" w:bidi="ar"/>
          <w14:textFill>
            <w14:solidFill>
              <w14:schemeClr w14:val="tx1"/>
            </w14:solidFill>
          </w14:textFill>
        </w:rPr>
        <w:t xml:space="preserve">           </w:t>
      </w:r>
    </w:p>
    <w:p w14:paraId="03FF7981">
      <w:pPr>
        <w:widowControl w:val="0"/>
        <w:adjustRightInd w:val="0"/>
        <w:spacing w:line="360" w:lineRule="auto"/>
        <w:ind w:left="0" w:leftChars="0" w:firstLine="0" w:firstLineChars="0"/>
        <w:jc w:val="center"/>
        <w:textAlignment w:val="baseline"/>
        <w:outlineLvl w:val="0"/>
        <w:rPr>
          <w:rFonts w:hint="eastAsia" w:ascii="方正小标宋简体" w:hAnsi="方正小标宋简体" w:eastAsia="方正小标宋简体" w:cs="方正小标宋简体"/>
          <w:b w:val="0"/>
          <w:bCs w:val="0"/>
          <w:color w:val="000000" w:themeColor="text1"/>
          <w:kern w:val="2"/>
          <w:sz w:val="32"/>
          <w:szCs w:val="32"/>
          <w:highlight w:val="none"/>
          <w:lang w:val="en-US" w:eastAsia="zh-CN" w:bidi="ar"/>
          <w14:textFill>
            <w14:solidFill>
              <w14:schemeClr w14:val="tx1"/>
            </w14:solidFill>
          </w14:textFill>
        </w:rPr>
      </w:pPr>
      <w:bookmarkStart w:id="615" w:name="_Toc13493"/>
      <w:bookmarkStart w:id="616" w:name="_Toc14399"/>
      <w:bookmarkStart w:id="617" w:name="_Toc25684"/>
      <w:r>
        <w:rPr>
          <w:rFonts w:hint="eastAsia" w:ascii="方正小标宋简体" w:hAnsi="方正小标宋简体" w:eastAsia="方正小标宋简体" w:cs="方正小标宋简体"/>
          <w:b w:val="0"/>
          <w:bCs w:val="0"/>
          <w:color w:val="000000" w:themeColor="text1"/>
          <w:kern w:val="2"/>
          <w:sz w:val="32"/>
          <w:szCs w:val="32"/>
          <w:highlight w:val="none"/>
          <w:lang w:val="en-US" w:eastAsia="zh-CN" w:bidi="ar"/>
          <w14:textFill>
            <w14:solidFill>
              <w14:schemeClr w14:val="tx1"/>
            </w14:solidFill>
          </w14:textFill>
        </w:rPr>
        <w:t>拟投入的机械设备承诺函</w:t>
      </w:r>
      <w:bookmarkEnd w:id="615"/>
      <w:bookmarkEnd w:id="616"/>
      <w:r>
        <w:rPr>
          <w:rFonts w:hint="eastAsia" w:ascii="仿宋_GB2312" w:hAnsi="Calibri" w:eastAsia="仿宋_GB2312" w:cs="宋体"/>
          <w:color w:val="000000" w:themeColor="text1"/>
          <w:spacing w:val="1"/>
          <w:kern w:val="0"/>
          <w:sz w:val="24"/>
          <w:szCs w:val="24"/>
          <w:highlight w:val="none"/>
          <w:lang w:eastAsia="zh-CN"/>
          <w14:textFill>
            <w14:solidFill>
              <w14:schemeClr w14:val="tx1"/>
            </w14:solidFill>
          </w14:textFill>
        </w:rPr>
        <w:t>（</w:t>
      </w:r>
      <w:r>
        <w:rPr>
          <w:rFonts w:hint="eastAsia" w:ascii="仿宋_GB2312" w:hAnsi="Calibri" w:eastAsia="仿宋_GB2312" w:cs="宋体"/>
          <w:color w:val="000000" w:themeColor="text1"/>
          <w:spacing w:val="1"/>
          <w:kern w:val="0"/>
          <w:sz w:val="24"/>
          <w:szCs w:val="24"/>
          <w:highlight w:val="none"/>
          <w:lang w:val="en-US" w:eastAsia="zh-CN"/>
          <w14:textFill>
            <w14:solidFill>
              <w14:schemeClr w14:val="tx1"/>
            </w14:solidFill>
          </w14:textFill>
        </w:rPr>
        <w:t>如有</w:t>
      </w:r>
      <w:r>
        <w:rPr>
          <w:rFonts w:hint="eastAsia" w:ascii="仿宋_GB2312" w:hAnsi="Calibri" w:eastAsia="仿宋_GB2312" w:cs="宋体"/>
          <w:color w:val="000000" w:themeColor="text1"/>
          <w:spacing w:val="1"/>
          <w:kern w:val="0"/>
          <w:sz w:val="24"/>
          <w:szCs w:val="24"/>
          <w:highlight w:val="none"/>
          <w:lang w:eastAsia="zh-CN"/>
          <w14:textFill>
            <w14:solidFill>
              <w14:schemeClr w14:val="tx1"/>
            </w14:solidFill>
          </w14:textFill>
        </w:rPr>
        <w:t>）</w:t>
      </w:r>
      <w:bookmarkEnd w:id="617"/>
    </w:p>
    <w:p w14:paraId="11F3B9FD">
      <w:pPr>
        <w:adjustRightInd w:val="0"/>
        <w:snapToGrid w:val="0"/>
        <w:spacing w:line="360" w:lineRule="auto"/>
        <w:ind w:firstLine="480" w:firstLineChars="200"/>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p>
    <w:permEnd w:id="435"/>
    <w:p w14:paraId="466AABEA">
      <w:pPr>
        <w:rPr>
          <w:rFonts w:ascii="宋体" w:hAnsi="宋体" w:eastAsia="宋体" w:cs="宋体"/>
          <w:b/>
          <w:bCs/>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br w:type="page"/>
      </w:r>
    </w:p>
    <w:p w14:paraId="1727000C">
      <w:pPr>
        <w:rPr>
          <w:rFonts w:hint="eastAsia" w:ascii="黑体" w:hAnsi="黑体" w:eastAsia="黑体" w:cs="黑体"/>
          <w:b w:val="0"/>
          <w:bCs w:val="0"/>
          <w:color w:val="000000" w:themeColor="text1"/>
          <w:kern w:val="2"/>
          <w:sz w:val="24"/>
          <w:szCs w:val="24"/>
          <w:highlight w:val="none"/>
          <w:lang w:val="en-US" w:eastAsia="zh-CN" w:bidi="ar"/>
          <w14:textFill>
            <w14:solidFill>
              <w14:schemeClr w14:val="tx1"/>
            </w14:solidFill>
          </w14:textFill>
        </w:rPr>
      </w:pPr>
    </w:p>
    <w:p w14:paraId="13336664">
      <w:pPr>
        <w:widowControl w:val="0"/>
        <w:adjustRightInd w:val="0"/>
        <w:spacing w:line="360" w:lineRule="auto"/>
        <w:ind w:left="0" w:leftChars="0" w:firstLine="0" w:firstLineChars="0"/>
        <w:jc w:val="left"/>
        <w:textAlignment w:val="baseline"/>
        <w:outlineLvl w:val="0"/>
        <w:rPr>
          <w:rFonts w:hint="eastAsia" w:ascii="黑体" w:hAnsi="黑体" w:eastAsia="黑体" w:cs="黑体"/>
          <w:b w:val="0"/>
          <w:bCs w:val="0"/>
          <w:color w:val="000000" w:themeColor="text1"/>
          <w:kern w:val="2"/>
          <w:sz w:val="24"/>
          <w:szCs w:val="24"/>
          <w:highlight w:val="none"/>
          <w:lang w:val="en-US" w:eastAsia="zh-CN" w:bidi="ar"/>
          <w14:textFill>
            <w14:solidFill>
              <w14:schemeClr w14:val="tx1"/>
            </w14:solidFill>
          </w14:textFill>
        </w:rPr>
      </w:pPr>
      <w:bookmarkStart w:id="618" w:name="_Toc25666"/>
      <w:bookmarkStart w:id="619" w:name="_Toc28604"/>
      <w:bookmarkStart w:id="620" w:name="_Toc17968"/>
      <w:permStart w:id="436" w:edGrp="everyone"/>
      <w:r>
        <w:rPr>
          <w:rFonts w:hint="eastAsia" w:ascii="黑体" w:hAnsi="黑体" w:eastAsia="黑体" w:cs="黑体"/>
          <w:b w:val="0"/>
          <w:bCs w:val="0"/>
          <w:color w:val="000000" w:themeColor="text1"/>
          <w:kern w:val="2"/>
          <w:sz w:val="24"/>
          <w:szCs w:val="24"/>
          <w:highlight w:val="none"/>
          <w:lang w:val="en-US" w:eastAsia="zh-CN" w:bidi="ar"/>
          <w14:textFill>
            <w14:solidFill>
              <w14:schemeClr w14:val="tx1"/>
            </w14:solidFill>
          </w14:textFill>
        </w:rPr>
        <w:t>附件14</w:t>
      </w:r>
      <w:bookmarkEnd w:id="618"/>
      <w:bookmarkEnd w:id="619"/>
      <w:bookmarkEnd w:id="620"/>
    </w:p>
    <w:p w14:paraId="2998CA5A">
      <w:pPr>
        <w:widowControl w:val="0"/>
        <w:adjustRightInd w:val="0"/>
        <w:spacing w:line="360" w:lineRule="auto"/>
        <w:ind w:left="0" w:leftChars="0" w:firstLine="0" w:firstLineChars="0"/>
        <w:jc w:val="center"/>
        <w:textAlignment w:val="baseline"/>
        <w:outlineLvl w:val="0"/>
        <w:rPr>
          <w:rFonts w:hint="eastAsia" w:ascii="方正小标宋简体" w:hAnsi="方正小标宋简体" w:eastAsia="方正小标宋简体" w:cs="方正小标宋简体"/>
          <w:b w:val="0"/>
          <w:bCs w:val="0"/>
          <w:color w:val="000000" w:themeColor="text1"/>
          <w:kern w:val="2"/>
          <w:sz w:val="32"/>
          <w:szCs w:val="32"/>
          <w:highlight w:val="none"/>
          <w:lang w:val="en-US" w:eastAsia="zh-CN" w:bidi="ar"/>
          <w14:textFill>
            <w14:solidFill>
              <w14:schemeClr w14:val="tx1"/>
            </w14:solidFill>
          </w14:textFill>
        </w:rPr>
      </w:pPr>
      <w:bookmarkStart w:id="621" w:name="_Toc21222"/>
      <w:bookmarkStart w:id="622" w:name="_Toc28137"/>
      <w:bookmarkStart w:id="623" w:name="_Toc16315"/>
      <w:r>
        <w:rPr>
          <w:rFonts w:hint="eastAsia" w:ascii="方正小标宋简体" w:hAnsi="方正小标宋简体" w:eastAsia="方正小标宋简体" w:cs="方正小标宋简体"/>
          <w:b w:val="0"/>
          <w:bCs w:val="0"/>
          <w:color w:val="000000" w:themeColor="text1"/>
          <w:kern w:val="2"/>
          <w:sz w:val="32"/>
          <w:szCs w:val="32"/>
          <w:highlight w:val="none"/>
          <w:lang w:val="en-US" w:eastAsia="zh-CN" w:bidi="ar"/>
          <w14:textFill>
            <w14:solidFill>
              <w14:schemeClr w14:val="tx1"/>
            </w14:solidFill>
          </w14:textFill>
        </w:rPr>
        <w:t>工程竣工档案承诺书（管线工程类）</w:t>
      </w:r>
      <w:bookmarkEnd w:id="621"/>
      <w:bookmarkEnd w:id="622"/>
      <w:bookmarkEnd w:id="623"/>
    </w:p>
    <w:p w14:paraId="120D491A">
      <w:pPr>
        <w:adjustRightInd w:val="0"/>
        <w:snapToGrid w:val="0"/>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（自建类）</w:t>
      </w:r>
    </w:p>
    <w:p w14:paraId="0FF935B5">
      <w:pPr>
        <w:adjustRightInd w:val="0"/>
        <w:snapToGrid w:val="0"/>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38B5862">
      <w:pPr>
        <w:adjustRightInd w:val="0"/>
        <w:snapToGrid w:val="0"/>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我公司根据与贵方签订的《施工合同要求》将对</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（项目名称、穗规建证号）</w:t>
      </w:r>
      <w:r>
        <w:rPr>
          <w:rFonts w:hint="eastAsia" w:ascii="仿宋_GB2312" w:hAnsi="仿宋_GB2312" w:eastAsia="仿宋_GB2312" w:cs="仿宋_GB2312"/>
          <w:color w:val="000000" w:themeColor="text1"/>
          <w:sz w:val="24"/>
          <w:szCs w:val="24"/>
          <w:highlight w:val="none"/>
          <w14:textFill>
            <w14:solidFill>
              <w14:schemeClr w14:val="tx1"/>
            </w14:solidFill>
          </w14:textFill>
        </w:rPr>
        <w:t>进行施工，对此，我公司承诺在供水管道工程完工后3个月内，按要求完成相关竣工档案移交工作。具体承诺如下：</w:t>
      </w:r>
    </w:p>
    <w:p w14:paraId="7E5C3BE6">
      <w:pPr>
        <w:adjustRightInd w:val="0"/>
        <w:snapToGrid w:val="0"/>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1.在供水管道工程完成管道接驳之日1个月内，我公司向广州市城市规划勘测设计研究院办理工程竣工测量并向广州市自来水公司提交《广州市建设工程规划条件核实测量记录册》。</w:t>
      </w:r>
    </w:p>
    <w:p w14:paraId="241328A7">
      <w:pPr>
        <w:adjustRightInd w:val="0"/>
        <w:snapToGrid w:val="0"/>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2.对于向广州市规划和自然资源局备案的工程，在供水管道工程完工之日3个月内，向贵司提交《建设工程规划条件核实意见书》所需资料，配合贵司向广州市规划和自然资源局办理建设工程规划验收工作。</w:t>
      </w:r>
    </w:p>
    <w:p w14:paraId="7E6B7B3D">
      <w:pPr>
        <w:adjustRightInd w:val="0"/>
        <w:snapToGrid w:val="0"/>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3.对于向广州市规划和自然资源局备案的工程，在供水管道工程完工之日3个月内，我公司提交3套工程竣工档案资料，其中报送广州市城建档案管理机构1套，按</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《建设工程文件归档规范》（GB/T 50328-2019）、《建设工程档案编制规范》（DB 4401/T 55-2020）</w:t>
      </w:r>
      <w:r>
        <w:rPr>
          <w:rFonts w:hint="eastAsia" w:ascii="仿宋_GB2312" w:hAnsi="仿宋_GB2312" w:eastAsia="仿宋_GB2312" w:cs="仿宋_GB2312"/>
          <w:color w:val="000000" w:themeColor="text1"/>
          <w:sz w:val="24"/>
          <w:szCs w:val="24"/>
          <w:highlight w:val="none"/>
          <w14:textFill>
            <w14:solidFill>
              <w14:schemeClr w14:val="tx1"/>
            </w14:solidFill>
          </w14:textFill>
        </w:rPr>
        <w:t>和《广州市建设工程档案归档范围》（试行，2015年12月）要求范围进行收集编制竣工资料；报送广州市自来水公司2套，按广州市自来水公司工程项目档案归档管理的最新要求编制。</w:t>
      </w:r>
    </w:p>
    <w:p w14:paraId="5A735C3C">
      <w:pPr>
        <w:adjustRightInd w:val="0"/>
        <w:snapToGrid w:val="0"/>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4.对于无需向广州市规划和自然资源局备案的工程，在供水管道工程完工之日2个月内，我公司按广州市自来水公司要求编制并提交2套工程竣工档案资料。</w:t>
      </w:r>
    </w:p>
    <w:p w14:paraId="7CA46F68">
      <w:pPr>
        <w:adjustRightInd w:val="0"/>
        <w:snapToGrid w:val="0"/>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如因我公司未按时报送竣工档案资料和规划验收资料导致贵公司供水管道由于规划或路由不正确被骑压、损坏而给贵公司造成损失的，我公司愿承担广州市自来水公司遭受的各项损失及承担相应的法律和经济责任，且并不免除我公司继续向广州市自来水公司承担报送全部的合格、有效的竣工档案资料和规划验收资料的义务。</w:t>
      </w:r>
    </w:p>
    <w:p w14:paraId="4543855C">
      <w:pPr>
        <w:adjustRightInd w:val="0"/>
        <w:snapToGrid w:val="0"/>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6.本承诺书自我公司签署之日起生效。</w:t>
      </w:r>
    </w:p>
    <w:p w14:paraId="3D4933FA">
      <w:pPr>
        <w:adjustRightInd w:val="0"/>
        <w:snapToGrid w:val="0"/>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特此承诺</w:t>
      </w:r>
    </w:p>
    <w:p w14:paraId="7000A587">
      <w:pPr>
        <w:adjustRightInd w:val="0"/>
        <w:snapToGrid w:val="0"/>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09A17F3">
      <w:pPr>
        <w:adjustRightInd w:val="0"/>
        <w:snapToGrid w:val="0"/>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施工单位：承诺人（单位公章）：</w:t>
      </w:r>
    </w:p>
    <w:p w14:paraId="13E81999">
      <w:pPr>
        <w:adjustRightInd w:val="0"/>
        <w:snapToGrid w:val="0"/>
        <w:spacing w:line="360" w:lineRule="auto"/>
        <w:ind w:firstLine="1200" w:firstLineChars="5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法定代表人或其授权代理人（签名）：</w:t>
      </w:r>
    </w:p>
    <w:p w14:paraId="526E1D98">
      <w:pPr>
        <w:adjustRightInd w:val="0"/>
        <w:snapToGrid w:val="0"/>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D3E106F">
      <w:pPr>
        <w:adjustRightInd w:val="0"/>
        <w:snapToGrid w:val="0"/>
        <w:spacing w:line="360" w:lineRule="auto"/>
        <w:ind w:firstLine="480" w:firstLineChars="200"/>
        <w:rPr>
          <w:rFonts w:ascii="宋体" w:hAnsi="宋体" w:eastAsia="宋体" w:cs="宋体"/>
          <w:color w:val="000000" w:themeColor="text1"/>
          <w:kern w:val="0"/>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ermEnd w:id="436"/>
    <w:p w14:paraId="4C1E4AC6">
      <w:pPr>
        <w:rPr>
          <w:rFonts w:hint="eastAsia" w:ascii="黑体" w:hAnsi="黑体" w:eastAsia="黑体" w:cs="黑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br w:type="page"/>
      </w:r>
      <w:permStart w:id="437" w:edGrp="everyone"/>
      <w:r>
        <w:rPr>
          <w:rFonts w:hint="eastAsia" w:ascii="黑体" w:hAnsi="黑体" w:eastAsia="黑体" w:cs="黑体"/>
          <w:b w:val="0"/>
          <w:bCs w:val="0"/>
          <w:color w:val="000000" w:themeColor="text1"/>
          <w:sz w:val="24"/>
          <w:szCs w:val="24"/>
          <w:highlight w:val="none"/>
          <w14:textFill>
            <w14:solidFill>
              <w14:schemeClr w14:val="tx1"/>
            </w14:solidFill>
          </w14:textFill>
        </w:rPr>
        <w:t>附件</w:t>
      </w: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15</w:t>
      </w:r>
    </w:p>
    <w:p w14:paraId="10013290">
      <w:pPr>
        <w:widowControl w:val="0"/>
        <w:adjustRightInd w:val="0"/>
        <w:spacing w:line="560" w:lineRule="exact"/>
        <w:ind w:firstLine="442" w:firstLineChars="200"/>
        <w:jc w:val="center"/>
        <w:textAlignment w:val="baseline"/>
        <w:rPr>
          <w:rFonts w:ascii="宋体" w:hAnsi="宋体" w:eastAsia="宋体" w:cs="宋体"/>
          <w:b/>
          <w:bCs/>
          <w:color w:val="000000" w:themeColor="text1"/>
          <w:kern w:val="2"/>
          <w:sz w:val="22"/>
          <w:szCs w:val="22"/>
          <w:highlight w:val="none"/>
          <w:lang w:val="en-US" w:eastAsia="zh-CN" w:bidi="ar-SA"/>
          <w14:textFill>
            <w14:solidFill>
              <w14:schemeClr w14:val="tx1"/>
            </w14:solidFill>
          </w14:textFill>
        </w:rPr>
      </w:pPr>
    </w:p>
    <w:permEnd w:id="437"/>
    <w:p w14:paraId="3EFB94BA">
      <w:pPr>
        <w:widowControl w:val="0"/>
        <w:adjustRightInd w:val="0"/>
        <w:spacing w:line="240" w:lineRule="auto"/>
        <w:ind w:firstLine="0"/>
        <w:jc w:val="both"/>
        <w:textAlignment w:val="baseline"/>
        <w:rPr>
          <w:rFonts w:hint="eastAsia" w:ascii="黑体" w:hAnsi="黑体" w:eastAsia="黑体" w:cs="黑体"/>
          <w:b w:val="0"/>
          <w:bCs w:val="0"/>
          <w:color w:val="000000" w:themeColor="text1"/>
          <w:kern w:val="2"/>
          <w:sz w:val="22"/>
          <w:szCs w:val="22"/>
          <w:highlight w:val="none"/>
          <w:lang w:val="en-US" w:eastAsia="zh-CN" w:bidi="ar-SA"/>
          <w14:textFill>
            <w14:solidFill>
              <w14:schemeClr w14:val="tx1"/>
            </w14:solidFill>
          </w14:textFill>
        </w:rPr>
      </w:pPr>
    </w:p>
    <w:p w14:paraId="3B4A7713">
      <w:pPr>
        <w:widowControl w:val="0"/>
        <w:adjustRightInd w:val="0"/>
        <w:spacing w:line="560" w:lineRule="exact"/>
        <w:ind w:firstLine="0"/>
        <w:jc w:val="center"/>
        <w:textAlignment w:val="baseline"/>
        <w:outlineLvl w:val="9"/>
        <w:rPr>
          <w:rFonts w:hint="eastAsia" w:ascii="方正小标宋简体" w:hAnsi="方正小标宋简体" w:eastAsia="方正小标宋简体" w:cs="方正小标宋简体"/>
          <w:b w:val="0"/>
          <w:bCs w:val="0"/>
          <w:color w:val="000000" w:themeColor="text1"/>
          <w:kern w:val="2"/>
          <w:sz w:val="32"/>
          <w:szCs w:val="32"/>
          <w:highlight w:val="none"/>
          <w:lang w:val="en-US" w:eastAsia="zh-CN" w:bidi="ar-SA"/>
          <w14:textFill>
            <w14:solidFill>
              <w14:schemeClr w14:val="tx1"/>
            </w14:solidFill>
          </w14:textFill>
        </w:rPr>
      </w:pPr>
      <w:bookmarkStart w:id="624" w:name="_Toc28396"/>
      <w:bookmarkStart w:id="625" w:name="_Toc29194"/>
      <w:bookmarkStart w:id="626" w:name="_Toc13763"/>
      <w:r>
        <w:rPr>
          <w:rFonts w:hint="eastAsia" w:ascii="方正小标宋简体" w:hAnsi="方正小标宋简体" w:eastAsia="方正小标宋简体" w:cs="方正小标宋简体"/>
          <w:b w:val="0"/>
          <w:bCs w:val="0"/>
          <w:color w:val="000000" w:themeColor="text1"/>
          <w:kern w:val="2"/>
          <w:sz w:val="32"/>
          <w:szCs w:val="32"/>
          <w:highlight w:val="none"/>
          <w:lang w:val="en-US" w:eastAsia="zh-CN" w:bidi="ar-SA"/>
          <w14:textFill>
            <w14:solidFill>
              <w14:schemeClr w14:val="tx1"/>
            </w14:solidFill>
          </w14:textFill>
        </w:rPr>
        <w:t>其他附件</w:t>
      </w:r>
      <w:bookmarkEnd w:id="624"/>
      <w:bookmarkEnd w:id="625"/>
      <w:bookmarkEnd w:id="626"/>
    </w:p>
    <w:p w14:paraId="25FA05EA">
      <w:pPr>
        <w:widowControl w:val="0"/>
        <w:adjustRightInd w:val="0"/>
        <w:spacing w:line="560" w:lineRule="exact"/>
        <w:ind w:firstLine="480" w:firstLineChars="200"/>
        <w:jc w:val="both"/>
        <w:textAlignment w:val="baseline"/>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permStart w:id="438" w:edGrp="everyone"/>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招标/采购文件中要求投标单位/供应商提供的，与合同履约相关的附件，包括但不限于项目管理架构组成表、人员最低配置承诺书、拟投入的机械设备承诺函等，应作为本合同附件。</w:t>
      </w:r>
    </w:p>
    <w:permEnd w:id="438"/>
    <w:p w14:paraId="3038C6E1">
      <w:pPr>
        <w:rPr>
          <w:rFonts w:hint="eastAsia" w:ascii="宋体" w:hAnsi="宋体" w:eastAsia="宋体" w:cs="宋体"/>
          <w:b/>
          <w:bCs/>
          <w:color w:val="000000" w:themeColor="text1"/>
          <w:kern w:val="0"/>
          <w:sz w:val="22"/>
          <w:szCs w:val="22"/>
          <w:highlight w:val="none"/>
          <w14:textFill>
            <w14:solidFill>
              <w14:schemeClr w14:val="tx1"/>
            </w14:solidFill>
          </w14:textFill>
        </w:rPr>
        <w:sectPr>
          <w:endnotePr>
            <w:numFmt w:val="decimal"/>
          </w:endnotePr>
          <w:pgSz w:w="11905" w:h="16838"/>
          <w:pgMar w:top="1440" w:right="1800" w:bottom="1440" w:left="1800" w:header="0" w:footer="0" w:gutter="0"/>
          <w:pgNumType w:fmt="decimal"/>
          <w:cols w:space="720" w:num="1"/>
          <w:titlePg/>
          <w:rtlGutter w:val="0"/>
          <w:docGrid w:linePitch="1" w:charSpace="0"/>
        </w:sectPr>
      </w:pPr>
    </w:p>
    <w:p w14:paraId="30D4B11F">
      <w:pPr>
        <w:spacing w:before="240" w:beforeLines="100" w:after="240" w:afterLines="100" w:line="420" w:lineRule="exact"/>
        <w:outlineLvl w:val="1"/>
        <w:rPr>
          <w:rFonts w:hint="eastAsia" w:ascii="黑体" w:hAnsi="黑体" w:eastAsia="黑体" w:cs="黑体"/>
          <w:b w:val="0"/>
          <w:bCs w:val="0"/>
          <w:color w:val="000000" w:themeColor="text1"/>
          <w:kern w:val="0"/>
          <w:sz w:val="24"/>
          <w:szCs w:val="24"/>
          <w:highlight w:val="none"/>
          <w14:textFill>
            <w14:solidFill>
              <w14:schemeClr w14:val="tx1"/>
            </w14:solidFill>
          </w14:textFill>
        </w:rPr>
      </w:pPr>
      <w:bookmarkStart w:id="627" w:name="_Toc26660"/>
      <w:bookmarkStart w:id="628" w:name="_Toc28102"/>
      <w:bookmarkStart w:id="629" w:name="_Toc5500"/>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格式1</w:t>
      </w:r>
      <w:bookmarkEnd w:id="627"/>
      <w:bookmarkEnd w:id="628"/>
      <w:bookmarkEnd w:id="629"/>
    </w:p>
    <w:p w14:paraId="3F9D051E">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履约担保</w:t>
      </w:r>
    </w:p>
    <w:p w14:paraId="7F4A15DB">
      <w:pPr>
        <w:spacing w:line="420" w:lineRule="exact"/>
        <w:rPr>
          <w:rFonts w:ascii="宋体" w:hAnsi="宋体" w:eastAsia="宋体" w:cs="宋体"/>
          <w:color w:val="000000" w:themeColor="text1"/>
          <w:sz w:val="22"/>
          <w:szCs w:val="22"/>
          <w:highlight w:val="none"/>
          <w14:textFill>
            <w14:solidFill>
              <w14:schemeClr w14:val="tx1"/>
            </w14:solidFill>
          </w14:textFill>
        </w:rPr>
      </w:pPr>
    </w:p>
    <w:p w14:paraId="221FD796">
      <w:pPr>
        <w:wordWrap w:val="0"/>
        <w:spacing w:line="360" w:lineRule="auto"/>
        <w:jc w:val="righ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编号：           </w:t>
      </w:r>
    </w:p>
    <w:p w14:paraId="092333C4">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申请人：</w:t>
      </w:r>
    </w:p>
    <w:p w14:paraId="34EBC4CC">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地址：</w:t>
      </w:r>
    </w:p>
    <w:p w14:paraId="5112FB85">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受益人：</w:t>
      </w:r>
    </w:p>
    <w:p w14:paraId="1C6D4FBE">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地址：</w:t>
      </w:r>
    </w:p>
    <w:p w14:paraId="329344BA">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开立人：</w:t>
      </w:r>
    </w:p>
    <w:p w14:paraId="0B216F7A">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地址：</w:t>
      </w:r>
    </w:p>
    <w:p w14:paraId="0102A3F8">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389F9C90">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（受益人名称）： </w:t>
      </w:r>
    </w:p>
    <w:p w14:paraId="796BDDB6">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鉴于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（以下简称“受益人”）与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（以下简称“申请人”）于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日就</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工程（以下简称“本工程”）施工和有关事项协商一致共同签订</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14:paraId="4AB6DA0B">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一、本保函担保范围：承包人未按照基础合同的约定履行义务，应当向贵方承担的违约责任和赔偿因此造成的损失、利息、律师费、诉讼费用等实现债权的费用。</w:t>
      </w:r>
    </w:p>
    <w:p w14:paraId="6FD52B37">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二、本保函担保金额最高不超过人民币（大写）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2C328B51">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三、本保函有效期自开立之日起至基础合同约定的缺陷责任期后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日止，最迟不超过</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日。 </w:t>
      </w:r>
    </w:p>
    <w:p w14:paraId="3B8D38FD">
      <w:pPr>
        <w:spacing w:line="360" w:lineRule="auto"/>
        <w:ind w:firstLine="48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四、我方承诺，在收到受益人发来的书面付款通知后的</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日内无条件支付，前述书面付款通知即为付款要求之单据，且应满足以下要求：</w:t>
      </w:r>
    </w:p>
    <w:p w14:paraId="266E0ACD">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（1）付款通知到达的日期在本保函的有效期内；</w:t>
      </w:r>
    </w:p>
    <w:p w14:paraId="6E671863">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（2）载明要求支付的金额；</w:t>
      </w:r>
    </w:p>
    <w:p w14:paraId="61415461">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（3）载明申请人违反合同义务的条款和内容；</w:t>
      </w:r>
    </w:p>
    <w:p w14:paraId="68F69365">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（4）声明不存在合同文件约定或我国法律规定免除申请人或开立人支付责任的情形；</w:t>
      </w:r>
    </w:p>
    <w:p w14:paraId="51865A35">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（5）付款通知应在本保函有效期内到达的地址是：</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6009B747">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受益人发出的书面付款通知应由其为鉴明受益人法定代表人（负责人）或授权代理人签字并加盖公章。</w:t>
      </w:r>
    </w:p>
    <w:p w14:paraId="33CAA1BA">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五、本保函项下的权利不得转让，不得设定担保。贵方未经我方书面同意转 让本保函或其项下任何权利，对我方不发生法律效力。 </w:t>
      </w:r>
    </w:p>
    <w:p w14:paraId="2D0A5D4C">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六、与本保函有关的基础合同不成立、不生效、无效、被撤销、被解除，不影响本保函的独立有效。 </w:t>
      </w:r>
    </w:p>
    <w:p w14:paraId="5E8ADDF5">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七、贵方应在本保函到期后的七日内将本保函正本退回我方注销，但是不论贵方是否按此要求将本保函正本退回我方，我方在本保函项下的义务和责任均在保函有效期到期后自动消灭。 </w:t>
      </w:r>
    </w:p>
    <w:p w14:paraId="2C93A3D5">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八、本保函适用的法律为中华人民共和国法律，争议裁判管辖地为中华人民共和国</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0A7B9611">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九、本保函自我方法定代表人或授权代表签字并加盖公章之日起生效。 </w:t>
      </w:r>
    </w:p>
    <w:p w14:paraId="4E2D5CC2">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开 立 人：                              （公章） </w:t>
      </w:r>
    </w:p>
    <w:p w14:paraId="2254BBB9">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法定代表人（或授权代表）：               （签字） </w:t>
      </w:r>
    </w:p>
    <w:p w14:paraId="4731D8A3">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地    址：                                       </w:t>
      </w:r>
    </w:p>
    <w:p w14:paraId="27F3C0DD">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邮政编码：                 </w:t>
      </w:r>
    </w:p>
    <w:p w14:paraId="79D5A3A2">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电    话：                 </w:t>
      </w:r>
    </w:p>
    <w:p w14:paraId="14A00A0F">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传    真：                 </w:t>
      </w:r>
    </w:p>
    <w:p w14:paraId="57417FB1">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开立时间：      年      月    </w:t>
      </w:r>
    </w:p>
    <w:p w14:paraId="55B93790">
      <w:pPr>
        <w:spacing w:line="420" w:lineRule="exact"/>
        <w:rPr>
          <w:rFonts w:ascii="宋体" w:hAnsi="宋体" w:eastAsia="宋体" w:cs="Calibri"/>
          <w:color w:val="000000" w:themeColor="text1"/>
          <w:sz w:val="24"/>
          <w:szCs w:val="24"/>
          <w:highlight w:val="none"/>
          <w14:textFill>
            <w14:solidFill>
              <w14:schemeClr w14:val="tx1"/>
            </w14:solidFill>
          </w14:textFill>
        </w:rPr>
      </w:pPr>
    </w:p>
    <w:p w14:paraId="28B0BA4A">
      <w:pPr>
        <w:spacing w:line="420" w:lineRule="exact"/>
        <w:rPr>
          <w:rFonts w:ascii="宋体" w:hAnsi="宋体" w:eastAsia="宋体" w:cs="Calibri"/>
          <w:color w:val="000000" w:themeColor="text1"/>
          <w:sz w:val="24"/>
          <w:szCs w:val="24"/>
          <w:highlight w:val="none"/>
          <w14:textFill>
            <w14:solidFill>
              <w14:schemeClr w14:val="tx1"/>
            </w14:solidFill>
          </w14:textFill>
        </w:rPr>
      </w:pPr>
    </w:p>
    <w:p w14:paraId="0500254C">
      <w:pPr>
        <w:spacing w:line="420" w:lineRule="exact"/>
        <w:rPr>
          <w:rFonts w:ascii="宋体" w:hAnsi="宋体" w:eastAsia="宋体" w:cs="Calibri"/>
          <w:color w:val="000000" w:themeColor="text1"/>
          <w:sz w:val="24"/>
          <w:szCs w:val="24"/>
          <w:highlight w:val="none"/>
          <w14:textFill>
            <w14:solidFill>
              <w14:schemeClr w14:val="tx1"/>
            </w14:solidFill>
          </w14:textFill>
        </w:rPr>
      </w:pPr>
    </w:p>
    <w:p w14:paraId="16304389">
      <w:pPr>
        <w:spacing w:line="420" w:lineRule="exact"/>
        <w:rPr>
          <w:rFonts w:ascii="宋体" w:hAnsi="宋体" w:eastAsia="宋体" w:cs="Calibri"/>
          <w:color w:val="000000" w:themeColor="text1"/>
          <w:sz w:val="24"/>
          <w:szCs w:val="24"/>
          <w:highlight w:val="none"/>
          <w14:textFill>
            <w14:solidFill>
              <w14:schemeClr w14:val="tx1"/>
            </w14:solidFill>
          </w14:textFill>
        </w:rPr>
      </w:pPr>
    </w:p>
    <w:p w14:paraId="4795CB43">
      <w:pPr>
        <w:spacing w:line="420" w:lineRule="exact"/>
        <w:rPr>
          <w:rFonts w:ascii="宋体" w:hAnsi="宋体" w:eastAsia="宋体" w:cs="Calibri"/>
          <w:color w:val="000000" w:themeColor="text1"/>
          <w:sz w:val="24"/>
          <w:szCs w:val="24"/>
          <w:highlight w:val="none"/>
          <w14:textFill>
            <w14:solidFill>
              <w14:schemeClr w14:val="tx1"/>
            </w14:solidFill>
          </w14:textFill>
        </w:rPr>
      </w:pPr>
    </w:p>
    <w:p w14:paraId="4E39F84D">
      <w:pPr>
        <w:spacing w:line="420" w:lineRule="exact"/>
        <w:rPr>
          <w:rFonts w:ascii="宋体" w:hAnsi="宋体" w:eastAsia="宋体" w:cs="Calibri"/>
          <w:color w:val="000000" w:themeColor="text1"/>
          <w:sz w:val="24"/>
          <w:szCs w:val="24"/>
          <w:highlight w:val="none"/>
          <w14:textFill>
            <w14:solidFill>
              <w14:schemeClr w14:val="tx1"/>
            </w14:solidFill>
          </w14:textFill>
        </w:rPr>
      </w:pPr>
    </w:p>
    <w:p w14:paraId="7E2CD7B5">
      <w:pPr>
        <w:spacing w:line="420" w:lineRule="exact"/>
        <w:rPr>
          <w:rFonts w:ascii="宋体" w:hAnsi="宋体" w:eastAsia="宋体" w:cs="Calibri"/>
          <w:color w:val="000000" w:themeColor="text1"/>
          <w:sz w:val="24"/>
          <w:szCs w:val="24"/>
          <w:highlight w:val="none"/>
          <w14:textFill>
            <w14:solidFill>
              <w14:schemeClr w14:val="tx1"/>
            </w14:solidFill>
          </w14:textFill>
        </w:rPr>
      </w:pPr>
    </w:p>
    <w:p w14:paraId="0D7774BE">
      <w:pPr>
        <w:spacing w:line="420" w:lineRule="exact"/>
        <w:rPr>
          <w:rFonts w:ascii="宋体" w:hAnsi="宋体" w:eastAsia="宋体" w:cs="Calibri"/>
          <w:color w:val="000000" w:themeColor="text1"/>
          <w:sz w:val="24"/>
          <w:szCs w:val="24"/>
          <w:highlight w:val="none"/>
          <w14:textFill>
            <w14:solidFill>
              <w14:schemeClr w14:val="tx1"/>
            </w14:solidFill>
          </w14:textFill>
        </w:rPr>
      </w:pPr>
    </w:p>
    <w:p w14:paraId="2B8BF2F5">
      <w:pPr>
        <w:spacing w:before="240" w:beforeLines="100" w:after="240" w:afterLines="100" w:line="420" w:lineRule="exact"/>
        <w:outlineLvl w:val="1"/>
        <w:rPr>
          <w:rFonts w:hint="eastAsia" w:ascii="黑体" w:hAnsi="黑体" w:eastAsia="黑体" w:cs="黑体"/>
          <w:b w:val="0"/>
          <w:bCs w:val="0"/>
          <w:color w:val="000000" w:themeColor="text1"/>
          <w:kern w:val="0"/>
          <w:sz w:val="24"/>
          <w:szCs w:val="24"/>
          <w:highlight w:val="none"/>
          <w14:textFill>
            <w14:solidFill>
              <w14:schemeClr w14:val="tx1"/>
            </w14:solidFill>
          </w14:textFill>
        </w:rPr>
      </w:pPr>
      <w:bookmarkStart w:id="630" w:name="_Toc4407"/>
      <w:bookmarkStart w:id="631" w:name="_Toc2583"/>
      <w:bookmarkStart w:id="632" w:name="_Toc5556"/>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格式2</w:t>
      </w:r>
      <w:bookmarkEnd w:id="630"/>
      <w:bookmarkEnd w:id="631"/>
      <w:bookmarkEnd w:id="632"/>
    </w:p>
    <w:p w14:paraId="3888783C">
      <w:pPr>
        <w:spacing w:line="420" w:lineRule="exact"/>
        <w:jc w:val="center"/>
        <w:rPr>
          <w:rFonts w:ascii="宋体" w:hAnsi="宋体" w:eastAsia="宋体" w:cs="宋体"/>
          <w:b/>
          <w:bCs/>
          <w:color w:val="000000" w:themeColor="text1"/>
          <w:spacing w:val="40"/>
          <w:sz w:val="22"/>
          <w:szCs w:val="2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支付担保</w:t>
      </w:r>
    </w:p>
    <w:p w14:paraId="4893E180">
      <w:pPr>
        <w:spacing w:line="420" w:lineRule="exact"/>
        <w:rPr>
          <w:rFonts w:ascii="宋体" w:hAnsi="宋体" w:eastAsia="宋体" w:cs="宋体"/>
          <w:color w:val="000000" w:themeColor="text1"/>
          <w:sz w:val="22"/>
          <w:szCs w:val="22"/>
          <w:highlight w:val="none"/>
          <w14:textFill>
            <w14:solidFill>
              <w14:schemeClr w14:val="tx1"/>
            </w14:solidFill>
          </w14:textFill>
        </w:rPr>
      </w:pPr>
    </w:p>
    <w:p w14:paraId="78C96FC6">
      <w:pPr>
        <w:wordWrap w:val="0"/>
        <w:spacing w:line="360" w:lineRule="auto"/>
        <w:jc w:val="righ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编号：           </w:t>
      </w:r>
    </w:p>
    <w:p w14:paraId="3B7E2872">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申请人：</w:t>
      </w:r>
    </w:p>
    <w:p w14:paraId="21503910">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地址：</w:t>
      </w:r>
    </w:p>
    <w:p w14:paraId="4B4D2DC2">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受益人：</w:t>
      </w:r>
    </w:p>
    <w:p w14:paraId="05B790D5">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地址：</w:t>
      </w:r>
    </w:p>
    <w:p w14:paraId="382A4097">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开立人：</w:t>
      </w:r>
    </w:p>
    <w:p w14:paraId="5F5F7CDB">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地址：</w:t>
      </w:r>
    </w:p>
    <w:p w14:paraId="1943A4EE">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035BFF2A">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（受益人名称）： </w:t>
      </w:r>
    </w:p>
    <w:p w14:paraId="63216E72">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鉴于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（以下简称“受益人”）与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（以下简称“申请人”）于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日就</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工程（以下简称“本工程”）施工和有关事项协商一致共同签订</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以下简称基础合同”），我方（即“开立人”）根据基础合同了解到申请人为基础合同项下之发包人，受益人为基础合同项下之承包人，基于申请人的请求，我方同意就申请人履行与贵方签订的基础合同项下的工程款（指基础合同约定的除工程质量保修金以外的工程款）付款义务，向贵方提供不可撤销、不可转让的见索即付独立保函（以下简称“本保函”）。 </w:t>
      </w:r>
    </w:p>
    <w:p w14:paraId="7A95B8FC">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一、本保函担保范围：申请人未履行基础合同约定的工程款支付义务，应当向贵方承担的违约责任和赔偿因此造成的损失、利息、律师费、诉讼费用等实现债权的费用。</w:t>
      </w:r>
    </w:p>
    <w:p w14:paraId="024A16AA">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二、本保函担保金额最高不超过人民币（大写）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19029566">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三、本保函有效期自开立之日起至基础合同约定的除工程质量保修金以外的全部工程结算款项支付之日后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日止，最迟不超过</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日。 </w:t>
      </w:r>
    </w:p>
    <w:p w14:paraId="33AEE721">
      <w:pPr>
        <w:spacing w:line="360" w:lineRule="auto"/>
        <w:ind w:firstLine="48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四、我方承诺，在收到受益人发来的书面付款通知后的</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日内无条件支付，前述书面付款通知即为付款要求之单据，且应满足以下要求：</w:t>
      </w:r>
    </w:p>
    <w:p w14:paraId="0D204D1D">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（1）付款通知到达的日期在本保函的有效期内；</w:t>
      </w:r>
    </w:p>
    <w:p w14:paraId="1CC24FB8">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（2）载明要求支付的金额；</w:t>
      </w:r>
    </w:p>
    <w:p w14:paraId="71F479F7">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（3）载明申请人违反合同义务的条款和内容；</w:t>
      </w:r>
    </w:p>
    <w:p w14:paraId="40CCF246">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（4）声明不存在合同文件约定或我国法律规定免除申请人或开立人支付责任的情形；</w:t>
      </w:r>
    </w:p>
    <w:p w14:paraId="0F2C238E">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（5）付款通知应在本保函有效期内到达的地址是：</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03C05749">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受益人发出的书面付款通知应由其为鉴明受益人法定代表人（负责人）或授权代理人签字并加盖公章。</w:t>
      </w:r>
    </w:p>
    <w:p w14:paraId="130F22B2">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五、本保函项下的权利不得转让，不得设定担保。贵方未经我方书面同意转 让本保函或其项下任何权利，对我方不发生法律效力。</w:t>
      </w:r>
    </w:p>
    <w:p w14:paraId="72677ED1">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六、与本保函有关的基础合同不成立、不生效、无效、被撤销、被解除，不影响本保函的独立有效。 </w:t>
      </w:r>
    </w:p>
    <w:p w14:paraId="1B75C4C4">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七、贵方应在本保函到期后的七日内将本保函正本退回我方注销，但是不论贵方是否按此要求将本保函正本退回我方，我方在本保函项下的义务和责任均在保函有效期到期后自动消灭。 </w:t>
      </w:r>
    </w:p>
    <w:p w14:paraId="42032473">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八、本保函适用的法律为中华人民共和国法律，争议裁判管辖地为中华人民共和国</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5A76B6D5">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九、本保函自我方法定代表人或授权代表签字并加盖公章之日起生效。 </w:t>
      </w:r>
    </w:p>
    <w:p w14:paraId="231DC83C">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4DCDE52">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F45055E">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开 立 人：                              （公章） </w:t>
      </w:r>
    </w:p>
    <w:p w14:paraId="096F7DBA">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法定代表人（或授权代表）：               （签字） </w:t>
      </w:r>
    </w:p>
    <w:p w14:paraId="5B4D7814">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地    址：                                       </w:t>
      </w:r>
    </w:p>
    <w:p w14:paraId="1C335CFD">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邮政编码：                 </w:t>
      </w:r>
    </w:p>
    <w:p w14:paraId="6DB68DD3">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电    话：                 </w:t>
      </w:r>
    </w:p>
    <w:p w14:paraId="5CF7CAE1">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传    真：                 </w:t>
      </w:r>
    </w:p>
    <w:p w14:paraId="0F724FD3">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开立时间：      年      月        日</w:t>
      </w:r>
    </w:p>
    <w:p w14:paraId="63BE2DF3">
      <w:pPr>
        <w:spacing w:line="420" w:lineRule="exact"/>
        <w:rPr>
          <w:rFonts w:ascii="宋体" w:hAnsi="宋体" w:eastAsia="宋体" w:cs="宋体"/>
          <w:color w:val="000000" w:themeColor="text1"/>
          <w:sz w:val="22"/>
          <w:szCs w:val="22"/>
          <w:highlight w:val="none"/>
          <w14:textFill>
            <w14:solidFill>
              <w14:schemeClr w14:val="tx1"/>
            </w14:solidFill>
          </w14:textFill>
        </w:rPr>
      </w:pPr>
    </w:p>
    <w:p w14:paraId="7B78DB95">
      <w:pPr>
        <w:spacing w:line="420" w:lineRule="exact"/>
        <w:rPr>
          <w:rFonts w:ascii="宋体" w:hAnsi="宋体" w:eastAsia="宋体" w:cs="宋体"/>
          <w:color w:val="000000" w:themeColor="text1"/>
          <w:sz w:val="22"/>
          <w:szCs w:val="22"/>
          <w:highlight w:val="none"/>
          <w14:textFill>
            <w14:solidFill>
              <w14:schemeClr w14:val="tx1"/>
            </w14:solidFill>
          </w14:textFill>
        </w:rPr>
      </w:pPr>
    </w:p>
    <w:p w14:paraId="48AF70D8">
      <w:pPr>
        <w:spacing w:line="420" w:lineRule="exact"/>
        <w:rPr>
          <w:rFonts w:ascii="宋体" w:hAnsi="宋体" w:eastAsia="宋体" w:cs="宋体"/>
          <w:color w:val="000000" w:themeColor="text1"/>
          <w:sz w:val="22"/>
          <w:szCs w:val="22"/>
          <w:highlight w:val="none"/>
          <w14:textFill>
            <w14:solidFill>
              <w14:schemeClr w14:val="tx1"/>
            </w14:solidFill>
          </w14:textFill>
        </w:rPr>
      </w:pPr>
    </w:p>
    <w:p w14:paraId="419D091D">
      <w:pPr>
        <w:spacing w:before="240" w:beforeLines="100" w:after="240" w:afterLines="100" w:line="420" w:lineRule="exact"/>
        <w:outlineLvl w:val="9"/>
        <w:rPr>
          <w:rFonts w:hint="eastAsia" w:ascii="黑体" w:hAnsi="黑体" w:eastAsia="黑体" w:cs="黑体"/>
          <w:b w:val="0"/>
          <w:bCs w:val="0"/>
          <w:color w:val="000000" w:themeColor="text1"/>
          <w:kern w:val="0"/>
          <w:sz w:val="24"/>
          <w:szCs w:val="24"/>
          <w:highlight w:val="none"/>
          <w14:textFill>
            <w14:solidFill>
              <w14:schemeClr w14:val="tx1"/>
            </w14:solidFill>
          </w14:textFill>
        </w:rPr>
        <w:sectPr>
          <w:endnotePr>
            <w:numFmt w:val="decimal"/>
          </w:endnotePr>
          <w:pgSz w:w="11905" w:h="16838"/>
          <w:pgMar w:top="1440" w:right="1800" w:bottom="1440" w:left="1800" w:header="0" w:footer="0" w:gutter="0"/>
          <w:pgNumType w:fmt="decimal"/>
          <w:cols w:space="720" w:num="1"/>
          <w:titlePg/>
          <w:rtlGutter w:val="0"/>
          <w:docGrid w:linePitch="1" w:charSpace="0"/>
        </w:sectPr>
      </w:pPr>
    </w:p>
    <w:p w14:paraId="4BBAEDEA">
      <w:pPr>
        <w:spacing w:before="240" w:beforeLines="100" w:after="240" w:afterLines="100" w:line="420" w:lineRule="exact"/>
        <w:outlineLvl w:val="1"/>
        <w:rPr>
          <w:rFonts w:hint="eastAsia" w:ascii="黑体" w:hAnsi="黑体" w:eastAsia="黑体" w:cs="黑体"/>
          <w:b w:val="0"/>
          <w:bCs w:val="0"/>
          <w:color w:val="000000" w:themeColor="text1"/>
          <w:kern w:val="0"/>
          <w:sz w:val="24"/>
          <w:szCs w:val="24"/>
          <w:highlight w:val="none"/>
          <w14:textFill>
            <w14:solidFill>
              <w14:schemeClr w14:val="tx1"/>
            </w14:solidFill>
          </w14:textFill>
        </w:rPr>
      </w:pPr>
      <w:bookmarkStart w:id="633" w:name="_Toc23738"/>
      <w:bookmarkStart w:id="634" w:name="_Toc3083"/>
      <w:bookmarkStart w:id="635" w:name="_Toc6100"/>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格式3</w:t>
      </w:r>
      <w:bookmarkEnd w:id="633"/>
      <w:bookmarkEnd w:id="634"/>
      <w:bookmarkEnd w:id="635"/>
    </w:p>
    <w:p w14:paraId="77C4D3F5">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工程项目一览表</w:t>
      </w:r>
    </w:p>
    <w:tbl>
      <w:tblPr>
        <w:tblStyle w:val="38"/>
        <w:tblW w:w="10155" w:type="dxa"/>
        <w:jc w:val="center"/>
        <w:tblLayout w:type="fixed"/>
        <w:tblCellMar>
          <w:top w:w="0" w:type="dxa"/>
          <w:left w:w="108" w:type="dxa"/>
          <w:bottom w:w="0" w:type="dxa"/>
          <w:right w:w="108" w:type="dxa"/>
        </w:tblCellMar>
      </w:tblPr>
      <w:tblGrid>
        <w:gridCol w:w="1960"/>
        <w:gridCol w:w="2993"/>
        <w:gridCol w:w="5202"/>
      </w:tblGrid>
      <w:tr w14:paraId="3ECD9902">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76F14B29">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项号</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69CF20E9">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项 目</w:t>
            </w:r>
          </w:p>
        </w:tc>
        <w:tc>
          <w:tcPr>
            <w:tcW w:w="520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765C05D3">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内      容</w:t>
            </w:r>
          </w:p>
        </w:tc>
      </w:tr>
      <w:tr w14:paraId="468D3B85">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116D5A0C">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1</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78C7C95B">
            <w:pPr>
              <w:spacing w:line="420" w:lineRule="exact"/>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工程名称</w:t>
            </w:r>
          </w:p>
        </w:tc>
        <w:tc>
          <w:tcPr>
            <w:tcW w:w="520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65FD1BF3">
            <w:pPr>
              <w:widowControl w:val="0"/>
              <w:spacing w:line="420" w:lineRule="exact"/>
              <w:jc w:val="center"/>
              <w:rPr>
                <w:rFonts w:ascii="宋体" w:hAnsi="宋体" w:eastAsia="宋体" w:cs="宋体"/>
                <w:color w:val="000000" w:themeColor="text1"/>
                <w:kern w:val="2"/>
                <w:sz w:val="18"/>
                <w:szCs w:val="18"/>
                <w:highlight w:val="none"/>
                <w:lang w:val="en-US" w:eastAsia="zh-CN" w:bidi="ar-SA"/>
                <w14:textFill>
                  <w14:solidFill>
                    <w14:schemeClr w14:val="tx1"/>
                  </w14:solidFill>
                </w14:textFill>
              </w:rPr>
            </w:pPr>
          </w:p>
        </w:tc>
      </w:tr>
      <w:tr w14:paraId="60282E11">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00C4FE5C">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2</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3213BF90">
            <w:pPr>
              <w:spacing w:line="420" w:lineRule="exact"/>
              <w:jc w:val="center"/>
              <w:rPr>
                <w:rFonts w:ascii="宋体" w:hAnsi="宋体" w:eastAsia="宋体" w:cs="宋体"/>
                <w:color w:val="000000" w:themeColor="text1"/>
                <w:w w:val="90"/>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工程地点</w:t>
            </w:r>
          </w:p>
        </w:tc>
        <w:tc>
          <w:tcPr>
            <w:tcW w:w="520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5CA805E3">
            <w:pPr>
              <w:spacing w:line="420" w:lineRule="exact"/>
              <w:ind w:left="-6" w:firstLine="6"/>
              <w:jc w:val="center"/>
              <w:rPr>
                <w:rFonts w:ascii="宋体" w:hAnsi="宋体" w:eastAsia="宋体" w:cs="宋体"/>
                <w:color w:val="000000" w:themeColor="text1"/>
                <w:sz w:val="18"/>
                <w:szCs w:val="18"/>
                <w:highlight w:val="none"/>
                <w14:textFill>
                  <w14:solidFill>
                    <w14:schemeClr w14:val="tx1"/>
                  </w14:solidFill>
                </w14:textFill>
              </w:rPr>
            </w:pPr>
          </w:p>
          <w:p w14:paraId="3517B809">
            <w:pPr>
              <w:spacing w:line="420" w:lineRule="exact"/>
              <w:ind w:left="-6" w:firstLine="6"/>
              <w:jc w:val="center"/>
              <w:rPr>
                <w:rFonts w:ascii="宋体" w:hAnsi="宋体" w:eastAsia="宋体" w:cs="宋体"/>
                <w:color w:val="000000" w:themeColor="text1"/>
                <w:sz w:val="18"/>
                <w:szCs w:val="18"/>
                <w:highlight w:val="none"/>
                <w14:textFill>
                  <w14:solidFill>
                    <w14:schemeClr w14:val="tx1"/>
                  </w14:solidFill>
                </w14:textFill>
              </w:rPr>
            </w:pPr>
          </w:p>
        </w:tc>
      </w:tr>
      <w:tr w14:paraId="0930B228">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15F56DF0">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3</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6B7E4A61">
            <w:pPr>
              <w:spacing w:line="420" w:lineRule="exact"/>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发包人</w:t>
            </w:r>
          </w:p>
        </w:tc>
        <w:tc>
          <w:tcPr>
            <w:tcW w:w="520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5BEA8460">
            <w:pPr>
              <w:spacing w:line="420" w:lineRule="exact"/>
              <w:ind w:left="-6" w:firstLine="6"/>
              <w:jc w:val="center"/>
              <w:rPr>
                <w:rFonts w:ascii="宋体" w:hAnsi="宋体" w:eastAsia="宋体" w:cs="宋体"/>
                <w:color w:val="000000" w:themeColor="text1"/>
                <w:sz w:val="18"/>
                <w:szCs w:val="18"/>
                <w:highlight w:val="none"/>
                <w14:textFill>
                  <w14:solidFill>
                    <w14:schemeClr w14:val="tx1"/>
                  </w14:solidFill>
                </w14:textFill>
              </w:rPr>
            </w:pPr>
          </w:p>
        </w:tc>
      </w:tr>
      <w:tr w14:paraId="53AC7B46">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62CECBC0">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4</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632C8C60">
            <w:pPr>
              <w:spacing w:line="420" w:lineRule="exact"/>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设计人</w:t>
            </w:r>
          </w:p>
        </w:tc>
        <w:tc>
          <w:tcPr>
            <w:tcW w:w="520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59A5470E">
            <w:pPr>
              <w:widowControl w:val="0"/>
              <w:spacing w:line="420" w:lineRule="exact"/>
              <w:jc w:val="center"/>
              <w:rPr>
                <w:rFonts w:ascii="宋体" w:hAnsi="宋体" w:eastAsia="宋体" w:cs="宋体"/>
                <w:color w:val="000000" w:themeColor="text1"/>
                <w:kern w:val="2"/>
                <w:sz w:val="18"/>
                <w:szCs w:val="18"/>
                <w:highlight w:val="none"/>
                <w:lang w:val="en-US" w:eastAsia="zh-CN" w:bidi="ar-SA"/>
                <w14:textFill>
                  <w14:solidFill>
                    <w14:schemeClr w14:val="tx1"/>
                  </w14:solidFill>
                </w14:textFill>
              </w:rPr>
            </w:pPr>
          </w:p>
        </w:tc>
      </w:tr>
      <w:tr w14:paraId="51353FD8">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094187B5">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5</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250C74E9">
            <w:pPr>
              <w:spacing w:line="420" w:lineRule="exact"/>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监理人</w:t>
            </w:r>
          </w:p>
        </w:tc>
        <w:tc>
          <w:tcPr>
            <w:tcW w:w="520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6F06F9B2">
            <w:pPr>
              <w:widowControl w:val="0"/>
              <w:spacing w:line="420" w:lineRule="exact"/>
              <w:jc w:val="center"/>
              <w:rPr>
                <w:rFonts w:ascii="宋体" w:hAnsi="宋体" w:eastAsia="宋体" w:cs="宋体"/>
                <w:color w:val="000000" w:themeColor="text1"/>
                <w:kern w:val="2"/>
                <w:sz w:val="18"/>
                <w:szCs w:val="18"/>
                <w:highlight w:val="none"/>
                <w:lang w:val="en-US" w:eastAsia="zh-CN" w:bidi="ar-SA"/>
                <w14:textFill>
                  <w14:solidFill>
                    <w14:schemeClr w14:val="tx1"/>
                  </w14:solidFill>
                </w14:textFill>
              </w:rPr>
            </w:pPr>
          </w:p>
        </w:tc>
      </w:tr>
      <w:tr w14:paraId="019190F0">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388F059A">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6</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4392833C">
            <w:pPr>
              <w:spacing w:line="420" w:lineRule="exact"/>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工程造价咨询人（如有）</w:t>
            </w:r>
          </w:p>
        </w:tc>
        <w:tc>
          <w:tcPr>
            <w:tcW w:w="520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7CBF7414">
            <w:pPr>
              <w:widowControl w:val="0"/>
              <w:spacing w:line="420" w:lineRule="exact"/>
              <w:jc w:val="center"/>
              <w:rPr>
                <w:rFonts w:ascii="宋体" w:hAnsi="宋体" w:eastAsia="宋体" w:cs="宋体"/>
                <w:color w:val="000000" w:themeColor="text1"/>
                <w:kern w:val="2"/>
                <w:sz w:val="18"/>
                <w:szCs w:val="18"/>
                <w:highlight w:val="none"/>
                <w:lang w:val="en-US" w:eastAsia="zh-CN" w:bidi="ar-SA"/>
                <w14:textFill>
                  <w14:solidFill>
                    <w14:schemeClr w14:val="tx1"/>
                  </w14:solidFill>
                </w14:textFill>
              </w:rPr>
            </w:pPr>
          </w:p>
        </w:tc>
      </w:tr>
      <w:tr w14:paraId="0604AF8E">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17896E57">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7</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692FD142">
            <w:pPr>
              <w:spacing w:line="420" w:lineRule="exact"/>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承包人</w:t>
            </w:r>
          </w:p>
        </w:tc>
        <w:tc>
          <w:tcPr>
            <w:tcW w:w="520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5EE82EE2">
            <w:pPr>
              <w:widowControl w:val="0"/>
              <w:spacing w:line="420" w:lineRule="exact"/>
              <w:jc w:val="center"/>
              <w:rPr>
                <w:rFonts w:ascii="宋体" w:hAnsi="宋体" w:eastAsia="宋体" w:cs="宋体"/>
                <w:color w:val="000000" w:themeColor="text1"/>
                <w:kern w:val="2"/>
                <w:sz w:val="18"/>
                <w:szCs w:val="18"/>
                <w:highlight w:val="none"/>
                <w:lang w:val="en-US" w:eastAsia="zh-CN" w:bidi="ar-SA"/>
                <w14:textFill>
                  <w14:solidFill>
                    <w14:schemeClr w14:val="tx1"/>
                  </w14:solidFill>
                </w14:textFill>
              </w:rPr>
            </w:pPr>
          </w:p>
        </w:tc>
      </w:tr>
      <w:tr w14:paraId="304EB9E0">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75F9604F">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8</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74F9CE0A">
            <w:pPr>
              <w:spacing w:line="420" w:lineRule="exact"/>
              <w:jc w:val="center"/>
              <w:rPr>
                <w:rFonts w:ascii="宋体" w:hAnsi="宋体" w:eastAsia="宋体" w:cs="宋体"/>
                <w:color w:val="000000" w:themeColor="text1"/>
                <w:w w:val="90"/>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工程总投资</w:t>
            </w:r>
          </w:p>
        </w:tc>
        <w:tc>
          <w:tcPr>
            <w:tcW w:w="520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714F3E7F">
            <w:pPr>
              <w:widowControl w:val="0"/>
              <w:spacing w:line="420" w:lineRule="exact"/>
              <w:ind w:left="-3" w:firstLine="3"/>
              <w:jc w:val="center"/>
              <w:rPr>
                <w:rFonts w:ascii="宋体" w:hAnsi="宋体" w:eastAsia="宋体" w:cs="宋体"/>
                <w:color w:val="000000" w:themeColor="text1"/>
                <w:kern w:val="2"/>
                <w:sz w:val="18"/>
                <w:szCs w:val="18"/>
                <w:highlight w:val="none"/>
                <w:lang w:val="en-US" w:eastAsia="zh-CN" w:bidi="ar-SA"/>
                <w14:textFill>
                  <w14:solidFill>
                    <w14:schemeClr w14:val="tx1"/>
                  </w14:solidFill>
                </w14:textFill>
              </w:rPr>
            </w:pPr>
          </w:p>
        </w:tc>
      </w:tr>
      <w:tr w14:paraId="7794E433">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185DDF7D">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9</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30807DE2">
            <w:pPr>
              <w:spacing w:line="420" w:lineRule="exact"/>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计划开工日期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4BBF81BE">
            <w:pPr>
              <w:widowControl w:val="0"/>
              <w:spacing w:line="420" w:lineRule="exact"/>
              <w:jc w:val="center"/>
              <w:rPr>
                <w:rFonts w:ascii="宋体" w:hAnsi="宋体" w:eastAsia="宋体" w:cs="宋体"/>
                <w:color w:val="000000" w:themeColor="text1"/>
                <w:kern w:val="2"/>
                <w:sz w:val="18"/>
                <w:szCs w:val="18"/>
                <w:highlight w:val="none"/>
                <w:lang w:val="en-US" w:eastAsia="zh-CN" w:bidi="ar-SA"/>
                <w14:textFill>
                  <w14:solidFill>
                    <w14:schemeClr w14:val="tx1"/>
                  </w14:solidFill>
                </w14:textFill>
              </w:rPr>
            </w:pPr>
          </w:p>
        </w:tc>
      </w:tr>
      <w:tr w14:paraId="7253EEDA">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49FA4D56">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10</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10225B98">
            <w:pPr>
              <w:spacing w:line="420" w:lineRule="exact"/>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计划竣工日期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03C38204">
            <w:pPr>
              <w:widowControl w:val="0"/>
              <w:spacing w:line="420" w:lineRule="exact"/>
              <w:jc w:val="center"/>
              <w:rPr>
                <w:rFonts w:ascii="宋体" w:hAnsi="宋体" w:eastAsia="宋体" w:cs="宋体"/>
                <w:color w:val="000000" w:themeColor="text1"/>
                <w:kern w:val="2"/>
                <w:sz w:val="18"/>
                <w:szCs w:val="18"/>
                <w:highlight w:val="none"/>
                <w:lang w:val="en-US" w:eastAsia="zh-CN" w:bidi="ar-SA"/>
                <w14:textFill>
                  <w14:solidFill>
                    <w14:schemeClr w14:val="tx1"/>
                  </w14:solidFill>
                </w14:textFill>
              </w:rPr>
            </w:pPr>
          </w:p>
        </w:tc>
      </w:tr>
      <w:tr w14:paraId="72632A74">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325C53A0">
            <w:pPr>
              <w:widowControl w:val="0"/>
              <w:spacing w:line="420" w:lineRule="exact"/>
              <w:jc w:val="center"/>
              <w:rPr>
                <w:rFonts w:ascii="宋体" w:hAnsi="宋体" w:eastAsia="宋体" w:cs="宋体"/>
                <w:b/>
                <w:bCs/>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highlight w:val="none"/>
                <w:lang w:val="en-US" w:eastAsia="zh-CN" w:bidi="ar-SA"/>
                <w14:textFill>
                  <w14:solidFill>
                    <w14:schemeClr w14:val="tx1"/>
                  </w14:solidFill>
                </w14:textFill>
              </w:rPr>
              <w:t>11</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2050D89E">
            <w:pPr>
              <w:spacing w:line="420" w:lineRule="exact"/>
              <w:jc w:val="center"/>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工程质量</w:t>
            </w:r>
          </w:p>
        </w:tc>
        <w:tc>
          <w:tcPr>
            <w:tcW w:w="520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14:paraId="1E5DD934">
            <w:pPr>
              <w:widowControl w:val="0"/>
              <w:spacing w:line="420" w:lineRule="exact"/>
              <w:jc w:val="center"/>
              <w:rPr>
                <w:rFonts w:ascii="宋体" w:hAnsi="宋体" w:eastAsia="宋体" w:cs="宋体"/>
                <w:color w:val="000000" w:themeColor="text1"/>
                <w:kern w:val="2"/>
                <w:sz w:val="18"/>
                <w:szCs w:val="18"/>
                <w:highlight w:val="none"/>
                <w:lang w:val="en-US" w:eastAsia="zh-CN" w:bidi="ar-SA"/>
                <w14:textFill>
                  <w14:solidFill>
                    <w14:schemeClr w14:val="tx1"/>
                  </w14:solidFill>
                </w14:textFill>
              </w:rPr>
            </w:pPr>
          </w:p>
        </w:tc>
      </w:tr>
    </w:tbl>
    <w:p w14:paraId="6F887C3C">
      <w:pPr>
        <w:widowControl/>
        <w:spacing w:line="420" w:lineRule="exact"/>
        <w:jc w:val="left"/>
        <w:rPr>
          <w:rFonts w:ascii="宋体" w:hAnsi="宋体" w:cs="宋体"/>
          <w:color w:val="000000" w:themeColor="text1"/>
          <w:kern w:val="0"/>
          <w:sz w:val="22"/>
          <w:szCs w:val="22"/>
          <w:highlight w:val="none"/>
          <w14:textFill>
            <w14:solidFill>
              <w14:schemeClr w14:val="tx1"/>
            </w14:solidFill>
          </w14:textFill>
        </w:rPr>
        <w:sectPr>
          <w:endnotePr>
            <w:numFmt w:val="decimal"/>
          </w:endnotePr>
          <w:pgSz w:w="11905" w:h="16838"/>
          <w:pgMar w:top="1440" w:right="1800" w:bottom="1440" w:left="1800" w:header="0" w:footer="0" w:gutter="0"/>
          <w:pgNumType w:fmt="decimal"/>
          <w:cols w:space="720" w:num="1"/>
          <w:titlePg/>
          <w:rtlGutter w:val="0"/>
          <w:docGrid w:linePitch="1" w:charSpace="0"/>
        </w:sectPr>
      </w:pPr>
    </w:p>
    <w:p w14:paraId="7A52999E">
      <w:pPr>
        <w:spacing w:before="240" w:beforeLines="100" w:after="240" w:afterLines="100" w:line="420" w:lineRule="exact"/>
        <w:outlineLvl w:val="1"/>
        <w:rPr>
          <w:rFonts w:hint="eastAsia" w:ascii="黑体" w:hAnsi="黑体" w:eastAsia="黑体" w:cs="黑体"/>
          <w:b w:val="0"/>
          <w:bCs w:val="0"/>
          <w:color w:val="000000" w:themeColor="text1"/>
          <w:kern w:val="0"/>
          <w:sz w:val="24"/>
          <w:szCs w:val="24"/>
          <w:highlight w:val="none"/>
          <w:lang w:eastAsia="zh-CN"/>
          <w14:textFill>
            <w14:solidFill>
              <w14:schemeClr w14:val="tx1"/>
            </w14:solidFill>
          </w14:textFill>
        </w:rPr>
      </w:pPr>
      <w:bookmarkStart w:id="636" w:name="_Toc19920"/>
      <w:bookmarkStart w:id="637" w:name="_Toc18616"/>
      <w:bookmarkStart w:id="638" w:name="_Toc32059"/>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36"/>
      <w:bookmarkEnd w:id="637"/>
      <w:bookmarkEnd w:id="638"/>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4</w:t>
      </w:r>
    </w:p>
    <w:p w14:paraId="7D7CB7AB">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分包单位资格报审表</w:t>
      </w:r>
    </w:p>
    <w:p w14:paraId="215C5734">
      <w:pPr>
        <w:spacing w:line="420" w:lineRule="exact"/>
        <w:ind w:firstLine="120" w:firstLineChars="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10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14:paraId="2CFE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noWrap w:val="0"/>
            <w:vAlign w:val="top"/>
          </w:tcPr>
          <w:p w14:paraId="34ECB05B">
            <w:pPr>
              <w:spacing w:before="120" w:line="420" w:lineRule="exact"/>
              <w:ind w:left="-28" w:firstLine="18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（监理单位全称）</w:t>
            </w:r>
          </w:p>
          <w:p w14:paraId="59A06F8E">
            <w:pPr>
              <w:spacing w:line="420" w:lineRule="exact"/>
              <w:ind w:left="-28" w:firstLine="54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经考察，我方拟选择的</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（分包人）具备承担下列工程施工资质和施工能力，可以保证本工程按合同约定进行施工。我方承诺：分包后，我方承担总包人的全部责任。请予以审批。</w:t>
            </w:r>
          </w:p>
          <w:p w14:paraId="2D08D1CE">
            <w:pPr>
              <w:spacing w:line="420" w:lineRule="exact"/>
              <w:ind w:left="-28" w:firstLine="54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附:1．分包人资质材料；</w:t>
            </w:r>
          </w:p>
          <w:p w14:paraId="4AAAB165">
            <w:pPr>
              <w:spacing w:line="420" w:lineRule="exact"/>
              <w:ind w:left="-28" w:firstLine="907"/>
              <w:rPr>
                <w:rFonts w:ascii="宋体" w:hAnsi="宋体" w:eastAsia="宋体" w:cs="宋体"/>
                <w:color w:val="000000" w:themeColor="text1"/>
                <w:sz w:val="18"/>
                <w:szCs w:val="18"/>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2．分包人业绩材料。</w:t>
            </w:r>
          </w:p>
        </w:tc>
      </w:tr>
      <w:tr w14:paraId="4062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noWrap w:val="0"/>
            <w:vAlign w:val="top"/>
          </w:tcPr>
          <w:p w14:paraId="03CB8A8A">
            <w:pPr>
              <w:spacing w:line="420" w:lineRule="exact"/>
              <w:ind w:left="0" w:leftChars="0" w:firstLine="219" w:firstLineChars="122"/>
              <w:jc w:val="center"/>
              <w:rPr>
                <w:rFonts w:ascii="宋体" w:hAnsi="宋体" w:eastAsia="宋体" w:cs="宋体"/>
                <w:color w:val="000000" w:themeColor="text1"/>
                <w:position w:val="6"/>
                <w:sz w:val="18"/>
                <w:szCs w:val="18"/>
                <w:highlight w:val="none"/>
                <w14:textFill>
                  <w14:solidFill>
                    <w14:schemeClr w14:val="tx1"/>
                  </w14:solidFill>
                </w14:textFill>
              </w:rPr>
            </w:pPr>
            <w:r>
              <w:rPr>
                <w:rFonts w:hint="eastAsia" w:ascii="宋体" w:hAnsi="宋体" w:eastAsia="宋体" w:cs="宋体"/>
                <w:color w:val="000000" w:themeColor="text1"/>
                <w:position w:val="6"/>
                <w:sz w:val="18"/>
                <w:szCs w:val="18"/>
                <w:highlight w:val="none"/>
                <w14:textFill>
                  <w14:solidFill>
                    <w14:schemeClr w14:val="tx1"/>
                  </w14:solidFill>
                </w14:textFill>
              </w:rPr>
              <w:t>分包工程名称（部位）</w:t>
            </w:r>
          </w:p>
        </w:tc>
        <w:tc>
          <w:tcPr>
            <w:tcW w:w="1532" w:type="dxa"/>
            <w:tcBorders>
              <w:top w:val="single" w:color="auto" w:sz="6" w:space="0"/>
              <w:left w:val="single" w:color="auto" w:sz="6" w:space="0"/>
              <w:bottom w:val="single" w:color="auto" w:sz="6" w:space="0"/>
              <w:right w:val="single" w:color="auto" w:sz="6" w:space="0"/>
            </w:tcBorders>
            <w:noWrap w:val="0"/>
            <w:vAlign w:val="top"/>
          </w:tcPr>
          <w:p w14:paraId="45113873">
            <w:pPr>
              <w:spacing w:line="420" w:lineRule="exact"/>
              <w:jc w:val="center"/>
              <w:rPr>
                <w:rFonts w:ascii="宋体" w:hAnsi="宋体" w:eastAsia="宋体" w:cs="宋体"/>
                <w:color w:val="000000" w:themeColor="text1"/>
                <w:position w:val="6"/>
                <w:sz w:val="18"/>
                <w:szCs w:val="18"/>
                <w:highlight w:val="none"/>
                <w14:textFill>
                  <w14:solidFill>
                    <w14:schemeClr w14:val="tx1"/>
                  </w14:solidFill>
                </w14:textFill>
              </w:rPr>
            </w:pPr>
            <w:r>
              <w:rPr>
                <w:rFonts w:hint="eastAsia" w:ascii="宋体" w:hAnsi="宋体" w:eastAsia="宋体" w:cs="宋体"/>
                <w:color w:val="000000" w:themeColor="text1"/>
                <w:position w:val="6"/>
                <w:sz w:val="18"/>
                <w:szCs w:val="18"/>
                <w:highlight w:val="none"/>
                <w14:textFill>
                  <w14:solidFill>
                    <w14:schemeClr w14:val="tx1"/>
                  </w14:solidFill>
                </w14:textFill>
              </w:rPr>
              <w:t>工程数量</w:t>
            </w:r>
          </w:p>
        </w:tc>
        <w:tc>
          <w:tcPr>
            <w:tcW w:w="2506" w:type="dxa"/>
            <w:tcBorders>
              <w:top w:val="single" w:color="auto" w:sz="6" w:space="0"/>
              <w:left w:val="single" w:color="auto" w:sz="6" w:space="0"/>
              <w:bottom w:val="single" w:color="auto" w:sz="6" w:space="0"/>
              <w:right w:val="single" w:color="auto" w:sz="6" w:space="0"/>
            </w:tcBorders>
            <w:noWrap w:val="0"/>
            <w:vAlign w:val="top"/>
          </w:tcPr>
          <w:p w14:paraId="38AC332B">
            <w:pPr>
              <w:spacing w:line="420" w:lineRule="exact"/>
              <w:jc w:val="center"/>
              <w:rPr>
                <w:rFonts w:ascii="宋体" w:hAnsi="宋体" w:eastAsia="宋体" w:cs="宋体"/>
                <w:color w:val="000000" w:themeColor="text1"/>
                <w:position w:val="6"/>
                <w:sz w:val="18"/>
                <w:szCs w:val="18"/>
                <w:highlight w:val="none"/>
                <w14:textFill>
                  <w14:solidFill>
                    <w14:schemeClr w14:val="tx1"/>
                  </w14:solidFill>
                </w14:textFill>
              </w:rPr>
            </w:pPr>
            <w:r>
              <w:rPr>
                <w:rFonts w:hint="eastAsia" w:ascii="宋体" w:hAnsi="宋体" w:eastAsia="宋体" w:cs="宋体"/>
                <w:color w:val="000000" w:themeColor="text1"/>
                <w:position w:val="6"/>
                <w:sz w:val="18"/>
                <w:szCs w:val="18"/>
                <w:highlight w:val="none"/>
                <w14:textFill>
                  <w14:solidFill>
                    <w14:schemeClr w14:val="tx1"/>
                  </w14:solidFill>
                </w14:textFill>
              </w:rPr>
              <w:t>拟分包工程合同额</w:t>
            </w:r>
          </w:p>
        </w:tc>
        <w:tc>
          <w:tcPr>
            <w:tcW w:w="3056" w:type="dxa"/>
            <w:tcBorders>
              <w:top w:val="single" w:color="auto" w:sz="6" w:space="0"/>
              <w:left w:val="single" w:color="auto" w:sz="6" w:space="0"/>
              <w:bottom w:val="single" w:color="auto" w:sz="6" w:space="0"/>
              <w:right w:val="single" w:color="auto" w:sz="6" w:space="0"/>
            </w:tcBorders>
            <w:noWrap w:val="0"/>
            <w:vAlign w:val="top"/>
          </w:tcPr>
          <w:p w14:paraId="21F93750">
            <w:pPr>
              <w:spacing w:line="420" w:lineRule="exact"/>
              <w:jc w:val="center"/>
              <w:rPr>
                <w:rFonts w:ascii="宋体" w:hAnsi="宋体" w:eastAsia="宋体" w:cs="宋体"/>
                <w:color w:val="000000" w:themeColor="text1"/>
                <w:position w:val="6"/>
                <w:sz w:val="18"/>
                <w:szCs w:val="18"/>
                <w:highlight w:val="none"/>
                <w14:textFill>
                  <w14:solidFill>
                    <w14:schemeClr w14:val="tx1"/>
                  </w14:solidFill>
                </w14:textFill>
              </w:rPr>
            </w:pPr>
            <w:r>
              <w:rPr>
                <w:rFonts w:hint="eastAsia" w:ascii="宋体" w:hAnsi="宋体" w:eastAsia="宋体" w:cs="宋体"/>
                <w:color w:val="000000" w:themeColor="text1"/>
                <w:position w:val="6"/>
                <w:sz w:val="18"/>
                <w:szCs w:val="18"/>
                <w:highlight w:val="none"/>
                <w14:textFill>
                  <w14:solidFill>
                    <w14:schemeClr w14:val="tx1"/>
                  </w14:solidFill>
                </w14:textFill>
              </w:rPr>
              <w:t>分包工程占全部工程</w:t>
            </w:r>
          </w:p>
        </w:tc>
      </w:tr>
      <w:tr w14:paraId="5F85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noWrap w:val="0"/>
            <w:vAlign w:val="top"/>
          </w:tcPr>
          <w:p w14:paraId="00240BA5">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c>
          <w:tcPr>
            <w:tcW w:w="1532" w:type="dxa"/>
            <w:tcBorders>
              <w:top w:val="single" w:color="auto" w:sz="6" w:space="0"/>
              <w:left w:val="single" w:color="auto" w:sz="6" w:space="0"/>
              <w:bottom w:val="single" w:color="auto" w:sz="6" w:space="0"/>
              <w:right w:val="single" w:color="auto" w:sz="6" w:space="0"/>
            </w:tcBorders>
            <w:noWrap w:val="0"/>
            <w:vAlign w:val="top"/>
          </w:tcPr>
          <w:p w14:paraId="1DD2C328">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c>
          <w:tcPr>
            <w:tcW w:w="2506" w:type="dxa"/>
            <w:tcBorders>
              <w:top w:val="single" w:color="auto" w:sz="6" w:space="0"/>
              <w:left w:val="single" w:color="auto" w:sz="6" w:space="0"/>
              <w:bottom w:val="single" w:color="auto" w:sz="6" w:space="0"/>
              <w:right w:val="single" w:color="auto" w:sz="6" w:space="0"/>
            </w:tcBorders>
            <w:noWrap w:val="0"/>
            <w:vAlign w:val="top"/>
          </w:tcPr>
          <w:p w14:paraId="5C291660">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c>
          <w:tcPr>
            <w:tcW w:w="3056" w:type="dxa"/>
            <w:tcBorders>
              <w:top w:val="single" w:color="auto" w:sz="6" w:space="0"/>
              <w:left w:val="single" w:color="auto" w:sz="6" w:space="0"/>
              <w:bottom w:val="single" w:color="auto" w:sz="6" w:space="0"/>
              <w:right w:val="single" w:color="auto" w:sz="6" w:space="0"/>
            </w:tcBorders>
            <w:noWrap w:val="0"/>
            <w:vAlign w:val="top"/>
          </w:tcPr>
          <w:p w14:paraId="1CA830C3">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r>
      <w:tr w14:paraId="16F6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noWrap w:val="0"/>
            <w:vAlign w:val="top"/>
          </w:tcPr>
          <w:p w14:paraId="5EA6C19B">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c>
          <w:tcPr>
            <w:tcW w:w="1532" w:type="dxa"/>
            <w:tcBorders>
              <w:top w:val="single" w:color="auto" w:sz="6" w:space="0"/>
              <w:left w:val="single" w:color="auto" w:sz="6" w:space="0"/>
              <w:bottom w:val="single" w:color="auto" w:sz="6" w:space="0"/>
              <w:right w:val="single" w:color="auto" w:sz="6" w:space="0"/>
            </w:tcBorders>
            <w:noWrap w:val="0"/>
            <w:vAlign w:val="top"/>
          </w:tcPr>
          <w:p w14:paraId="1D4283D3">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c>
          <w:tcPr>
            <w:tcW w:w="2506" w:type="dxa"/>
            <w:tcBorders>
              <w:top w:val="single" w:color="auto" w:sz="6" w:space="0"/>
              <w:left w:val="single" w:color="auto" w:sz="6" w:space="0"/>
              <w:bottom w:val="single" w:color="auto" w:sz="6" w:space="0"/>
              <w:right w:val="single" w:color="auto" w:sz="6" w:space="0"/>
            </w:tcBorders>
            <w:noWrap w:val="0"/>
            <w:vAlign w:val="top"/>
          </w:tcPr>
          <w:p w14:paraId="76C272E5">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c>
          <w:tcPr>
            <w:tcW w:w="3056" w:type="dxa"/>
            <w:tcBorders>
              <w:top w:val="single" w:color="auto" w:sz="6" w:space="0"/>
              <w:left w:val="single" w:color="auto" w:sz="6" w:space="0"/>
              <w:bottom w:val="single" w:color="auto" w:sz="6" w:space="0"/>
              <w:right w:val="single" w:color="auto" w:sz="6" w:space="0"/>
            </w:tcBorders>
            <w:noWrap w:val="0"/>
            <w:vAlign w:val="top"/>
          </w:tcPr>
          <w:p w14:paraId="7F0C4B44">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r>
      <w:tr w14:paraId="5807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noWrap w:val="0"/>
            <w:vAlign w:val="top"/>
          </w:tcPr>
          <w:p w14:paraId="2B802AF7">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c>
          <w:tcPr>
            <w:tcW w:w="1532" w:type="dxa"/>
            <w:tcBorders>
              <w:top w:val="single" w:color="auto" w:sz="6" w:space="0"/>
              <w:left w:val="single" w:color="auto" w:sz="6" w:space="0"/>
              <w:bottom w:val="single" w:color="auto" w:sz="6" w:space="0"/>
              <w:right w:val="single" w:color="auto" w:sz="6" w:space="0"/>
            </w:tcBorders>
            <w:noWrap w:val="0"/>
            <w:vAlign w:val="top"/>
          </w:tcPr>
          <w:p w14:paraId="0A6FAB51">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c>
          <w:tcPr>
            <w:tcW w:w="2506" w:type="dxa"/>
            <w:tcBorders>
              <w:top w:val="single" w:color="auto" w:sz="6" w:space="0"/>
              <w:left w:val="single" w:color="auto" w:sz="6" w:space="0"/>
              <w:bottom w:val="single" w:color="auto" w:sz="6" w:space="0"/>
              <w:right w:val="single" w:color="auto" w:sz="6" w:space="0"/>
            </w:tcBorders>
            <w:noWrap w:val="0"/>
            <w:vAlign w:val="top"/>
          </w:tcPr>
          <w:p w14:paraId="229685C0">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c>
          <w:tcPr>
            <w:tcW w:w="3056" w:type="dxa"/>
            <w:tcBorders>
              <w:top w:val="single" w:color="auto" w:sz="6" w:space="0"/>
              <w:left w:val="single" w:color="auto" w:sz="6" w:space="0"/>
              <w:bottom w:val="single" w:color="auto" w:sz="6" w:space="0"/>
              <w:right w:val="single" w:color="auto" w:sz="6" w:space="0"/>
            </w:tcBorders>
            <w:noWrap w:val="0"/>
            <w:vAlign w:val="top"/>
          </w:tcPr>
          <w:p w14:paraId="2032F4E0">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r>
      <w:tr w14:paraId="52E1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noWrap w:val="0"/>
            <w:vAlign w:val="top"/>
          </w:tcPr>
          <w:p w14:paraId="7E851263">
            <w:pPr>
              <w:spacing w:line="420" w:lineRule="exact"/>
              <w:jc w:val="center"/>
              <w:rPr>
                <w:rFonts w:ascii="宋体" w:hAnsi="宋体" w:eastAsia="宋体" w:cs="宋体"/>
                <w:color w:val="000000" w:themeColor="text1"/>
                <w:position w:val="6"/>
                <w:sz w:val="18"/>
                <w:szCs w:val="18"/>
                <w:highlight w:val="none"/>
                <w14:textFill>
                  <w14:solidFill>
                    <w14:schemeClr w14:val="tx1"/>
                  </w14:solidFill>
                </w14:textFill>
              </w:rPr>
            </w:pPr>
            <w:r>
              <w:rPr>
                <w:rFonts w:hint="eastAsia" w:ascii="宋体" w:hAnsi="宋体" w:eastAsia="宋体" w:cs="宋体"/>
                <w:color w:val="000000" w:themeColor="text1"/>
                <w:position w:val="6"/>
                <w:sz w:val="18"/>
                <w:szCs w:val="18"/>
                <w:highlight w:val="none"/>
                <w14:textFill>
                  <w14:solidFill>
                    <w14:schemeClr w14:val="tx1"/>
                  </w14:solidFill>
                </w14:textFill>
              </w:rPr>
              <w:t>合       计</w:t>
            </w:r>
          </w:p>
        </w:tc>
        <w:tc>
          <w:tcPr>
            <w:tcW w:w="2506" w:type="dxa"/>
            <w:tcBorders>
              <w:top w:val="single" w:color="auto" w:sz="6" w:space="0"/>
              <w:left w:val="single" w:color="auto" w:sz="6" w:space="0"/>
              <w:bottom w:val="single" w:color="auto" w:sz="6" w:space="0"/>
              <w:right w:val="single" w:color="auto" w:sz="6" w:space="0"/>
            </w:tcBorders>
            <w:noWrap w:val="0"/>
            <w:vAlign w:val="top"/>
          </w:tcPr>
          <w:p w14:paraId="48A36B32">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c>
          <w:tcPr>
            <w:tcW w:w="3056" w:type="dxa"/>
            <w:tcBorders>
              <w:top w:val="single" w:color="auto" w:sz="6" w:space="0"/>
              <w:left w:val="single" w:color="auto" w:sz="6" w:space="0"/>
              <w:bottom w:val="single" w:color="auto" w:sz="6" w:space="0"/>
              <w:right w:val="single" w:color="auto" w:sz="6" w:space="0"/>
            </w:tcBorders>
            <w:noWrap w:val="0"/>
            <w:vAlign w:val="top"/>
          </w:tcPr>
          <w:p w14:paraId="09471973">
            <w:pPr>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p>
        </w:tc>
      </w:tr>
      <w:tr w14:paraId="1521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noWrap w:val="0"/>
            <w:vAlign w:val="top"/>
          </w:tcPr>
          <w:p w14:paraId="738E8632">
            <w:pPr>
              <w:spacing w:line="420" w:lineRule="exac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 xml:space="preserve"> </w:t>
            </w:r>
          </w:p>
          <w:p w14:paraId="0500B69D">
            <w:pPr>
              <w:spacing w:line="420" w:lineRule="exact"/>
              <w:rPr>
                <w:rFonts w:ascii="宋体" w:hAnsi="宋体" w:eastAsia="宋体" w:cs="宋体"/>
                <w:color w:val="000000" w:themeColor="text1"/>
                <w:sz w:val="18"/>
                <w:szCs w:val="18"/>
                <w:highlight w:val="none"/>
                <w:u w:val="singl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 xml:space="preserve">                                                   承包人（章）                 </w:t>
            </w:r>
          </w:p>
          <w:p w14:paraId="1A2B1D7D">
            <w:pPr>
              <w:tabs>
                <w:tab w:val="left" w:pos="8982"/>
                <w:tab w:val="left" w:pos="9147"/>
              </w:tabs>
              <w:spacing w:line="420" w:lineRule="exact"/>
              <w:ind w:firstLine="4590" w:firstLineChars="2550"/>
              <w:rPr>
                <w:rFonts w:ascii="宋体" w:hAnsi="宋体" w:eastAsia="宋体" w:cs="宋体"/>
                <w:color w:val="000000" w:themeColor="text1"/>
                <w:sz w:val="18"/>
                <w:szCs w:val="18"/>
                <w:highlight w:val="none"/>
                <w:u w:val="singl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承包人代表</w:t>
            </w:r>
            <w:r>
              <w:rPr>
                <w:rFonts w:hint="eastAsia" w:ascii="宋体" w:hAnsi="宋体" w:eastAsia="宋体" w:cs="宋体"/>
                <w:color w:val="000000" w:themeColor="text1"/>
                <w:sz w:val="18"/>
                <w:szCs w:val="18"/>
                <w:highlight w:val="none"/>
                <w:u w:val="single"/>
                <w14:textFill>
                  <w14:solidFill>
                    <w14:schemeClr w14:val="tx1"/>
                  </w14:solidFill>
                </w14:textFill>
              </w:rPr>
              <w:t xml:space="preserve">               </w:t>
            </w:r>
          </w:p>
          <w:p w14:paraId="22D9128E">
            <w:pPr>
              <w:spacing w:line="420" w:lineRule="exact"/>
              <w:ind w:firstLine="4590" w:firstLineChars="255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日      期</w:t>
            </w:r>
            <w:r>
              <w:rPr>
                <w:rFonts w:hint="eastAsia" w:ascii="宋体" w:hAnsi="宋体" w:eastAsia="宋体" w:cs="宋体"/>
                <w:color w:val="000000" w:themeColor="text1"/>
                <w:sz w:val="18"/>
                <w:szCs w:val="18"/>
                <w:highlight w:val="none"/>
                <w:u w:val="single"/>
                <w14:textFill>
                  <w14:solidFill>
                    <w14:schemeClr w14:val="tx1"/>
                  </w14:solidFill>
                </w14:textFill>
              </w:rPr>
              <w:t xml:space="preserve">               </w:t>
            </w:r>
          </w:p>
        </w:tc>
      </w:tr>
      <w:tr w14:paraId="04C3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right w:val="single" w:color="auto" w:sz="6" w:space="0"/>
            </w:tcBorders>
            <w:noWrap w:val="0"/>
            <w:vAlign w:val="top"/>
          </w:tcPr>
          <w:p w14:paraId="090196A1">
            <w:pPr>
              <w:snapToGrid w:val="0"/>
              <w:spacing w:line="420" w:lineRule="exact"/>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审查意见：</w:t>
            </w:r>
          </w:p>
          <w:p w14:paraId="0276DC68">
            <w:pPr>
              <w:tabs>
                <w:tab w:val="left" w:pos="6222"/>
              </w:tabs>
              <w:snapToGrid w:val="0"/>
              <w:spacing w:line="420" w:lineRule="exact"/>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 xml:space="preserve">                                                   监理人（章）            </w:t>
            </w:r>
          </w:p>
          <w:p w14:paraId="1AD4E325">
            <w:pPr>
              <w:tabs>
                <w:tab w:val="left" w:pos="6282"/>
              </w:tabs>
              <w:snapToGrid w:val="0"/>
              <w:spacing w:line="420" w:lineRule="exact"/>
              <w:ind w:firstLine="4590" w:firstLineChars="2550"/>
              <w:rPr>
                <w:rFonts w:ascii="宋体" w:hAnsi="宋体" w:eastAsia="宋体" w:cs="宋体"/>
                <w:color w:val="000000" w:themeColor="text1"/>
                <w:sz w:val="18"/>
                <w:szCs w:val="18"/>
                <w:highlight w:val="none"/>
                <w:u w:val="singl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监理工程师</w:t>
            </w:r>
            <w:r>
              <w:rPr>
                <w:rFonts w:hint="eastAsia" w:ascii="宋体" w:hAnsi="宋体" w:eastAsia="宋体" w:cs="宋体"/>
                <w:color w:val="000000" w:themeColor="text1"/>
                <w:sz w:val="18"/>
                <w:szCs w:val="18"/>
                <w:highlight w:val="none"/>
                <w:u w:val="single"/>
                <w14:textFill>
                  <w14:solidFill>
                    <w14:schemeClr w14:val="tx1"/>
                  </w14:solidFill>
                </w14:textFill>
              </w:rPr>
              <w:t xml:space="preserve">               </w:t>
            </w:r>
          </w:p>
          <w:p w14:paraId="66B3E839">
            <w:pPr>
              <w:tabs>
                <w:tab w:val="left" w:pos="9132"/>
              </w:tabs>
              <w:snapToGrid w:val="0"/>
              <w:spacing w:line="420" w:lineRule="exact"/>
              <w:ind w:firstLine="4590" w:firstLineChars="255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日      期</w:t>
            </w:r>
            <w:r>
              <w:rPr>
                <w:rFonts w:hint="eastAsia" w:ascii="宋体" w:hAnsi="宋体" w:eastAsia="宋体" w:cs="宋体"/>
                <w:color w:val="000000" w:themeColor="text1"/>
                <w:sz w:val="18"/>
                <w:szCs w:val="18"/>
                <w:highlight w:val="none"/>
                <w:u w:val="single"/>
                <w14:textFill>
                  <w14:solidFill>
                    <w14:schemeClr w14:val="tx1"/>
                  </w14:solidFill>
                </w14:textFill>
              </w:rPr>
              <w:t xml:space="preserve">               </w:t>
            </w:r>
          </w:p>
        </w:tc>
      </w:tr>
      <w:tr w14:paraId="4BE6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left w:val="single" w:color="auto" w:sz="6" w:space="0"/>
              <w:bottom w:val="single" w:color="auto" w:sz="6" w:space="0"/>
              <w:right w:val="single" w:color="auto" w:sz="6" w:space="0"/>
            </w:tcBorders>
            <w:noWrap w:val="0"/>
            <w:vAlign w:val="top"/>
          </w:tcPr>
          <w:p w14:paraId="6220CAE7">
            <w:pPr>
              <w:snapToGrid w:val="0"/>
              <w:spacing w:line="420" w:lineRule="exac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审批意见:</w:t>
            </w:r>
          </w:p>
          <w:p w14:paraId="284C1290">
            <w:pPr>
              <w:snapToGrid w:val="0"/>
              <w:spacing w:line="420" w:lineRule="exact"/>
              <w:ind w:firstLine="4590" w:firstLineChars="255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 xml:space="preserve">发包人（章）           </w:t>
            </w:r>
          </w:p>
          <w:p w14:paraId="18683866">
            <w:pPr>
              <w:tabs>
                <w:tab w:val="left" w:pos="2135"/>
                <w:tab w:val="left" w:pos="8862"/>
              </w:tabs>
              <w:snapToGrid w:val="0"/>
              <w:spacing w:line="420" w:lineRule="exact"/>
              <w:ind w:firstLine="4590" w:firstLineChars="2550"/>
              <w:rPr>
                <w:rFonts w:ascii="宋体" w:hAnsi="宋体" w:eastAsia="宋体" w:cs="宋体"/>
                <w:color w:val="000000" w:themeColor="text1"/>
                <w:sz w:val="18"/>
                <w:szCs w:val="18"/>
                <w:highlight w:val="none"/>
                <w:u w:val="singl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发包人代表</w:t>
            </w:r>
            <w:r>
              <w:rPr>
                <w:rFonts w:hint="eastAsia" w:ascii="宋体" w:hAnsi="宋体" w:eastAsia="宋体" w:cs="宋体"/>
                <w:color w:val="000000" w:themeColor="text1"/>
                <w:sz w:val="18"/>
                <w:szCs w:val="18"/>
                <w:highlight w:val="none"/>
                <w:u w:val="single"/>
                <w14:textFill>
                  <w14:solidFill>
                    <w14:schemeClr w14:val="tx1"/>
                  </w14:solidFill>
                </w14:textFill>
              </w:rPr>
              <w:t xml:space="preserve">               </w:t>
            </w:r>
          </w:p>
          <w:p w14:paraId="411E7A23">
            <w:pPr>
              <w:tabs>
                <w:tab w:val="left" w:pos="2135"/>
              </w:tabs>
              <w:snapToGrid w:val="0"/>
              <w:spacing w:line="420" w:lineRule="exact"/>
              <w:ind w:firstLine="4590" w:firstLineChars="255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日      期</w:t>
            </w:r>
            <w:r>
              <w:rPr>
                <w:rFonts w:hint="eastAsia" w:ascii="宋体" w:hAnsi="宋体" w:eastAsia="宋体" w:cs="宋体"/>
                <w:color w:val="000000" w:themeColor="text1"/>
                <w:sz w:val="18"/>
                <w:szCs w:val="18"/>
                <w:highlight w:val="none"/>
                <w:u w:val="single"/>
                <w14:textFill>
                  <w14:solidFill>
                    <w14:schemeClr w14:val="tx1"/>
                  </w14:solidFill>
                </w14:textFill>
              </w:rPr>
              <w:t xml:space="preserve">               </w:t>
            </w:r>
          </w:p>
        </w:tc>
      </w:tr>
    </w:tbl>
    <w:p w14:paraId="2E67152E">
      <w:pPr>
        <w:spacing w:before="120" w:beforeLines="50"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说明：本表一式</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份，由承包人、监理单位、发包人按合同规定程序填制，并连同分包人各存一份。</w:t>
      </w:r>
    </w:p>
    <w:p w14:paraId="11286BA3">
      <w:pPr>
        <w:spacing w:before="240" w:beforeLines="100" w:after="240" w:afterLines="100" w:line="420" w:lineRule="exact"/>
        <w:outlineLvl w:val="1"/>
        <w:rPr>
          <w:rFonts w:hint="eastAsia" w:ascii="黑体" w:hAnsi="黑体" w:eastAsia="黑体" w:cs="黑体"/>
          <w:b w:val="0"/>
          <w:bCs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639" w:name="_Toc1407"/>
      <w:bookmarkStart w:id="640" w:name="_Toc23557"/>
      <w:bookmarkStart w:id="641" w:name="_Toc9120"/>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39"/>
      <w:bookmarkEnd w:id="640"/>
      <w:bookmarkEnd w:id="641"/>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5</w:t>
      </w:r>
    </w:p>
    <w:p w14:paraId="068A8088">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施工组织设计（方案）报审表</w:t>
      </w:r>
    </w:p>
    <w:p w14:paraId="36CBBD63">
      <w:pPr>
        <w:spacing w:line="420" w:lineRule="exact"/>
        <w:ind w:firstLine="120" w:firstLineChars="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1015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5"/>
      </w:tblGrid>
      <w:tr w14:paraId="2C827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5" w:type="dxa"/>
            <w:tcBorders>
              <w:bottom w:val="single" w:color="auto" w:sz="4" w:space="0"/>
            </w:tcBorders>
            <w:noWrap w:val="0"/>
            <w:vAlign w:val="top"/>
          </w:tcPr>
          <w:p w14:paraId="24DE6D43">
            <w:pPr>
              <w:spacing w:before="120" w:line="420" w:lineRule="exact"/>
              <w:ind w:left="-28" w:firstLine="18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（监理单位全称）</w:t>
            </w:r>
          </w:p>
          <w:p w14:paraId="2E955DB5">
            <w:pPr>
              <w:spacing w:line="420" w:lineRule="exact"/>
              <w:ind w:left="-28" w:firstLine="54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我方已根据施工合同的有关规定完成了</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工程施工组织设计（方案）的编制,请予以审批。</w:t>
            </w:r>
          </w:p>
          <w:p w14:paraId="5C0DB128">
            <w:pPr>
              <w:spacing w:line="420" w:lineRule="exact"/>
              <w:ind w:left="-28" w:firstLine="54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 施工组织设计（方案）</w:t>
            </w:r>
          </w:p>
          <w:p w14:paraId="45B88637">
            <w:pPr>
              <w:spacing w:line="420" w:lineRule="exact"/>
              <w:ind w:left="-28" w:firstLine="54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5081DB8">
            <w:pPr>
              <w:spacing w:line="420" w:lineRule="exact"/>
              <w:ind w:left="-28" w:firstLine="54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DFDF33E">
            <w:pPr>
              <w:spacing w:line="420" w:lineRule="exact"/>
              <w:ind w:right="120"/>
              <w:jc w:val="cente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承包人（章）</w:t>
            </w:r>
          </w:p>
          <w:p w14:paraId="5B50240F">
            <w:pPr>
              <w:spacing w:line="420" w:lineRule="exact"/>
              <w:ind w:firstLine="6087"/>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24FA6D90">
            <w:pPr>
              <w:snapToGrid w:val="0"/>
              <w:spacing w:line="420" w:lineRule="exact"/>
              <w:ind w:firstLine="6087"/>
              <w:rPr>
                <w:rFonts w:ascii="宋体" w:hAnsi="宋体" w:eastAsia="宋体" w:cs="宋体"/>
                <w:color w:val="000000" w:themeColor="text1"/>
                <w:sz w:val="18"/>
                <w:szCs w:val="18"/>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78043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5" w:type="dxa"/>
            <w:tcBorders>
              <w:top w:val="single" w:color="auto" w:sz="4" w:space="0"/>
            </w:tcBorders>
            <w:noWrap w:val="0"/>
            <w:vAlign w:val="top"/>
          </w:tcPr>
          <w:p w14:paraId="496AB01D">
            <w:pPr>
              <w:spacing w:line="420" w:lineRule="exact"/>
              <w:ind w:right="7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确认或修改意见：</w:t>
            </w:r>
          </w:p>
          <w:p w14:paraId="77B8C0C6">
            <w:pPr>
              <w:spacing w:line="420" w:lineRule="exact"/>
              <w:ind w:left="72" w:right="71" w:firstLine="24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□组织机构健全,人员落实           □施工技术措施可行</w:t>
            </w:r>
          </w:p>
          <w:p w14:paraId="73482115">
            <w:pPr>
              <w:spacing w:line="420" w:lineRule="exact"/>
              <w:ind w:left="72" w:right="71" w:firstLine="24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□安全责任落实，安全措施可行      □安全工器具满足施工要求</w:t>
            </w:r>
          </w:p>
          <w:p w14:paraId="125AA077">
            <w:pPr>
              <w:spacing w:line="420" w:lineRule="exact"/>
              <w:ind w:left="72" w:right="71" w:firstLine="24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□施工进度计划满足工期要求        □特殊工种人员持证上岗</w:t>
            </w:r>
          </w:p>
          <w:p w14:paraId="738848A3">
            <w:pPr>
              <w:spacing w:line="420" w:lineRule="exact"/>
              <w:ind w:left="72" w:right="71" w:firstLine="24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□施工工器具安全可靠              □施工计量、检测器具有效</w:t>
            </w:r>
          </w:p>
          <w:p w14:paraId="0A3A4C38">
            <w:pPr>
              <w:spacing w:line="420" w:lineRule="exact"/>
              <w:ind w:left="72" w:right="71" w:firstLine="24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EE74DB7">
            <w:pPr>
              <w:spacing w:line="420" w:lineRule="exact"/>
              <w:ind w:firstLine="6086" w:firstLineChars="2536"/>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监理单位(章)</w:t>
            </w:r>
          </w:p>
          <w:p w14:paraId="7795D499">
            <w:pPr>
              <w:snapToGrid w:val="0"/>
              <w:spacing w:line="420" w:lineRule="exact"/>
              <w:ind w:firstLine="608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监理工程师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39D005E">
            <w:pPr>
              <w:snapToGrid w:val="0"/>
              <w:spacing w:line="420" w:lineRule="exact"/>
              <w:ind w:firstLine="6087"/>
              <w:rPr>
                <w:rFonts w:ascii="宋体" w:hAnsi="宋体" w:eastAsia="宋体" w:cs="宋体"/>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2A853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96" w:hRule="atLeast"/>
          <w:jc w:val="center"/>
        </w:trPr>
        <w:tc>
          <w:tcPr>
            <w:tcW w:w="10155" w:type="dxa"/>
            <w:noWrap w:val="0"/>
            <w:vAlign w:val="top"/>
          </w:tcPr>
          <w:p w14:paraId="152FED40">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审批意见：</w:t>
            </w:r>
          </w:p>
          <w:p w14:paraId="4DEECAD6">
            <w:pPr>
              <w:snapToGrid w:val="0"/>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6CB67989">
            <w:pPr>
              <w:spacing w:line="420" w:lineRule="exact"/>
              <w:ind w:firstLine="6086" w:firstLineChars="2536"/>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发包人（章）</w:t>
            </w:r>
          </w:p>
          <w:p w14:paraId="5F1A9DAC">
            <w:pPr>
              <w:snapToGrid w:val="0"/>
              <w:spacing w:line="420" w:lineRule="exact"/>
              <w:ind w:left="-28" w:firstLine="6112" w:firstLineChars="2547"/>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60387CFB">
            <w:pPr>
              <w:snapToGrid w:val="0"/>
              <w:spacing w:line="420" w:lineRule="exact"/>
              <w:ind w:left="-28" w:firstLine="6112" w:firstLineChars="2547"/>
              <w:rPr>
                <w:rFonts w:ascii="宋体" w:hAnsi="宋体" w:eastAsia="宋体" w:cs="宋体"/>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304355D0">
      <w:pPr>
        <w:spacing w:line="420" w:lineRule="exact"/>
        <w:ind w:firstLine="240" w:firstLineChars="1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说明：1．在需要选择的栏中的“□”内作标识“√”。</w:t>
      </w:r>
    </w:p>
    <w:p w14:paraId="28F83FE4">
      <w:pPr>
        <w:spacing w:line="420" w:lineRule="exact"/>
        <w:ind w:firstLine="960" w:firstLineChars="4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2．本表一式三份，由承包人、监理单位、发包人按合同规定程序填制，并各存一份。</w:t>
      </w:r>
    </w:p>
    <w:p w14:paraId="192E66D7">
      <w:pPr>
        <w:spacing w:before="240" w:beforeLines="100" w:after="240" w:afterLines="100" w:line="420" w:lineRule="exact"/>
        <w:outlineLvl w:val="1"/>
        <w:rPr>
          <w:rFonts w:hint="eastAsia" w:ascii="黑体" w:hAnsi="黑体" w:eastAsia="黑体" w:cs="黑体"/>
          <w:b w:val="0"/>
          <w:bCs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642" w:name="_Toc2417"/>
      <w:bookmarkStart w:id="643" w:name="_Toc11349"/>
      <w:bookmarkStart w:id="644" w:name="_Toc3449"/>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42"/>
      <w:bookmarkEnd w:id="643"/>
      <w:bookmarkEnd w:id="644"/>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6</w:t>
      </w:r>
    </w:p>
    <w:p w14:paraId="77659BB6">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工程开工/复工报审表</w:t>
      </w:r>
    </w:p>
    <w:p w14:paraId="46ED117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544" w:type="dxa"/>
        <w:tblInd w:w="-31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199"/>
        <w:gridCol w:w="4345"/>
      </w:tblGrid>
      <w:tr w14:paraId="11445B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26" w:hRule="atLeast"/>
        </w:trPr>
        <w:tc>
          <w:tcPr>
            <w:tcW w:w="9544" w:type="dxa"/>
            <w:gridSpan w:val="2"/>
            <w:noWrap w:val="0"/>
            <w:vAlign w:val="top"/>
          </w:tcPr>
          <w:p w14:paraId="2C8A70E7">
            <w:pPr>
              <w:spacing w:before="120" w:line="420" w:lineRule="exact"/>
              <w:ind w:left="-28" w:firstLine="18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（监理单位全称）</w:t>
            </w:r>
          </w:p>
          <w:p w14:paraId="72742044">
            <w:pPr>
              <w:spacing w:line="420" w:lineRule="exact"/>
              <w:ind w:left="-28" w:firstLine="54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我方承担的</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工程,已完成了以下各项工作,具备了（□开工/□复工）条件,现申请施工,请审查并签发（□开工/□复工）指令。</w:t>
            </w:r>
          </w:p>
          <w:p w14:paraId="3659FAC0">
            <w:pPr>
              <w:spacing w:line="420" w:lineRule="exact"/>
              <w:ind w:left="-28" w:firstLine="54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F201CCD">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附：开工报告</w:t>
            </w:r>
          </w:p>
          <w:p w14:paraId="089CFAE4">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D4AE2B9">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承包方式： </w:t>
            </w:r>
          </w:p>
          <w:p w14:paraId="24B9D016">
            <w:pPr>
              <w:spacing w:line="420" w:lineRule="exact"/>
              <w:ind w:left="-27" w:firstLine="32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□无分包；□有分包，并已审核。</w:t>
            </w:r>
          </w:p>
          <w:p w14:paraId="3701F7B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开工准备情况：</w:t>
            </w:r>
          </w:p>
          <w:p w14:paraId="0335C6BB">
            <w:pPr>
              <w:spacing w:line="420" w:lineRule="exact"/>
              <w:ind w:firstLine="32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□施工组织设计（方案）已审批          □资金已落实</w:t>
            </w:r>
          </w:p>
          <w:p w14:paraId="40F58850">
            <w:pPr>
              <w:tabs>
                <w:tab w:val="left" w:pos="4212"/>
              </w:tabs>
              <w:spacing w:line="420" w:lineRule="exact"/>
              <w:ind w:firstLine="32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□施工图纸已会审并交底                □劳动力安排就绪并已进场</w:t>
            </w:r>
          </w:p>
          <w:p w14:paraId="75116271">
            <w:pPr>
              <w:spacing w:line="420" w:lineRule="exact"/>
              <w:ind w:firstLine="32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□开工所需的材料、机具已进场          □其他开工条件已具备</w:t>
            </w:r>
          </w:p>
          <w:p w14:paraId="33A464C6">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BD2FCEA">
            <w:pPr>
              <w:spacing w:line="420" w:lineRule="exac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承包人（章）                 </w:t>
            </w:r>
          </w:p>
          <w:p w14:paraId="482D3E74">
            <w:pPr>
              <w:spacing w:line="420" w:lineRule="exact"/>
              <w:ind w:firstLine="6000" w:firstLineChars="25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45CAA6EA">
            <w:pPr>
              <w:snapToGrid w:val="0"/>
              <w:spacing w:line="420" w:lineRule="exact"/>
              <w:ind w:firstLine="6000" w:firstLineChars="25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163D7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7" w:hRule="atLeast"/>
        </w:trPr>
        <w:tc>
          <w:tcPr>
            <w:tcW w:w="5199" w:type="dxa"/>
            <w:noWrap w:val="0"/>
            <w:vAlign w:val="top"/>
          </w:tcPr>
          <w:p w14:paraId="77ADBCC7">
            <w:pPr>
              <w:snapToGrid w:val="0"/>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复核意见： </w:t>
            </w:r>
          </w:p>
          <w:p w14:paraId="4D8BDEDA">
            <w:pPr>
              <w:snapToGrid w:val="0"/>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0C520C7">
            <w:pPr>
              <w:snapToGrid w:val="0"/>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054B848">
            <w:pPr>
              <w:snapToGrid w:val="0"/>
              <w:spacing w:line="420" w:lineRule="exact"/>
              <w:jc w:val="lef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监理单位（章）              </w:t>
            </w:r>
          </w:p>
          <w:p w14:paraId="31777A6F">
            <w:pPr>
              <w:snapToGrid w:val="0"/>
              <w:spacing w:line="420" w:lineRule="exact"/>
              <w:jc w:val="lef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监理工程师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534B4042">
            <w:pPr>
              <w:snapToGrid w:val="0"/>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日      期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c>
          <w:tcPr>
            <w:tcW w:w="4345" w:type="dxa"/>
            <w:noWrap w:val="0"/>
            <w:vAlign w:val="top"/>
          </w:tcPr>
          <w:p w14:paraId="33332F44">
            <w:pPr>
              <w:snapToGrid w:val="0"/>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审批意见：   </w:t>
            </w:r>
          </w:p>
          <w:p w14:paraId="647FF39D">
            <w:pPr>
              <w:snapToGrid w:val="0"/>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0A36DB6">
            <w:pPr>
              <w:snapToGrid w:val="0"/>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E3161AD">
            <w:pPr>
              <w:snapToGrid w:val="0"/>
              <w:spacing w:line="420" w:lineRule="exact"/>
              <w:jc w:val="lef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发包人（章）      </w:t>
            </w:r>
          </w:p>
          <w:p w14:paraId="56D41338">
            <w:pPr>
              <w:snapToGrid w:val="0"/>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发包人代表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24025369">
            <w:pPr>
              <w:snapToGrid w:val="0"/>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日      期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2019FD79">
      <w:pPr>
        <w:spacing w:before="120"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说明：1．在需要选择的栏中的“□”内作标识“√”。</w:t>
      </w:r>
    </w:p>
    <w:p w14:paraId="6182FC46">
      <w:pPr>
        <w:spacing w:line="420" w:lineRule="exact"/>
        <w:ind w:left="718" w:leftChars="34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2．本表一式三份，由承包人、监理人、发包人按合同规定程序填制，并各存一份。</w:t>
      </w:r>
    </w:p>
    <w:p w14:paraId="6A47D66D">
      <w:pPr>
        <w:spacing w:before="240" w:beforeLines="100" w:after="240" w:afterLines="100" w:line="420" w:lineRule="exact"/>
        <w:outlineLvl w:val="9"/>
        <w:rPr>
          <w:rFonts w:hint="eastAsia" w:ascii="黑体" w:hAnsi="黑体" w:eastAsia="黑体" w:cs="黑体"/>
          <w:b w:val="0"/>
          <w:bCs w:val="0"/>
          <w:color w:val="000000" w:themeColor="text1"/>
          <w:kern w:val="0"/>
          <w:sz w:val="24"/>
          <w:szCs w:val="24"/>
          <w:highlight w:val="none"/>
          <w14:textFill>
            <w14:solidFill>
              <w14:schemeClr w14:val="tx1"/>
            </w14:solidFill>
          </w14:textFill>
        </w:rPr>
      </w:pPr>
    </w:p>
    <w:p w14:paraId="05FEE9FE">
      <w:pPr>
        <w:spacing w:before="240" w:beforeLines="100" w:after="240" w:afterLines="100" w:line="420" w:lineRule="exact"/>
        <w:outlineLvl w:val="9"/>
        <w:rPr>
          <w:rFonts w:hint="eastAsia" w:ascii="黑体" w:hAnsi="黑体" w:eastAsia="黑体" w:cs="黑体"/>
          <w:b w:val="0"/>
          <w:bCs w:val="0"/>
          <w:color w:val="000000" w:themeColor="text1"/>
          <w:kern w:val="0"/>
          <w:sz w:val="24"/>
          <w:szCs w:val="24"/>
          <w:highlight w:val="none"/>
          <w14:textFill>
            <w14:solidFill>
              <w14:schemeClr w14:val="tx1"/>
            </w14:solidFill>
          </w14:textFill>
        </w:rPr>
        <w:sectPr>
          <w:endnotePr>
            <w:numFmt w:val="decimal"/>
          </w:endnotePr>
          <w:pgSz w:w="11905" w:h="16838"/>
          <w:pgMar w:top="1440" w:right="1800" w:bottom="1440" w:left="1800" w:header="0" w:footer="567" w:gutter="0"/>
          <w:pgNumType w:fmt="decimal"/>
          <w:cols w:space="720" w:num="1"/>
          <w:titlePg/>
          <w:rtlGutter w:val="0"/>
          <w:docGrid w:linePitch="1" w:charSpace="0"/>
        </w:sectPr>
      </w:pPr>
    </w:p>
    <w:p w14:paraId="5E8FE2E8">
      <w:pPr>
        <w:spacing w:before="240" w:beforeLines="100" w:after="240" w:afterLines="100" w:line="420" w:lineRule="exact"/>
        <w:outlineLvl w:val="1"/>
        <w:rPr>
          <w:rFonts w:hint="eastAsia" w:ascii="黑体" w:hAnsi="黑体" w:eastAsia="黑体" w:cs="黑体"/>
          <w:b w:val="0"/>
          <w:bCs w:val="0"/>
          <w:color w:val="000000" w:themeColor="text1"/>
          <w:kern w:val="0"/>
          <w:sz w:val="24"/>
          <w:szCs w:val="24"/>
          <w:highlight w:val="none"/>
          <w:lang w:eastAsia="zh-CN"/>
          <w14:textFill>
            <w14:solidFill>
              <w14:schemeClr w14:val="tx1"/>
            </w14:solidFill>
          </w14:textFill>
        </w:rPr>
      </w:pPr>
      <w:bookmarkStart w:id="645" w:name="_Toc28104"/>
      <w:bookmarkStart w:id="646" w:name="_Toc9064"/>
      <w:bookmarkStart w:id="647" w:name="_Toc9238"/>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45"/>
      <w:bookmarkEnd w:id="646"/>
      <w:bookmarkEnd w:id="647"/>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7</w:t>
      </w:r>
    </w:p>
    <w:p w14:paraId="1630782A">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暂停施工令</w:t>
      </w:r>
    </w:p>
    <w:p w14:paraId="5D3047F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656" w:type="dxa"/>
        <w:tblInd w:w="-37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56"/>
      </w:tblGrid>
      <w:tr w14:paraId="6F390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trPr>
        <w:tc>
          <w:tcPr>
            <w:tcW w:w="9656" w:type="dxa"/>
            <w:noWrap w:val="0"/>
            <w:vAlign w:val="top"/>
          </w:tcPr>
          <w:p w14:paraId="527A09BB">
            <w:pPr>
              <w:spacing w:before="120"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（承包人全称）</w:t>
            </w:r>
          </w:p>
          <w:p w14:paraId="2E1BCBD3">
            <w:pPr>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由于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9D4C42A">
            <w:pPr>
              <w:spacing w:line="420" w:lineRule="exact"/>
              <w:ind w:left="-28"/>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096DFE6B">
            <w:pPr>
              <w:spacing w:line="420" w:lineRule="exact"/>
              <w:ind w:left="-27" w:leftChars="-13"/>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64366AE5">
            <w:pPr>
              <w:spacing w:line="420" w:lineRule="exact"/>
              <w:ind w:left="-27" w:leftChars="-13"/>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5BC8DB25">
            <w:pPr>
              <w:spacing w:line="420" w:lineRule="exact"/>
              <w:ind w:left="360" w:hanging="480" w:hanging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的原因，现通知你方必须于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w:t>
            </w:r>
          </w:p>
          <w:p w14:paraId="2A7A1ADB">
            <w:pPr>
              <w:spacing w:line="420" w:lineRule="exact"/>
              <w:ind w:left="360" w:hanging="480" w:hanging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时起，对本工程的</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部位（工序）实施暂停施工，并按下述要求做好各项工作：</w:t>
            </w:r>
          </w:p>
          <w:p w14:paraId="69C1B1F0">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E1CFDA0">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DFADCCF">
            <w:pPr>
              <w:spacing w:line="420" w:lineRule="exact"/>
              <w:ind w:firstLine="6012"/>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553BD269">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565612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29CE286">
            <w:pPr>
              <w:spacing w:line="420" w:lineRule="exact"/>
              <w:ind w:firstLine="6732" w:firstLineChars="2805"/>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E980CEB">
            <w:pPr>
              <w:spacing w:line="420" w:lineRule="exact"/>
              <w:ind w:firstLine="6732" w:firstLineChars="2805"/>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B4CFE66">
            <w:pPr>
              <w:spacing w:line="420" w:lineRule="exact"/>
              <w:ind w:firstLine="6732" w:firstLineChars="2805"/>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58AA28E">
            <w:pPr>
              <w:spacing w:line="420" w:lineRule="exact"/>
              <w:ind w:firstLine="6732" w:firstLineChars="2805"/>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4A8A004">
            <w:pPr>
              <w:spacing w:line="420" w:lineRule="exact"/>
              <w:ind w:firstLine="6732" w:firstLineChars="2805"/>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2C4147A">
            <w:pPr>
              <w:spacing w:line="420" w:lineRule="exact"/>
              <w:ind w:firstLine="6732" w:firstLineChars="2805"/>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FB999D3">
            <w:pPr>
              <w:spacing w:line="420" w:lineRule="exact"/>
              <w:ind w:firstLine="6732" w:firstLineChars="2805"/>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AE1B083">
            <w:pPr>
              <w:spacing w:line="420" w:lineRule="exact"/>
              <w:ind w:firstLine="6732" w:firstLineChars="2805"/>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2CDE310">
            <w:pPr>
              <w:spacing w:line="420" w:lineRule="exact"/>
              <w:ind w:firstLine="6732" w:firstLineChars="2805"/>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74DE32C">
            <w:pPr>
              <w:spacing w:line="420" w:lineRule="exact"/>
              <w:ind w:firstLine="6732" w:firstLineChars="2805"/>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监理单位（章）           </w:t>
            </w:r>
          </w:p>
          <w:p w14:paraId="3CADCB4D">
            <w:pPr>
              <w:spacing w:line="420" w:lineRule="exact"/>
              <w:ind w:firstLine="6732" w:firstLineChars="2805"/>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监理工程师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522C01CA">
            <w:pPr>
              <w:spacing w:line="420" w:lineRule="exact"/>
              <w:ind w:firstLine="6732" w:firstLineChars="2805"/>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429ABB4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 本表一式三份，由监理工程师填制，并连同发包人、承包人各存一份。</w:t>
      </w:r>
    </w:p>
    <w:p w14:paraId="01C48F24">
      <w:pPr>
        <w:spacing w:before="240" w:beforeLines="100" w:after="240" w:afterLines="100" w:line="420" w:lineRule="exact"/>
        <w:outlineLvl w:val="9"/>
        <w:rPr>
          <w:rFonts w:hint="eastAsia" w:ascii="黑体" w:hAnsi="黑体" w:eastAsia="黑体" w:cs="黑体"/>
          <w:b w:val="0"/>
          <w:bCs w:val="0"/>
          <w:color w:val="000000" w:themeColor="text1"/>
          <w:kern w:val="0"/>
          <w:sz w:val="24"/>
          <w:szCs w:val="24"/>
          <w:highlight w:val="none"/>
          <w14:textFill>
            <w14:solidFill>
              <w14:schemeClr w14:val="tx1"/>
            </w14:solidFill>
          </w14:textFill>
        </w:rPr>
      </w:pPr>
    </w:p>
    <w:p w14:paraId="20189D3B">
      <w:pPr>
        <w:spacing w:before="240" w:beforeLines="100" w:after="240" w:afterLines="100" w:line="420" w:lineRule="exact"/>
        <w:outlineLvl w:val="9"/>
        <w:rPr>
          <w:rFonts w:hint="eastAsia" w:ascii="黑体" w:hAnsi="黑体" w:eastAsia="黑体" w:cs="黑体"/>
          <w:b w:val="0"/>
          <w:bCs w:val="0"/>
          <w:color w:val="000000" w:themeColor="text1"/>
          <w:kern w:val="0"/>
          <w:sz w:val="24"/>
          <w:szCs w:val="24"/>
          <w:highlight w:val="none"/>
          <w14:textFill>
            <w14:solidFill>
              <w14:schemeClr w14:val="tx1"/>
            </w14:solidFill>
          </w14:textFill>
        </w:rPr>
        <w:sectPr>
          <w:endnotePr>
            <w:numFmt w:val="decimal"/>
          </w:endnotePr>
          <w:pgSz w:w="11905" w:h="16838"/>
          <w:pgMar w:top="1440" w:right="1800" w:bottom="1440" w:left="1800" w:header="0" w:footer="567" w:gutter="0"/>
          <w:pgNumType w:fmt="decimal"/>
          <w:cols w:space="720" w:num="1"/>
          <w:titlePg/>
          <w:rtlGutter w:val="0"/>
          <w:docGrid w:linePitch="1" w:charSpace="0"/>
        </w:sectPr>
      </w:pPr>
    </w:p>
    <w:p w14:paraId="0312D47E">
      <w:pPr>
        <w:spacing w:before="240" w:beforeLines="100" w:after="240" w:afterLines="100" w:line="420" w:lineRule="exact"/>
        <w:outlineLvl w:val="1"/>
        <w:rPr>
          <w:rFonts w:hint="eastAsia" w:ascii="黑体" w:hAnsi="黑体" w:eastAsia="黑体" w:cs="黑体"/>
          <w:b w:val="0"/>
          <w:bCs w:val="0"/>
          <w:color w:val="000000" w:themeColor="text1"/>
          <w:kern w:val="0"/>
          <w:sz w:val="24"/>
          <w:szCs w:val="24"/>
          <w:highlight w:val="none"/>
          <w:lang w:eastAsia="zh-CN"/>
          <w14:textFill>
            <w14:solidFill>
              <w14:schemeClr w14:val="tx1"/>
            </w14:solidFill>
          </w14:textFill>
        </w:rPr>
      </w:pPr>
      <w:bookmarkStart w:id="648" w:name="_Toc26808"/>
      <w:bookmarkStart w:id="649" w:name="_Toc8400"/>
      <w:bookmarkStart w:id="650" w:name="_Toc26485"/>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48"/>
      <w:bookmarkEnd w:id="649"/>
      <w:bookmarkEnd w:id="650"/>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8</w:t>
      </w:r>
    </w:p>
    <w:p w14:paraId="63EB2B71">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工期索赔申请表</w:t>
      </w:r>
    </w:p>
    <w:p w14:paraId="06EB981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525" w:type="dxa"/>
        <w:tblInd w:w="-2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25"/>
      </w:tblGrid>
      <w:tr w14:paraId="783B1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8" w:hRule="atLeast"/>
        </w:trPr>
        <w:tc>
          <w:tcPr>
            <w:tcW w:w="9525" w:type="dxa"/>
            <w:tcBorders>
              <w:bottom w:val="single" w:color="auto" w:sz="4" w:space="0"/>
            </w:tcBorders>
            <w:noWrap w:val="0"/>
            <w:vAlign w:val="top"/>
          </w:tcPr>
          <w:p w14:paraId="700C16AF">
            <w:pPr>
              <w:spacing w:before="120" w:line="420" w:lineRule="exact"/>
              <w:ind w:left="-28" w:firstLine="18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（监理人全称） </w:t>
            </w:r>
          </w:p>
          <w:p w14:paraId="25567CAF">
            <w:pPr>
              <w:spacing w:line="420" w:lineRule="exact"/>
              <w:ind w:left="-28"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根据施工合同第</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条规定，由于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原因,我方要求索赔并顺延工期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日历天，请予以批准。</w:t>
            </w:r>
          </w:p>
          <w:p w14:paraId="7A295F7A">
            <w:pPr>
              <w:spacing w:line="420" w:lineRule="exact"/>
              <w:ind w:left="48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１．工期索赔的依据：</w:t>
            </w:r>
          </w:p>
          <w:p w14:paraId="6AD10F1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2FB0778">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2137E0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BF63F45">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48ADF77">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2．索赔工期的计算：</w:t>
            </w:r>
          </w:p>
          <w:p w14:paraId="73E443E0">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C590B45">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F6043A2">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810FCB7">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0D977DC">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4F23520">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9FEAC2C">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本次要求延长工期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日历天；最终延长总工期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日历天。</w:t>
            </w:r>
          </w:p>
          <w:p w14:paraId="6F7434F4">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合同竣工日期从原来</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日延迟到</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w:t>
            </w:r>
          </w:p>
          <w:p w14:paraId="63CB574A">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3．证明材料：</w:t>
            </w:r>
          </w:p>
          <w:p w14:paraId="2E100097">
            <w:pPr>
              <w:tabs>
                <w:tab w:val="left" w:pos="6912"/>
              </w:tabs>
              <w:spacing w:line="420" w:lineRule="exact"/>
              <w:ind w:firstLine="6000" w:firstLineChars="25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EF7FCFF">
            <w:pPr>
              <w:tabs>
                <w:tab w:val="left" w:pos="6912"/>
              </w:tabs>
              <w:spacing w:line="420" w:lineRule="exact"/>
              <w:ind w:firstLine="6000" w:firstLineChars="25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009EC53">
            <w:pPr>
              <w:tabs>
                <w:tab w:val="left" w:pos="6912"/>
              </w:tabs>
              <w:spacing w:line="420" w:lineRule="exact"/>
              <w:ind w:firstLine="6000" w:firstLineChars="25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150B5B6">
            <w:pPr>
              <w:tabs>
                <w:tab w:val="left" w:pos="6912"/>
              </w:tabs>
              <w:spacing w:line="420" w:lineRule="exact"/>
              <w:ind w:firstLine="6000" w:firstLineChars="25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78223B7">
            <w:pPr>
              <w:tabs>
                <w:tab w:val="left" w:pos="6912"/>
              </w:tabs>
              <w:spacing w:line="420" w:lineRule="exact"/>
              <w:ind w:firstLine="6372" w:firstLineChars="2655"/>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承包人（章）                </w:t>
            </w:r>
          </w:p>
          <w:p w14:paraId="7F8DDD2D">
            <w:pPr>
              <w:spacing w:line="420" w:lineRule="exact"/>
              <w:ind w:firstLine="6372" w:firstLineChars="2655"/>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20BCCB17">
            <w:pPr>
              <w:tabs>
                <w:tab w:val="left" w:pos="7272"/>
              </w:tabs>
              <w:spacing w:line="420" w:lineRule="exact"/>
              <w:ind w:firstLine="6372" w:firstLineChars="2655"/>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7AB677E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说明：本表一式三份，由承包人填报,发包人、监理人、承包人各存一份。</w:t>
      </w:r>
    </w:p>
    <w:p w14:paraId="5224E62F">
      <w:pPr>
        <w:spacing w:before="240" w:beforeLines="100" w:after="240" w:afterLines="100" w:line="420" w:lineRule="exact"/>
        <w:outlineLvl w:val="9"/>
        <w:rPr>
          <w:rFonts w:hint="eastAsia" w:ascii="黑体" w:hAnsi="黑体" w:eastAsia="黑体" w:cs="黑体"/>
          <w:b w:val="0"/>
          <w:bCs w:val="0"/>
          <w:color w:val="000000" w:themeColor="text1"/>
          <w:kern w:val="0"/>
          <w:sz w:val="24"/>
          <w:szCs w:val="24"/>
          <w:highlight w:val="none"/>
          <w14:textFill>
            <w14:solidFill>
              <w14:schemeClr w14:val="tx1"/>
            </w14:solidFill>
          </w14:textFill>
        </w:rPr>
      </w:pPr>
    </w:p>
    <w:p w14:paraId="6A4E434F">
      <w:pPr>
        <w:spacing w:before="240" w:beforeLines="100" w:after="240" w:afterLines="100" w:line="420" w:lineRule="exact"/>
        <w:outlineLvl w:val="9"/>
        <w:rPr>
          <w:rFonts w:hint="eastAsia" w:ascii="黑体" w:hAnsi="黑体" w:eastAsia="黑体" w:cs="黑体"/>
          <w:b w:val="0"/>
          <w:bCs w:val="0"/>
          <w:color w:val="000000" w:themeColor="text1"/>
          <w:kern w:val="0"/>
          <w:sz w:val="24"/>
          <w:szCs w:val="24"/>
          <w:highlight w:val="none"/>
          <w14:textFill>
            <w14:solidFill>
              <w14:schemeClr w14:val="tx1"/>
            </w14:solidFill>
          </w14:textFill>
        </w:rPr>
      </w:pPr>
    </w:p>
    <w:p w14:paraId="05F634F5">
      <w:pPr>
        <w:spacing w:before="240" w:beforeLines="100" w:after="240" w:afterLines="100" w:line="420" w:lineRule="exact"/>
        <w:outlineLvl w:val="9"/>
        <w:rPr>
          <w:rFonts w:hint="eastAsia" w:ascii="黑体" w:hAnsi="黑体" w:eastAsia="黑体" w:cs="黑体"/>
          <w:b w:val="0"/>
          <w:bCs w:val="0"/>
          <w:color w:val="000000" w:themeColor="text1"/>
          <w:kern w:val="0"/>
          <w:sz w:val="24"/>
          <w:szCs w:val="24"/>
          <w:highlight w:val="none"/>
          <w14:textFill>
            <w14:solidFill>
              <w14:schemeClr w14:val="tx1"/>
            </w14:solidFill>
          </w14:textFill>
        </w:rPr>
        <w:sectPr>
          <w:endnotePr>
            <w:numFmt w:val="decimal"/>
          </w:endnotePr>
          <w:pgSz w:w="11905" w:h="16838"/>
          <w:pgMar w:top="1440" w:right="1800" w:bottom="1440" w:left="1800" w:header="0" w:footer="567" w:gutter="0"/>
          <w:pgNumType w:fmt="decimal"/>
          <w:cols w:space="720" w:num="1"/>
          <w:titlePg/>
          <w:rtlGutter w:val="0"/>
          <w:docGrid w:linePitch="1" w:charSpace="0"/>
        </w:sectPr>
      </w:pPr>
    </w:p>
    <w:p w14:paraId="7C037F9C">
      <w:pPr>
        <w:spacing w:before="240" w:beforeLines="100" w:after="240" w:afterLines="100" w:line="420" w:lineRule="exact"/>
        <w:outlineLvl w:val="1"/>
        <w:rPr>
          <w:rFonts w:hint="eastAsia" w:ascii="黑体" w:hAnsi="黑体" w:eastAsia="黑体" w:cs="黑体"/>
          <w:b w:val="0"/>
          <w:bCs w:val="0"/>
          <w:color w:val="000000" w:themeColor="text1"/>
          <w:kern w:val="0"/>
          <w:sz w:val="24"/>
          <w:szCs w:val="24"/>
          <w:highlight w:val="none"/>
          <w:lang w:eastAsia="zh-CN"/>
          <w14:textFill>
            <w14:solidFill>
              <w14:schemeClr w14:val="tx1"/>
            </w14:solidFill>
          </w14:textFill>
        </w:rPr>
      </w:pPr>
      <w:bookmarkStart w:id="651" w:name="_Toc30401"/>
      <w:bookmarkStart w:id="652" w:name="_Toc7027"/>
      <w:bookmarkStart w:id="653" w:name="_Toc29141"/>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51"/>
      <w:bookmarkEnd w:id="652"/>
      <w:bookmarkEnd w:id="653"/>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9</w:t>
      </w:r>
    </w:p>
    <w:p w14:paraId="7BA77884">
      <w:pPr>
        <w:spacing w:before="50" w:after="50" w:line="420" w:lineRule="exact"/>
        <w:jc w:val="center"/>
        <w:rPr>
          <w:rFonts w:ascii="宋体" w:hAnsi="宋体" w:eastAsia="宋体" w:cs="宋体"/>
          <w:b/>
          <w:bCs/>
          <w:color w:val="000000" w:themeColor="text1"/>
          <w:sz w:val="22"/>
          <w:szCs w:val="2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工期索赔审批表</w:t>
      </w:r>
    </w:p>
    <w:p w14:paraId="5236D24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094" w:type="dxa"/>
        <w:tblInd w:w="-16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94"/>
      </w:tblGrid>
      <w:tr w14:paraId="2382F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74" w:hRule="atLeast"/>
        </w:trPr>
        <w:tc>
          <w:tcPr>
            <w:tcW w:w="9094" w:type="dxa"/>
            <w:tcBorders>
              <w:bottom w:val="single" w:color="auto" w:sz="4" w:space="0"/>
            </w:tcBorders>
            <w:noWrap w:val="0"/>
            <w:vAlign w:val="top"/>
          </w:tcPr>
          <w:p w14:paraId="2F6927FB">
            <w:pPr>
              <w:spacing w:before="120" w:line="420" w:lineRule="exact"/>
              <w:ind w:left="-28" w:firstLine="18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（承包人全称） </w:t>
            </w:r>
          </w:p>
          <w:p w14:paraId="043FA1A8">
            <w:pPr>
              <w:spacing w:line="420" w:lineRule="exact"/>
              <w:ind w:left="-28" w:firstLine="482"/>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根据施工合同条款第</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的规定，你方提出的工期索赔申请第</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号,索赔工期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日历天，经我方审核：</w:t>
            </w:r>
          </w:p>
          <w:p w14:paraId="0000BDA9">
            <w:pPr>
              <w:spacing w:line="420" w:lineRule="exact"/>
              <w:ind w:left="-28" w:firstLine="5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□不同意此项索赔，按约定竣工日期组织施工。</w:t>
            </w:r>
          </w:p>
          <w:p w14:paraId="4D9873D4">
            <w:pPr>
              <w:spacing w:line="420" w:lineRule="exact"/>
              <w:ind w:left="-28" w:firstLine="5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□同意此项索赔，工期延长</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日历天，合同竣工日期从原来的</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日延迟到</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w:t>
            </w:r>
          </w:p>
          <w:p w14:paraId="75431DA5">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说明理由：</w:t>
            </w:r>
          </w:p>
          <w:p w14:paraId="041C229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D81917D">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FE259D8">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840BF6C">
            <w:pPr>
              <w:spacing w:line="420" w:lineRule="exact"/>
              <w:ind w:left="-108" w:firstLine="59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A17E79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7C57737">
            <w:pPr>
              <w:spacing w:line="420" w:lineRule="exact"/>
              <w:ind w:left="-108" w:firstLine="59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3571B9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193427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7C0B80E">
            <w:pPr>
              <w:tabs>
                <w:tab w:val="left" w:pos="6912"/>
              </w:tabs>
              <w:spacing w:line="420" w:lineRule="exact"/>
              <w:ind w:firstLine="6000" w:firstLineChars="25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监理人（章）                </w:t>
            </w:r>
          </w:p>
          <w:p w14:paraId="25EBC64E">
            <w:pPr>
              <w:spacing w:line="420" w:lineRule="exact"/>
              <w:ind w:firstLine="60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造价工程师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366D7B4">
            <w:pPr>
              <w:tabs>
                <w:tab w:val="left" w:pos="7272"/>
              </w:tabs>
              <w:spacing w:line="420" w:lineRule="exact"/>
              <w:ind w:firstLine="60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30F6D529">
      <w:pPr>
        <w:spacing w:line="420" w:lineRule="exact"/>
        <w:outlineLvl w:val="9"/>
        <w:rPr>
          <w:rFonts w:hint="eastAsia" w:ascii="仿宋_GB2312" w:hAnsi="仿宋_GB2312" w:eastAsia="仿宋_GB2312" w:cs="仿宋_GB2312"/>
          <w:color w:val="000000" w:themeColor="text1"/>
          <w:sz w:val="24"/>
          <w:szCs w:val="24"/>
          <w:highlight w:val="none"/>
          <w14:textFill>
            <w14:solidFill>
              <w14:schemeClr w14:val="tx1"/>
            </w14:solidFill>
          </w14:textFill>
        </w:rPr>
      </w:pPr>
      <w:bookmarkStart w:id="654" w:name="_Toc2552"/>
      <w:bookmarkStart w:id="655" w:name="_Toc23048"/>
      <w:bookmarkStart w:id="656" w:name="_Toc24988"/>
      <w:r>
        <w:rPr>
          <w:rFonts w:hint="eastAsia" w:ascii="仿宋_GB2312" w:hAnsi="仿宋_GB2312" w:eastAsia="仿宋_GB2312" w:cs="仿宋_GB2312"/>
          <w:color w:val="000000" w:themeColor="text1"/>
          <w:sz w:val="24"/>
          <w:szCs w:val="24"/>
          <w:highlight w:val="none"/>
          <w14:textFill>
            <w14:solidFill>
              <w14:schemeClr w14:val="tx1"/>
            </w14:solidFill>
          </w14:textFill>
        </w:rPr>
        <w:t>说明：1．在需要选择的栏中的“□”内作标识“√”。</w:t>
      </w:r>
      <w:bookmarkEnd w:id="654"/>
      <w:bookmarkEnd w:id="655"/>
      <w:bookmarkEnd w:id="656"/>
    </w:p>
    <w:p w14:paraId="2EBC8334">
      <w:pPr>
        <w:spacing w:before="120" w:beforeLines="50" w:after="120" w:afterLines="50" w:line="420" w:lineRule="exact"/>
        <w:ind w:firstLine="720" w:firstLineChars="300"/>
        <w:outlineLvl w:val="9"/>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bookmarkStart w:id="657" w:name="_Toc117"/>
      <w:bookmarkStart w:id="658" w:name="_Toc15902"/>
      <w:bookmarkStart w:id="659" w:name="_Toc10812"/>
      <w:r>
        <w:rPr>
          <w:rFonts w:hint="eastAsia" w:ascii="仿宋_GB2312" w:hAnsi="仿宋_GB2312" w:eastAsia="仿宋_GB2312" w:cs="仿宋_GB2312"/>
          <w:color w:val="000000" w:themeColor="text1"/>
          <w:sz w:val="24"/>
          <w:szCs w:val="24"/>
          <w:highlight w:val="none"/>
          <w14:textFill>
            <w14:solidFill>
              <w14:schemeClr w14:val="tx1"/>
            </w14:solidFill>
          </w14:textFill>
        </w:rPr>
        <w:t>2．本表一式三份，由简历工程师填制,发包人、监理人、承包人各存一份。</w:t>
      </w:r>
      <w:r>
        <w:rPr>
          <w:rFonts w:hint="eastAsia" w:ascii="仿宋_GB2312" w:hAnsi="仿宋_GB2312" w:eastAsia="仿宋_GB2312" w:cs="仿宋_GB2312"/>
          <w:color w:val="000000" w:themeColor="text1"/>
          <w:sz w:val="24"/>
          <w:szCs w:val="24"/>
          <w:highlight w:val="none"/>
          <w14:textFill>
            <w14:solidFill>
              <w14:schemeClr w14:val="tx1"/>
            </w14:solidFill>
          </w14:textFill>
        </w:rPr>
        <w:br w:type="page"/>
      </w:r>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57"/>
      <w:bookmarkEnd w:id="658"/>
      <w:bookmarkEnd w:id="659"/>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10</w:t>
      </w:r>
    </w:p>
    <w:p w14:paraId="696D093E">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工程材料/设备报审表</w:t>
      </w:r>
    </w:p>
    <w:p w14:paraId="62D9B324">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394" w:type="dxa"/>
        <w:tblInd w:w="-46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94"/>
      </w:tblGrid>
      <w:tr w14:paraId="67233E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17" w:hRule="atLeast"/>
        </w:trPr>
        <w:tc>
          <w:tcPr>
            <w:tcW w:w="9394" w:type="dxa"/>
            <w:noWrap w:val="0"/>
            <w:vAlign w:val="top"/>
          </w:tcPr>
          <w:p w14:paraId="5BF6C173">
            <w:pPr>
              <w:spacing w:before="120" w:line="420" w:lineRule="exact"/>
              <w:ind w:left="-28" w:firstLine="18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（监理人全称）</w:t>
            </w:r>
          </w:p>
          <w:p w14:paraId="5DF8C98A">
            <w:pPr>
              <w:spacing w:line="420" w:lineRule="exact"/>
              <w:ind w:left="-28"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我方于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日进场的工程□材料□构配件□设备数量如下（见附件）。现提供质量证明文件及自检结果，拟用于下述部位：</w:t>
            </w:r>
          </w:p>
          <w:p w14:paraId="0855EF8F">
            <w:pPr>
              <w:spacing w:line="420" w:lineRule="exact"/>
              <w:ind w:left="-28" w:firstLine="482"/>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1D54E4D1">
            <w:pPr>
              <w:spacing w:line="420" w:lineRule="exact"/>
              <w:ind w:left="-28"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15092E9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请予以检验和批准。</w:t>
            </w:r>
          </w:p>
          <w:p w14:paraId="57E75227">
            <w:pPr>
              <w:spacing w:line="420" w:lineRule="exact"/>
              <w:ind w:left="-108" w:firstLine="51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附件:1．数量清单</w:t>
            </w:r>
          </w:p>
          <w:p w14:paraId="46A1A6FB">
            <w:pPr>
              <w:spacing w:line="420" w:lineRule="exact"/>
              <w:ind w:left="-108" w:firstLine="107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2．质量证明文件</w:t>
            </w:r>
          </w:p>
          <w:p w14:paraId="2A65B911">
            <w:pPr>
              <w:spacing w:line="420" w:lineRule="exact"/>
              <w:ind w:left="-108" w:firstLine="107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3．自检结果</w:t>
            </w:r>
          </w:p>
          <w:p w14:paraId="76BE2657">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0107A75">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A6794B6">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4E9C725">
            <w:pPr>
              <w:spacing w:line="420" w:lineRule="exac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承包人（章）                 </w:t>
            </w:r>
          </w:p>
          <w:p w14:paraId="1617E40B">
            <w:pPr>
              <w:spacing w:line="420" w:lineRule="exact"/>
              <w:ind w:firstLine="6000" w:firstLineChars="25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FC94CF4">
            <w:pPr>
              <w:spacing w:line="420" w:lineRule="exact"/>
              <w:ind w:firstLine="6012"/>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64BB5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0" w:hRule="atLeast"/>
        </w:trPr>
        <w:tc>
          <w:tcPr>
            <w:tcW w:w="9394" w:type="dxa"/>
            <w:tcBorders>
              <w:bottom w:val="single" w:color="auto" w:sz="4" w:space="0"/>
            </w:tcBorders>
            <w:noWrap w:val="0"/>
            <w:vAlign w:val="top"/>
          </w:tcPr>
          <w:p w14:paraId="55DB83B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审查意见：</w:t>
            </w:r>
          </w:p>
          <w:p w14:paraId="4F63FCDD">
            <w:pPr>
              <w:spacing w:line="420" w:lineRule="exact"/>
              <w:ind w:left="-28" w:firstLine="454"/>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经检查上述工程□材料□构配件□工程设备，（□符合/□不符合）标准与规范、设计要求，（□准许/□不准许）进场，（□同意/□不同意）使用于拟定部位。</w:t>
            </w:r>
          </w:p>
          <w:p w14:paraId="7BF8DC66">
            <w:pPr>
              <w:spacing w:line="420" w:lineRule="exact"/>
              <w:ind w:firstLine="6000" w:firstLineChars="25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48DC58E">
            <w:pPr>
              <w:spacing w:line="420" w:lineRule="exact"/>
              <w:ind w:firstLine="6000" w:firstLineChars="25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D645A41">
            <w:pPr>
              <w:spacing w:line="420" w:lineRule="exact"/>
              <w:ind w:firstLine="6000" w:firstLineChars="25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监理人（章）                 </w:t>
            </w:r>
          </w:p>
          <w:p w14:paraId="66622902">
            <w:pPr>
              <w:spacing w:line="420" w:lineRule="exact"/>
              <w:ind w:firstLine="6000" w:firstLineChars="25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监理工程师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4872A9C7">
            <w:pPr>
              <w:spacing w:line="420" w:lineRule="exact"/>
              <w:ind w:firstLine="6000" w:firstLineChars="25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tc>
      </w:tr>
    </w:tbl>
    <w:p w14:paraId="1490A402">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说明：1．在需要选择的栏中的“□”内作标识“√”。</w:t>
      </w:r>
    </w:p>
    <w:p w14:paraId="7ED84D4F">
      <w:pPr>
        <w:spacing w:line="420" w:lineRule="exact"/>
        <w:ind w:left="72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2.本表一式三份，由承包人、监理人按合同规定程序填制，并连同发包人各存一份。</w:t>
      </w:r>
    </w:p>
    <w:p w14:paraId="3D1D4794">
      <w:pPr>
        <w:spacing w:before="120" w:beforeLines="50" w:after="120" w:afterLines="50" w:line="420" w:lineRule="exact"/>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660" w:name="_Toc9463"/>
      <w:bookmarkStart w:id="661" w:name="_Toc21838"/>
      <w:bookmarkStart w:id="662" w:name="_Toc1275"/>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60"/>
      <w:bookmarkEnd w:id="661"/>
      <w:bookmarkEnd w:id="662"/>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11</w:t>
      </w:r>
    </w:p>
    <w:p w14:paraId="5B535BFA">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隐蔽工程/中间验收报告</w:t>
      </w:r>
    </w:p>
    <w:p w14:paraId="5F7DD62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544" w:type="dxa"/>
        <w:tblInd w:w="-31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44"/>
      </w:tblGrid>
      <w:tr w14:paraId="0D617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6" w:hRule="atLeast"/>
        </w:trPr>
        <w:tc>
          <w:tcPr>
            <w:tcW w:w="9544" w:type="dxa"/>
            <w:noWrap w:val="0"/>
            <w:vAlign w:val="top"/>
          </w:tcPr>
          <w:p w14:paraId="26C71CE3">
            <w:pPr>
              <w:spacing w:before="120"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（监理人全称）</w:t>
            </w:r>
          </w:p>
          <w:p w14:paraId="0387D6B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我方已完成了</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工作,经自检合格，现提出</w:t>
            </w:r>
          </w:p>
          <w:p w14:paraId="0F50112F">
            <w:pPr>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□隐蔽工程/□中间验收（内容见附件）申请，请予审验收。</w:t>
            </w:r>
          </w:p>
          <w:p w14:paraId="70AA5342">
            <w:pPr>
              <w:spacing w:line="420" w:lineRule="exact"/>
              <w:ind w:firstLine="417"/>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附件:</w:t>
            </w:r>
          </w:p>
          <w:p w14:paraId="5BC6086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7D4E42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2FB5D92">
            <w:pPr>
              <w:spacing w:line="420" w:lineRule="exac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承包人（章）                 </w:t>
            </w:r>
          </w:p>
          <w:p w14:paraId="4FD8F551">
            <w:pPr>
              <w:spacing w:line="420" w:lineRule="exact"/>
              <w:ind w:firstLine="6240" w:firstLineChars="26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92AFA95">
            <w:pPr>
              <w:spacing w:line="420" w:lineRule="exact"/>
              <w:ind w:firstLine="6240" w:firstLineChars="26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62012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1" w:hRule="atLeast"/>
        </w:trPr>
        <w:tc>
          <w:tcPr>
            <w:tcW w:w="9544" w:type="dxa"/>
            <w:noWrap w:val="0"/>
            <w:vAlign w:val="top"/>
          </w:tcPr>
          <w:p w14:paraId="3FC04C30">
            <w:pPr>
              <w:spacing w:before="120"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复核意见：</w:t>
            </w:r>
          </w:p>
          <w:p w14:paraId="6C3C9980">
            <w:pPr>
              <w:spacing w:before="120"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1E63B1B">
            <w:pPr>
              <w:spacing w:before="120"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C2ABD15">
            <w:pPr>
              <w:spacing w:line="420" w:lineRule="exact"/>
              <w:ind w:firstLine="6240" w:firstLineChars="26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设计人（章） </w:t>
            </w:r>
          </w:p>
          <w:p w14:paraId="21F84698">
            <w:pPr>
              <w:spacing w:line="420" w:lineRule="exact"/>
              <w:ind w:firstLine="6240" w:firstLineChars="26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建筑师/结构师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112A4B51">
            <w:pPr>
              <w:spacing w:line="420" w:lineRule="exact"/>
              <w:ind w:firstLine="6240" w:firstLineChars="26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70478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9" w:hRule="atLeast"/>
        </w:trPr>
        <w:tc>
          <w:tcPr>
            <w:tcW w:w="9544" w:type="dxa"/>
            <w:tcBorders>
              <w:top w:val="single" w:color="auto" w:sz="4" w:space="0"/>
            </w:tcBorders>
            <w:noWrap w:val="0"/>
            <w:vAlign w:val="top"/>
          </w:tcPr>
          <w:p w14:paraId="51829C59">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审查意见：</w:t>
            </w:r>
          </w:p>
          <w:p w14:paraId="32FB5FC0">
            <w:pPr>
              <w:spacing w:line="420" w:lineRule="exact"/>
              <w:ind w:firstLine="720" w:firstLineChars="3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经验收，上述工程（□符合/□不符合）标准与规范、设计要求，验收（□合格/□不合格）（□可以/□不可以）隐蔽或继续施工。</w:t>
            </w:r>
          </w:p>
          <w:p w14:paraId="5B804AA4">
            <w:pPr>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82738A6">
            <w:pPr>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DB04BDB">
            <w:pPr>
              <w:spacing w:line="420" w:lineRule="exact"/>
              <w:ind w:firstLine="6240" w:firstLineChars="26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监理人（章）</w:t>
            </w:r>
          </w:p>
          <w:p w14:paraId="7E056C68">
            <w:pPr>
              <w:spacing w:line="420" w:lineRule="exact"/>
              <w:ind w:firstLine="6295" w:firstLineChars="2623"/>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监理工程师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466096C6">
            <w:pPr>
              <w:tabs>
                <w:tab w:val="left" w:pos="6297"/>
              </w:tabs>
              <w:spacing w:line="420" w:lineRule="exact"/>
              <w:ind w:firstLine="6295" w:firstLineChars="2623"/>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tc>
      </w:tr>
    </w:tbl>
    <w:p w14:paraId="6816171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说明：1．在需要选择的栏中的“□”内作标识“√”。</w:t>
      </w:r>
    </w:p>
    <w:p w14:paraId="17266EA8">
      <w:pPr>
        <w:spacing w:line="420" w:lineRule="exact"/>
        <w:ind w:firstLine="720" w:firstLineChars="3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2．本表用于包括隐蔽工程、分部分项工程、单位工程等的质量验收。</w:t>
      </w:r>
    </w:p>
    <w:p w14:paraId="7E4AF171">
      <w:pPr>
        <w:spacing w:line="420" w:lineRule="exact"/>
        <w:ind w:left="1198" w:leftChars="342" w:hanging="480" w:hanging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3．本表一式四份，由承包人、设计人、监理人按合同规定程序填制，并连同发包人各存一份。</w:t>
      </w:r>
    </w:p>
    <w:p w14:paraId="7B46E6C2">
      <w:pPr>
        <w:spacing w:line="420" w:lineRule="exact"/>
        <w:ind w:left="1"/>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663" w:name="_Toc9835"/>
      <w:bookmarkStart w:id="664" w:name="_Toc3781"/>
      <w:bookmarkStart w:id="665" w:name="_Toc7976"/>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63"/>
      <w:bookmarkEnd w:id="664"/>
      <w:bookmarkEnd w:id="665"/>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12</w:t>
      </w:r>
    </w:p>
    <w:p w14:paraId="1B832903">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工程变更报审表</w:t>
      </w:r>
    </w:p>
    <w:p w14:paraId="759F027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 </w:t>
      </w:r>
    </w:p>
    <w:tbl>
      <w:tblPr>
        <w:tblStyle w:val="38"/>
        <w:tblW w:w="9393" w:type="dxa"/>
        <w:tblInd w:w="-29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68"/>
        <w:gridCol w:w="3447"/>
        <w:gridCol w:w="2278"/>
      </w:tblGrid>
      <w:tr w14:paraId="7C910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7" w:hRule="atLeast"/>
        </w:trPr>
        <w:tc>
          <w:tcPr>
            <w:tcW w:w="9393" w:type="dxa"/>
            <w:gridSpan w:val="3"/>
            <w:tcBorders>
              <w:bottom w:val="single" w:color="000000" w:sz="6" w:space="0"/>
            </w:tcBorders>
            <w:noWrap w:val="0"/>
            <w:vAlign w:val="top"/>
          </w:tcPr>
          <w:p w14:paraId="3299BD3A">
            <w:pPr>
              <w:spacing w:before="120"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（监理人全称）</w:t>
            </w:r>
          </w:p>
          <w:p w14:paraId="102E2103">
            <w:pPr>
              <w:tabs>
                <w:tab w:val="left" w:pos="6192"/>
              </w:tabs>
              <w:spacing w:line="420" w:lineRule="exact"/>
              <w:ind w:firstLine="480" w:firstLineChars="2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由于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原因，现提出</w:t>
            </w:r>
          </w:p>
          <w:p w14:paraId="0CC23AF2">
            <w:pPr>
              <w:tabs>
                <w:tab w:val="left" w:pos="6192"/>
              </w:tabs>
              <w:spacing w:line="420" w:lineRule="exac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420E8228">
            <w:pPr>
              <w:tabs>
                <w:tab w:val="left" w:pos="6192"/>
              </w:tabs>
              <w:spacing w:line="420" w:lineRule="exac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工程变更（内容见附件），请予以审批。</w:t>
            </w:r>
          </w:p>
          <w:p w14:paraId="10DCA7F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附件：1．提出变更原因（必要时附图）；</w:t>
            </w:r>
          </w:p>
          <w:p w14:paraId="0F490639">
            <w:pPr>
              <w:spacing w:line="420" w:lineRule="exact"/>
              <w:ind w:firstLine="720" w:firstLineChars="3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2．工程量增减计算书；</w:t>
            </w:r>
          </w:p>
          <w:p w14:paraId="648EB603">
            <w:pPr>
              <w:spacing w:line="420" w:lineRule="exact"/>
              <w:ind w:firstLine="720" w:firstLineChars="3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3．工程变更价款报价单。</w:t>
            </w:r>
          </w:p>
          <w:p w14:paraId="0FBE1225">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CFB29F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2B0CFADD">
            <w:pPr>
              <w:spacing w:line="420" w:lineRule="exact"/>
              <w:ind w:firstLine="5760" w:firstLineChars="24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承包人（章）                 </w:t>
            </w:r>
          </w:p>
          <w:p w14:paraId="4CB8D8FD">
            <w:pPr>
              <w:spacing w:line="420" w:lineRule="exact"/>
              <w:ind w:firstLine="5982"/>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pacing w:val="28"/>
                <w:sz w:val="24"/>
                <w:szCs w:val="24"/>
                <w:highlight w:val="none"/>
                <w14:textFill>
                  <w14:solidFill>
                    <w14:schemeClr w14:val="tx1"/>
                  </w14:solidFill>
                </w14:textFill>
              </w:rPr>
              <w:t>承包人代表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09D8CF84">
            <w:pPr>
              <w:spacing w:line="420" w:lineRule="exact"/>
              <w:ind w:firstLine="5982"/>
              <w:rPr>
                <w:rFonts w:hint="eastAsia" w:ascii="仿宋_GB2312" w:hAnsi="仿宋_GB2312" w:eastAsia="仿宋_GB2312" w:cs="仿宋_GB2312"/>
                <w:color w:val="000000" w:themeColor="text1"/>
                <w:spacing w:val="2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日        期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7DCB7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8" w:hRule="atLeast"/>
        </w:trPr>
        <w:tc>
          <w:tcPr>
            <w:tcW w:w="3668" w:type="dxa"/>
            <w:tcBorders>
              <w:top w:val="single" w:color="000000" w:sz="6" w:space="0"/>
              <w:bottom w:val="single" w:color="auto" w:sz="4" w:space="0"/>
              <w:right w:val="single" w:color="auto" w:sz="4" w:space="0"/>
            </w:tcBorders>
            <w:noWrap w:val="0"/>
            <w:vAlign w:val="top"/>
          </w:tcPr>
          <w:p w14:paraId="4B8E3257">
            <w:pPr>
              <w:snapToGrid w:val="0"/>
              <w:spacing w:line="420" w:lineRule="exact"/>
              <w:ind w:hanging="6"/>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复核意见：</w:t>
            </w:r>
          </w:p>
          <w:p w14:paraId="590A89DD">
            <w:pPr>
              <w:snapToGrid w:val="0"/>
              <w:spacing w:line="420" w:lineRule="exact"/>
              <w:ind w:hanging="6"/>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8DAAA17">
            <w:pPr>
              <w:snapToGrid w:val="0"/>
              <w:spacing w:line="420" w:lineRule="exact"/>
              <w:ind w:hanging="6"/>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F6F13F8">
            <w:pPr>
              <w:snapToGrid w:val="0"/>
              <w:spacing w:line="420" w:lineRule="exact"/>
              <w:ind w:hanging="6"/>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942C8CF">
            <w:pPr>
              <w:snapToGrid w:val="0"/>
              <w:spacing w:line="420" w:lineRule="exact"/>
              <w:ind w:hanging="6"/>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设计人（章）</w:t>
            </w:r>
          </w:p>
          <w:p w14:paraId="6FB8B5FF">
            <w:pPr>
              <w:snapToGrid w:val="0"/>
              <w:spacing w:line="420" w:lineRule="exact"/>
              <w:ind w:hanging="6"/>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建筑师/结构师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4BE0A9BA">
            <w:pPr>
              <w:snapToGrid w:val="0"/>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c>
          <w:tcPr>
            <w:tcW w:w="3447" w:type="dxa"/>
            <w:tcBorders>
              <w:top w:val="single" w:color="000000" w:sz="6" w:space="0"/>
              <w:left w:val="single" w:color="auto" w:sz="4" w:space="0"/>
              <w:bottom w:val="single" w:color="auto" w:sz="4" w:space="0"/>
              <w:right w:val="single" w:color="auto" w:sz="4" w:space="0"/>
            </w:tcBorders>
            <w:noWrap w:val="0"/>
            <w:vAlign w:val="top"/>
          </w:tcPr>
          <w:p w14:paraId="5F9DFBB9">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复核意见：</w:t>
            </w:r>
          </w:p>
          <w:p w14:paraId="1BAE3BD4">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2AEB634">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64FE554">
            <w:pPr>
              <w:snapToGrid w:val="0"/>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13727D7">
            <w:pPr>
              <w:snapToGrid w:val="0"/>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监理人（章）</w:t>
            </w:r>
          </w:p>
          <w:p w14:paraId="4CB4B845">
            <w:pPr>
              <w:snapToGrid w:val="0"/>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监理工程师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11A9CE10">
            <w:pPr>
              <w:snapToGrid w:val="0"/>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c>
          <w:tcPr>
            <w:tcW w:w="2278" w:type="dxa"/>
            <w:tcBorders>
              <w:top w:val="single" w:color="000000" w:sz="6" w:space="0"/>
              <w:left w:val="single" w:color="auto" w:sz="4" w:space="0"/>
              <w:bottom w:val="single" w:color="auto" w:sz="4" w:space="0"/>
            </w:tcBorders>
            <w:noWrap w:val="0"/>
            <w:vAlign w:val="top"/>
          </w:tcPr>
          <w:p w14:paraId="283FB786">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复核意见：</w:t>
            </w:r>
          </w:p>
          <w:p w14:paraId="56AC3B73">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390AD1F">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710EE8C">
            <w:pPr>
              <w:snapToGrid w:val="0"/>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5534BED">
            <w:pPr>
              <w:snapToGrid w:val="0"/>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造价咨询人（章）</w:t>
            </w:r>
          </w:p>
          <w:p w14:paraId="7616E7BD">
            <w:pPr>
              <w:snapToGrid w:val="0"/>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造价工程师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184C99D">
            <w:pPr>
              <w:snapToGrid w:val="0"/>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75395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3" w:hRule="atLeast"/>
        </w:trPr>
        <w:tc>
          <w:tcPr>
            <w:tcW w:w="9393" w:type="dxa"/>
            <w:gridSpan w:val="3"/>
            <w:tcBorders>
              <w:top w:val="single" w:color="auto" w:sz="4" w:space="0"/>
              <w:bottom w:val="single" w:color="000000" w:sz="6" w:space="0"/>
            </w:tcBorders>
            <w:noWrap w:val="0"/>
            <w:vAlign w:val="top"/>
          </w:tcPr>
          <w:p w14:paraId="7E1D7444">
            <w:pPr>
              <w:snapToGrid w:val="0"/>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审批意见：</w:t>
            </w:r>
          </w:p>
          <w:p w14:paraId="1892DE2A">
            <w:pPr>
              <w:snapToGrid w:val="0"/>
              <w:spacing w:line="420" w:lineRule="exact"/>
              <w:ind w:hanging="6"/>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303BA0D">
            <w:pPr>
              <w:snapToGrid w:val="0"/>
              <w:spacing w:line="420" w:lineRule="exact"/>
              <w:ind w:hanging="6"/>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发包人（章）</w:t>
            </w:r>
          </w:p>
          <w:p w14:paraId="624ABD8D">
            <w:pPr>
              <w:snapToGrid w:val="0"/>
              <w:spacing w:line="420" w:lineRule="exact"/>
              <w:ind w:hanging="6"/>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发包人代表</w:t>
            </w:r>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p>
          <w:p w14:paraId="1F4F784C">
            <w:pPr>
              <w:snapToGrid w:val="0"/>
              <w:spacing w:line="420" w:lineRule="exact"/>
              <w:ind w:hanging="6"/>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2D8C53F9">
      <w:pPr>
        <w:spacing w:line="420" w:lineRule="exact"/>
        <w:ind w:left="660" w:hanging="720" w:hangingChars="3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说明：本表一式五份，由承包人、设计人、监理人、工程造价咨询人（如有）、发包人按合同规定程序填制，并各存一份。</w:t>
      </w:r>
    </w:p>
    <w:p w14:paraId="2E8D8AF3">
      <w:pPr>
        <w:spacing w:line="420" w:lineRule="exact"/>
        <w:ind w:left="660" w:hanging="660" w:hangingChars="300"/>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666" w:name="_Toc29201"/>
      <w:bookmarkStart w:id="667" w:name="_Toc31298"/>
      <w:bookmarkStart w:id="668" w:name="_Toc5584"/>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66"/>
      <w:bookmarkEnd w:id="667"/>
      <w:bookmarkEnd w:id="668"/>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13</w:t>
      </w:r>
    </w:p>
    <w:p w14:paraId="52E55860">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工程变更令</w:t>
      </w:r>
    </w:p>
    <w:p w14:paraId="4E7B0732">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 </w:t>
      </w:r>
    </w:p>
    <w:tbl>
      <w:tblPr>
        <w:tblStyle w:val="38"/>
        <w:tblW w:w="9009"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09"/>
      </w:tblGrid>
      <w:tr w14:paraId="55DB6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62" w:hRule="atLeast"/>
        </w:trPr>
        <w:tc>
          <w:tcPr>
            <w:tcW w:w="9009" w:type="dxa"/>
            <w:tcBorders>
              <w:bottom w:val="single" w:color="000000" w:sz="6" w:space="0"/>
            </w:tcBorders>
            <w:noWrap w:val="0"/>
            <w:vAlign w:val="top"/>
          </w:tcPr>
          <w:p w14:paraId="4F021407">
            <w:pPr>
              <w:spacing w:before="120" w:line="420" w:lineRule="exact"/>
              <w:ind w:left="-28" w:firstLine="18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（承包人全称）   </w:t>
            </w:r>
          </w:p>
          <w:p w14:paraId="1D6B45B7">
            <w:pPr>
              <w:tabs>
                <w:tab w:val="left" w:pos="6192"/>
              </w:tabs>
              <w:spacing w:line="420" w:lineRule="exact"/>
              <w:ind w:left="-28" w:firstLine="5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由于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原因，现发出</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工程变更令（内容见附件），请按照本变更令和合同约定组织施工；若合同与本变更令不一致的，以本变更令为准。如有疑问，请及时与监理工程师联系。</w:t>
            </w:r>
          </w:p>
          <w:p w14:paraId="47CCE07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变更内容见附件：</w:t>
            </w:r>
          </w:p>
          <w:p w14:paraId="3F63FEDF">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9BA7E2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D56C24A">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17CACA4">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1E9C412">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AAB3173">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C44A741">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796D5D8">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E873F78">
            <w:pPr>
              <w:spacing w:line="420" w:lineRule="exact"/>
              <w:ind w:firstLine="5880" w:firstLineChars="245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监理人（章）</w:t>
            </w:r>
          </w:p>
          <w:p w14:paraId="0E0F7DF9">
            <w:pPr>
              <w:spacing w:line="420" w:lineRule="exact"/>
              <w:ind w:firstLine="5920" w:firstLineChars="20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pacing w:val="28"/>
                <w:sz w:val="24"/>
                <w:szCs w:val="24"/>
                <w:highlight w:val="none"/>
                <w14:textFill>
                  <w14:solidFill>
                    <w14:schemeClr w14:val="tx1"/>
                  </w14:solidFill>
                </w14:textFill>
              </w:rPr>
              <w:t>监理工程师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5EF7F587">
            <w:pPr>
              <w:spacing w:line="420" w:lineRule="exact"/>
              <w:ind w:firstLine="5880" w:firstLineChars="2450"/>
              <w:rPr>
                <w:rFonts w:hint="eastAsia" w:ascii="仿宋_GB2312" w:hAnsi="仿宋_GB2312" w:eastAsia="仿宋_GB2312" w:cs="仿宋_GB2312"/>
                <w:color w:val="000000" w:themeColor="text1"/>
                <w:spacing w:val="20"/>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日        期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367CC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9" w:hRule="atLeast"/>
        </w:trPr>
        <w:tc>
          <w:tcPr>
            <w:tcW w:w="9009" w:type="dxa"/>
            <w:tcBorders>
              <w:top w:val="single" w:color="auto" w:sz="4" w:space="0"/>
              <w:bottom w:val="single" w:color="000000" w:sz="6" w:space="0"/>
            </w:tcBorders>
            <w:noWrap w:val="0"/>
            <w:vAlign w:val="top"/>
          </w:tcPr>
          <w:p w14:paraId="41700C58">
            <w:pPr>
              <w:snapToGrid w:val="0"/>
              <w:spacing w:line="420" w:lineRule="exact"/>
              <w:ind w:hanging="6"/>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审批意见：</w:t>
            </w:r>
          </w:p>
          <w:p w14:paraId="7CAEA6BA">
            <w:pPr>
              <w:snapToGrid w:val="0"/>
              <w:spacing w:line="420" w:lineRule="exact"/>
              <w:ind w:hanging="6"/>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5BF22D0">
            <w:pPr>
              <w:snapToGrid w:val="0"/>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E3099CC">
            <w:pPr>
              <w:snapToGrid w:val="0"/>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107A62A">
            <w:pPr>
              <w:snapToGrid w:val="0"/>
              <w:spacing w:line="420" w:lineRule="exact"/>
              <w:ind w:hanging="6"/>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3F4409DC">
            <w:pPr>
              <w:snapToGrid w:val="0"/>
              <w:spacing w:line="420" w:lineRule="exact"/>
              <w:ind w:hanging="6"/>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发包人（章）</w:t>
            </w:r>
          </w:p>
          <w:p w14:paraId="6B0CEC68">
            <w:pPr>
              <w:snapToGrid w:val="0"/>
              <w:spacing w:line="420" w:lineRule="exact"/>
              <w:ind w:hanging="6"/>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发包人代表</w:t>
            </w:r>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p>
          <w:p w14:paraId="6AFD18FB">
            <w:pPr>
              <w:snapToGrid w:val="0"/>
              <w:spacing w:line="420" w:lineRule="exact"/>
              <w:ind w:hanging="6"/>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2981A771">
      <w:pPr>
        <w:spacing w:line="420" w:lineRule="exact"/>
        <w:ind w:left="1" w:firstLine="360" w:firstLineChars="1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说明：本表一式四份，由监理人、发包人按合同规定程序填制，并连同工程造价咨询人（如有）、承包人各存一份。</w:t>
      </w:r>
    </w:p>
    <w:p w14:paraId="3EF33FBE">
      <w:pPr>
        <w:spacing w:line="420" w:lineRule="exact"/>
        <w:ind w:left="660" w:hanging="660" w:hangingChars="300"/>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669" w:name="_Toc5136"/>
      <w:bookmarkStart w:id="670" w:name="_Toc19009"/>
      <w:bookmarkStart w:id="671" w:name="_Toc28744"/>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69"/>
      <w:bookmarkEnd w:id="670"/>
      <w:bookmarkEnd w:id="671"/>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14</w:t>
      </w:r>
    </w:p>
    <w:p w14:paraId="48530021">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工程竣工验收申请报告</w:t>
      </w:r>
    </w:p>
    <w:p w14:paraId="1557C50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8840"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40"/>
      </w:tblGrid>
      <w:tr w14:paraId="0EE40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6" w:hRule="atLeast"/>
        </w:trPr>
        <w:tc>
          <w:tcPr>
            <w:tcW w:w="8840" w:type="dxa"/>
            <w:noWrap w:val="0"/>
            <w:vAlign w:val="top"/>
          </w:tcPr>
          <w:p w14:paraId="517DEAC0">
            <w:pPr>
              <w:spacing w:before="120" w:line="420" w:lineRule="exact"/>
              <w:ind w:left="-28" w:firstLine="18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（发包人全称）</w:t>
            </w:r>
          </w:p>
          <w:p w14:paraId="39E3D50B">
            <w:pPr>
              <w:spacing w:line="420" w:lineRule="exact"/>
              <w:ind w:left="-3" w:firstLine="51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我方已按合同要求完成了</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工程,经自检合格，现提出工程竣工验收（内容详见附件），请予以验收。</w:t>
            </w:r>
          </w:p>
          <w:p w14:paraId="55A508ED">
            <w:pPr>
              <w:spacing w:line="420" w:lineRule="exact"/>
              <w:ind w:left="-3" w:firstLine="51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你方应该清楚，工程具备验收条件的，应按照合同约定期限完成竣工验收，否则将承担相应责任。</w:t>
            </w:r>
          </w:p>
          <w:p w14:paraId="227B84BC">
            <w:pPr>
              <w:spacing w:line="420" w:lineRule="exact"/>
              <w:ind w:left="-108" w:firstLine="51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附件: </w:t>
            </w:r>
          </w:p>
          <w:p w14:paraId="4A48A57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4469075">
            <w:pPr>
              <w:spacing w:line="420" w:lineRule="exact"/>
              <w:ind w:firstLine="6288" w:firstLineChars="262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承包人（章）               </w:t>
            </w:r>
          </w:p>
          <w:p w14:paraId="7988D48A">
            <w:pPr>
              <w:tabs>
                <w:tab w:val="left" w:pos="7092"/>
              </w:tabs>
              <w:spacing w:line="420" w:lineRule="exact"/>
              <w:ind w:firstLine="63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0AED3DC3">
            <w:pPr>
              <w:spacing w:line="420" w:lineRule="exact"/>
              <w:ind w:firstLine="63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60A7C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16" w:hRule="atLeast"/>
        </w:trPr>
        <w:tc>
          <w:tcPr>
            <w:tcW w:w="8840" w:type="dxa"/>
            <w:tcBorders>
              <w:bottom w:val="nil"/>
            </w:tcBorders>
            <w:noWrap w:val="0"/>
            <w:vAlign w:val="top"/>
          </w:tcPr>
          <w:p w14:paraId="4121FE6B">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审查意见：</w:t>
            </w:r>
          </w:p>
          <w:p w14:paraId="55062245">
            <w:pPr>
              <w:spacing w:line="420" w:lineRule="exact"/>
              <w:ind w:left="-28" w:firstLine="51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经初步验收，该工程</w:t>
            </w:r>
          </w:p>
          <w:p w14:paraId="75FFA195">
            <w:pPr>
              <w:spacing w:line="420" w:lineRule="exact"/>
              <w:ind w:firstLine="52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1.（□符合/□不符合）施工设计图纸要求；</w:t>
            </w:r>
          </w:p>
          <w:p w14:paraId="3450851B">
            <w:pPr>
              <w:spacing w:line="420" w:lineRule="exact"/>
              <w:ind w:firstLine="52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2.（□符合/□不符合）施工合同要求；</w:t>
            </w:r>
          </w:p>
          <w:p w14:paraId="6A38D571">
            <w:pPr>
              <w:spacing w:line="420" w:lineRule="exact"/>
              <w:ind w:left="-28" w:firstLine="5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3.（□符合/□不符合）竣工资料要求；</w:t>
            </w:r>
          </w:p>
          <w:p w14:paraId="535FC67E">
            <w:pPr>
              <w:spacing w:line="420" w:lineRule="exact"/>
              <w:ind w:left="-28" w:firstLine="5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4.（□符合/□不符合）缺陷责任期返工工作清单和计划；</w:t>
            </w:r>
          </w:p>
          <w:p w14:paraId="2EAB83F4">
            <w:pPr>
              <w:spacing w:line="420" w:lineRule="exact"/>
              <w:ind w:left="-28" w:firstLine="5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5.（□符合/□不符合）竣工验收资料清单。</w:t>
            </w:r>
          </w:p>
          <w:p w14:paraId="317450A9">
            <w:pPr>
              <w:spacing w:line="420" w:lineRule="exact"/>
              <w:ind w:right="-56" w:hanging="3"/>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综上所述，该工程初步验收 （□合格/□不合格），（□可以/□不可以）组织正式验收。</w:t>
            </w:r>
          </w:p>
          <w:p w14:paraId="5BAF373B">
            <w:pPr>
              <w:spacing w:line="420" w:lineRule="exact"/>
              <w:ind w:right="-56"/>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B16AD6D">
            <w:pPr>
              <w:spacing w:line="420" w:lineRule="exact"/>
              <w:ind w:right="-56"/>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1F362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34" w:hRule="atLeast"/>
        </w:trPr>
        <w:tc>
          <w:tcPr>
            <w:tcW w:w="8840" w:type="dxa"/>
            <w:tcBorders>
              <w:top w:val="nil"/>
            </w:tcBorders>
            <w:noWrap w:val="0"/>
            <w:vAlign w:val="top"/>
          </w:tcPr>
          <w:p w14:paraId="57C66706">
            <w:pPr>
              <w:spacing w:line="420" w:lineRule="exact"/>
              <w:ind w:right="-56" w:firstLine="6295" w:firstLineChars="2623"/>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监理人（章）       </w:t>
            </w:r>
          </w:p>
          <w:p w14:paraId="76F62AD8">
            <w:pPr>
              <w:spacing w:line="420" w:lineRule="exact"/>
              <w:ind w:right="-56" w:firstLine="6295" w:firstLineChars="2623"/>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监理工程师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1AD78FD0">
            <w:pPr>
              <w:spacing w:line="420" w:lineRule="exact"/>
              <w:ind w:firstLine="6295" w:firstLineChars="2623"/>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3F84515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说明：1．在需要选择的栏中的“□”内作标识“√”。</w:t>
      </w:r>
    </w:p>
    <w:p w14:paraId="21BC5AE3">
      <w:pPr>
        <w:spacing w:line="420" w:lineRule="exact"/>
        <w:ind w:left="1078" w:leftChars="342" w:hanging="360" w:hangingChars="1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2．本表一式三份，由承包人、监理工程师按合同规定程序填制，并连同发包人各存一份。</w:t>
      </w:r>
    </w:p>
    <w:p w14:paraId="7D2E1AAF">
      <w:pPr>
        <w:spacing w:line="420" w:lineRule="exact"/>
        <w:ind w:left="660" w:hanging="660" w:hangingChars="300"/>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672" w:name="_Toc5661"/>
      <w:bookmarkStart w:id="673" w:name="_Toc23508"/>
      <w:bookmarkStart w:id="674" w:name="_Toc7836"/>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72"/>
      <w:bookmarkEnd w:id="673"/>
      <w:bookmarkEnd w:id="674"/>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15</w:t>
      </w:r>
    </w:p>
    <w:p w14:paraId="4B8677F1">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工程竣工验收记录</w:t>
      </w:r>
    </w:p>
    <w:p w14:paraId="07027D75">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966" w:type="dxa"/>
        <w:tblInd w:w="-52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66"/>
      </w:tblGrid>
      <w:tr w14:paraId="22E90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2" w:hRule="atLeast"/>
        </w:trPr>
        <w:tc>
          <w:tcPr>
            <w:tcW w:w="9966" w:type="dxa"/>
            <w:tcBorders>
              <w:bottom w:val="single" w:color="auto" w:sz="4" w:space="0"/>
            </w:tcBorders>
            <w:noWrap w:val="0"/>
            <w:vAlign w:val="top"/>
          </w:tcPr>
          <w:p w14:paraId="026C0057">
            <w:pPr>
              <w:spacing w:before="120" w:line="420" w:lineRule="exact"/>
              <w:ind w:left="-27" w:leftChars="-13" w:firstLine="540" w:firstLineChars="22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（发包人全称）</w:t>
            </w:r>
          </w:p>
          <w:p w14:paraId="052BBC2A">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我方按合同要求参加了</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工程竣工验收,经参加验收各方共同验收，记录如下：</w:t>
            </w:r>
          </w:p>
          <w:tbl>
            <w:tblPr>
              <w:tblStyle w:val="38"/>
              <w:tblW w:w="9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183"/>
              <w:gridCol w:w="6667"/>
            </w:tblGrid>
            <w:tr w14:paraId="3B1C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top"/>
                </w:tcPr>
                <w:p w14:paraId="362FBBF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序号</w:t>
                  </w:r>
                </w:p>
              </w:tc>
              <w:tc>
                <w:tcPr>
                  <w:tcW w:w="2183" w:type="dxa"/>
                  <w:tcBorders>
                    <w:top w:val="single" w:color="auto" w:sz="4" w:space="0"/>
                    <w:left w:val="single" w:color="auto" w:sz="4" w:space="0"/>
                    <w:bottom w:val="single" w:color="auto" w:sz="4" w:space="0"/>
                    <w:right w:val="single" w:color="auto" w:sz="4" w:space="0"/>
                  </w:tcBorders>
                  <w:noWrap w:val="0"/>
                  <w:vAlign w:val="top"/>
                </w:tcPr>
                <w:p w14:paraId="67DA703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  目</w:t>
                  </w:r>
                </w:p>
              </w:tc>
              <w:tc>
                <w:tcPr>
                  <w:tcW w:w="6667" w:type="dxa"/>
                  <w:tcBorders>
                    <w:top w:val="single" w:color="auto" w:sz="4" w:space="0"/>
                    <w:left w:val="single" w:color="auto" w:sz="4" w:space="0"/>
                    <w:bottom w:val="single" w:color="auto" w:sz="4" w:space="0"/>
                    <w:right w:val="single" w:color="auto" w:sz="4" w:space="0"/>
                  </w:tcBorders>
                  <w:noWrap w:val="0"/>
                  <w:vAlign w:val="top"/>
                </w:tcPr>
                <w:p w14:paraId="05B751B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验 收 记 录</w:t>
                  </w:r>
                </w:p>
              </w:tc>
            </w:tr>
            <w:tr w14:paraId="7D200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top"/>
                </w:tcPr>
                <w:p w14:paraId="093E3AD5">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p>
              </w:tc>
              <w:tc>
                <w:tcPr>
                  <w:tcW w:w="2183" w:type="dxa"/>
                  <w:tcBorders>
                    <w:top w:val="single" w:color="auto" w:sz="4" w:space="0"/>
                    <w:left w:val="single" w:color="auto" w:sz="4" w:space="0"/>
                    <w:bottom w:val="single" w:color="auto" w:sz="4" w:space="0"/>
                    <w:right w:val="single" w:color="auto" w:sz="4" w:space="0"/>
                  </w:tcBorders>
                  <w:noWrap w:val="0"/>
                  <w:vAlign w:val="top"/>
                </w:tcPr>
                <w:p w14:paraId="0DFCEB8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分部分项</w:t>
                  </w:r>
                </w:p>
              </w:tc>
              <w:tc>
                <w:tcPr>
                  <w:tcW w:w="6667" w:type="dxa"/>
                  <w:tcBorders>
                    <w:top w:val="single" w:color="auto" w:sz="4" w:space="0"/>
                    <w:left w:val="single" w:color="auto" w:sz="4" w:space="0"/>
                    <w:bottom w:val="single" w:color="auto" w:sz="4" w:space="0"/>
                    <w:right w:val="single" w:color="auto" w:sz="4" w:space="0"/>
                  </w:tcBorders>
                  <w:noWrap w:val="0"/>
                  <w:vAlign w:val="top"/>
                </w:tcPr>
                <w:p w14:paraId="7E3385FA">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共    分部，经查  分部，符合标准与规范、设计要求  分部</w:t>
                  </w:r>
                </w:p>
              </w:tc>
            </w:tr>
            <w:tr w14:paraId="0204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top"/>
                </w:tcPr>
                <w:p w14:paraId="0FC252B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w:t>
                  </w:r>
                </w:p>
              </w:tc>
              <w:tc>
                <w:tcPr>
                  <w:tcW w:w="2183" w:type="dxa"/>
                  <w:tcBorders>
                    <w:top w:val="single" w:color="auto" w:sz="4" w:space="0"/>
                    <w:left w:val="single" w:color="auto" w:sz="4" w:space="0"/>
                    <w:bottom w:val="single" w:color="auto" w:sz="4" w:space="0"/>
                    <w:right w:val="single" w:color="auto" w:sz="4" w:space="0"/>
                  </w:tcBorders>
                  <w:noWrap w:val="0"/>
                  <w:vAlign w:val="top"/>
                </w:tcPr>
                <w:p w14:paraId="6F4495D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质量控制资料核查</w:t>
                  </w:r>
                </w:p>
              </w:tc>
              <w:tc>
                <w:tcPr>
                  <w:tcW w:w="6667" w:type="dxa"/>
                  <w:tcBorders>
                    <w:top w:val="single" w:color="auto" w:sz="4" w:space="0"/>
                    <w:left w:val="single" w:color="auto" w:sz="4" w:space="0"/>
                    <w:bottom w:val="single" w:color="auto" w:sz="4" w:space="0"/>
                    <w:right w:val="single" w:color="auto" w:sz="4" w:space="0"/>
                  </w:tcBorders>
                  <w:noWrap w:val="0"/>
                  <w:vAlign w:val="top"/>
                </w:tcPr>
                <w:p w14:paraId="772043A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共   项，经核查符合要求  项，其中符合标准与规范要求  项</w:t>
                  </w:r>
                </w:p>
              </w:tc>
            </w:tr>
            <w:tr w14:paraId="2833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top"/>
                </w:tcPr>
                <w:p w14:paraId="74046C9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w:t>
                  </w:r>
                </w:p>
              </w:tc>
              <w:tc>
                <w:tcPr>
                  <w:tcW w:w="2183" w:type="dxa"/>
                  <w:tcBorders>
                    <w:top w:val="single" w:color="auto" w:sz="4" w:space="0"/>
                    <w:left w:val="single" w:color="auto" w:sz="4" w:space="0"/>
                    <w:bottom w:val="single" w:color="auto" w:sz="4" w:space="0"/>
                    <w:right w:val="single" w:color="auto" w:sz="4" w:space="0"/>
                  </w:tcBorders>
                  <w:noWrap w:val="0"/>
                  <w:vAlign w:val="top"/>
                </w:tcPr>
                <w:p w14:paraId="52B09C8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安全和主要使用功能核查及抽查结果</w:t>
                  </w:r>
                </w:p>
              </w:tc>
              <w:tc>
                <w:tcPr>
                  <w:tcW w:w="6667" w:type="dxa"/>
                  <w:tcBorders>
                    <w:top w:val="single" w:color="auto" w:sz="4" w:space="0"/>
                    <w:left w:val="single" w:color="auto" w:sz="4" w:space="0"/>
                    <w:bottom w:val="single" w:color="auto" w:sz="4" w:space="0"/>
                    <w:right w:val="single" w:color="auto" w:sz="4" w:space="0"/>
                  </w:tcBorders>
                  <w:noWrap w:val="0"/>
                  <w:vAlign w:val="top"/>
                </w:tcPr>
                <w:p w14:paraId="06E5BBD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共核查    项，符合要求  项；共抽查  项，符合要求  项；经返工处理符合要求  项</w:t>
                  </w:r>
                </w:p>
              </w:tc>
            </w:tr>
            <w:tr w14:paraId="6888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top"/>
                </w:tcPr>
                <w:p w14:paraId="11471182">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w:t>
                  </w:r>
                </w:p>
              </w:tc>
              <w:tc>
                <w:tcPr>
                  <w:tcW w:w="2183" w:type="dxa"/>
                  <w:tcBorders>
                    <w:top w:val="single" w:color="auto" w:sz="4" w:space="0"/>
                    <w:left w:val="single" w:color="auto" w:sz="4" w:space="0"/>
                    <w:bottom w:val="single" w:color="auto" w:sz="4" w:space="0"/>
                    <w:right w:val="single" w:color="auto" w:sz="4" w:space="0"/>
                  </w:tcBorders>
                  <w:noWrap w:val="0"/>
                  <w:vAlign w:val="top"/>
                </w:tcPr>
                <w:p w14:paraId="50CE6F0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观感质量验收</w:t>
                  </w:r>
                </w:p>
              </w:tc>
              <w:tc>
                <w:tcPr>
                  <w:tcW w:w="6667" w:type="dxa"/>
                  <w:tcBorders>
                    <w:top w:val="single" w:color="auto" w:sz="4" w:space="0"/>
                    <w:left w:val="single" w:color="auto" w:sz="4" w:space="0"/>
                    <w:bottom w:val="single" w:color="auto" w:sz="4" w:space="0"/>
                    <w:right w:val="single" w:color="auto" w:sz="4" w:space="0"/>
                  </w:tcBorders>
                  <w:noWrap w:val="0"/>
                  <w:vAlign w:val="top"/>
                </w:tcPr>
                <w:p w14:paraId="6EC0237B">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共抽查    项，符合要求  项，不符合要求  项</w:t>
                  </w:r>
                </w:p>
              </w:tc>
            </w:tr>
          </w:tbl>
          <w:p w14:paraId="623A6E5D">
            <w:pPr>
              <w:spacing w:line="420" w:lineRule="exact"/>
              <w:ind w:firstLine="6240" w:firstLineChars="26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577AD9C">
            <w:pPr>
              <w:spacing w:line="420" w:lineRule="exact"/>
              <w:ind w:firstLine="6552" w:firstLineChars="273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发包人（章）               </w:t>
            </w:r>
          </w:p>
          <w:p w14:paraId="59C4EEB1">
            <w:pPr>
              <w:tabs>
                <w:tab w:val="left" w:pos="7092"/>
              </w:tabs>
              <w:spacing w:line="420" w:lineRule="exact"/>
              <w:ind w:firstLine="6552" w:firstLineChars="273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1E6B670">
            <w:pPr>
              <w:spacing w:line="420" w:lineRule="exact"/>
              <w:ind w:firstLine="6552" w:firstLineChars="273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648D6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4" w:hRule="atLeast"/>
        </w:trPr>
        <w:tc>
          <w:tcPr>
            <w:tcW w:w="9966" w:type="dxa"/>
            <w:tcBorders>
              <w:top w:val="single" w:color="auto" w:sz="4" w:space="0"/>
            </w:tcBorders>
            <w:noWrap w:val="0"/>
            <w:vAlign w:val="top"/>
          </w:tcPr>
          <w:p w14:paraId="3F2B279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验收结论：</w:t>
            </w:r>
          </w:p>
          <w:p w14:paraId="3C49C65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BF5FD4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设计人（章）               监理人（章）              造价咨询人（如有）（章）</w:t>
            </w:r>
          </w:p>
          <w:p w14:paraId="7484F34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建筑师/结构师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监理工程师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造价工程师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25EBAF2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65D87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4" w:hRule="atLeast"/>
        </w:trPr>
        <w:tc>
          <w:tcPr>
            <w:tcW w:w="9966" w:type="dxa"/>
            <w:tcBorders>
              <w:top w:val="nil"/>
            </w:tcBorders>
            <w:noWrap w:val="0"/>
            <w:vAlign w:val="top"/>
          </w:tcPr>
          <w:p w14:paraId="074174F9">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综合验收结论：</w:t>
            </w:r>
          </w:p>
          <w:p w14:paraId="494A4D18">
            <w:pPr>
              <w:spacing w:line="420" w:lineRule="exact"/>
              <w:ind w:firstLine="6240" w:firstLineChars="26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177BE6A">
            <w:pPr>
              <w:spacing w:line="420" w:lineRule="exact"/>
              <w:ind w:firstLine="6240" w:firstLineChars="26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发包人（章）               </w:t>
            </w:r>
          </w:p>
          <w:p w14:paraId="215277B2">
            <w:pPr>
              <w:tabs>
                <w:tab w:val="left" w:pos="7092"/>
              </w:tabs>
              <w:spacing w:line="420" w:lineRule="exact"/>
              <w:ind w:firstLine="6240" w:firstLineChars="26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4AEBF2AB">
            <w:pPr>
              <w:spacing w:line="420" w:lineRule="exact"/>
              <w:ind w:firstLine="6240" w:firstLineChars="26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108877E6">
      <w:pPr>
        <w:spacing w:line="420" w:lineRule="exact"/>
        <w:ind w:left="1081" w:leftChars="172" w:hanging="720" w:hangingChars="3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说明：1．表中验收记录由承包人填写，验收结论由监理人（发包人）填写。综合验收结论由参加验收各方共同商定，发包人填写，应对工程质量是否符合标准与规范、设计要求及总体质量作出评价。</w:t>
      </w:r>
    </w:p>
    <w:p w14:paraId="2E188227">
      <w:pPr>
        <w:spacing w:line="420" w:lineRule="exact"/>
        <w:ind w:left="480" w:firstLine="600" w:firstLineChars="2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2.本表一式五份，由发包人、设计人、监理人、工程造价咨询人（如有）按和承包人各存一份。</w:t>
      </w:r>
    </w:p>
    <w:p w14:paraId="77998319">
      <w:pPr>
        <w:spacing w:before="120" w:beforeLines="50" w:after="120" w:afterLines="50" w:line="420" w:lineRule="exact"/>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675" w:name="_Toc29546"/>
      <w:bookmarkStart w:id="676" w:name="_Toc29209"/>
      <w:bookmarkStart w:id="677" w:name="_Toc13501"/>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75"/>
      <w:bookmarkEnd w:id="676"/>
      <w:bookmarkEnd w:id="677"/>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16</w:t>
      </w:r>
    </w:p>
    <w:p w14:paraId="5AFA2E88">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工程接收证书</w:t>
      </w:r>
    </w:p>
    <w:p w14:paraId="74748A9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8953"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953"/>
      </w:tblGrid>
      <w:tr w14:paraId="3BA07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87" w:hRule="atLeast"/>
        </w:trPr>
        <w:tc>
          <w:tcPr>
            <w:tcW w:w="8953" w:type="dxa"/>
            <w:noWrap w:val="0"/>
            <w:vAlign w:val="top"/>
          </w:tcPr>
          <w:p w14:paraId="348DB171">
            <w:pPr>
              <w:spacing w:before="120" w:line="420" w:lineRule="exact"/>
              <w:ind w:left="-28" w:firstLine="18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（监理人全称）</w:t>
            </w:r>
          </w:p>
          <w:p w14:paraId="590E0FFA">
            <w:pPr>
              <w:spacing w:line="420" w:lineRule="exact"/>
              <w:ind w:left="-28"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你方按照合同要求于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日提出鞠躬验收，净我方组织你方、设计人、监理人、工程造价咨询人（如有）共同验收，该工程验收合格，现予颁发工程接收证书，</w:t>
            </w:r>
          </w:p>
          <w:p w14:paraId="66EB30A9">
            <w:pPr>
              <w:spacing w:line="420" w:lineRule="exact"/>
              <w:ind w:left="-28"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按照合同约定，该工程实际竣工日期是</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w:t>
            </w:r>
          </w:p>
          <w:p w14:paraId="1A791651">
            <w:pPr>
              <w:spacing w:line="420" w:lineRule="exact"/>
              <w:ind w:left="-28"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D95E83C">
            <w:pPr>
              <w:spacing w:line="420" w:lineRule="exact"/>
              <w:ind w:left="-28"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我方颁发工程接收 证书，则标明自颁发之日起，由我方负责照管工程，但并不代表你方已完成施工合同赋予的一切义务和责任，你方仍应承担工程的质量缺陷和质量保修责任。</w:t>
            </w:r>
          </w:p>
          <w:p w14:paraId="1753B9B7">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930B90C">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D396683">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5A5DE7E">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D37884E">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22ECAAA">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68A0DA3">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FEDD669">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5B1CCAA">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50006EB">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EB72DD7">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4B39016">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8D33AEF">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89E0C15">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822C446">
            <w:pPr>
              <w:spacing w:line="420" w:lineRule="exact"/>
              <w:ind w:left="-2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51500DC">
            <w:pPr>
              <w:spacing w:line="420" w:lineRule="exact"/>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发 包 人（章）                 </w:t>
            </w:r>
          </w:p>
          <w:p w14:paraId="4CC86564">
            <w:pPr>
              <w:spacing w:line="420" w:lineRule="exact"/>
              <w:ind w:firstLine="6000" w:firstLineChars="25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E57030E">
            <w:pPr>
              <w:spacing w:line="420" w:lineRule="exact"/>
              <w:ind w:firstLine="6012"/>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年     月    日</w:t>
            </w:r>
          </w:p>
        </w:tc>
      </w:tr>
    </w:tbl>
    <w:p w14:paraId="64BF5934">
      <w:pPr>
        <w:spacing w:line="42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说明：本表由发包人填制，承包人、发包人各存一份。</w:t>
      </w:r>
    </w:p>
    <w:p w14:paraId="6C0068CC">
      <w:pPr>
        <w:spacing w:line="420" w:lineRule="exact"/>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678" w:name="_Toc22770"/>
      <w:bookmarkStart w:id="679" w:name="_Toc7995"/>
      <w:bookmarkStart w:id="680" w:name="_Toc1424"/>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78"/>
      <w:bookmarkEnd w:id="679"/>
      <w:bookmarkEnd w:id="680"/>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17</w:t>
      </w:r>
    </w:p>
    <w:p w14:paraId="0F68453B">
      <w:pPr>
        <w:spacing w:line="420" w:lineRule="exact"/>
        <w:jc w:val="center"/>
        <w:outlineLvl w:val="9"/>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bookmarkStart w:id="681" w:name="_Toc19874"/>
      <w:bookmarkStart w:id="682" w:name="_Toc5426"/>
      <w:bookmarkStart w:id="683" w:name="_Toc24772"/>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暂列金额确认表</w:t>
      </w:r>
      <w:bookmarkEnd w:id="681"/>
      <w:bookmarkEnd w:id="682"/>
      <w:bookmarkEnd w:id="683"/>
    </w:p>
    <w:p w14:paraId="53EFD1EB">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432" w:type="dxa"/>
        <w:tblInd w:w="-3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2831"/>
        <w:gridCol w:w="1462"/>
        <w:gridCol w:w="1163"/>
        <w:gridCol w:w="1950"/>
        <w:gridCol w:w="1144"/>
      </w:tblGrid>
      <w:tr w14:paraId="3242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noWrap w:val="0"/>
            <w:vAlign w:val="center"/>
          </w:tcPr>
          <w:p w14:paraId="72B9417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序号</w:t>
            </w:r>
          </w:p>
        </w:tc>
        <w:tc>
          <w:tcPr>
            <w:tcW w:w="2831" w:type="dxa"/>
            <w:noWrap w:val="0"/>
            <w:vAlign w:val="center"/>
          </w:tcPr>
          <w:p w14:paraId="17C1473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项目名称</w:t>
            </w:r>
          </w:p>
        </w:tc>
        <w:tc>
          <w:tcPr>
            <w:tcW w:w="1462" w:type="dxa"/>
            <w:noWrap w:val="0"/>
            <w:vAlign w:val="center"/>
          </w:tcPr>
          <w:p w14:paraId="708268F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计量</w:t>
            </w:r>
          </w:p>
          <w:p w14:paraId="392782F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单位</w:t>
            </w:r>
          </w:p>
        </w:tc>
        <w:tc>
          <w:tcPr>
            <w:tcW w:w="1163" w:type="dxa"/>
            <w:noWrap w:val="0"/>
            <w:vAlign w:val="center"/>
          </w:tcPr>
          <w:p w14:paraId="242CFC4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暂列金额</w:t>
            </w:r>
          </w:p>
          <w:p w14:paraId="4C4EA75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c>
          <w:tcPr>
            <w:tcW w:w="1950" w:type="dxa"/>
            <w:noWrap w:val="0"/>
            <w:vAlign w:val="center"/>
          </w:tcPr>
          <w:p w14:paraId="05DD8B9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实际金额</w:t>
            </w:r>
          </w:p>
          <w:p w14:paraId="753A50A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c>
          <w:tcPr>
            <w:tcW w:w="1144" w:type="dxa"/>
            <w:noWrap w:val="0"/>
            <w:vAlign w:val="center"/>
          </w:tcPr>
          <w:p w14:paraId="23A24B6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备注</w:t>
            </w:r>
          </w:p>
        </w:tc>
      </w:tr>
      <w:tr w14:paraId="384A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noWrap w:val="0"/>
            <w:vAlign w:val="center"/>
          </w:tcPr>
          <w:p w14:paraId="2BB3BD2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p>
        </w:tc>
        <w:tc>
          <w:tcPr>
            <w:tcW w:w="2831" w:type="dxa"/>
            <w:noWrap w:val="0"/>
            <w:vAlign w:val="center"/>
          </w:tcPr>
          <w:p w14:paraId="0F5E4BD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2" w:type="dxa"/>
            <w:noWrap w:val="0"/>
            <w:vAlign w:val="center"/>
          </w:tcPr>
          <w:p w14:paraId="7781FA6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63" w:type="dxa"/>
            <w:noWrap w:val="0"/>
            <w:vAlign w:val="center"/>
          </w:tcPr>
          <w:p w14:paraId="65CADC2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50" w:type="dxa"/>
            <w:noWrap w:val="0"/>
            <w:vAlign w:val="center"/>
          </w:tcPr>
          <w:p w14:paraId="1315C4A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44" w:type="dxa"/>
            <w:noWrap w:val="0"/>
            <w:vAlign w:val="center"/>
          </w:tcPr>
          <w:p w14:paraId="0493B30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4E5F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noWrap w:val="0"/>
            <w:vAlign w:val="center"/>
          </w:tcPr>
          <w:p w14:paraId="6E77143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w:t>
            </w:r>
          </w:p>
        </w:tc>
        <w:tc>
          <w:tcPr>
            <w:tcW w:w="2831" w:type="dxa"/>
            <w:noWrap w:val="0"/>
            <w:vAlign w:val="center"/>
          </w:tcPr>
          <w:p w14:paraId="2846699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2" w:type="dxa"/>
            <w:noWrap w:val="0"/>
            <w:vAlign w:val="center"/>
          </w:tcPr>
          <w:p w14:paraId="6CDF258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63" w:type="dxa"/>
            <w:noWrap w:val="0"/>
            <w:vAlign w:val="center"/>
          </w:tcPr>
          <w:p w14:paraId="36ED9B8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50" w:type="dxa"/>
            <w:noWrap w:val="0"/>
            <w:vAlign w:val="center"/>
          </w:tcPr>
          <w:p w14:paraId="3716F6F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44" w:type="dxa"/>
            <w:noWrap w:val="0"/>
            <w:vAlign w:val="center"/>
          </w:tcPr>
          <w:p w14:paraId="41BFFC6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1A7E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noWrap w:val="0"/>
            <w:vAlign w:val="center"/>
          </w:tcPr>
          <w:p w14:paraId="0C0FAB8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w:t>
            </w:r>
          </w:p>
        </w:tc>
        <w:tc>
          <w:tcPr>
            <w:tcW w:w="2831" w:type="dxa"/>
            <w:noWrap w:val="0"/>
            <w:vAlign w:val="center"/>
          </w:tcPr>
          <w:p w14:paraId="28BEAD1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2" w:type="dxa"/>
            <w:noWrap w:val="0"/>
            <w:vAlign w:val="center"/>
          </w:tcPr>
          <w:p w14:paraId="0A44D32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63" w:type="dxa"/>
            <w:noWrap w:val="0"/>
            <w:vAlign w:val="center"/>
          </w:tcPr>
          <w:p w14:paraId="28474E4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50" w:type="dxa"/>
            <w:noWrap w:val="0"/>
            <w:vAlign w:val="center"/>
          </w:tcPr>
          <w:p w14:paraId="27EE07D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44" w:type="dxa"/>
            <w:noWrap w:val="0"/>
            <w:vAlign w:val="center"/>
          </w:tcPr>
          <w:p w14:paraId="7A490A2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5FD6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noWrap w:val="0"/>
            <w:vAlign w:val="center"/>
          </w:tcPr>
          <w:p w14:paraId="2C3C2E8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w:t>
            </w:r>
          </w:p>
        </w:tc>
        <w:tc>
          <w:tcPr>
            <w:tcW w:w="2831" w:type="dxa"/>
            <w:noWrap w:val="0"/>
            <w:vAlign w:val="center"/>
          </w:tcPr>
          <w:p w14:paraId="39A5218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2" w:type="dxa"/>
            <w:noWrap w:val="0"/>
            <w:vAlign w:val="center"/>
          </w:tcPr>
          <w:p w14:paraId="108B504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63" w:type="dxa"/>
            <w:noWrap w:val="0"/>
            <w:vAlign w:val="center"/>
          </w:tcPr>
          <w:p w14:paraId="0571F36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50" w:type="dxa"/>
            <w:noWrap w:val="0"/>
            <w:vAlign w:val="center"/>
          </w:tcPr>
          <w:p w14:paraId="227E670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44" w:type="dxa"/>
            <w:noWrap w:val="0"/>
            <w:vAlign w:val="center"/>
          </w:tcPr>
          <w:p w14:paraId="46AE6F8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5EB4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82" w:type="dxa"/>
            <w:noWrap w:val="0"/>
            <w:vAlign w:val="center"/>
          </w:tcPr>
          <w:p w14:paraId="6B55123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w:t>
            </w:r>
          </w:p>
        </w:tc>
        <w:tc>
          <w:tcPr>
            <w:tcW w:w="2831" w:type="dxa"/>
            <w:noWrap w:val="0"/>
            <w:vAlign w:val="center"/>
          </w:tcPr>
          <w:p w14:paraId="764EBAF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2" w:type="dxa"/>
            <w:noWrap w:val="0"/>
            <w:vAlign w:val="center"/>
          </w:tcPr>
          <w:p w14:paraId="5B7E301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63" w:type="dxa"/>
            <w:noWrap w:val="0"/>
            <w:vAlign w:val="center"/>
          </w:tcPr>
          <w:p w14:paraId="1823B25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50" w:type="dxa"/>
            <w:noWrap w:val="0"/>
            <w:vAlign w:val="center"/>
          </w:tcPr>
          <w:p w14:paraId="19BF9FA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44" w:type="dxa"/>
            <w:noWrap w:val="0"/>
            <w:vAlign w:val="center"/>
          </w:tcPr>
          <w:p w14:paraId="009EA66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9DF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noWrap w:val="0"/>
            <w:vAlign w:val="center"/>
          </w:tcPr>
          <w:p w14:paraId="5CE1060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w:t>
            </w:r>
          </w:p>
        </w:tc>
        <w:tc>
          <w:tcPr>
            <w:tcW w:w="2831" w:type="dxa"/>
            <w:noWrap w:val="0"/>
            <w:vAlign w:val="center"/>
          </w:tcPr>
          <w:p w14:paraId="565FB87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2" w:type="dxa"/>
            <w:noWrap w:val="0"/>
            <w:vAlign w:val="center"/>
          </w:tcPr>
          <w:p w14:paraId="0B1BD4C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63" w:type="dxa"/>
            <w:noWrap w:val="0"/>
            <w:vAlign w:val="center"/>
          </w:tcPr>
          <w:p w14:paraId="0EA394D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50" w:type="dxa"/>
            <w:noWrap w:val="0"/>
            <w:vAlign w:val="center"/>
          </w:tcPr>
          <w:p w14:paraId="6D78B16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44" w:type="dxa"/>
            <w:noWrap w:val="0"/>
            <w:vAlign w:val="center"/>
          </w:tcPr>
          <w:p w14:paraId="3CE1719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255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noWrap w:val="0"/>
            <w:vAlign w:val="center"/>
          </w:tcPr>
          <w:p w14:paraId="22F3540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w:t>
            </w:r>
          </w:p>
        </w:tc>
        <w:tc>
          <w:tcPr>
            <w:tcW w:w="2831" w:type="dxa"/>
            <w:noWrap w:val="0"/>
            <w:vAlign w:val="center"/>
          </w:tcPr>
          <w:p w14:paraId="5D70EE3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2" w:type="dxa"/>
            <w:noWrap w:val="0"/>
            <w:vAlign w:val="center"/>
          </w:tcPr>
          <w:p w14:paraId="3EF52B0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63" w:type="dxa"/>
            <w:noWrap w:val="0"/>
            <w:vAlign w:val="center"/>
          </w:tcPr>
          <w:p w14:paraId="70F484A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50" w:type="dxa"/>
            <w:noWrap w:val="0"/>
            <w:vAlign w:val="center"/>
          </w:tcPr>
          <w:p w14:paraId="23EB4FA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44" w:type="dxa"/>
            <w:noWrap w:val="0"/>
            <w:vAlign w:val="center"/>
          </w:tcPr>
          <w:p w14:paraId="7FFE10A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68C9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noWrap w:val="0"/>
            <w:vAlign w:val="center"/>
          </w:tcPr>
          <w:p w14:paraId="681B05A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w:t>
            </w:r>
          </w:p>
        </w:tc>
        <w:tc>
          <w:tcPr>
            <w:tcW w:w="2831" w:type="dxa"/>
            <w:noWrap w:val="0"/>
            <w:vAlign w:val="center"/>
          </w:tcPr>
          <w:p w14:paraId="3EB5937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2" w:type="dxa"/>
            <w:noWrap w:val="0"/>
            <w:vAlign w:val="center"/>
          </w:tcPr>
          <w:p w14:paraId="0EB04C9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63" w:type="dxa"/>
            <w:noWrap w:val="0"/>
            <w:vAlign w:val="center"/>
          </w:tcPr>
          <w:p w14:paraId="28AADAD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50" w:type="dxa"/>
            <w:noWrap w:val="0"/>
            <w:vAlign w:val="center"/>
          </w:tcPr>
          <w:p w14:paraId="161830A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44" w:type="dxa"/>
            <w:noWrap w:val="0"/>
            <w:vAlign w:val="center"/>
          </w:tcPr>
          <w:p w14:paraId="1E5C0E0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5FC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noWrap w:val="0"/>
            <w:vAlign w:val="center"/>
          </w:tcPr>
          <w:p w14:paraId="1CA1AAD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9</w:t>
            </w:r>
          </w:p>
        </w:tc>
        <w:tc>
          <w:tcPr>
            <w:tcW w:w="2831" w:type="dxa"/>
            <w:noWrap w:val="0"/>
            <w:vAlign w:val="center"/>
          </w:tcPr>
          <w:p w14:paraId="1482E41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2" w:type="dxa"/>
            <w:noWrap w:val="0"/>
            <w:vAlign w:val="center"/>
          </w:tcPr>
          <w:p w14:paraId="7B5A436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63" w:type="dxa"/>
            <w:noWrap w:val="0"/>
            <w:vAlign w:val="center"/>
          </w:tcPr>
          <w:p w14:paraId="45CBDFD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50" w:type="dxa"/>
            <w:noWrap w:val="0"/>
            <w:vAlign w:val="center"/>
          </w:tcPr>
          <w:p w14:paraId="62FB489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44" w:type="dxa"/>
            <w:noWrap w:val="0"/>
            <w:vAlign w:val="center"/>
          </w:tcPr>
          <w:p w14:paraId="136D19D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5FB8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175" w:type="dxa"/>
            <w:gridSpan w:val="3"/>
            <w:noWrap w:val="0"/>
            <w:vAlign w:val="center"/>
          </w:tcPr>
          <w:p w14:paraId="498A089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合  计</w:t>
            </w:r>
          </w:p>
        </w:tc>
        <w:tc>
          <w:tcPr>
            <w:tcW w:w="1163" w:type="dxa"/>
            <w:noWrap w:val="0"/>
            <w:vAlign w:val="center"/>
          </w:tcPr>
          <w:p w14:paraId="4D15493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50" w:type="dxa"/>
            <w:noWrap w:val="0"/>
            <w:vAlign w:val="center"/>
          </w:tcPr>
          <w:p w14:paraId="0C99C3B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44" w:type="dxa"/>
            <w:noWrap w:val="0"/>
            <w:vAlign w:val="center"/>
          </w:tcPr>
          <w:p w14:paraId="0C81CA7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bl>
    <w:p w14:paraId="43BCE31A">
      <w:pPr>
        <w:spacing w:line="420" w:lineRule="exact"/>
        <w:ind w:left="960" w:hanging="960" w:hangingChars="4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说明：1.本表由承包人填制，承包人应按照合同约定填报项目名称、实际金额，提交造价工程核实并由其报发包人确认后，列入合同价款内。</w:t>
      </w:r>
    </w:p>
    <w:p w14:paraId="29182564">
      <w:pPr>
        <w:numPr>
          <w:ilvl w:val="0"/>
          <w:numId w:val="0"/>
        </w:numPr>
        <w:spacing w:line="420" w:lineRule="exact"/>
        <w:ind w:left="899" w:leftChars="314" w:hanging="240" w:hangingChars="100"/>
        <w:outlineLvl w:val="9"/>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本表一式四份，发包人、监理人、工程造价咨询人（如有）、承包人各存一份。</w:t>
      </w:r>
      <w:r>
        <w:rPr>
          <w:rFonts w:hint="eastAsia" w:ascii="仿宋_GB2312" w:hAnsi="仿宋_GB2312" w:eastAsia="仿宋_GB2312" w:cs="仿宋_GB2312"/>
          <w:color w:val="000000" w:themeColor="text1"/>
          <w:sz w:val="24"/>
          <w:szCs w:val="24"/>
          <w:highlight w:val="none"/>
          <w14:textFill>
            <w14:solidFill>
              <w14:schemeClr w14:val="tx1"/>
            </w14:solidFill>
          </w14:textFill>
        </w:rPr>
        <w:br w:type="page"/>
      </w:r>
      <w:bookmarkStart w:id="684" w:name="_Toc10572"/>
      <w:bookmarkStart w:id="685" w:name="_Toc19950"/>
      <w:bookmarkStart w:id="686" w:name="_Toc5035"/>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84"/>
      <w:bookmarkEnd w:id="685"/>
      <w:bookmarkEnd w:id="686"/>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18</w:t>
      </w:r>
    </w:p>
    <w:p w14:paraId="36EE5D96">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计日工记录</w:t>
      </w:r>
    </w:p>
    <w:p w14:paraId="0CE5A56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487" w:type="dxa"/>
        <w:tblInd w:w="-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550"/>
        <w:gridCol w:w="1050"/>
        <w:gridCol w:w="2050"/>
        <w:gridCol w:w="1284"/>
        <w:gridCol w:w="1252"/>
        <w:gridCol w:w="1218"/>
      </w:tblGrid>
      <w:tr w14:paraId="79FA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0A9FDAB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编号</w:t>
            </w:r>
          </w:p>
        </w:tc>
        <w:tc>
          <w:tcPr>
            <w:tcW w:w="1550" w:type="dxa"/>
            <w:noWrap w:val="0"/>
            <w:vAlign w:val="center"/>
          </w:tcPr>
          <w:p w14:paraId="39B5B4C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项目名称</w:t>
            </w:r>
          </w:p>
        </w:tc>
        <w:tc>
          <w:tcPr>
            <w:tcW w:w="1050" w:type="dxa"/>
            <w:noWrap w:val="0"/>
            <w:vAlign w:val="center"/>
          </w:tcPr>
          <w:p w14:paraId="4860F4D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单位</w:t>
            </w:r>
          </w:p>
        </w:tc>
        <w:tc>
          <w:tcPr>
            <w:tcW w:w="2050" w:type="dxa"/>
            <w:noWrap w:val="0"/>
            <w:vAlign w:val="center"/>
          </w:tcPr>
          <w:p w14:paraId="466C554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暂定数量</w:t>
            </w:r>
          </w:p>
        </w:tc>
        <w:tc>
          <w:tcPr>
            <w:tcW w:w="1284" w:type="dxa"/>
            <w:noWrap w:val="0"/>
            <w:vAlign w:val="center"/>
          </w:tcPr>
          <w:p w14:paraId="2192E0F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实际数量</w:t>
            </w:r>
          </w:p>
        </w:tc>
        <w:tc>
          <w:tcPr>
            <w:tcW w:w="1252" w:type="dxa"/>
            <w:noWrap w:val="0"/>
            <w:vAlign w:val="center"/>
          </w:tcPr>
          <w:p w14:paraId="09CA1F6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综合单价</w:t>
            </w:r>
          </w:p>
        </w:tc>
        <w:tc>
          <w:tcPr>
            <w:tcW w:w="1218" w:type="dxa"/>
            <w:noWrap w:val="0"/>
            <w:vAlign w:val="center"/>
          </w:tcPr>
          <w:p w14:paraId="77A2904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合价</w:t>
            </w:r>
          </w:p>
        </w:tc>
      </w:tr>
      <w:tr w14:paraId="4D15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7AC3765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w:t>
            </w:r>
          </w:p>
        </w:tc>
        <w:tc>
          <w:tcPr>
            <w:tcW w:w="1550" w:type="dxa"/>
            <w:noWrap w:val="0"/>
            <w:vAlign w:val="center"/>
          </w:tcPr>
          <w:p w14:paraId="6F31944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人工</w:t>
            </w:r>
          </w:p>
        </w:tc>
        <w:tc>
          <w:tcPr>
            <w:tcW w:w="1050" w:type="dxa"/>
            <w:noWrap w:val="0"/>
            <w:vAlign w:val="center"/>
          </w:tcPr>
          <w:p w14:paraId="00BA23C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03E571C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0400E5D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6011452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6B61258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7DB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3026D23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p>
        </w:tc>
        <w:tc>
          <w:tcPr>
            <w:tcW w:w="1550" w:type="dxa"/>
            <w:noWrap w:val="0"/>
            <w:vAlign w:val="center"/>
          </w:tcPr>
          <w:p w14:paraId="33B6304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7880065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0E66809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19CAE67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7A27ED8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2B88DCC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49BE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760B2EA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w:t>
            </w:r>
          </w:p>
        </w:tc>
        <w:tc>
          <w:tcPr>
            <w:tcW w:w="1550" w:type="dxa"/>
            <w:noWrap w:val="0"/>
            <w:vAlign w:val="center"/>
          </w:tcPr>
          <w:p w14:paraId="5325A7C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2CCDD17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2FE2955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2675569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347090C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59E8CD3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99B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83" w:type="dxa"/>
            <w:noWrap w:val="0"/>
            <w:vAlign w:val="center"/>
          </w:tcPr>
          <w:p w14:paraId="5ACE8A0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w:t>
            </w:r>
          </w:p>
        </w:tc>
        <w:tc>
          <w:tcPr>
            <w:tcW w:w="1550" w:type="dxa"/>
            <w:noWrap w:val="0"/>
            <w:vAlign w:val="center"/>
          </w:tcPr>
          <w:p w14:paraId="140E3D0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6617197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13419E4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73D3C08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7AD42C2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7D651C0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1181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083" w:type="dxa"/>
            <w:noWrap w:val="0"/>
            <w:vAlign w:val="center"/>
          </w:tcPr>
          <w:p w14:paraId="2AD2AB3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w:t>
            </w:r>
          </w:p>
        </w:tc>
        <w:tc>
          <w:tcPr>
            <w:tcW w:w="1550" w:type="dxa"/>
            <w:noWrap w:val="0"/>
            <w:vAlign w:val="center"/>
          </w:tcPr>
          <w:p w14:paraId="22B6BB8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3D21A11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0C5C70C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2AC78BF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0762B64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44CBE72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6AF8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017" w:type="dxa"/>
            <w:gridSpan w:val="5"/>
            <w:noWrap w:val="0"/>
            <w:vAlign w:val="center"/>
          </w:tcPr>
          <w:p w14:paraId="2036C86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人工小计</w:t>
            </w:r>
          </w:p>
        </w:tc>
        <w:tc>
          <w:tcPr>
            <w:tcW w:w="1252" w:type="dxa"/>
            <w:noWrap w:val="0"/>
            <w:vAlign w:val="center"/>
          </w:tcPr>
          <w:p w14:paraId="759FD9F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3496E59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5DD7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6820324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w:t>
            </w:r>
          </w:p>
        </w:tc>
        <w:tc>
          <w:tcPr>
            <w:tcW w:w="1550" w:type="dxa"/>
            <w:noWrap w:val="0"/>
            <w:vAlign w:val="center"/>
          </w:tcPr>
          <w:p w14:paraId="32C7CB2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材料</w:t>
            </w:r>
          </w:p>
        </w:tc>
        <w:tc>
          <w:tcPr>
            <w:tcW w:w="1050" w:type="dxa"/>
            <w:noWrap w:val="0"/>
            <w:vAlign w:val="center"/>
          </w:tcPr>
          <w:p w14:paraId="7733D54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060D9A8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3B8D614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25E4A30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37C6EE2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5606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32CB30B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p>
        </w:tc>
        <w:tc>
          <w:tcPr>
            <w:tcW w:w="1550" w:type="dxa"/>
            <w:noWrap w:val="0"/>
            <w:vAlign w:val="center"/>
          </w:tcPr>
          <w:p w14:paraId="1279F97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31B6EBD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6B36578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6170026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0FE4BAD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339BA77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B2AA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0240D85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w:t>
            </w:r>
          </w:p>
        </w:tc>
        <w:tc>
          <w:tcPr>
            <w:tcW w:w="1550" w:type="dxa"/>
            <w:noWrap w:val="0"/>
            <w:vAlign w:val="center"/>
          </w:tcPr>
          <w:p w14:paraId="5CDC5E0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458704B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3460886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2718458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6330FA4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30C8870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E86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43D6054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w:t>
            </w:r>
          </w:p>
        </w:tc>
        <w:tc>
          <w:tcPr>
            <w:tcW w:w="1550" w:type="dxa"/>
            <w:noWrap w:val="0"/>
            <w:vAlign w:val="center"/>
          </w:tcPr>
          <w:p w14:paraId="7E83381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192C30A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5322231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430D242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798FC57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5B5F04B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8C5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0C0F5B1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w:t>
            </w:r>
          </w:p>
        </w:tc>
        <w:tc>
          <w:tcPr>
            <w:tcW w:w="1550" w:type="dxa"/>
            <w:noWrap w:val="0"/>
            <w:vAlign w:val="center"/>
          </w:tcPr>
          <w:p w14:paraId="5BFA49B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1A6EB09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6152B9F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284EB10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25680EE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5795159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60BD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7ED12B5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w:t>
            </w:r>
          </w:p>
        </w:tc>
        <w:tc>
          <w:tcPr>
            <w:tcW w:w="1550" w:type="dxa"/>
            <w:noWrap w:val="0"/>
            <w:vAlign w:val="center"/>
          </w:tcPr>
          <w:p w14:paraId="6031EE4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0F82EBC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7A9A76C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0015879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7824E21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47C0532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D5C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7D05619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w:t>
            </w:r>
          </w:p>
        </w:tc>
        <w:tc>
          <w:tcPr>
            <w:tcW w:w="1550" w:type="dxa"/>
            <w:noWrap w:val="0"/>
            <w:vAlign w:val="center"/>
          </w:tcPr>
          <w:p w14:paraId="38A4EE2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6248D42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11C43FE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053CA79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346A3D2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1E59EE5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84F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017" w:type="dxa"/>
            <w:gridSpan w:val="5"/>
            <w:noWrap w:val="0"/>
            <w:vAlign w:val="center"/>
          </w:tcPr>
          <w:p w14:paraId="6B1419E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材料小计</w:t>
            </w:r>
          </w:p>
        </w:tc>
        <w:tc>
          <w:tcPr>
            <w:tcW w:w="1252" w:type="dxa"/>
            <w:noWrap w:val="0"/>
            <w:vAlign w:val="center"/>
          </w:tcPr>
          <w:p w14:paraId="2A58B15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6F305BC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2EB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39DD953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w:t>
            </w:r>
          </w:p>
        </w:tc>
        <w:tc>
          <w:tcPr>
            <w:tcW w:w="1550" w:type="dxa"/>
            <w:noWrap w:val="0"/>
            <w:vAlign w:val="center"/>
          </w:tcPr>
          <w:p w14:paraId="0795446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施工机械</w:t>
            </w:r>
          </w:p>
        </w:tc>
        <w:tc>
          <w:tcPr>
            <w:tcW w:w="1050" w:type="dxa"/>
            <w:noWrap w:val="0"/>
            <w:vAlign w:val="center"/>
          </w:tcPr>
          <w:p w14:paraId="796EA38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0179A16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095116A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7DFC43B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27F657A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5FEA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5355A53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p>
        </w:tc>
        <w:tc>
          <w:tcPr>
            <w:tcW w:w="1550" w:type="dxa"/>
            <w:noWrap w:val="0"/>
            <w:vAlign w:val="center"/>
          </w:tcPr>
          <w:p w14:paraId="0A19FDA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159E21E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2B27499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35BB29A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791909D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6B3B456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4BCB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083" w:type="dxa"/>
            <w:noWrap w:val="0"/>
            <w:vAlign w:val="center"/>
          </w:tcPr>
          <w:p w14:paraId="341B2B0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w:t>
            </w:r>
          </w:p>
        </w:tc>
        <w:tc>
          <w:tcPr>
            <w:tcW w:w="1550" w:type="dxa"/>
            <w:noWrap w:val="0"/>
            <w:vAlign w:val="center"/>
          </w:tcPr>
          <w:p w14:paraId="494628A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7376B11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0E7A752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1493107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588F60B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7BC51A2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1F70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4126F84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w:t>
            </w:r>
          </w:p>
        </w:tc>
        <w:tc>
          <w:tcPr>
            <w:tcW w:w="1550" w:type="dxa"/>
            <w:noWrap w:val="0"/>
            <w:vAlign w:val="center"/>
          </w:tcPr>
          <w:p w14:paraId="1403A6E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44DF66E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5CCD1D3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5515CC2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1893636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4F8F92D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5A16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noWrap w:val="0"/>
            <w:vAlign w:val="center"/>
          </w:tcPr>
          <w:p w14:paraId="4472711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w:t>
            </w:r>
          </w:p>
        </w:tc>
        <w:tc>
          <w:tcPr>
            <w:tcW w:w="1550" w:type="dxa"/>
            <w:noWrap w:val="0"/>
            <w:vAlign w:val="center"/>
          </w:tcPr>
          <w:p w14:paraId="1C20667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50" w:type="dxa"/>
            <w:noWrap w:val="0"/>
            <w:vAlign w:val="center"/>
          </w:tcPr>
          <w:p w14:paraId="7E084CF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050" w:type="dxa"/>
            <w:noWrap w:val="0"/>
            <w:vAlign w:val="center"/>
          </w:tcPr>
          <w:p w14:paraId="1F77C97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84" w:type="dxa"/>
            <w:noWrap w:val="0"/>
            <w:vAlign w:val="center"/>
          </w:tcPr>
          <w:p w14:paraId="188DD52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52" w:type="dxa"/>
            <w:noWrap w:val="0"/>
            <w:vAlign w:val="center"/>
          </w:tcPr>
          <w:p w14:paraId="17345FF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22F9AC1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594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017" w:type="dxa"/>
            <w:gridSpan w:val="5"/>
            <w:noWrap w:val="0"/>
            <w:vAlign w:val="center"/>
          </w:tcPr>
          <w:p w14:paraId="1C39212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施工机械小计</w:t>
            </w:r>
          </w:p>
        </w:tc>
        <w:tc>
          <w:tcPr>
            <w:tcW w:w="1252" w:type="dxa"/>
            <w:noWrap w:val="0"/>
            <w:vAlign w:val="center"/>
          </w:tcPr>
          <w:p w14:paraId="7B4AF10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0C9612A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ED2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017" w:type="dxa"/>
            <w:gridSpan w:val="5"/>
            <w:noWrap w:val="0"/>
            <w:vAlign w:val="center"/>
          </w:tcPr>
          <w:p w14:paraId="636A165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总  计</w:t>
            </w:r>
          </w:p>
        </w:tc>
        <w:tc>
          <w:tcPr>
            <w:tcW w:w="1252" w:type="dxa"/>
            <w:noWrap w:val="0"/>
            <w:vAlign w:val="center"/>
          </w:tcPr>
          <w:p w14:paraId="1C20055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18" w:type="dxa"/>
            <w:noWrap w:val="0"/>
            <w:vAlign w:val="center"/>
          </w:tcPr>
          <w:p w14:paraId="532F904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bl>
    <w:p w14:paraId="01ECF8F4">
      <w:pPr>
        <w:spacing w:line="420" w:lineRule="exact"/>
        <w:ind w:left="1200" w:hanging="1200" w:hangingChars="5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说明：1.本表由承包人填制，承包人应按照合同约定填报实际数量，提交造价工</w:t>
      </w:r>
    </w:p>
    <w:p w14:paraId="3ED7BF41">
      <w:pPr>
        <w:spacing w:line="420" w:lineRule="exact"/>
        <w:ind w:left="1198" w:leftChars="456" w:hanging="240" w:hangingChars="1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程核实并由其报发包人确认后，列入合同价款内。</w:t>
      </w:r>
    </w:p>
    <w:p w14:paraId="3B75453D">
      <w:pPr>
        <w:spacing w:line="420" w:lineRule="exact"/>
        <w:ind w:firstLine="720" w:firstLineChars="3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2.本表一式四份，发包人、监理人、工程造价咨询人（如有）、承包人各存一份。</w:t>
      </w:r>
    </w:p>
    <w:p w14:paraId="19D3835A">
      <w:pPr>
        <w:spacing w:line="420" w:lineRule="exact"/>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687" w:name="_Toc11733"/>
      <w:bookmarkStart w:id="688" w:name="_Toc4797"/>
      <w:bookmarkStart w:id="689" w:name="_Toc3057"/>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87"/>
      <w:bookmarkEnd w:id="688"/>
      <w:bookmarkEnd w:id="689"/>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19</w:t>
      </w:r>
    </w:p>
    <w:p w14:paraId="4F01FE21">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材料/工程设备暂估价调整表</w:t>
      </w:r>
    </w:p>
    <w:p w14:paraId="4B94A7C6">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300" w:type="dxa"/>
        <w:tblInd w:w="-4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3038"/>
        <w:gridCol w:w="1331"/>
        <w:gridCol w:w="1538"/>
        <w:gridCol w:w="1668"/>
        <w:gridCol w:w="1125"/>
      </w:tblGrid>
      <w:tr w14:paraId="3FCE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noWrap w:val="0"/>
            <w:vAlign w:val="center"/>
          </w:tcPr>
          <w:p w14:paraId="6ACD691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序号</w:t>
            </w:r>
          </w:p>
        </w:tc>
        <w:tc>
          <w:tcPr>
            <w:tcW w:w="3038" w:type="dxa"/>
            <w:noWrap w:val="0"/>
            <w:vAlign w:val="center"/>
          </w:tcPr>
          <w:p w14:paraId="64912D8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材料设备名称、规格、型号</w:t>
            </w:r>
          </w:p>
        </w:tc>
        <w:tc>
          <w:tcPr>
            <w:tcW w:w="1331" w:type="dxa"/>
            <w:noWrap w:val="0"/>
            <w:vAlign w:val="center"/>
          </w:tcPr>
          <w:p w14:paraId="40F666A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计量单位</w:t>
            </w:r>
          </w:p>
        </w:tc>
        <w:tc>
          <w:tcPr>
            <w:tcW w:w="1538" w:type="dxa"/>
            <w:noWrap w:val="0"/>
            <w:vAlign w:val="center"/>
          </w:tcPr>
          <w:p w14:paraId="0166233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暂估单价</w:t>
            </w:r>
          </w:p>
          <w:p w14:paraId="3A06262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c>
          <w:tcPr>
            <w:tcW w:w="1668" w:type="dxa"/>
            <w:noWrap w:val="0"/>
            <w:vAlign w:val="center"/>
          </w:tcPr>
          <w:p w14:paraId="4F825C8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实际单价</w:t>
            </w:r>
          </w:p>
          <w:p w14:paraId="42C474D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c>
          <w:tcPr>
            <w:tcW w:w="1125" w:type="dxa"/>
            <w:noWrap w:val="0"/>
            <w:vAlign w:val="center"/>
          </w:tcPr>
          <w:p w14:paraId="05A0D3F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备注</w:t>
            </w:r>
          </w:p>
        </w:tc>
      </w:tr>
      <w:tr w14:paraId="6162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noWrap w:val="0"/>
            <w:vAlign w:val="center"/>
          </w:tcPr>
          <w:p w14:paraId="618DF3D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038" w:type="dxa"/>
            <w:noWrap w:val="0"/>
            <w:vAlign w:val="center"/>
          </w:tcPr>
          <w:p w14:paraId="5157EEC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31" w:type="dxa"/>
            <w:noWrap w:val="0"/>
            <w:vAlign w:val="center"/>
          </w:tcPr>
          <w:p w14:paraId="4B74ABE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38" w:type="dxa"/>
            <w:noWrap w:val="0"/>
            <w:vAlign w:val="center"/>
          </w:tcPr>
          <w:p w14:paraId="4CAF327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68" w:type="dxa"/>
            <w:noWrap w:val="0"/>
            <w:vAlign w:val="center"/>
          </w:tcPr>
          <w:p w14:paraId="3E10F07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25" w:type="dxa"/>
            <w:noWrap w:val="0"/>
            <w:vAlign w:val="center"/>
          </w:tcPr>
          <w:p w14:paraId="15CEF71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10A2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noWrap w:val="0"/>
            <w:vAlign w:val="center"/>
          </w:tcPr>
          <w:p w14:paraId="5963077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038" w:type="dxa"/>
            <w:noWrap w:val="0"/>
            <w:vAlign w:val="center"/>
          </w:tcPr>
          <w:p w14:paraId="6C6F1CC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31" w:type="dxa"/>
            <w:noWrap w:val="0"/>
            <w:vAlign w:val="center"/>
          </w:tcPr>
          <w:p w14:paraId="5784B55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38" w:type="dxa"/>
            <w:noWrap w:val="0"/>
            <w:vAlign w:val="center"/>
          </w:tcPr>
          <w:p w14:paraId="4807C01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68" w:type="dxa"/>
            <w:noWrap w:val="0"/>
            <w:vAlign w:val="center"/>
          </w:tcPr>
          <w:p w14:paraId="685E36C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25" w:type="dxa"/>
            <w:noWrap w:val="0"/>
            <w:vAlign w:val="center"/>
          </w:tcPr>
          <w:p w14:paraId="242F8C3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138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noWrap w:val="0"/>
            <w:vAlign w:val="center"/>
          </w:tcPr>
          <w:p w14:paraId="6BB32F1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038" w:type="dxa"/>
            <w:noWrap w:val="0"/>
            <w:vAlign w:val="center"/>
          </w:tcPr>
          <w:p w14:paraId="417A591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31" w:type="dxa"/>
            <w:noWrap w:val="0"/>
            <w:vAlign w:val="center"/>
          </w:tcPr>
          <w:p w14:paraId="5DFDC7A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38" w:type="dxa"/>
            <w:noWrap w:val="0"/>
            <w:vAlign w:val="center"/>
          </w:tcPr>
          <w:p w14:paraId="0A98623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68" w:type="dxa"/>
            <w:noWrap w:val="0"/>
            <w:vAlign w:val="center"/>
          </w:tcPr>
          <w:p w14:paraId="5986106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25" w:type="dxa"/>
            <w:noWrap w:val="0"/>
            <w:vAlign w:val="center"/>
          </w:tcPr>
          <w:p w14:paraId="508C5DC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54E5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noWrap w:val="0"/>
            <w:vAlign w:val="center"/>
          </w:tcPr>
          <w:p w14:paraId="3A35A8F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038" w:type="dxa"/>
            <w:noWrap w:val="0"/>
            <w:vAlign w:val="center"/>
          </w:tcPr>
          <w:p w14:paraId="7AE10A0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31" w:type="dxa"/>
            <w:noWrap w:val="0"/>
            <w:vAlign w:val="center"/>
          </w:tcPr>
          <w:p w14:paraId="19433B0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38" w:type="dxa"/>
            <w:noWrap w:val="0"/>
            <w:vAlign w:val="center"/>
          </w:tcPr>
          <w:p w14:paraId="3669D0E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68" w:type="dxa"/>
            <w:noWrap w:val="0"/>
            <w:vAlign w:val="center"/>
          </w:tcPr>
          <w:p w14:paraId="1C75749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25" w:type="dxa"/>
            <w:noWrap w:val="0"/>
            <w:vAlign w:val="center"/>
          </w:tcPr>
          <w:p w14:paraId="0B3E10B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37F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600" w:type="dxa"/>
            <w:noWrap w:val="0"/>
            <w:vAlign w:val="center"/>
          </w:tcPr>
          <w:p w14:paraId="245130E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038" w:type="dxa"/>
            <w:noWrap w:val="0"/>
            <w:vAlign w:val="center"/>
          </w:tcPr>
          <w:p w14:paraId="6315282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31" w:type="dxa"/>
            <w:noWrap w:val="0"/>
            <w:vAlign w:val="center"/>
          </w:tcPr>
          <w:p w14:paraId="0A094C3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38" w:type="dxa"/>
            <w:noWrap w:val="0"/>
            <w:vAlign w:val="center"/>
          </w:tcPr>
          <w:p w14:paraId="35E856D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68" w:type="dxa"/>
            <w:noWrap w:val="0"/>
            <w:vAlign w:val="center"/>
          </w:tcPr>
          <w:p w14:paraId="1743A5F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25" w:type="dxa"/>
            <w:noWrap w:val="0"/>
            <w:vAlign w:val="center"/>
          </w:tcPr>
          <w:p w14:paraId="082BF70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16A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noWrap w:val="0"/>
            <w:vAlign w:val="center"/>
          </w:tcPr>
          <w:p w14:paraId="7117C8F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038" w:type="dxa"/>
            <w:noWrap w:val="0"/>
            <w:vAlign w:val="center"/>
          </w:tcPr>
          <w:p w14:paraId="557BE26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31" w:type="dxa"/>
            <w:noWrap w:val="0"/>
            <w:vAlign w:val="center"/>
          </w:tcPr>
          <w:p w14:paraId="78A7F64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38" w:type="dxa"/>
            <w:noWrap w:val="0"/>
            <w:vAlign w:val="center"/>
          </w:tcPr>
          <w:p w14:paraId="6F7CC9C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68" w:type="dxa"/>
            <w:noWrap w:val="0"/>
            <w:vAlign w:val="center"/>
          </w:tcPr>
          <w:p w14:paraId="7961A1E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25" w:type="dxa"/>
            <w:noWrap w:val="0"/>
            <w:vAlign w:val="center"/>
          </w:tcPr>
          <w:p w14:paraId="3846B94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76E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noWrap w:val="0"/>
            <w:vAlign w:val="center"/>
          </w:tcPr>
          <w:p w14:paraId="73FCC15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038" w:type="dxa"/>
            <w:noWrap w:val="0"/>
            <w:vAlign w:val="center"/>
          </w:tcPr>
          <w:p w14:paraId="7B5270E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31" w:type="dxa"/>
            <w:noWrap w:val="0"/>
            <w:vAlign w:val="center"/>
          </w:tcPr>
          <w:p w14:paraId="1A40C71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38" w:type="dxa"/>
            <w:noWrap w:val="0"/>
            <w:vAlign w:val="center"/>
          </w:tcPr>
          <w:p w14:paraId="27CA09E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68" w:type="dxa"/>
            <w:noWrap w:val="0"/>
            <w:vAlign w:val="center"/>
          </w:tcPr>
          <w:p w14:paraId="7625CAF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25" w:type="dxa"/>
            <w:noWrap w:val="0"/>
            <w:vAlign w:val="center"/>
          </w:tcPr>
          <w:p w14:paraId="1FB75E6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1F9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noWrap w:val="0"/>
            <w:vAlign w:val="center"/>
          </w:tcPr>
          <w:p w14:paraId="4FD8DCD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038" w:type="dxa"/>
            <w:noWrap w:val="0"/>
            <w:vAlign w:val="center"/>
          </w:tcPr>
          <w:p w14:paraId="6F1BD21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31" w:type="dxa"/>
            <w:noWrap w:val="0"/>
            <w:vAlign w:val="center"/>
          </w:tcPr>
          <w:p w14:paraId="7246DF6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38" w:type="dxa"/>
            <w:noWrap w:val="0"/>
            <w:vAlign w:val="center"/>
          </w:tcPr>
          <w:p w14:paraId="2A3C124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68" w:type="dxa"/>
            <w:noWrap w:val="0"/>
            <w:vAlign w:val="center"/>
          </w:tcPr>
          <w:p w14:paraId="475882D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25" w:type="dxa"/>
            <w:noWrap w:val="0"/>
            <w:vAlign w:val="center"/>
          </w:tcPr>
          <w:p w14:paraId="0D6B8DC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305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noWrap w:val="0"/>
            <w:vAlign w:val="center"/>
          </w:tcPr>
          <w:p w14:paraId="7970F1E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038" w:type="dxa"/>
            <w:noWrap w:val="0"/>
            <w:vAlign w:val="center"/>
          </w:tcPr>
          <w:p w14:paraId="580F14D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31" w:type="dxa"/>
            <w:noWrap w:val="0"/>
            <w:vAlign w:val="center"/>
          </w:tcPr>
          <w:p w14:paraId="1CE7C12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38" w:type="dxa"/>
            <w:noWrap w:val="0"/>
            <w:vAlign w:val="center"/>
          </w:tcPr>
          <w:p w14:paraId="209FE06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68" w:type="dxa"/>
            <w:noWrap w:val="0"/>
            <w:vAlign w:val="center"/>
          </w:tcPr>
          <w:p w14:paraId="5FF355A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25" w:type="dxa"/>
            <w:noWrap w:val="0"/>
            <w:vAlign w:val="center"/>
          </w:tcPr>
          <w:p w14:paraId="6A5398B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4BC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noWrap w:val="0"/>
            <w:vAlign w:val="center"/>
          </w:tcPr>
          <w:p w14:paraId="3575ED0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038" w:type="dxa"/>
            <w:noWrap w:val="0"/>
            <w:vAlign w:val="center"/>
          </w:tcPr>
          <w:p w14:paraId="2B1FEA4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31" w:type="dxa"/>
            <w:noWrap w:val="0"/>
            <w:vAlign w:val="center"/>
          </w:tcPr>
          <w:p w14:paraId="0BEBA2A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38" w:type="dxa"/>
            <w:noWrap w:val="0"/>
            <w:vAlign w:val="center"/>
          </w:tcPr>
          <w:p w14:paraId="3687DE9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68" w:type="dxa"/>
            <w:noWrap w:val="0"/>
            <w:vAlign w:val="center"/>
          </w:tcPr>
          <w:p w14:paraId="39548FE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25" w:type="dxa"/>
            <w:noWrap w:val="0"/>
            <w:vAlign w:val="center"/>
          </w:tcPr>
          <w:p w14:paraId="0748948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789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noWrap w:val="0"/>
            <w:vAlign w:val="center"/>
          </w:tcPr>
          <w:p w14:paraId="33EA299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038" w:type="dxa"/>
            <w:noWrap w:val="0"/>
            <w:vAlign w:val="center"/>
          </w:tcPr>
          <w:p w14:paraId="5F6CF26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31" w:type="dxa"/>
            <w:noWrap w:val="0"/>
            <w:vAlign w:val="center"/>
          </w:tcPr>
          <w:p w14:paraId="2674453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38" w:type="dxa"/>
            <w:noWrap w:val="0"/>
            <w:vAlign w:val="center"/>
          </w:tcPr>
          <w:p w14:paraId="6E673D2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68" w:type="dxa"/>
            <w:noWrap w:val="0"/>
            <w:vAlign w:val="center"/>
          </w:tcPr>
          <w:p w14:paraId="0B66EF8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25" w:type="dxa"/>
            <w:noWrap w:val="0"/>
            <w:vAlign w:val="center"/>
          </w:tcPr>
          <w:p w14:paraId="0391685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bl>
    <w:p w14:paraId="21E83EC4">
      <w:pPr>
        <w:spacing w:line="420" w:lineRule="exact"/>
        <w:ind w:left="960" w:hanging="960" w:hangingChars="4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说明：1.本表由承包人填制，承包人应按照合同约定填报实际单价，提交造价工程核实并由其报发包人确认后，将该单价与暂估单价的差额以及相关费用列入合同价款内。</w:t>
      </w:r>
    </w:p>
    <w:p w14:paraId="115351C1">
      <w:pPr>
        <w:spacing w:line="420" w:lineRule="exact"/>
        <w:ind w:left="958" w:leftChars="342" w:hanging="240" w:hangingChars="1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2.本表一式四份，发包人、监理人、工程造价咨询人（如有）、承包人各存一份。</w:t>
      </w:r>
    </w:p>
    <w:p w14:paraId="71BC5D0F">
      <w:pPr>
        <w:spacing w:line="420" w:lineRule="exact"/>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690" w:name="_Toc13191"/>
      <w:bookmarkStart w:id="691" w:name="_Toc4311"/>
      <w:bookmarkStart w:id="692" w:name="_Toc14982"/>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90"/>
      <w:bookmarkEnd w:id="691"/>
      <w:bookmarkEnd w:id="692"/>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20</w:t>
      </w:r>
    </w:p>
    <w:p w14:paraId="108933C1">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专业工程暂估价调整表</w:t>
      </w:r>
    </w:p>
    <w:p w14:paraId="5028D202">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694"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463"/>
        <w:gridCol w:w="3168"/>
        <w:gridCol w:w="1857"/>
        <w:gridCol w:w="1556"/>
        <w:gridCol w:w="844"/>
      </w:tblGrid>
      <w:tr w14:paraId="3103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noWrap w:val="0"/>
            <w:vAlign w:val="center"/>
          </w:tcPr>
          <w:p w14:paraId="634DE62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序号</w:t>
            </w:r>
          </w:p>
        </w:tc>
        <w:tc>
          <w:tcPr>
            <w:tcW w:w="1463" w:type="dxa"/>
            <w:noWrap w:val="0"/>
            <w:vAlign w:val="center"/>
          </w:tcPr>
          <w:p w14:paraId="072DF4B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p>
        </w:tc>
        <w:tc>
          <w:tcPr>
            <w:tcW w:w="3168" w:type="dxa"/>
            <w:noWrap w:val="0"/>
            <w:vAlign w:val="center"/>
          </w:tcPr>
          <w:p w14:paraId="1A25BBA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工程内容</w:t>
            </w:r>
          </w:p>
        </w:tc>
        <w:tc>
          <w:tcPr>
            <w:tcW w:w="1857" w:type="dxa"/>
            <w:noWrap w:val="0"/>
            <w:vAlign w:val="center"/>
          </w:tcPr>
          <w:p w14:paraId="3D4E32E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暂列金额</w:t>
            </w:r>
          </w:p>
          <w:p w14:paraId="30B3EF6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c>
          <w:tcPr>
            <w:tcW w:w="1556" w:type="dxa"/>
            <w:noWrap w:val="0"/>
            <w:vAlign w:val="center"/>
          </w:tcPr>
          <w:p w14:paraId="791A450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实际金额</w:t>
            </w:r>
          </w:p>
          <w:p w14:paraId="12722FE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c>
          <w:tcPr>
            <w:tcW w:w="844" w:type="dxa"/>
            <w:noWrap w:val="0"/>
            <w:vAlign w:val="center"/>
          </w:tcPr>
          <w:p w14:paraId="16E3AE0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备注</w:t>
            </w:r>
          </w:p>
        </w:tc>
      </w:tr>
      <w:tr w14:paraId="542A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noWrap w:val="0"/>
            <w:vAlign w:val="center"/>
          </w:tcPr>
          <w:p w14:paraId="27AE424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3" w:type="dxa"/>
            <w:noWrap w:val="0"/>
            <w:vAlign w:val="center"/>
          </w:tcPr>
          <w:p w14:paraId="6435740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68" w:type="dxa"/>
            <w:noWrap w:val="0"/>
            <w:vAlign w:val="center"/>
          </w:tcPr>
          <w:p w14:paraId="1700607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857" w:type="dxa"/>
            <w:noWrap w:val="0"/>
            <w:vAlign w:val="center"/>
          </w:tcPr>
          <w:p w14:paraId="62ECE45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56" w:type="dxa"/>
            <w:noWrap w:val="0"/>
            <w:vAlign w:val="center"/>
          </w:tcPr>
          <w:p w14:paraId="69AEED5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4" w:type="dxa"/>
            <w:noWrap w:val="0"/>
            <w:vAlign w:val="center"/>
          </w:tcPr>
          <w:p w14:paraId="17F7A0E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B9F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noWrap w:val="0"/>
            <w:vAlign w:val="center"/>
          </w:tcPr>
          <w:p w14:paraId="7764B96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3" w:type="dxa"/>
            <w:noWrap w:val="0"/>
            <w:vAlign w:val="center"/>
          </w:tcPr>
          <w:p w14:paraId="4CA9AC9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68" w:type="dxa"/>
            <w:noWrap w:val="0"/>
            <w:vAlign w:val="center"/>
          </w:tcPr>
          <w:p w14:paraId="03FC1C0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857" w:type="dxa"/>
            <w:noWrap w:val="0"/>
            <w:vAlign w:val="center"/>
          </w:tcPr>
          <w:p w14:paraId="7351902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56" w:type="dxa"/>
            <w:noWrap w:val="0"/>
            <w:vAlign w:val="center"/>
          </w:tcPr>
          <w:p w14:paraId="5CCDB8C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4" w:type="dxa"/>
            <w:noWrap w:val="0"/>
            <w:vAlign w:val="center"/>
          </w:tcPr>
          <w:p w14:paraId="7BC64F2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51E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noWrap w:val="0"/>
            <w:vAlign w:val="center"/>
          </w:tcPr>
          <w:p w14:paraId="18B5B2D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3" w:type="dxa"/>
            <w:noWrap w:val="0"/>
            <w:vAlign w:val="center"/>
          </w:tcPr>
          <w:p w14:paraId="5F57954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68" w:type="dxa"/>
            <w:noWrap w:val="0"/>
            <w:vAlign w:val="center"/>
          </w:tcPr>
          <w:p w14:paraId="6B07474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857" w:type="dxa"/>
            <w:noWrap w:val="0"/>
            <w:vAlign w:val="center"/>
          </w:tcPr>
          <w:p w14:paraId="73DAD7E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56" w:type="dxa"/>
            <w:noWrap w:val="0"/>
            <w:vAlign w:val="center"/>
          </w:tcPr>
          <w:p w14:paraId="3FFA8C9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4" w:type="dxa"/>
            <w:noWrap w:val="0"/>
            <w:vAlign w:val="center"/>
          </w:tcPr>
          <w:p w14:paraId="123FEF0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6613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noWrap w:val="0"/>
            <w:vAlign w:val="center"/>
          </w:tcPr>
          <w:p w14:paraId="2A0A5D9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3" w:type="dxa"/>
            <w:noWrap w:val="0"/>
            <w:vAlign w:val="center"/>
          </w:tcPr>
          <w:p w14:paraId="083DFD6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68" w:type="dxa"/>
            <w:noWrap w:val="0"/>
            <w:vAlign w:val="center"/>
          </w:tcPr>
          <w:p w14:paraId="5A90E0B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857" w:type="dxa"/>
            <w:noWrap w:val="0"/>
            <w:vAlign w:val="center"/>
          </w:tcPr>
          <w:p w14:paraId="6FAB3F7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56" w:type="dxa"/>
            <w:noWrap w:val="0"/>
            <w:vAlign w:val="center"/>
          </w:tcPr>
          <w:p w14:paraId="5A594F2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4" w:type="dxa"/>
            <w:noWrap w:val="0"/>
            <w:vAlign w:val="center"/>
          </w:tcPr>
          <w:p w14:paraId="2990E46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5A9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806" w:type="dxa"/>
            <w:noWrap w:val="0"/>
            <w:vAlign w:val="center"/>
          </w:tcPr>
          <w:p w14:paraId="06B9C99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3" w:type="dxa"/>
            <w:noWrap w:val="0"/>
            <w:vAlign w:val="center"/>
          </w:tcPr>
          <w:p w14:paraId="3F1883E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68" w:type="dxa"/>
            <w:noWrap w:val="0"/>
            <w:vAlign w:val="center"/>
          </w:tcPr>
          <w:p w14:paraId="1A8A02D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857" w:type="dxa"/>
            <w:noWrap w:val="0"/>
            <w:vAlign w:val="center"/>
          </w:tcPr>
          <w:p w14:paraId="755AC25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56" w:type="dxa"/>
            <w:noWrap w:val="0"/>
            <w:vAlign w:val="center"/>
          </w:tcPr>
          <w:p w14:paraId="2CC0166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4" w:type="dxa"/>
            <w:noWrap w:val="0"/>
            <w:vAlign w:val="center"/>
          </w:tcPr>
          <w:p w14:paraId="40955AD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C08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noWrap w:val="0"/>
            <w:vAlign w:val="center"/>
          </w:tcPr>
          <w:p w14:paraId="09660A3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3" w:type="dxa"/>
            <w:noWrap w:val="0"/>
            <w:vAlign w:val="center"/>
          </w:tcPr>
          <w:p w14:paraId="5BE61AC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68" w:type="dxa"/>
            <w:noWrap w:val="0"/>
            <w:vAlign w:val="center"/>
          </w:tcPr>
          <w:p w14:paraId="5738432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857" w:type="dxa"/>
            <w:noWrap w:val="0"/>
            <w:vAlign w:val="center"/>
          </w:tcPr>
          <w:p w14:paraId="1419A87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56" w:type="dxa"/>
            <w:noWrap w:val="0"/>
            <w:vAlign w:val="center"/>
          </w:tcPr>
          <w:p w14:paraId="7324497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4" w:type="dxa"/>
            <w:noWrap w:val="0"/>
            <w:vAlign w:val="center"/>
          </w:tcPr>
          <w:p w14:paraId="6F09206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AE3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noWrap w:val="0"/>
            <w:vAlign w:val="center"/>
          </w:tcPr>
          <w:p w14:paraId="001D5C5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3" w:type="dxa"/>
            <w:noWrap w:val="0"/>
            <w:vAlign w:val="center"/>
          </w:tcPr>
          <w:p w14:paraId="427FA9A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68" w:type="dxa"/>
            <w:noWrap w:val="0"/>
            <w:vAlign w:val="center"/>
          </w:tcPr>
          <w:p w14:paraId="0856A87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857" w:type="dxa"/>
            <w:noWrap w:val="0"/>
            <w:vAlign w:val="center"/>
          </w:tcPr>
          <w:p w14:paraId="5DAEB49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56" w:type="dxa"/>
            <w:noWrap w:val="0"/>
            <w:vAlign w:val="center"/>
          </w:tcPr>
          <w:p w14:paraId="018E825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4" w:type="dxa"/>
            <w:noWrap w:val="0"/>
            <w:vAlign w:val="center"/>
          </w:tcPr>
          <w:p w14:paraId="5B95363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17C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noWrap w:val="0"/>
            <w:vAlign w:val="center"/>
          </w:tcPr>
          <w:p w14:paraId="0387455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3" w:type="dxa"/>
            <w:noWrap w:val="0"/>
            <w:vAlign w:val="center"/>
          </w:tcPr>
          <w:p w14:paraId="1D1EEF0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68" w:type="dxa"/>
            <w:noWrap w:val="0"/>
            <w:vAlign w:val="center"/>
          </w:tcPr>
          <w:p w14:paraId="6705196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857" w:type="dxa"/>
            <w:noWrap w:val="0"/>
            <w:vAlign w:val="center"/>
          </w:tcPr>
          <w:p w14:paraId="7D9E762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56" w:type="dxa"/>
            <w:noWrap w:val="0"/>
            <w:vAlign w:val="center"/>
          </w:tcPr>
          <w:p w14:paraId="251612C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4" w:type="dxa"/>
            <w:noWrap w:val="0"/>
            <w:vAlign w:val="center"/>
          </w:tcPr>
          <w:p w14:paraId="29D6C4D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F1C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noWrap w:val="0"/>
            <w:vAlign w:val="center"/>
          </w:tcPr>
          <w:p w14:paraId="09C3043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3" w:type="dxa"/>
            <w:noWrap w:val="0"/>
            <w:vAlign w:val="center"/>
          </w:tcPr>
          <w:p w14:paraId="70F2143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68" w:type="dxa"/>
            <w:noWrap w:val="0"/>
            <w:vAlign w:val="center"/>
          </w:tcPr>
          <w:p w14:paraId="67D8512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857" w:type="dxa"/>
            <w:noWrap w:val="0"/>
            <w:vAlign w:val="center"/>
          </w:tcPr>
          <w:p w14:paraId="54EAB04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56" w:type="dxa"/>
            <w:noWrap w:val="0"/>
            <w:vAlign w:val="center"/>
          </w:tcPr>
          <w:p w14:paraId="48A1A12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4" w:type="dxa"/>
            <w:noWrap w:val="0"/>
            <w:vAlign w:val="center"/>
          </w:tcPr>
          <w:p w14:paraId="5CF9E28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31C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noWrap w:val="0"/>
            <w:vAlign w:val="center"/>
          </w:tcPr>
          <w:p w14:paraId="3E14795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63" w:type="dxa"/>
            <w:noWrap w:val="0"/>
            <w:vAlign w:val="center"/>
          </w:tcPr>
          <w:p w14:paraId="5735C78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68" w:type="dxa"/>
            <w:noWrap w:val="0"/>
            <w:vAlign w:val="center"/>
          </w:tcPr>
          <w:p w14:paraId="1A6196F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857" w:type="dxa"/>
            <w:noWrap w:val="0"/>
            <w:vAlign w:val="center"/>
          </w:tcPr>
          <w:p w14:paraId="4155F10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56" w:type="dxa"/>
            <w:noWrap w:val="0"/>
            <w:vAlign w:val="center"/>
          </w:tcPr>
          <w:p w14:paraId="1C04838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4" w:type="dxa"/>
            <w:noWrap w:val="0"/>
            <w:vAlign w:val="center"/>
          </w:tcPr>
          <w:p w14:paraId="121A97E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D9B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437" w:type="dxa"/>
            <w:gridSpan w:val="3"/>
            <w:noWrap w:val="0"/>
            <w:vAlign w:val="center"/>
          </w:tcPr>
          <w:p w14:paraId="5DCAFEA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合  计</w:t>
            </w:r>
          </w:p>
        </w:tc>
        <w:tc>
          <w:tcPr>
            <w:tcW w:w="1857" w:type="dxa"/>
            <w:noWrap w:val="0"/>
            <w:vAlign w:val="center"/>
          </w:tcPr>
          <w:p w14:paraId="3A24F8D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56" w:type="dxa"/>
            <w:noWrap w:val="0"/>
            <w:vAlign w:val="center"/>
          </w:tcPr>
          <w:p w14:paraId="1B116C8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4" w:type="dxa"/>
            <w:noWrap w:val="0"/>
            <w:vAlign w:val="center"/>
          </w:tcPr>
          <w:p w14:paraId="459C334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bl>
    <w:p w14:paraId="30CA932B">
      <w:pPr>
        <w:spacing w:line="420" w:lineRule="exact"/>
        <w:ind w:left="960" w:hanging="960" w:hangingChars="4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说明：1.本表由承包人填制，承包人应按照合同约定填报实际数量，提交造价工程核实并由其报发包人确认后，将金额与暂估价金额以及相关费用列入合同价款内。</w:t>
      </w:r>
    </w:p>
    <w:p w14:paraId="6AF78636">
      <w:pPr>
        <w:spacing w:line="420" w:lineRule="exact"/>
        <w:ind w:left="958" w:leftChars="342" w:hanging="240" w:hangingChars="1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2.本表一式四份，发包人、监理人、工程造价咨询人（如有）、承包人各存一份。</w:t>
      </w:r>
    </w:p>
    <w:p w14:paraId="05F292FF">
      <w:pPr>
        <w:spacing w:line="420" w:lineRule="exact"/>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693" w:name="_Toc28443"/>
      <w:bookmarkStart w:id="694" w:name="_Toc7333"/>
      <w:bookmarkStart w:id="695" w:name="_Toc19539"/>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693"/>
      <w:bookmarkEnd w:id="694"/>
      <w:bookmarkEnd w:id="695"/>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21</w:t>
      </w:r>
    </w:p>
    <w:p w14:paraId="7FB3DF72">
      <w:pPr>
        <w:spacing w:line="420" w:lineRule="exact"/>
        <w:jc w:val="center"/>
        <w:outlineLvl w:val="9"/>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bookmarkStart w:id="696" w:name="_Toc25563"/>
      <w:bookmarkStart w:id="697" w:name="_Toc88"/>
      <w:bookmarkStart w:id="698" w:name="_Toc15571"/>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费用索赔申请表</w:t>
      </w:r>
      <w:bookmarkEnd w:id="696"/>
      <w:bookmarkEnd w:id="697"/>
      <w:bookmarkEnd w:id="698"/>
    </w:p>
    <w:p w14:paraId="61891DCA">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487" w:type="dxa"/>
        <w:tblInd w:w="-31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87"/>
      </w:tblGrid>
      <w:tr w14:paraId="6CEED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50" w:hRule="atLeast"/>
        </w:trPr>
        <w:tc>
          <w:tcPr>
            <w:tcW w:w="9487" w:type="dxa"/>
            <w:tcBorders>
              <w:bottom w:val="single" w:color="auto" w:sz="4" w:space="0"/>
            </w:tcBorders>
            <w:noWrap w:val="0"/>
            <w:vAlign w:val="top"/>
          </w:tcPr>
          <w:p w14:paraId="723DD55B">
            <w:pPr>
              <w:spacing w:before="120" w:line="420" w:lineRule="exact"/>
              <w:ind w:left="-28" w:firstLine="18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（工程造价咨询人全称） </w:t>
            </w:r>
          </w:p>
          <w:p w14:paraId="61CAC76B">
            <w:pPr>
              <w:spacing w:line="420" w:lineRule="exact"/>
              <w:ind w:left="-28"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根据施工合同第</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条规定，由于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原因,我方要求索赔金额(大写)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(小写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元)，请予以批准。</w:t>
            </w:r>
          </w:p>
          <w:p w14:paraId="1896CDEF">
            <w:pPr>
              <w:spacing w:line="420" w:lineRule="exact"/>
              <w:ind w:left="48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１．费用索赔的详细理由和依据：</w:t>
            </w:r>
          </w:p>
          <w:p w14:paraId="62497DA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985332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AD3976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F46E26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7E1D913">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2．索赔金额的计算：</w:t>
            </w:r>
          </w:p>
          <w:p w14:paraId="60D92858">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93C70E6">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BDC7BE9">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30BA344">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CD268A6">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4ECD29E">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99640C4">
            <w:pPr>
              <w:spacing w:line="420" w:lineRule="exact"/>
              <w:ind w:left="-28" w:firstLine="458"/>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3．证明材料：</w:t>
            </w:r>
          </w:p>
          <w:p w14:paraId="767E1317">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DD8B3C5">
            <w:pPr>
              <w:tabs>
                <w:tab w:val="left" w:pos="6912"/>
              </w:tabs>
              <w:spacing w:line="420" w:lineRule="exact"/>
              <w:ind w:firstLine="6000" w:firstLineChars="25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D75B9D9">
            <w:pPr>
              <w:tabs>
                <w:tab w:val="left" w:pos="6912"/>
              </w:tabs>
              <w:spacing w:line="420" w:lineRule="exact"/>
              <w:ind w:firstLine="6000" w:firstLineChars="25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C9AD7F5">
            <w:pPr>
              <w:tabs>
                <w:tab w:val="left" w:pos="6912"/>
              </w:tabs>
              <w:spacing w:line="420" w:lineRule="exact"/>
              <w:ind w:firstLine="6000" w:firstLineChars="25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F5094F2">
            <w:pPr>
              <w:tabs>
                <w:tab w:val="left" w:pos="6912"/>
              </w:tabs>
              <w:spacing w:line="420" w:lineRule="exact"/>
              <w:ind w:firstLine="6000" w:firstLineChars="25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A09CD76">
            <w:pPr>
              <w:tabs>
                <w:tab w:val="left" w:pos="6912"/>
              </w:tabs>
              <w:spacing w:line="420" w:lineRule="exact"/>
              <w:ind w:firstLine="6000" w:firstLineChars="25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783AED1">
            <w:pPr>
              <w:tabs>
                <w:tab w:val="left" w:pos="6912"/>
              </w:tabs>
              <w:spacing w:line="420" w:lineRule="exact"/>
              <w:ind w:firstLine="6372" w:firstLineChars="2655"/>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承包人（章）                </w:t>
            </w:r>
          </w:p>
          <w:p w14:paraId="2617D3DC">
            <w:pPr>
              <w:spacing w:line="420" w:lineRule="exact"/>
              <w:ind w:firstLine="6372" w:firstLineChars="2655"/>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64A7D100">
            <w:pPr>
              <w:tabs>
                <w:tab w:val="left" w:pos="7272"/>
              </w:tabs>
              <w:spacing w:line="420" w:lineRule="exact"/>
              <w:ind w:firstLine="6372" w:firstLineChars="2655"/>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3AACA4ED">
      <w:pPr>
        <w:spacing w:line="420" w:lineRule="exact"/>
        <w:ind w:left="720" w:hanging="720" w:hangingChars="3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说明：本表一式三份，由承包人填制,并连同发包人、工程造价咨询人（如有）各存一份。</w:t>
      </w:r>
    </w:p>
    <w:p w14:paraId="2ECD7C9F">
      <w:pPr>
        <w:spacing w:line="420" w:lineRule="exact"/>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22</w:t>
      </w:r>
    </w:p>
    <w:p w14:paraId="39DE06D8">
      <w:pPr>
        <w:spacing w:line="420" w:lineRule="exact"/>
        <w:jc w:val="center"/>
        <w:outlineLvl w:val="9"/>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bookmarkStart w:id="699" w:name="_Toc24308"/>
      <w:bookmarkStart w:id="700" w:name="_Toc26426"/>
      <w:bookmarkStart w:id="701" w:name="_Toc6024"/>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费用索赔审批表</w:t>
      </w:r>
      <w:bookmarkEnd w:id="699"/>
      <w:bookmarkEnd w:id="700"/>
      <w:bookmarkEnd w:id="701"/>
    </w:p>
    <w:p w14:paraId="5AB22A8A">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525" w:type="dxa"/>
        <w:tblInd w:w="-20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25"/>
      </w:tblGrid>
      <w:tr w14:paraId="065A4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6" w:hRule="atLeast"/>
        </w:trPr>
        <w:tc>
          <w:tcPr>
            <w:tcW w:w="9525" w:type="dxa"/>
            <w:tcBorders>
              <w:bottom w:val="single" w:color="auto" w:sz="4" w:space="0"/>
            </w:tcBorders>
            <w:noWrap w:val="0"/>
            <w:vAlign w:val="top"/>
          </w:tcPr>
          <w:p w14:paraId="5D406D85">
            <w:pPr>
              <w:spacing w:before="120" w:line="420" w:lineRule="exact"/>
              <w:ind w:left="-28" w:firstLine="18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（承包人全称） </w:t>
            </w:r>
          </w:p>
          <w:p w14:paraId="3DB101B8">
            <w:pPr>
              <w:spacing w:line="420" w:lineRule="exact"/>
              <w:ind w:left="-28" w:firstLine="482"/>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根据施工合同条款第</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的规定，你方提出的工期索赔申请第</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号,索赔费用：(大写)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(小写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元)，经我方审核：</w:t>
            </w:r>
          </w:p>
          <w:p w14:paraId="0A363F7C">
            <w:pPr>
              <w:spacing w:line="420" w:lineRule="exact"/>
              <w:ind w:left="-28" w:firstLine="5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□不同意此项索赔。</w:t>
            </w:r>
          </w:p>
          <w:p w14:paraId="353ADFDF">
            <w:pPr>
              <w:spacing w:line="420" w:lineRule="exact"/>
              <w:ind w:left="-28" w:firstLine="5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□同意此项索赔，金额(大写)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(小写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p w14:paraId="10E533AE">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同意/不同意索赔说明理由：</w:t>
            </w:r>
          </w:p>
          <w:p w14:paraId="51E66B9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65BEE46">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3F2470B">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EEFFBE9">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EFEB86E">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9C6D664">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2B7E56D">
            <w:pPr>
              <w:spacing w:line="420" w:lineRule="exact"/>
              <w:ind w:left="-108" w:firstLine="59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AA4BB2D">
            <w:pPr>
              <w:spacing w:line="420" w:lineRule="exact"/>
              <w:ind w:left="-108" w:firstLine="59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64B0B32">
            <w:pPr>
              <w:spacing w:line="420" w:lineRule="exact"/>
              <w:ind w:left="-108" w:firstLine="59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37B11EB">
            <w:pPr>
              <w:spacing w:line="420" w:lineRule="exact"/>
              <w:ind w:left="-108" w:firstLine="59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93D954A">
            <w:pPr>
              <w:spacing w:line="420" w:lineRule="exact"/>
              <w:ind w:left="-108" w:firstLine="59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FD4E6D6">
            <w:pPr>
              <w:spacing w:line="420" w:lineRule="exact"/>
              <w:ind w:left="-108" w:firstLine="59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B201393">
            <w:pPr>
              <w:spacing w:line="420" w:lineRule="exact"/>
              <w:ind w:left="-108" w:firstLine="59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21BB8C6">
            <w:pPr>
              <w:spacing w:line="420" w:lineRule="exact"/>
              <w:ind w:left="-108" w:firstLine="59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7A82E1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6D01CBE">
            <w:pPr>
              <w:tabs>
                <w:tab w:val="left" w:pos="6912"/>
              </w:tabs>
              <w:spacing w:line="420" w:lineRule="exact"/>
              <w:ind w:firstLine="6000" w:firstLineChars="25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工程造价咨询人（如有）（章）                </w:t>
            </w:r>
          </w:p>
          <w:p w14:paraId="6CA156F4">
            <w:pPr>
              <w:spacing w:line="420" w:lineRule="exact"/>
              <w:ind w:firstLine="60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造价工程师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A360CEB">
            <w:pPr>
              <w:tabs>
                <w:tab w:val="left" w:pos="7272"/>
              </w:tabs>
              <w:spacing w:line="420" w:lineRule="exact"/>
              <w:ind w:firstLine="60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3517D9F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说明：1．在需要选择的栏中的“□”内作标识“√”。</w:t>
      </w:r>
    </w:p>
    <w:p w14:paraId="7A8744A2">
      <w:pPr>
        <w:spacing w:before="120" w:beforeLines="50" w:after="120" w:afterLines="50" w:line="420" w:lineRule="exact"/>
        <w:ind w:left="958" w:leftChars="342" w:hanging="240" w:hangingChars="1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2．本表一式三份，由承包人填制,并连同发包人、工程造价咨询人（如有）各存一份。</w:t>
      </w:r>
    </w:p>
    <w:p w14:paraId="3F44B05D">
      <w:pPr>
        <w:spacing w:line="420" w:lineRule="exact"/>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702" w:name="_Toc17671"/>
      <w:bookmarkStart w:id="703" w:name="_Toc11685"/>
      <w:bookmarkStart w:id="704" w:name="_Toc28460"/>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702"/>
      <w:bookmarkEnd w:id="703"/>
      <w:bookmarkEnd w:id="704"/>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23</w:t>
      </w:r>
    </w:p>
    <w:p w14:paraId="5D8B8C55">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已完工程款额报告</w:t>
      </w:r>
    </w:p>
    <w:p w14:paraId="2706344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934" w:type="dxa"/>
        <w:tblInd w:w="-50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17"/>
        <w:gridCol w:w="6217"/>
      </w:tblGrid>
      <w:tr w14:paraId="03819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28" w:hRule="atLeast"/>
        </w:trPr>
        <w:tc>
          <w:tcPr>
            <w:tcW w:w="9934" w:type="dxa"/>
            <w:gridSpan w:val="2"/>
            <w:tcBorders>
              <w:bottom w:val="single" w:color="auto" w:sz="4" w:space="0"/>
            </w:tcBorders>
            <w:noWrap w:val="0"/>
            <w:vAlign w:val="top"/>
          </w:tcPr>
          <w:p w14:paraId="2F6C81B9">
            <w:pPr>
              <w:spacing w:before="120"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（工程造价咨询人（如有）全称）</w:t>
            </w:r>
          </w:p>
          <w:p w14:paraId="3A30CC7C">
            <w:pPr>
              <w:spacing w:line="420" w:lineRule="exact"/>
              <w:ind w:left="-27" w:leftChars="-13"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期间,我方按照合同约定和监理工程师的指令，实际已完工程款额为（大写）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），累计已完工程款额（大写）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）。根据施工合同条款</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的规定，现提出已完工程款额报告，请予复核和确认。</w:t>
            </w:r>
          </w:p>
          <w:p w14:paraId="5AF8BE1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附：1. 已完工程款额明细表：</w:t>
            </w:r>
          </w:p>
          <w:p w14:paraId="5CD01675">
            <w:pPr>
              <w:spacing w:line="420" w:lineRule="exact"/>
              <w:ind w:left="-108" w:firstLine="59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 证明材料：</w:t>
            </w:r>
          </w:p>
          <w:p w14:paraId="094B721C">
            <w:pPr>
              <w:tabs>
                <w:tab w:val="left" w:pos="6912"/>
              </w:tabs>
              <w:spacing w:line="420" w:lineRule="exact"/>
              <w:ind w:firstLine="6000" w:firstLineChars="25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承包人（章）                </w:t>
            </w:r>
          </w:p>
          <w:p w14:paraId="3A9ACC97">
            <w:pPr>
              <w:spacing w:line="420" w:lineRule="exact"/>
              <w:ind w:firstLine="60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5F671EE">
            <w:pPr>
              <w:tabs>
                <w:tab w:val="left" w:pos="7272"/>
              </w:tabs>
              <w:spacing w:line="420" w:lineRule="exact"/>
              <w:ind w:firstLine="60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1B93F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1" w:hRule="atLeast"/>
        </w:trPr>
        <w:tc>
          <w:tcPr>
            <w:tcW w:w="3717" w:type="dxa"/>
            <w:tcBorders>
              <w:top w:val="single" w:color="auto" w:sz="4" w:space="0"/>
              <w:bottom w:val="single" w:color="auto" w:sz="4" w:space="0"/>
              <w:right w:val="single" w:color="auto" w:sz="4" w:space="0"/>
            </w:tcBorders>
            <w:noWrap w:val="0"/>
            <w:vAlign w:val="top"/>
          </w:tcPr>
          <w:p w14:paraId="607B7A04">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复核意见：</w:t>
            </w:r>
          </w:p>
          <w:p w14:paraId="01558470">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□与实际施工情况不相符，修改意见见附件；</w:t>
            </w:r>
          </w:p>
          <w:p w14:paraId="4D5826F8">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□与实际施工情况相符，具体金额由造价工程师复核。</w:t>
            </w:r>
          </w:p>
          <w:p w14:paraId="1AF303E3">
            <w:pPr>
              <w:spacing w:line="42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DF19616">
            <w:pPr>
              <w:spacing w:line="420" w:lineRule="exact"/>
              <w:ind w:firstLine="1680" w:firstLineChars="7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监理人（章）   </w:t>
            </w:r>
          </w:p>
          <w:p w14:paraId="22FF287B">
            <w:pPr>
              <w:spacing w:line="420" w:lineRule="exact"/>
              <w:ind w:firstLine="1680" w:firstLineChars="7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监理工程师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41AE328F">
            <w:pPr>
              <w:spacing w:line="420" w:lineRule="exact"/>
              <w:ind w:firstLine="1680" w:firstLineChars="7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c>
          <w:tcPr>
            <w:tcW w:w="6217" w:type="dxa"/>
            <w:tcBorders>
              <w:top w:val="single" w:color="auto" w:sz="4" w:space="0"/>
              <w:left w:val="single" w:color="auto" w:sz="4" w:space="0"/>
              <w:bottom w:val="single" w:color="auto" w:sz="4" w:space="0"/>
            </w:tcBorders>
            <w:noWrap w:val="0"/>
            <w:vAlign w:val="top"/>
          </w:tcPr>
          <w:p w14:paraId="5316727F">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复核意见：</w:t>
            </w:r>
          </w:p>
          <w:p w14:paraId="7A21AEDD">
            <w:pPr>
              <w:widowControl/>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根据施工合同条款</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的规定，经复核你方提出的已完工程款额报告（第</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号），截止</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日，实际已完工程款为（大写）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），累计已完工程款额（大写）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19C16C67">
            <w:pPr>
              <w:widowControl/>
              <w:spacing w:line="420" w:lineRule="exact"/>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附：已完工程款额明细复核表。</w:t>
            </w:r>
          </w:p>
          <w:p w14:paraId="3774DC6A">
            <w:pPr>
              <w:spacing w:line="420" w:lineRule="exact"/>
              <w:ind w:firstLine="2380" w:firstLineChars="992"/>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工程造价咨询人（如有）（章）             </w:t>
            </w:r>
          </w:p>
          <w:p w14:paraId="32C94B2F">
            <w:pPr>
              <w:spacing w:line="420" w:lineRule="exact"/>
              <w:ind w:left="2020" w:leftChars="962" w:firstLine="360" w:firstLineChars="15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造价工程师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34FAE2B9">
            <w:pPr>
              <w:spacing w:line="420" w:lineRule="exact"/>
              <w:ind w:firstLine="2380" w:firstLineChars="99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2606D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86" w:hRule="atLeast"/>
        </w:trPr>
        <w:tc>
          <w:tcPr>
            <w:tcW w:w="9934" w:type="dxa"/>
            <w:gridSpan w:val="2"/>
            <w:tcBorders>
              <w:top w:val="single" w:color="auto" w:sz="4" w:space="0"/>
            </w:tcBorders>
            <w:noWrap w:val="0"/>
            <w:vAlign w:val="top"/>
          </w:tcPr>
          <w:p w14:paraId="220CDDDA">
            <w:pPr>
              <w:spacing w:line="420" w:lineRule="exact"/>
              <w:ind w:hanging="3"/>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确认意见：</w:t>
            </w:r>
          </w:p>
          <w:p w14:paraId="68D23703">
            <w:pPr>
              <w:spacing w:line="420" w:lineRule="exact"/>
              <w:ind w:left="-28" w:firstLine="55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□不同意/□同意。   </w:t>
            </w:r>
          </w:p>
          <w:p w14:paraId="05547749">
            <w:pPr>
              <w:spacing w:line="420" w:lineRule="exact"/>
              <w:ind w:firstLine="480" w:firstLineChars="20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发　包　人（章）</w:t>
            </w:r>
          </w:p>
          <w:p w14:paraId="62DD72D9">
            <w:pPr>
              <w:spacing w:line="420" w:lineRule="exact"/>
              <w:ind w:firstLine="480" w:firstLineChars="20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发包人代表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099D97CC">
            <w:pPr>
              <w:spacing w:line="420" w:lineRule="exact"/>
              <w:ind w:firstLine="480" w:firstLineChars="20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日   　 期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74C37D7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说明：1、在需要选择的栏中的“□”内作标识“√”。</w:t>
      </w:r>
    </w:p>
    <w:p w14:paraId="18F492C1">
      <w:pPr>
        <w:spacing w:line="420" w:lineRule="exact"/>
        <w:ind w:left="1078" w:leftChars="342" w:hanging="360" w:hangingChars="150"/>
        <w:rPr>
          <w:rFonts w:ascii="宋体" w:hAnsi="宋体" w:eastAsia="宋体" w:cs="宋体"/>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2、本表一式五份，由承包人、监理人、工程造价咨询人（如有）、发包人按合同规定程序填制，发包人存二份，其他各存一份。</w:t>
      </w:r>
    </w:p>
    <w:p w14:paraId="5C566A38">
      <w:pPr>
        <w:widowControl/>
        <w:spacing w:line="420" w:lineRule="exact"/>
        <w:jc w:val="left"/>
        <w:rPr>
          <w:rFonts w:ascii="宋体" w:hAnsi="宋体" w:cs="宋体"/>
          <w:color w:val="000000" w:themeColor="text1"/>
          <w:kern w:val="0"/>
          <w:sz w:val="22"/>
          <w:szCs w:val="22"/>
          <w:highlight w:val="none"/>
          <w14:textFill>
            <w14:solidFill>
              <w14:schemeClr w14:val="tx1"/>
            </w14:solidFill>
          </w14:textFill>
        </w:rPr>
        <w:sectPr>
          <w:endnotePr>
            <w:numFmt w:val="decimal"/>
          </w:endnotePr>
          <w:pgSz w:w="11905" w:h="16838"/>
          <w:pgMar w:top="1440" w:right="1800" w:bottom="1440" w:left="1800" w:header="0" w:footer="567" w:gutter="0"/>
          <w:pgNumType w:fmt="decimal"/>
          <w:cols w:space="720" w:num="1"/>
          <w:titlePg/>
          <w:rtlGutter w:val="0"/>
          <w:docGrid w:linePitch="1" w:charSpace="0"/>
        </w:sectPr>
      </w:pPr>
    </w:p>
    <w:p w14:paraId="4B53A13A">
      <w:pPr>
        <w:spacing w:before="240" w:beforeLines="100" w:after="240" w:afterLines="100" w:line="420" w:lineRule="exact"/>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bookmarkStart w:id="705" w:name="_Toc30123"/>
      <w:bookmarkStart w:id="706" w:name="_Toc4414"/>
      <w:bookmarkStart w:id="707" w:name="_Toc23939"/>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705"/>
      <w:bookmarkEnd w:id="706"/>
      <w:bookmarkEnd w:id="707"/>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24</w:t>
      </w:r>
    </w:p>
    <w:p w14:paraId="7588AA48">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已完工程款额明细表</w:t>
      </w:r>
    </w:p>
    <w:p w14:paraId="7633755E">
      <w:pPr>
        <w:spacing w:line="420" w:lineRule="exact"/>
        <w:ind w:firstLine="240" w:firstLineChars="1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                                              编号：                       截止日期：</w:t>
      </w:r>
    </w:p>
    <w:tbl>
      <w:tblPr>
        <w:tblStyle w:val="38"/>
        <w:tblW w:w="14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23"/>
        <w:gridCol w:w="1639"/>
        <w:gridCol w:w="2550"/>
        <w:gridCol w:w="956"/>
        <w:gridCol w:w="859"/>
        <w:gridCol w:w="950"/>
        <w:gridCol w:w="860"/>
        <w:gridCol w:w="850"/>
        <w:gridCol w:w="865"/>
        <w:gridCol w:w="848"/>
        <w:gridCol w:w="892"/>
        <w:gridCol w:w="862"/>
        <w:gridCol w:w="860"/>
      </w:tblGrid>
      <w:tr w14:paraId="6175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41" w:type="dxa"/>
            <w:vMerge w:val="restart"/>
            <w:noWrap w:val="0"/>
            <w:vAlign w:val="center"/>
          </w:tcPr>
          <w:p w14:paraId="7BB161C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序号</w:t>
            </w:r>
          </w:p>
        </w:tc>
        <w:tc>
          <w:tcPr>
            <w:tcW w:w="923" w:type="dxa"/>
            <w:vMerge w:val="restart"/>
            <w:noWrap w:val="0"/>
            <w:vAlign w:val="center"/>
          </w:tcPr>
          <w:p w14:paraId="4B84D60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项目</w:t>
            </w:r>
          </w:p>
          <w:p w14:paraId="7FAB5E0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编码</w:t>
            </w:r>
          </w:p>
        </w:tc>
        <w:tc>
          <w:tcPr>
            <w:tcW w:w="1639" w:type="dxa"/>
            <w:vMerge w:val="restart"/>
            <w:noWrap w:val="0"/>
            <w:vAlign w:val="center"/>
          </w:tcPr>
          <w:p w14:paraId="7BF96EF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项目名称</w:t>
            </w:r>
          </w:p>
        </w:tc>
        <w:tc>
          <w:tcPr>
            <w:tcW w:w="2550" w:type="dxa"/>
            <w:vMerge w:val="restart"/>
            <w:noWrap w:val="0"/>
            <w:vAlign w:val="center"/>
          </w:tcPr>
          <w:p w14:paraId="167DE14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单位</w:t>
            </w:r>
          </w:p>
        </w:tc>
        <w:tc>
          <w:tcPr>
            <w:tcW w:w="956" w:type="dxa"/>
            <w:vMerge w:val="restart"/>
            <w:noWrap w:val="0"/>
            <w:vAlign w:val="center"/>
          </w:tcPr>
          <w:p w14:paraId="5A684F6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清单</w:t>
            </w:r>
          </w:p>
          <w:p w14:paraId="2F38950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工程量</w:t>
            </w:r>
          </w:p>
        </w:tc>
        <w:tc>
          <w:tcPr>
            <w:tcW w:w="2669" w:type="dxa"/>
            <w:gridSpan w:val="3"/>
            <w:noWrap w:val="0"/>
            <w:vAlign w:val="center"/>
          </w:tcPr>
          <w:p w14:paraId="041BC01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项目单价（元）</w:t>
            </w:r>
          </w:p>
        </w:tc>
        <w:tc>
          <w:tcPr>
            <w:tcW w:w="1715" w:type="dxa"/>
            <w:gridSpan w:val="2"/>
            <w:noWrap w:val="0"/>
            <w:vAlign w:val="center"/>
          </w:tcPr>
          <w:p w14:paraId="6291633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上期末累计</w:t>
            </w:r>
          </w:p>
        </w:tc>
        <w:tc>
          <w:tcPr>
            <w:tcW w:w="1740" w:type="dxa"/>
            <w:gridSpan w:val="2"/>
            <w:noWrap w:val="0"/>
            <w:vAlign w:val="center"/>
          </w:tcPr>
          <w:p w14:paraId="487CAAE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w:t>
            </w:r>
          </w:p>
        </w:tc>
        <w:tc>
          <w:tcPr>
            <w:tcW w:w="1722" w:type="dxa"/>
            <w:gridSpan w:val="2"/>
            <w:noWrap w:val="0"/>
            <w:vAlign w:val="center"/>
          </w:tcPr>
          <w:p w14:paraId="502A8CE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本期末累计</w:t>
            </w:r>
          </w:p>
        </w:tc>
      </w:tr>
      <w:tr w14:paraId="7D96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741" w:type="dxa"/>
            <w:vMerge w:val="continue"/>
            <w:noWrap w:val="0"/>
            <w:vAlign w:val="center"/>
          </w:tcPr>
          <w:p w14:paraId="7A2EE4B4">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23" w:type="dxa"/>
            <w:vMerge w:val="continue"/>
            <w:noWrap w:val="0"/>
            <w:vAlign w:val="center"/>
          </w:tcPr>
          <w:p w14:paraId="3D528D76">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39" w:type="dxa"/>
            <w:vMerge w:val="continue"/>
            <w:noWrap w:val="0"/>
            <w:vAlign w:val="center"/>
          </w:tcPr>
          <w:p w14:paraId="2FC50409">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550" w:type="dxa"/>
            <w:vMerge w:val="continue"/>
            <w:noWrap w:val="0"/>
            <w:vAlign w:val="center"/>
          </w:tcPr>
          <w:p w14:paraId="20786782">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6" w:type="dxa"/>
            <w:vMerge w:val="continue"/>
            <w:noWrap w:val="0"/>
            <w:vAlign w:val="center"/>
          </w:tcPr>
          <w:p w14:paraId="096E2ED4">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9" w:type="dxa"/>
            <w:noWrap w:val="0"/>
            <w:vAlign w:val="center"/>
          </w:tcPr>
          <w:p w14:paraId="1BA996D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综合</w:t>
            </w:r>
          </w:p>
          <w:p w14:paraId="3C1B0E9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单价</w:t>
            </w:r>
          </w:p>
          <w:p w14:paraId="65D1DD7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c>
          <w:tcPr>
            <w:tcW w:w="950" w:type="dxa"/>
            <w:noWrap w:val="0"/>
            <w:vAlign w:val="center"/>
          </w:tcPr>
          <w:p w14:paraId="3975317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规费和</w:t>
            </w:r>
          </w:p>
          <w:p w14:paraId="23E704E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税金</w:t>
            </w:r>
          </w:p>
          <w:p w14:paraId="2528269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c>
          <w:tcPr>
            <w:tcW w:w="860" w:type="dxa"/>
            <w:noWrap w:val="0"/>
            <w:vAlign w:val="center"/>
          </w:tcPr>
          <w:p w14:paraId="6966D0C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合计</w:t>
            </w:r>
          </w:p>
          <w:p w14:paraId="6355908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c>
          <w:tcPr>
            <w:tcW w:w="850" w:type="dxa"/>
            <w:noWrap w:val="0"/>
            <w:vAlign w:val="center"/>
          </w:tcPr>
          <w:p w14:paraId="6D93EB6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已完</w:t>
            </w:r>
          </w:p>
          <w:p w14:paraId="492995C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工程量</w:t>
            </w:r>
          </w:p>
        </w:tc>
        <w:tc>
          <w:tcPr>
            <w:tcW w:w="865" w:type="dxa"/>
            <w:noWrap w:val="0"/>
            <w:vAlign w:val="center"/>
          </w:tcPr>
          <w:p w14:paraId="5483028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合价</w:t>
            </w:r>
          </w:p>
          <w:p w14:paraId="73ED3F4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c>
          <w:tcPr>
            <w:tcW w:w="848" w:type="dxa"/>
            <w:noWrap w:val="0"/>
            <w:vAlign w:val="center"/>
          </w:tcPr>
          <w:p w14:paraId="7187A13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完成</w:t>
            </w:r>
          </w:p>
          <w:p w14:paraId="0C9CAF2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工程量</w:t>
            </w:r>
          </w:p>
        </w:tc>
        <w:tc>
          <w:tcPr>
            <w:tcW w:w="892" w:type="dxa"/>
            <w:noWrap w:val="0"/>
            <w:vAlign w:val="center"/>
          </w:tcPr>
          <w:p w14:paraId="21BAA20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合价</w:t>
            </w:r>
          </w:p>
          <w:p w14:paraId="3C606F6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c>
          <w:tcPr>
            <w:tcW w:w="862" w:type="dxa"/>
            <w:noWrap w:val="0"/>
            <w:vAlign w:val="center"/>
          </w:tcPr>
          <w:p w14:paraId="54FAB7C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已完</w:t>
            </w:r>
          </w:p>
          <w:p w14:paraId="70F6345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工程量</w:t>
            </w:r>
          </w:p>
        </w:tc>
        <w:tc>
          <w:tcPr>
            <w:tcW w:w="860" w:type="dxa"/>
            <w:noWrap w:val="0"/>
            <w:vAlign w:val="center"/>
          </w:tcPr>
          <w:p w14:paraId="2D6AC46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合价</w:t>
            </w:r>
          </w:p>
          <w:p w14:paraId="04867D7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r>
      <w:tr w14:paraId="083C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14:paraId="57FFA8F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23" w:type="dxa"/>
            <w:noWrap w:val="0"/>
            <w:vAlign w:val="center"/>
          </w:tcPr>
          <w:p w14:paraId="53EEF8A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39" w:type="dxa"/>
            <w:noWrap w:val="0"/>
            <w:vAlign w:val="center"/>
          </w:tcPr>
          <w:p w14:paraId="7040357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550" w:type="dxa"/>
            <w:noWrap w:val="0"/>
            <w:vAlign w:val="center"/>
          </w:tcPr>
          <w:p w14:paraId="7EFCE4E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6" w:type="dxa"/>
            <w:noWrap w:val="0"/>
            <w:vAlign w:val="center"/>
          </w:tcPr>
          <w:p w14:paraId="5F172C6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9" w:type="dxa"/>
            <w:noWrap w:val="0"/>
            <w:vAlign w:val="center"/>
          </w:tcPr>
          <w:p w14:paraId="702B072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0" w:type="dxa"/>
            <w:noWrap w:val="0"/>
            <w:vAlign w:val="center"/>
          </w:tcPr>
          <w:p w14:paraId="642E37B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2AB27E9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0" w:type="dxa"/>
            <w:noWrap w:val="0"/>
            <w:vAlign w:val="center"/>
          </w:tcPr>
          <w:p w14:paraId="17616ED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5" w:type="dxa"/>
            <w:noWrap w:val="0"/>
            <w:vAlign w:val="center"/>
          </w:tcPr>
          <w:p w14:paraId="63ECA27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8" w:type="dxa"/>
            <w:noWrap w:val="0"/>
            <w:vAlign w:val="center"/>
          </w:tcPr>
          <w:p w14:paraId="562FE90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92" w:type="dxa"/>
            <w:noWrap w:val="0"/>
            <w:vAlign w:val="center"/>
          </w:tcPr>
          <w:p w14:paraId="222DF22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2" w:type="dxa"/>
            <w:noWrap w:val="0"/>
            <w:vAlign w:val="center"/>
          </w:tcPr>
          <w:p w14:paraId="068F6BB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730FCCF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1B45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14:paraId="1ADDD6D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23" w:type="dxa"/>
            <w:noWrap w:val="0"/>
            <w:vAlign w:val="center"/>
          </w:tcPr>
          <w:p w14:paraId="00CBDFC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39" w:type="dxa"/>
            <w:noWrap w:val="0"/>
            <w:vAlign w:val="center"/>
          </w:tcPr>
          <w:p w14:paraId="2834FB0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550" w:type="dxa"/>
            <w:noWrap w:val="0"/>
            <w:vAlign w:val="center"/>
          </w:tcPr>
          <w:p w14:paraId="65A1157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6" w:type="dxa"/>
            <w:noWrap w:val="0"/>
            <w:vAlign w:val="center"/>
          </w:tcPr>
          <w:p w14:paraId="3958F26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9" w:type="dxa"/>
            <w:noWrap w:val="0"/>
            <w:vAlign w:val="center"/>
          </w:tcPr>
          <w:p w14:paraId="79B0AB6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0" w:type="dxa"/>
            <w:noWrap w:val="0"/>
            <w:vAlign w:val="center"/>
          </w:tcPr>
          <w:p w14:paraId="60530AF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7F46CE7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0" w:type="dxa"/>
            <w:noWrap w:val="0"/>
            <w:vAlign w:val="center"/>
          </w:tcPr>
          <w:p w14:paraId="695FFC2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5" w:type="dxa"/>
            <w:noWrap w:val="0"/>
            <w:vAlign w:val="center"/>
          </w:tcPr>
          <w:p w14:paraId="480E0BC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8" w:type="dxa"/>
            <w:noWrap w:val="0"/>
            <w:vAlign w:val="center"/>
          </w:tcPr>
          <w:p w14:paraId="77FC83C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92" w:type="dxa"/>
            <w:noWrap w:val="0"/>
            <w:vAlign w:val="center"/>
          </w:tcPr>
          <w:p w14:paraId="0370BD5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2" w:type="dxa"/>
            <w:noWrap w:val="0"/>
            <w:vAlign w:val="center"/>
          </w:tcPr>
          <w:p w14:paraId="4087D8F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5E156DD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474E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14:paraId="17D4B89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23" w:type="dxa"/>
            <w:noWrap w:val="0"/>
            <w:vAlign w:val="center"/>
          </w:tcPr>
          <w:p w14:paraId="5F074D6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39" w:type="dxa"/>
            <w:noWrap w:val="0"/>
            <w:vAlign w:val="center"/>
          </w:tcPr>
          <w:p w14:paraId="1E57D8A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550" w:type="dxa"/>
            <w:noWrap w:val="0"/>
            <w:vAlign w:val="center"/>
          </w:tcPr>
          <w:p w14:paraId="5E810FD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6" w:type="dxa"/>
            <w:noWrap w:val="0"/>
            <w:vAlign w:val="center"/>
          </w:tcPr>
          <w:p w14:paraId="781752A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9" w:type="dxa"/>
            <w:noWrap w:val="0"/>
            <w:vAlign w:val="center"/>
          </w:tcPr>
          <w:p w14:paraId="684C485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0" w:type="dxa"/>
            <w:noWrap w:val="0"/>
            <w:vAlign w:val="center"/>
          </w:tcPr>
          <w:p w14:paraId="5AC7179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3CA9BFC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0" w:type="dxa"/>
            <w:noWrap w:val="0"/>
            <w:vAlign w:val="center"/>
          </w:tcPr>
          <w:p w14:paraId="2F164F2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5" w:type="dxa"/>
            <w:noWrap w:val="0"/>
            <w:vAlign w:val="center"/>
          </w:tcPr>
          <w:p w14:paraId="43006CB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8" w:type="dxa"/>
            <w:noWrap w:val="0"/>
            <w:vAlign w:val="center"/>
          </w:tcPr>
          <w:p w14:paraId="7AE7197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92" w:type="dxa"/>
            <w:noWrap w:val="0"/>
            <w:vAlign w:val="center"/>
          </w:tcPr>
          <w:p w14:paraId="5A4D51D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2" w:type="dxa"/>
            <w:noWrap w:val="0"/>
            <w:vAlign w:val="center"/>
          </w:tcPr>
          <w:p w14:paraId="3113DFE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227F5D5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6CC2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14:paraId="244E28A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23" w:type="dxa"/>
            <w:noWrap w:val="0"/>
            <w:vAlign w:val="center"/>
          </w:tcPr>
          <w:p w14:paraId="2ECB77E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39" w:type="dxa"/>
            <w:noWrap w:val="0"/>
            <w:vAlign w:val="center"/>
          </w:tcPr>
          <w:p w14:paraId="444112C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550" w:type="dxa"/>
            <w:noWrap w:val="0"/>
            <w:vAlign w:val="center"/>
          </w:tcPr>
          <w:p w14:paraId="5A54EF6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6" w:type="dxa"/>
            <w:noWrap w:val="0"/>
            <w:vAlign w:val="center"/>
          </w:tcPr>
          <w:p w14:paraId="62FA8AF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9" w:type="dxa"/>
            <w:noWrap w:val="0"/>
            <w:vAlign w:val="center"/>
          </w:tcPr>
          <w:p w14:paraId="69AE8A0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0" w:type="dxa"/>
            <w:noWrap w:val="0"/>
            <w:vAlign w:val="center"/>
          </w:tcPr>
          <w:p w14:paraId="7FB823B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6B4925E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0" w:type="dxa"/>
            <w:noWrap w:val="0"/>
            <w:vAlign w:val="center"/>
          </w:tcPr>
          <w:p w14:paraId="6F53C33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5" w:type="dxa"/>
            <w:noWrap w:val="0"/>
            <w:vAlign w:val="center"/>
          </w:tcPr>
          <w:p w14:paraId="5311533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8" w:type="dxa"/>
            <w:noWrap w:val="0"/>
            <w:vAlign w:val="center"/>
          </w:tcPr>
          <w:p w14:paraId="7EFEDD0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92" w:type="dxa"/>
            <w:noWrap w:val="0"/>
            <w:vAlign w:val="center"/>
          </w:tcPr>
          <w:p w14:paraId="3280F48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2" w:type="dxa"/>
            <w:noWrap w:val="0"/>
            <w:vAlign w:val="center"/>
          </w:tcPr>
          <w:p w14:paraId="238F298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57F2227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CB8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14:paraId="2DCFB97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23" w:type="dxa"/>
            <w:noWrap w:val="0"/>
            <w:vAlign w:val="center"/>
          </w:tcPr>
          <w:p w14:paraId="0467A1A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39" w:type="dxa"/>
            <w:noWrap w:val="0"/>
            <w:vAlign w:val="center"/>
          </w:tcPr>
          <w:p w14:paraId="5A3D757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550" w:type="dxa"/>
            <w:noWrap w:val="0"/>
            <w:vAlign w:val="center"/>
          </w:tcPr>
          <w:p w14:paraId="2CF6E4B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6" w:type="dxa"/>
            <w:noWrap w:val="0"/>
            <w:vAlign w:val="center"/>
          </w:tcPr>
          <w:p w14:paraId="26E8E3B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9" w:type="dxa"/>
            <w:noWrap w:val="0"/>
            <w:vAlign w:val="center"/>
          </w:tcPr>
          <w:p w14:paraId="11ED696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0" w:type="dxa"/>
            <w:noWrap w:val="0"/>
            <w:vAlign w:val="center"/>
          </w:tcPr>
          <w:p w14:paraId="3E4D68F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1595FDF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0" w:type="dxa"/>
            <w:noWrap w:val="0"/>
            <w:vAlign w:val="center"/>
          </w:tcPr>
          <w:p w14:paraId="15775E5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5" w:type="dxa"/>
            <w:noWrap w:val="0"/>
            <w:vAlign w:val="center"/>
          </w:tcPr>
          <w:p w14:paraId="36FA883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8" w:type="dxa"/>
            <w:noWrap w:val="0"/>
            <w:vAlign w:val="center"/>
          </w:tcPr>
          <w:p w14:paraId="09D6342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92" w:type="dxa"/>
            <w:noWrap w:val="0"/>
            <w:vAlign w:val="center"/>
          </w:tcPr>
          <w:p w14:paraId="74FF4D4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2" w:type="dxa"/>
            <w:noWrap w:val="0"/>
            <w:vAlign w:val="center"/>
          </w:tcPr>
          <w:p w14:paraId="4733DB7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1AB0689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557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14:paraId="44B22F2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23" w:type="dxa"/>
            <w:noWrap w:val="0"/>
            <w:vAlign w:val="center"/>
          </w:tcPr>
          <w:p w14:paraId="0CA79C2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39" w:type="dxa"/>
            <w:noWrap w:val="0"/>
            <w:vAlign w:val="center"/>
          </w:tcPr>
          <w:p w14:paraId="28116CE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550" w:type="dxa"/>
            <w:noWrap w:val="0"/>
            <w:vAlign w:val="center"/>
          </w:tcPr>
          <w:p w14:paraId="13AEAC3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6" w:type="dxa"/>
            <w:noWrap w:val="0"/>
            <w:vAlign w:val="center"/>
          </w:tcPr>
          <w:p w14:paraId="18E5FD8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9" w:type="dxa"/>
            <w:noWrap w:val="0"/>
            <w:vAlign w:val="center"/>
          </w:tcPr>
          <w:p w14:paraId="3EA5560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0" w:type="dxa"/>
            <w:noWrap w:val="0"/>
            <w:vAlign w:val="center"/>
          </w:tcPr>
          <w:p w14:paraId="17D2A46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7C6765E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0" w:type="dxa"/>
            <w:noWrap w:val="0"/>
            <w:vAlign w:val="center"/>
          </w:tcPr>
          <w:p w14:paraId="06BC1D7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5" w:type="dxa"/>
            <w:noWrap w:val="0"/>
            <w:vAlign w:val="center"/>
          </w:tcPr>
          <w:p w14:paraId="326B7A5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8" w:type="dxa"/>
            <w:noWrap w:val="0"/>
            <w:vAlign w:val="center"/>
          </w:tcPr>
          <w:p w14:paraId="50A64ED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92" w:type="dxa"/>
            <w:noWrap w:val="0"/>
            <w:vAlign w:val="center"/>
          </w:tcPr>
          <w:p w14:paraId="576B3C8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2" w:type="dxa"/>
            <w:noWrap w:val="0"/>
            <w:vAlign w:val="center"/>
          </w:tcPr>
          <w:p w14:paraId="26FF454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4441712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4434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14:paraId="05F4DEB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23" w:type="dxa"/>
            <w:noWrap w:val="0"/>
            <w:vAlign w:val="center"/>
          </w:tcPr>
          <w:p w14:paraId="5026102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39" w:type="dxa"/>
            <w:noWrap w:val="0"/>
            <w:vAlign w:val="center"/>
          </w:tcPr>
          <w:p w14:paraId="642E8BA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550" w:type="dxa"/>
            <w:noWrap w:val="0"/>
            <w:vAlign w:val="center"/>
          </w:tcPr>
          <w:p w14:paraId="0FF0EDC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6" w:type="dxa"/>
            <w:noWrap w:val="0"/>
            <w:vAlign w:val="center"/>
          </w:tcPr>
          <w:p w14:paraId="3F3249A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9" w:type="dxa"/>
            <w:noWrap w:val="0"/>
            <w:vAlign w:val="center"/>
          </w:tcPr>
          <w:p w14:paraId="4FD3D87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0" w:type="dxa"/>
            <w:noWrap w:val="0"/>
            <w:vAlign w:val="center"/>
          </w:tcPr>
          <w:p w14:paraId="027B606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591DF6A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0" w:type="dxa"/>
            <w:noWrap w:val="0"/>
            <w:vAlign w:val="center"/>
          </w:tcPr>
          <w:p w14:paraId="47F14DB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5" w:type="dxa"/>
            <w:noWrap w:val="0"/>
            <w:vAlign w:val="center"/>
          </w:tcPr>
          <w:p w14:paraId="6DDD7DF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8" w:type="dxa"/>
            <w:noWrap w:val="0"/>
            <w:vAlign w:val="center"/>
          </w:tcPr>
          <w:p w14:paraId="3FFEE60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92" w:type="dxa"/>
            <w:noWrap w:val="0"/>
            <w:vAlign w:val="center"/>
          </w:tcPr>
          <w:p w14:paraId="7430A87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2" w:type="dxa"/>
            <w:noWrap w:val="0"/>
            <w:vAlign w:val="center"/>
          </w:tcPr>
          <w:p w14:paraId="794EFD9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4C87565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057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14:paraId="095081E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23" w:type="dxa"/>
            <w:noWrap w:val="0"/>
            <w:vAlign w:val="center"/>
          </w:tcPr>
          <w:p w14:paraId="2F5F74F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39" w:type="dxa"/>
            <w:noWrap w:val="0"/>
            <w:vAlign w:val="center"/>
          </w:tcPr>
          <w:p w14:paraId="121442E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550" w:type="dxa"/>
            <w:noWrap w:val="0"/>
            <w:vAlign w:val="center"/>
          </w:tcPr>
          <w:p w14:paraId="6FDCF83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6" w:type="dxa"/>
            <w:noWrap w:val="0"/>
            <w:vAlign w:val="center"/>
          </w:tcPr>
          <w:p w14:paraId="6AD9645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9" w:type="dxa"/>
            <w:noWrap w:val="0"/>
            <w:vAlign w:val="center"/>
          </w:tcPr>
          <w:p w14:paraId="6C071D3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0" w:type="dxa"/>
            <w:noWrap w:val="0"/>
            <w:vAlign w:val="center"/>
          </w:tcPr>
          <w:p w14:paraId="2370BE8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40F4C48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0" w:type="dxa"/>
            <w:noWrap w:val="0"/>
            <w:vAlign w:val="center"/>
          </w:tcPr>
          <w:p w14:paraId="2F59B1B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5" w:type="dxa"/>
            <w:noWrap w:val="0"/>
            <w:vAlign w:val="center"/>
          </w:tcPr>
          <w:p w14:paraId="576FEDC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8" w:type="dxa"/>
            <w:noWrap w:val="0"/>
            <w:vAlign w:val="center"/>
          </w:tcPr>
          <w:p w14:paraId="044AF8E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92" w:type="dxa"/>
            <w:noWrap w:val="0"/>
            <w:vAlign w:val="center"/>
          </w:tcPr>
          <w:p w14:paraId="05A38E6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2" w:type="dxa"/>
            <w:noWrap w:val="0"/>
            <w:vAlign w:val="center"/>
          </w:tcPr>
          <w:p w14:paraId="742F046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6F76AB6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5077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14:paraId="1B04894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23" w:type="dxa"/>
            <w:noWrap w:val="0"/>
            <w:vAlign w:val="center"/>
          </w:tcPr>
          <w:p w14:paraId="52E7B08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39" w:type="dxa"/>
            <w:noWrap w:val="0"/>
            <w:vAlign w:val="center"/>
          </w:tcPr>
          <w:p w14:paraId="19F2B02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550" w:type="dxa"/>
            <w:noWrap w:val="0"/>
            <w:vAlign w:val="center"/>
          </w:tcPr>
          <w:p w14:paraId="5F1E28D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6" w:type="dxa"/>
            <w:noWrap w:val="0"/>
            <w:vAlign w:val="center"/>
          </w:tcPr>
          <w:p w14:paraId="55D5AA2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9" w:type="dxa"/>
            <w:noWrap w:val="0"/>
            <w:vAlign w:val="center"/>
          </w:tcPr>
          <w:p w14:paraId="67CAA06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0" w:type="dxa"/>
            <w:noWrap w:val="0"/>
            <w:vAlign w:val="center"/>
          </w:tcPr>
          <w:p w14:paraId="6D91A10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0EB0BC8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0" w:type="dxa"/>
            <w:noWrap w:val="0"/>
            <w:vAlign w:val="center"/>
          </w:tcPr>
          <w:p w14:paraId="1A504E0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5" w:type="dxa"/>
            <w:noWrap w:val="0"/>
            <w:vAlign w:val="center"/>
          </w:tcPr>
          <w:p w14:paraId="6BE57D6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8" w:type="dxa"/>
            <w:noWrap w:val="0"/>
            <w:vAlign w:val="center"/>
          </w:tcPr>
          <w:p w14:paraId="350AD10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92" w:type="dxa"/>
            <w:noWrap w:val="0"/>
            <w:vAlign w:val="center"/>
          </w:tcPr>
          <w:p w14:paraId="5EACE59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2" w:type="dxa"/>
            <w:noWrap w:val="0"/>
            <w:vAlign w:val="center"/>
          </w:tcPr>
          <w:p w14:paraId="0F631FD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4BC808B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804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14:paraId="59B48DA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23" w:type="dxa"/>
            <w:noWrap w:val="0"/>
            <w:vAlign w:val="center"/>
          </w:tcPr>
          <w:p w14:paraId="1E2E1B9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39" w:type="dxa"/>
            <w:noWrap w:val="0"/>
            <w:vAlign w:val="center"/>
          </w:tcPr>
          <w:p w14:paraId="4E04631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本页小计</w:t>
            </w:r>
          </w:p>
        </w:tc>
        <w:tc>
          <w:tcPr>
            <w:tcW w:w="2550" w:type="dxa"/>
            <w:noWrap w:val="0"/>
            <w:vAlign w:val="center"/>
          </w:tcPr>
          <w:p w14:paraId="5BC1D3B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c>
          <w:tcPr>
            <w:tcW w:w="956" w:type="dxa"/>
            <w:noWrap w:val="0"/>
            <w:vAlign w:val="center"/>
          </w:tcPr>
          <w:p w14:paraId="0F4D77A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9" w:type="dxa"/>
            <w:noWrap w:val="0"/>
            <w:vAlign w:val="center"/>
          </w:tcPr>
          <w:p w14:paraId="159FCCD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0" w:type="dxa"/>
            <w:noWrap w:val="0"/>
            <w:vAlign w:val="center"/>
          </w:tcPr>
          <w:p w14:paraId="577DF2F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46E6A78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0" w:type="dxa"/>
            <w:noWrap w:val="0"/>
            <w:vAlign w:val="center"/>
          </w:tcPr>
          <w:p w14:paraId="4869508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5" w:type="dxa"/>
            <w:noWrap w:val="0"/>
            <w:vAlign w:val="top"/>
          </w:tcPr>
          <w:p w14:paraId="54FE132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8" w:type="dxa"/>
            <w:noWrap w:val="0"/>
            <w:vAlign w:val="center"/>
          </w:tcPr>
          <w:p w14:paraId="50EFB57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92" w:type="dxa"/>
            <w:noWrap w:val="0"/>
            <w:vAlign w:val="center"/>
          </w:tcPr>
          <w:p w14:paraId="71C23EC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2" w:type="dxa"/>
            <w:noWrap w:val="0"/>
            <w:vAlign w:val="center"/>
          </w:tcPr>
          <w:p w14:paraId="3F95608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03C9E66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243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14:paraId="75B6F7F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23" w:type="dxa"/>
            <w:noWrap w:val="0"/>
            <w:vAlign w:val="center"/>
          </w:tcPr>
          <w:p w14:paraId="6DC35AE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639" w:type="dxa"/>
            <w:noWrap w:val="0"/>
            <w:vAlign w:val="center"/>
          </w:tcPr>
          <w:p w14:paraId="3FDFBC0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合计</w:t>
            </w:r>
          </w:p>
        </w:tc>
        <w:tc>
          <w:tcPr>
            <w:tcW w:w="2550" w:type="dxa"/>
            <w:noWrap w:val="0"/>
            <w:vAlign w:val="center"/>
          </w:tcPr>
          <w:p w14:paraId="3FBD0DC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元</w:t>
            </w:r>
          </w:p>
        </w:tc>
        <w:tc>
          <w:tcPr>
            <w:tcW w:w="956" w:type="dxa"/>
            <w:noWrap w:val="0"/>
            <w:vAlign w:val="center"/>
          </w:tcPr>
          <w:p w14:paraId="3DEADC8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9" w:type="dxa"/>
            <w:noWrap w:val="0"/>
            <w:vAlign w:val="center"/>
          </w:tcPr>
          <w:p w14:paraId="79BC66C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50" w:type="dxa"/>
            <w:noWrap w:val="0"/>
            <w:vAlign w:val="center"/>
          </w:tcPr>
          <w:p w14:paraId="6B075D9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2317E02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0" w:type="dxa"/>
            <w:noWrap w:val="0"/>
            <w:vAlign w:val="center"/>
          </w:tcPr>
          <w:p w14:paraId="1F20F83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5" w:type="dxa"/>
            <w:noWrap w:val="0"/>
            <w:vAlign w:val="top"/>
          </w:tcPr>
          <w:p w14:paraId="15F2250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48" w:type="dxa"/>
            <w:noWrap w:val="0"/>
            <w:vAlign w:val="center"/>
          </w:tcPr>
          <w:p w14:paraId="16B8608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92" w:type="dxa"/>
            <w:noWrap w:val="0"/>
            <w:vAlign w:val="center"/>
          </w:tcPr>
          <w:p w14:paraId="4B59D9F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2" w:type="dxa"/>
            <w:noWrap w:val="0"/>
            <w:vAlign w:val="center"/>
          </w:tcPr>
          <w:p w14:paraId="63C0F0F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60" w:type="dxa"/>
            <w:noWrap w:val="0"/>
            <w:vAlign w:val="center"/>
          </w:tcPr>
          <w:p w14:paraId="2D32214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bl>
    <w:p w14:paraId="1A748C81">
      <w:pPr>
        <w:spacing w:line="420" w:lineRule="exact"/>
        <w:ind w:firstLine="240" w:firstLineChars="100"/>
        <w:rPr>
          <w:rFonts w:ascii="宋体" w:hAnsi="宋体" w:cs="宋体"/>
          <w:color w:val="000000" w:themeColor="text1"/>
          <w:kern w:val="0"/>
          <w:sz w:val="22"/>
          <w:szCs w:val="22"/>
          <w:highlight w:val="none"/>
          <w14:textFill>
            <w14:solidFill>
              <w14:schemeClr w14:val="tx1"/>
            </w14:solidFill>
          </w14:textFill>
        </w:rPr>
        <w:sectPr>
          <w:endnotePr>
            <w:numFmt w:val="decimal"/>
          </w:endnotePr>
          <w:pgSz w:w="16838" w:h="11905" w:orient="landscape"/>
          <w:pgMar w:top="1440" w:right="1800" w:bottom="1440" w:left="1800" w:header="0" w:footer="0" w:gutter="0"/>
          <w:pgNumType w:fmt="decimal"/>
          <w:cols w:space="720" w:num="1"/>
          <w:titlePg/>
          <w:rtlGutter w:val="0"/>
          <w:docGrid w:linePitch="1" w:charSpace="0"/>
        </w:sectPr>
      </w:pPr>
      <w:r>
        <w:rPr>
          <w:rFonts w:hint="eastAsia" w:ascii="仿宋_GB2312" w:hAnsi="仿宋_GB2312" w:eastAsia="仿宋_GB2312" w:cs="仿宋_GB2312"/>
          <w:color w:val="000000" w:themeColor="text1"/>
          <w:sz w:val="24"/>
          <w:szCs w:val="24"/>
          <w:highlight w:val="none"/>
          <w14:textFill>
            <w14:solidFill>
              <w14:schemeClr w14:val="tx1"/>
            </w14:solidFill>
          </w14:textFill>
        </w:rPr>
        <w:t>编制：                     复核：                     承包人代表：                 日  期：     年   　月   日</w:t>
      </w:r>
    </w:p>
    <w:p w14:paraId="386C7450">
      <w:pPr>
        <w:spacing w:line="240" w:lineRule="auto"/>
        <w:ind w:firstLine="0" w:firstLineChars="0"/>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25</w:t>
      </w:r>
    </w:p>
    <w:p w14:paraId="39921BC8">
      <w:pPr>
        <w:spacing w:line="420" w:lineRule="exact"/>
        <w:jc w:val="center"/>
        <w:rPr>
          <w:rFonts w:ascii="宋体" w:hAnsi="宋体" w:eastAsia="宋体" w:cs="宋体"/>
          <w:b/>
          <w:bCs/>
          <w:color w:val="000000" w:themeColor="text1"/>
          <w:spacing w:val="30"/>
          <w:sz w:val="22"/>
          <w:szCs w:val="2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支付申请</w:t>
      </w:r>
    </w:p>
    <w:p w14:paraId="1E4B26A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10216" w:type="dxa"/>
        <w:tblInd w:w="-68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16"/>
      </w:tblGrid>
      <w:tr w14:paraId="663AB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29" w:hRule="atLeast"/>
        </w:trPr>
        <w:tc>
          <w:tcPr>
            <w:tcW w:w="10216" w:type="dxa"/>
            <w:tcBorders>
              <w:bottom w:val="single" w:color="auto" w:sz="4" w:space="0"/>
            </w:tcBorders>
            <w:noWrap w:val="0"/>
            <w:vAlign w:val="top"/>
          </w:tcPr>
          <w:p w14:paraId="23309E58">
            <w:pPr>
              <w:spacing w:before="120" w:line="420" w:lineRule="exact"/>
              <w:ind w:left="-28" w:firstLine="18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（工程造价咨询人（如有）全称）</w:t>
            </w:r>
          </w:p>
          <w:p w14:paraId="6B868487">
            <w:pPr>
              <w:spacing w:line="420" w:lineRule="exact"/>
              <w:ind w:left="-28"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我方于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期间已完成了</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工作，根据施工合同条款</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的规定，现申请支付本期的工程款额为（大写）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），请予以复核和确认，并在支付证书签发后按合同规定时间内支付。</w:t>
            </w:r>
          </w:p>
          <w:p w14:paraId="16061FF5">
            <w:pPr>
              <w:spacing w:line="420" w:lineRule="exact"/>
              <w:ind w:left="-28"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具体细目如下：</w:t>
            </w:r>
          </w:p>
          <w:tbl>
            <w:tblPr>
              <w:tblStyle w:val="38"/>
              <w:tblW w:w="10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662"/>
              <w:gridCol w:w="1533"/>
              <w:gridCol w:w="3121"/>
            </w:tblGrid>
            <w:tr w14:paraId="661A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5E59F12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序号</w:t>
                  </w:r>
                </w:p>
              </w:tc>
              <w:tc>
                <w:tcPr>
                  <w:tcW w:w="4662" w:type="dxa"/>
                  <w:tcBorders>
                    <w:top w:val="single" w:color="auto" w:sz="4" w:space="0"/>
                    <w:left w:val="single" w:color="auto" w:sz="4" w:space="0"/>
                    <w:bottom w:val="single" w:color="auto" w:sz="4" w:space="0"/>
                    <w:right w:val="single" w:color="auto" w:sz="4" w:space="0"/>
                  </w:tcBorders>
                  <w:noWrap w:val="0"/>
                  <w:vAlign w:val="center"/>
                </w:tcPr>
                <w:p w14:paraId="5BEDA9C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名           称</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2319799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金 额（元）</w:t>
                  </w:r>
                </w:p>
              </w:tc>
              <w:tc>
                <w:tcPr>
                  <w:tcW w:w="3121" w:type="dxa"/>
                  <w:tcBorders>
                    <w:top w:val="single" w:color="auto" w:sz="4" w:space="0"/>
                    <w:left w:val="single" w:color="auto" w:sz="4" w:space="0"/>
                    <w:bottom w:val="single" w:color="auto" w:sz="4" w:space="0"/>
                    <w:right w:val="single" w:color="auto" w:sz="4" w:space="0"/>
                  </w:tcBorders>
                  <w:noWrap w:val="0"/>
                  <w:vAlign w:val="center"/>
                </w:tcPr>
                <w:p w14:paraId="1B2AA9A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备       注</w:t>
                  </w:r>
                </w:p>
              </w:tc>
            </w:tr>
            <w:tr w14:paraId="4BCF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0420CD4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p>
              </w:tc>
              <w:tc>
                <w:tcPr>
                  <w:tcW w:w="4662" w:type="dxa"/>
                  <w:tcBorders>
                    <w:top w:val="single" w:color="auto" w:sz="4" w:space="0"/>
                    <w:left w:val="single" w:color="auto" w:sz="4" w:space="0"/>
                    <w:bottom w:val="single" w:color="auto" w:sz="4" w:space="0"/>
                    <w:right w:val="single" w:color="auto" w:sz="4" w:space="0"/>
                  </w:tcBorders>
                  <w:noWrap w:val="0"/>
                  <w:vAlign w:val="center"/>
                </w:tcPr>
                <w:p w14:paraId="436673C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累计已完工程价款</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4ACF7FB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2FEB2348">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19EE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77ACE21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w:t>
                  </w:r>
                </w:p>
              </w:tc>
              <w:tc>
                <w:tcPr>
                  <w:tcW w:w="4662" w:type="dxa"/>
                  <w:tcBorders>
                    <w:top w:val="single" w:color="auto" w:sz="4" w:space="0"/>
                    <w:left w:val="single" w:color="auto" w:sz="4" w:space="0"/>
                    <w:bottom w:val="single" w:color="auto" w:sz="4" w:space="0"/>
                    <w:right w:val="single" w:color="auto" w:sz="4" w:space="0"/>
                  </w:tcBorders>
                  <w:noWrap w:val="0"/>
                  <w:vAlign w:val="center"/>
                </w:tcPr>
                <w:p w14:paraId="4DD1DEB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累计已实际支付的工程价款</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6AB19E7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604B037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6523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7458788F">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w:t>
                  </w:r>
                </w:p>
              </w:tc>
              <w:tc>
                <w:tcPr>
                  <w:tcW w:w="4662" w:type="dxa"/>
                  <w:tcBorders>
                    <w:top w:val="single" w:color="auto" w:sz="4" w:space="0"/>
                    <w:left w:val="single" w:color="auto" w:sz="4" w:space="0"/>
                    <w:bottom w:val="single" w:color="auto" w:sz="4" w:space="0"/>
                    <w:right w:val="single" w:color="auto" w:sz="4" w:space="0"/>
                  </w:tcBorders>
                  <w:noWrap w:val="0"/>
                  <w:vAlign w:val="center"/>
                </w:tcPr>
                <w:p w14:paraId="653C79A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本期间已完工程价款</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54C3851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3E19F14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1C1D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49B7FAF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w:t>
                  </w:r>
                </w:p>
              </w:tc>
              <w:tc>
                <w:tcPr>
                  <w:tcW w:w="4662" w:type="dxa"/>
                  <w:tcBorders>
                    <w:top w:val="single" w:color="auto" w:sz="4" w:space="0"/>
                    <w:left w:val="single" w:color="auto" w:sz="4" w:space="0"/>
                    <w:bottom w:val="single" w:color="auto" w:sz="4" w:space="0"/>
                    <w:right w:val="single" w:color="auto" w:sz="4" w:space="0"/>
                  </w:tcBorders>
                  <w:noWrap w:val="0"/>
                  <w:vAlign w:val="center"/>
                </w:tcPr>
                <w:p w14:paraId="5C24F644">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本期间完成的零星工作项目价款</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2BE08A0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273807C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1A91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390E5A3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w:t>
                  </w:r>
                </w:p>
              </w:tc>
              <w:tc>
                <w:tcPr>
                  <w:tcW w:w="4662" w:type="dxa"/>
                  <w:tcBorders>
                    <w:top w:val="single" w:color="auto" w:sz="4" w:space="0"/>
                    <w:left w:val="single" w:color="auto" w:sz="4" w:space="0"/>
                    <w:bottom w:val="single" w:color="auto" w:sz="4" w:space="0"/>
                    <w:right w:val="single" w:color="auto" w:sz="4" w:space="0"/>
                  </w:tcBorders>
                  <w:noWrap w:val="0"/>
                  <w:vAlign w:val="center"/>
                </w:tcPr>
                <w:p w14:paraId="14CF706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本期间应支付的预留金价款</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737E901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5CB15D3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B82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70AA066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w:t>
                  </w:r>
                </w:p>
              </w:tc>
              <w:tc>
                <w:tcPr>
                  <w:tcW w:w="4662" w:type="dxa"/>
                  <w:tcBorders>
                    <w:top w:val="single" w:color="auto" w:sz="4" w:space="0"/>
                    <w:left w:val="single" w:color="auto" w:sz="4" w:space="0"/>
                    <w:bottom w:val="single" w:color="auto" w:sz="4" w:space="0"/>
                    <w:right w:val="single" w:color="auto" w:sz="4" w:space="0"/>
                  </w:tcBorders>
                  <w:noWrap w:val="0"/>
                  <w:vAlign w:val="center"/>
                </w:tcPr>
                <w:p w14:paraId="0BA0A6E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本期间应支付的工程变更价款</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5EBB9A4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415220F8">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根据第66条</w:t>
                  </w:r>
                </w:p>
              </w:tc>
            </w:tr>
            <w:tr w14:paraId="44E2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48713D3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w:t>
                  </w:r>
                </w:p>
              </w:tc>
              <w:tc>
                <w:tcPr>
                  <w:tcW w:w="4662" w:type="dxa"/>
                  <w:tcBorders>
                    <w:top w:val="single" w:color="auto" w:sz="4" w:space="0"/>
                    <w:left w:val="single" w:color="auto" w:sz="4" w:space="0"/>
                    <w:bottom w:val="single" w:color="auto" w:sz="4" w:space="0"/>
                    <w:right w:val="single" w:color="auto" w:sz="4" w:space="0"/>
                  </w:tcBorders>
                  <w:noWrap w:val="0"/>
                  <w:vAlign w:val="center"/>
                </w:tcPr>
                <w:p w14:paraId="5F594D2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本期间应支付的安全防护、文明施工措施费</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4084F1D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46F9D409">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根据第68条至第 76 条</w:t>
                  </w:r>
                </w:p>
              </w:tc>
            </w:tr>
            <w:tr w14:paraId="2A3B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2549F8A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w:t>
                  </w:r>
                </w:p>
              </w:tc>
              <w:tc>
                <w:tcPr>
                  <w:tcW w:w="4662" w:type="dxa"/>
                  <w:tcBorders>
                    <w:top w:val="single" w:color="auto" w:sz="4" w:space="0"/>
                    <w:left w:val="single" w:color="auto" w:sz="4" w:space="0"/>
                    <w:bottom w:val="single" w:color="auto" w:sz="4" w:space="0"/>
                    <w:right w:val="single" w:color="auto" w:sz="4" w:space="0"/>
                  </w:tcBorders>
                  <w:noWrap w:val="0"/>
                  <w:vAlign w:val="center"/>
                </w:tcPr>
                <w:p w14:paraId="0DE5E9F6">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物价和后继法律法规的调整价款</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72630AE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0EE272EA">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根据第79条</w:t>
                  </w:r>
                </w:p>
              </w:tc>
            </w:tr>
            <w:tr w14:paraId="1BFF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58D957C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9</w:t>
                  </w:r>
                </w:p>
              </w:tc>
              <w:tc>
                <w:tcPr>
                  <w:tcW w:w="4662" w:type="dxa"/>
                  <w:tcBorders>
                    <w:top w:val="single" w:color="auto" w:sz="4" w:space="0"/>
                    <w:left w:val="single" w:color="auto" w:sz="4" w:space="0"/>
                    <w:bottom w:val="single" w:color="auto" w:sz="4" w:space="0"/>
                    <w:right w:val="single" w:color="auto" w:sz="4" w:space="0"/>
                  </w:tcBorders>
                  <w:noWrap w:val="0"/>
                  <w:vAlign w:val="center"/>
                </w:tcPr>
                <w:p w14:paraId="6BB4E9D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本期间应扣除的误期赔偿费</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1BEEC928">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7155AAC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根据第80条</w:t>
                  </w:r>
                </w:p>
              </w:tc>
            </w:tr>
            <w:tr w14:paraId="1AF8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370E86B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10</w:t>
                  </w:r>
                </w:p>
              </w:tc>
              <w:tc>
                <w:tcPr>
                  <w:tcW w:w="4662" w:type="dxa"/>
                  <w:tcBorders>
                    <w:top w:val="single" w:color="auto" w:sz="4" w:space="0"/>
                    <w:left w:val="single" w:color="auto" w:sz="4" w:space="0"/>
                    <w:bottom w:val="single" w:color="auto" w:sz="4" w:space="0"/>
                    <w:right w:val="single" w:color="auto" w:sz="4" w:space="0"/>
                  </w:tcBorders>
                  <w:noWrap w:val="0"/>
                  <w:vAlign w:val="center"/>
                </w:tcPr>
                <w:p w14:paraId="7B9A4AE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本期间应扣回的预付款</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7AC0193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7D3B5FB9">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根据第84条</w:t>
                  </w:r>
                </w:p>
              </w:tc>
            </w:tr>
            <w:tr w14:paraId="1C7B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4432554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w:t>
                  </w:r>
                </w:p>
              </w:tc>
              <w:tc>
                <w:tcPr>
                  <w:tcW w:w="4662" w:type="dxa"/>
                  <w:tcBorders>
                    <w:top w:val="single" w:color="auto" w:sz="4" w:space="0"/>
                    <w:left w:val="single" w:color="auto" w:sz="4" w:space="0"/>
                    <w:bottom w:val="single" w:color="auto" w:sz="4" w:space="0"/>
                    <w:right w:val="single" w:color="auto" w:sz="4" w:space="0"/>
                  </w:tcBorders>
                  <w:noWrap w:val="0"/>
                  <w:vAlign w:val="center"/>
                </w:tcPr>
                <w:p w14:paraId="0DAD348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本期间应扣留的质量保证金</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26954C7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14DA95F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689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3BF736E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12</w:t>
                  </w:r>
                </w:p>
              </w:tc>
              <w:tc>
                <w:tcPr>
                  <w:tcW w:w="4662" w:type="dxa"/>
                  <w:tcBorders>
                    <w:top w:val="single" w:color="auto" w:sz="4" w:space="0"/>
                    <w:left w:val="single" w:color="auto" w:sz="4" w:space="0"/>
                    <w:bottom w:val="single" w:color="auto" w:sz="4" w:space="0"/>
                    <w:right w:val="single" w:color="auto" w:sz="4" w:space="0"/>
                  </w:tcBorders>
                  <w:noWrap w:val="0"/>
                  <w:vAlign w:val="center"/>
                </w:tcPr>
                <w:p w14:paraId="1A9560D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本期间应支付或扣回（留）的其他款项</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6C57D22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543E1C2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42AF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56AFA5C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4662" w:type="dxa"/>
                  <w:tcBorders>
                    <w:top w:val="single" w:color="auto" w:sz="4" w:space="0"/>
                    <w:left w:val="single" w:color="auto" w:sz="4" w:space="0"/>
                    <w:bottom w:val="single" w:color="auto" w:sz="4" w:space="0"/>
                    <w:right w:val="single" w:color="auto" w:sz="4" w:space="0"/>
                  </w:tcBorders>
                  <w:noWrap w:val="0"/>
                  <w:vAlign w:val="center"/>
                </w:tcPr>
                <w:p w14:paraId="68001578">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533" w:type="dxa"/>
                  <w:tcBorders>
                    <w:top w:val="single" w:color="auto" w:sz="4" w:space="0"/>
                    <w:left w:val="single" w:color="auto" w:sz="4" w:space="0"/>
                    <w:bottom w:val="single" w:color="auto" w:sz="4" w:space="0"/>
                    <w:right w:val="single" w:color="auto" w:sz="4" w:space="0"/>
                  </w:tcBorders>
                  <w:noWrap w:val="0"/>
                  <w:vAlign w:val="center"/>
                </w:tcPr>
                <w:p w14:paraId="21D3F7C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087EEE3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2A6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14:paraId="382909C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4662" w:type="dxa"/>
                  <w:tcBorders>
                    <w:top w:val="single" w:color="auto" w:sz="4" w:space="0"/>
                    <w:left w:val="single" w:color="auto" w:sz="4" w:space="0"/>
                    <w:bottom w:val="single" w:color="auto" w:sz="4" w:space="0"/>
                    <w:right w:val="single" w:color="auto" w:sz="4" w:space="0"/>
                  </w:tcBorders>
                  <w:noWrap w:val="0"/>
                  <w:vAlign w:val="center"/>
                </w:tcPr>
                <w:p w14:paraId="7995BDD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本期间应支付的工程价款</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661C65B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21" w:type="dxa"/>
                  <w:tcBorders>
                    <w:top w:val="single" w:color="auto" w:sz="4" w:space="0"/>
                    <w:left w:val="single" w:color="auto" w:sz="4" w:space="0"/>
                    <w:bottom w:val="single" w:color="auto" w:sz="4" w:space="0"/>
                    <w:right w:val="single" w:color="auto" w:sz="4" w:space="0"/>
                  </w:tcBorders>
                  <w:noWrap w:val="0"/>
                  <w:vAlign w:val="center"/>
                </w:tcPr>
                <w:p w14:paraId="7C016B4A">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bl>
          <w:p w14:paraId="2400DB3E">
            <w:pPr>
              <w:tabs>
                <w:tab w:val="left" w:pos="6912"/>
              </w:tabs>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w:t>
            </w:r>
          </w:p>
          <w:p w14:paraId="366E0F63">
            <w:pPr>
              <w:tabs>
                <w:tab w:val="left" w:pos="6912"/>
              </w:tabs>
              <w:spacing w:line="420" w:lineRule="exact"/>
              <w:ind w:left="42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 有关证明资料；</w:t>
            </w:r>
          </w:p>
          <w:p w14:paraId="6EE65B4C">
            <w:pPr>
              <w:tabs>
                <w:tab w:val="left" w:pos="6912"/>
              </w:tabs>
              <w:spacing w:line="420" w:lineRule="exact"/>
              <w:ind w:left="42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 计算过程及说明。</w:t>
            </w:r>
          </w:p>
          <w:p w14:paraId="21C0FC4C">
            <w:pPr>
              <w:tabs>
                <w:tab w:val="left" w:pos="6912"/>
              </w:tabs>
              <w:spacing w:line="420" w:lineRule="exact"/>
              <w:ind w:firstLine="6720" w:firstLineChars="28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AA7A38D">
            <w:pPr>
              <w:tabs>
                <w:tab w:val="left" w:pos="6912"/>
              </w:tabs>
              <w:spacing w:line="420" w:lineRule="exact"/>
              <w:ind w:firstLine="6720" w:firstLineChars="28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　包　人（章）</w:t>
            </w:r>
          </w:p>
          <w:p w14:paraId="48CCD298">
            <w:pPr>
              <w:spacing w:line="420" w:lineRule="exact"/>
              <w:ind w:firstLine="6720" w:firstLineChars="28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承包人代表</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67522304">
            <w:pPr>
              <w:tabs>
                <w:tab w:val="left" w:pos="7272"/>
              </w:tabs>
              <w:spacing w:line="420" w:lineRule="exact"/>
              <w:ind w:left="6730" w:leftChars="3205"/>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3189A3BE">
      <w:pPr>
        <w:widowControl w:val="0"/>
        <w:adjustRightInd w:val="0"/>
        <w:snapToGrid w:val="0"/>
        <w:spacing w:line="420" w:lineRule="exact"/>
        <w:ind w:left="660" w:hanging="720" w:hangingChars="3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说明：本表一式五份，由承包人填制，承包人、监理单位和造价咨询单位各存一份，发包人存二份。</w:t>
      </w:r>
    </w:p>
    <w:p w14:paraId="17F17330">
      <w:pPr>
        <w:spacing w:line="420" w:lineRule="exact"/>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708" w:name="_Toc16458"/>
      <w:bookmarkStart w:id="709" w:name="_Toc28227"/>
      <w:bookmarkStart w:id="710" w:name="_Toc2184"/>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708"/>
      <w:bookmarkEnd w:id="709"/>
      <w:bookmarkEnd w:id="710"/>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26</w:t>
      </w:r>
    </w:p>
    <w:p w14:paraId="2C6CE015">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支付证书</w:t>
      </w:r>
    </w:p>
    <w:p w14:paraId="666A2FD3">
      <w:pPr>
        <w:spacing w:line="420" w:lineRule="exact"/>
        <w:ind w:firstLine="240" w:firstLineChars="1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编号:</w:t>
      </w:r>
    </w:p>
    <w:tbl>
      <w:tblPr>
        <w:tblStyle w:val="38"/>
        <w:tblW w:w="9694" w:type="dxa"/>
        <w:tblInd w:w="-38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94"/>
      </w:tblGrid>
      <w:tr w14:paraId="7BF75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18" w:hRule="atLeast"/>
        </w:trPr>
        <w:tc>
          <w:tcPr>
            <w:tcW w:w="9694" w:type="dxa"/>
            <w:tcBorders>
              <w:bottom w:val="single" w:color="auto" w:sz="4" w:space="0"/>
            </w:tcBorders>
            <w:noWrap w:val="0"/>
            <w:vAlign w:val="top"/>
          </w:tcPr>
          <w:p w14:paraId="1320B2B3">
            <w:pPr>
              <w:spacing w:before="120" w:line="300" w:lineRule="exact"/>
              <w:ind w:left="-28" w:firstLine="181"/>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（发包人全称）</w:t>
            </w:r>
          </w:p>
          <w:p w14:paraId="5F773BFA">
            <w:pPr>
              <w:spacing w:line="300" w:lineRule="exact"/>
              <w:ind w:left="-28"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根据施工合同条款</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的规定，经核实承包人提出的已完工程款额报告（编号   　 ）和支付申请报告（编号      　），于</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至</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期间,同意本期间支付工程款（大写）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（小写</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）。请按合同规定时间内向承包人支付工程价款。其中：</w:t>
            </w:r>
          </w:p>
          <w:p w14:paraId="06808655">
            <w:pPr>
              <w:spacing w:line="30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１．承包人申报款为：</w:t>
            </w:r>
          </w:p>
          <w:p w14:paraId="5064B937">
            <w:pPr>
              <w:spacing w:line="30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２．经复核承包人应得款为：</w:t>
            </w:r>
          </w:p>
          <w:p w14:paraId="6D50E2D7">
            <w:pPr>
              <w:spacing w:line="30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３．本期应扣款为：</w:t>
            </w:r>
          </w:p>
          <w:p w14:paraId="3238ACBD">
            <w:pPr>
              <w:spacing w:line="30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４．本期应付款为：</w:t>
            </w:r>
          </w:p>
          <w:tbl>
            <w:tblPr>
              <w:tblStyle w:val="38"/>
              <w:tblpPr w:leftFromText="180" w:rightFromText="180" w:vertAnchor="text" w:horzAnchor="page" w:tblpX="343" w:tblpY="267"/>
              <w:tblOverlap w:val="never"/>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4256"/>
              <w:gridCol w:w="1932"/>
              <w:gridCol w:w="1968"/>
            </w:tblGrid>
            <w:tr w14:paraId="234D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338F4E3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序号</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4C656BE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名           称</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04FB405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金 额（元）</w:t>
                  </w:r>
                </w:p>
              </w:tc>
              <w:tc>
                <w:tcPr>
                  <w:tcW w:w="1968" w:type="dxa"/>
                  <w:tcBorders>
                    <w:top w:val="single" w:color="auto" w:sz="4" w:space="0"/>
                    <w:left w:val="single" w:color="auto" w:sz="4" w:space="0"/>
                    <w:bottom w:val="single" w:color="auto" w:sz="4" w:space="0"/>
                    <w:right w:val="single" w:color="auto" w:sz="4" w:space="0"/>
                  </w:tcBorders>
                  <w:noWrap w:val="0"/>
                  <w:vAlign w:val="center"/>
                </w:tcPr>
                <w:p w14:paraId="09554AC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备       注</w:t>
                  </w:r>
                </w:p>
              </w:tc>
            </w:tr>
            <w:tr w14:paraId="4BE6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0FFCD09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1630CB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累计已完工程价款</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53617A2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2A0C966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FDC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13E3FB4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B0E45A6">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累计已实际支付的工程价款</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09DEC80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305D8F95">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49B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6F8A394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63D5DB7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本期间已完工程价款</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36B053D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424F4BE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945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697FF3D3">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2A93759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本期间完成的零星工作项目价款</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20CE26C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7FE1144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CAD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13A1042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624D512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本期间应支付的预留金价款</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52CB780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77107B2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52CC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2D6E117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75C57446">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本期间应支付的工程变更价款</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39AB099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131F3FA2">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根据第66条</w:t>
                  </w:r>
                </w:p>
              </w:tc>
            </w:tr>
            <w:tr w14:paraId="2530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4E820BB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56A505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本期间应支付的安全防护、文明施工措施费</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5E3ACD2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6551E5F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根据第68条至第 76 条</w:t>
                  </w:r>
                </w:p>
              </w:tc>
            </w:tr>
            <w:tr w14:paraId="1739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37E5E34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106F89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物价和后继法律法规的调整价款</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706E755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7A293F6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根据第79条</w:t>
                  </w:r>
                </w:p>
              </w:tc>
            </w:tr>
            <w:tr w14:paraId="76B8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3CDF0DF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9</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6342230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本期间应扣除的误期赔偿费</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287437D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7BD5003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根据第80条</w:t>
                  </w:r>
                </w:p>
              </w:tc>
            </w:tr>
            <w:tr w14:paraId="00EC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3B4853F2">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10</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A9BD4B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本期间应扣回的预付款</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08BC0530">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1B5750A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根据第84条</w:t>
                  </w:r>
                </w:p>
              </w:tc>
            </w:tr>
            <w:tr w14:paraId="5905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5A987A0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2785D4B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本期间应扣留的质量保证金</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49B4DA5B">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6CA28609">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4E7F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6B12E72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12</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6066346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本期间应支付或扣回（留）的其他款项</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3DCEFC46">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52A0B8F2">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53F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exact"/>
              </w:trPr>
              <w:tc>
                <w:tcPr>
                  <w:tcW w:w="984" w:type="dxa"/>
                  <w:tcBorders>
                    <w:top w:val="single" w:color="auto" w:sz="4" w:space="0"/>
                    <w:left w:val="single" w:color="auto" w:sz="4" w:space="0"/>
                    <w:bottom w:val="single" w:color="auto" w:sz="4" w:space="0"/>
                    <w:right w:val="single" w:color="auto" w:sz="4" w:space="0"/>
                  </w:tcBorders>
                  <w:noWrap w:val="0"/>
                  <w:vAlign w:val="center"/>
                </w:tcPr>
                <w:p w14:paraId="5B59078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8BA6376">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本期间应支付的工程价款</w:t>
                  </w:r>
                </w:p>
              </w:tc>
              <w:tc>
                <w:tcPr>
                  <w:tcW w:w="1932" w:type="dxa"/>
                  <w:tcBorders>
                    <w:top w:val="single" w:color="auto" w:sz="4" w:space="0"/>
                    <w:left w:val="single" w:color="auto" w:sz="4" w:space="0"/>
                    <w:bottom w:val="single" w:color="auto" w:sz="4" w:space="0"/>
                    <w:right w:val="single" w:color="auto" w:sz="4" w:space="0"/>
                  </w:tcBorders>
                  <w:noWrap w:val="0"/>
                  <w:vAlign w:val="center"/>
                </w:tcPr>
                <w:p w14:paraId="5D47258A">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4DF8C03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bl>
          <w:p w14:paraId="7899EEEF">
            <w:pPr>
              <w:spacing w:line="300" w:lineRule="exact"/>
              <w:ind w:left="-28"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具体细目如下：</w:t>
            </w:r>
          </w:p>
          <w:p w14:paraId="30FF7C6F">
            <w:pPr>
              <w:tabs>
                <w:tab w:val="left" w:pos="6912"/>
              </w:tabs>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附：1. 已完工程款额明细审核表</w:t>
            </w:r>
          </w:p>
          <w:p w14:paraId="2D4A9214">
            <w:pPr>
              <w:tabs>
                <w:tab w:val="left" w:pos="6912"/>
              </w:tabs>
              <w:spacing w:line="420" w:lineRule="exact"/>
              <w:ind w:left="48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 相关记录</w:t>
            </w:r>
          </w:p>
          <w:p w14:paraId="56632FDA">
            <w:pPr>
              <w:tabs>
                <w:tab w:val="left" w:pos="6912"/>
              </w:tabs>
              <w:spacing w:line="420" w:lineRule="exact"/>
              <w:ind w:firstLine="6000" w:firstLineChars="25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工程造价咨询人（如有）（章）                </w:t>
            </w:r>
          </w:p>
          <w:p w14:paraId="6D48369D">
            <w:pPr>
              <w:spacing w:line="420" w:lineRule="exact"/>
              <w:ind w:firstLine="60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造价工程师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0F4EA3DC">
            <w:pPr>
              <w:tabs>
                <w:tab w:val="left" w:pos="7272"/>
              </w:tabs>
              <w:spacing w:line="420" w:lineRule="exact"/>
              <w:ind w:firstLine="6000"/>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      期</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bl>
    <w:p w14:paraId="21AE8289">
      <w:pPr>
        <w:widowControl w:val="0"/>
        <w:adjustRightInd w:val="0"/>
        <w:snapToGrid w:val="0"/>
        <w:spacing w:line="420" w:lineRule="exact"/>
        <w:ind w:left="719" w:leftChars="114" w:hanging="480" w:hangingChars="200"/>
        <w:jc w:val="both"/>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说明：本表一式四份，由造价咨询单位填制，抄送承包人。发包人、监理人、工程造价咨询人（如有）和承包人各存一份。</w:t>
      </w:r>
    </w:p>
    <w:p w14:paraId="434396D1">
      <w:pPr>
        <w:spacing w:line="420" w:lineRule="exact"/>
        <w:outlineLvl w:val="1"/>
        <w:rPr>
          <w:rFonts w:hint="default" w:ascii="黑体" w:hAnsi="黑体" w:eastAsia="黑体" w:cs="黑体"/>
          <w:b w:val="0"/>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br w:type="page"/>
      </w:r>
      <w:bookmarkStart w:id="711" w:name="_Toc27727"/>
      <w:bookmarkStart w:id="712" w:name="_Toc31415"/>
      <w:bookmarkStart w:id="713" w:name="_Toc29431"/>
      <w:r>
        <w:rPr>
          <w:rFonts w:hint="eastAsia" w:ascii="黑体" w:hAnsi="黑体" w:eastAsia="黑体" w:cs="黑体"/>
          <w:b w:val="0"/>
          <w:bCs w:val="0"/>
          <w:color w:val="000000" w:themeColor="text1"/>
          <w:kern w:val="0"/>
          <w:sz w:val="24"/>
          <w:szCs w:val="24"/>
          <w:highlight w:val="none"/>
          <w14:textFill>
            <w14:solidFill>
              <w14:schemeClr w14:val="tx1"/>
            </w14:solidFill>
          </w14:textFill>
        </w:rPr>
        <w:t>格式</w:t>
      </w:r>
      <w:bookmarkEnd w:id="711"/>
      <w:bookmarkEnd w:id="712"/>
      <w:bookmarkEnd w:id="713"/>
      <w:r>
        <w:rPr>
          <w:rFonts w:hint="eastAsia" w:ascii="黑体" w:hAnsi="黑体" w:eastAsia="黑体" w:cs="黑体"/>
          <w:b w:val="0"/>
          <w:bCs w:val="0"/>
          <w:color w:val="000000" w:themeColor="text1"/>
          <w:kern w:val="0"/>
          <w:sz w:val="24"/>
          <w:szCs w:val="24"/>
          <w:highlight w:val="none"/>
          <w:lang w:val="en-US" w:eastAsia="zh-CN"/>
          <w14:textFill>
            <w14:solidFill>
              <w14:schemeClr w14:val="tx1"/>
            </w14:solidFill>
          </w14:textFill>
        </w:rPr>
        <w:t>27</w:t>
      </w:r>
    </w:p>
    <w:p w14:paraId="1AFF009C">
      <w:pPr>
        <w:spacing w:line="420" w:lineRule="exact"/>
        <w:jc w:val="cente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sz w:val="32"/>
          <w:szCs w:val="32"/>
          <w:highlight w:val="none"/>
          <w14:textFill>
            <w14:solidFill>
              <w14:schemeClr w14:val="tx1"/>
            </w14:solidFill>
          </w14:textFill>
        </w:rPr>
        <w:t>支付统计表</w:t>
      </w:r>
    </w:p>
    <w:p w14:paraId="0C543E2B">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工程名称：                         编号：</w:t>
      </w:r>
    </w:p>
    <w:tbl>
      <w:tblPr>
        <w:tblStyle w:val="38"/>
        <w:tblW w:w="9844" w:type="dxa"/>
        <w:tblInd w:w="-4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881"/>
        <w:gridCol w:w="825"/>
        <w:gridCol w:w="1069"/>
        <w:gridCol w:w="1012"/>
        <w:gridCol w:w="1313"/>
        <w:gridCol w:w="1068"/>
        <w:gridCol w:w="657"/>
        <w:gridCol w:w="1481"/>
        <w:gridCol w:w="881"/>
      </w:tblGrid>
      <w:tr w14:paraId="3ABF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trPr>
        <w:tc>
          <w:tcPr>
            <w:tcW w:w="657" w:type="dxa"/>
            <w:vMerge w:val="restart"/>
            <w:noWrap w:val="0"/>
            <w:vAlign w:val="center"/>
          </w:tcPr>
          <w:p w14:paraId="4D084FF9">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序号</w:t>
            </w:r>
          </w:p>
        </w:tc>
        <w:tc>
          <w:tcPr>
            <w:tcW w:w="881" w:type="dxa"/>
            <w:vMerge w:val="restart"/>
            <w:noWrap w:val="0"/>
            <w:vAlign w:val="center"/>
          </w:tcPr>
          <w:p w14:paraId="50842E9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支付证书编号</w:t>
            </w:r>
          </w:p>
        </w:tc>
        <w:tc>
          <w:tcPr>
            <w:tcW w:w="1894" w:type="dxa"/>
            <w:gridSpan w:val="2"/>
            <w:noWrap w:val="0"/>
            <w:vAlign w:val="center"/>
          </w:tcPr>
          <w:p w14:paraId="3800182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对应支付期间</w:t>
            </w:r>
          </w:p>
        </w:tc>
        <w:tc>
          <w:tcPr>
            <w:tcW w:w="2325" w:type="dxa"/>
            <w:gridSpan w:val="2"/>
            <w:noWrap w:val="0"/>
            <w:vAlign w:val="center"/>
          </w:tcPr>
          <w:p w14:paraId="73E616EE">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期间已完工程</w:t>
            </w:r>
          </w:p>
        </w:tc>
        <w:tc>
          <w:tcPr>
            <w:tcW w:w="1725" w:type="dxa"/>
            <w:gridSpan w:val="2"/>
            <w:noWrap w:val="0"/>
            <w:vAlign w:val="center"/>
          </w:tcPr>
          <w:p w14:paraId="3441220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期间实际支付</w:t>
            </w:r>
          </w:p>
        </w:tc>
        <w:tc>
          <w:tcPr>
            <w:tcW w:w="1481" w:type="dxa"/>
            <w:vMerge w:val="restart"/>
            <w:noWrap w:val="0"/>
            <w:vAlign w:val="center"/>
          </w:tcPr>
          <w:p w14:paraId="51E391AC">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已扣留的</w:t>
            </w:r>
          </w:p>
          <w:p w14:paraId="0D08490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质量保证金（元）</w:t>
            </w:r>
          </w:p>
        </w:tc>
        <w:tc>
          <w:tcPr>
            <w:tcW w:w="881" w:type="dxa"/>
            <w:vMerge w:val="restart"/>
            <w:noWrap w:val="0"/>
            <w:vAlign w:val="center"/>
          </w:tcPr>
          <w:p w14:paraId="20CA7421">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备注</w:t>
            </w:r>
          </w:p>
        </w:tc>
      </w:tr>
      <w:tr w14:paraId="5560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trPr>
        <w:tc>
          <w:tcPr>
            <w:tcW w:w="657" w:type="dxa"/>
            <w:vMerge w:val="continue"/>
            <w:noWrap w:val="0"/>
            <w:vAlign w:val="center"/>
          </w:tcPr>
          <w:p w14:paraId="1BEB2475">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vMerge w:val="continue"/>
            <w:noWrap w:val="0"/>
            <w:vAlign w:val="center"/>
          </w:tcPr>
          <w:p w14:paraId="2FCB2175">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25" w:type="dxa"/>
            <w:noWrap w:val="0"/>
            <w:vAlign w:val="center"/>
          </w:tcPr>
          <w:p w14:paraId="182363E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开始日</w:t>
            </w:r>
          </w:p>
        </w:tc>
        <w:tc>
          <w:tcPr>
            <w:tcW w:w="1069" w:type="dxa"/>
            <w:noWrap w:val="0"/>
            <w:vAlign w:val="center"/>
          </w:tcPr>
          <w:p w14:paraId="2FB61265">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截止日</w:t>
            </w:r>
          </w:p>
        </w:tc>
        <w:tc>
          <w:tcPr>
            <w:tcW w:w="1012" w:type="dxa"/>
            <w:noWrap w:val="0"/>
            <w:vAlign w:val="center"/>
          </w:tcPr>
          <w:p w14:paraId="75BDC9C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金额（元）</w:t>
            </w:r>
          </w:p>
        </w:tc>
        <w:tc>
          <w:tcPr>
            <w:tcW w:w="1313" w:type="dxa"/>
            <w:noWrap w:val="0"/>
            <w:vAlign w:val="center"/>
          </w:tcPr>
          <w:p w14:paraId="2EA9870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最迟支付时间</w:t>
            </w:r>
          </w:p>
        </w:tc>
        <w:tc>
          <w:tcPr>
            <w:tcW w:w="1068" w:type="dxa"/>
            <w:noWrap w:val="0"/>
            <w:vAlign w:val="center"/>
          </w:tcPr>
          <w:p w14:paraId="7B7CED94">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金额 （元）</w:t>
            </w:r>
          </w:p>
        </w:tc>
        <w:tc>
          <w:tcPr>
            <w:tcW w:w="657" w:type="dxa"/>
            <w:noWrap w:val="0"/>
            <w:vAlign w:val="center"/>
          </w:tcPr>
          <w:p w14:paraId="7912DF2D">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时间</w:t>
            </w:r>
          </w:p>
        </w:tc>
        <w:tc>
          <w:tcPr>
            <w:tcW w:w="1481" w:type="dxa"/>
            <w:vMerge w:val="continue"/>
            <w:noWrap w:val="0"/>
            <w:vAlign w:val="center"/>
          </w:tcPr>
          <w:p w14:paraId="02DE0686">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vMerge w:val="continue"/>
            <w:noWrap w:val="0"/>
            <w:vAlign w:val="center"/>
          </w:tcPr>
          <w:p w14:paraId="66FB2706">
            <w:pPr>
              <w:widowControl/>
              <w:spacing w:line="42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C75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noWrap w:val="0"/>
            <w:vAlign w:val="top"/>
          </w:tcPr>
          <w:p w14:paraId="4DF6B236">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1B7395A4">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25" w:type="dxa"/>
            <w:noWrap w:val="0"/>
            <w:vAlign w:val="top"/>
          </w:tcPr>
          <w:p w14:paraId="24568A24">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9" w:type="dxa"/>
            <w:noWrap w:val="0"/>
            <w:vAlign w:val="top"/>
          </w:tcPr>
          <w:p w14:paraId="4731FDB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12" w:type="dxa"/>
            <w:noWrap w:val="0"/>
            <w:vAlign w:val="top"/>
          </w:tcPr>
          <w:p w14:paraId="218C885B">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13" w:type="dxa"/>
            <w:noWrap w:val="0"/>
            <w:vAlign w:val="top"/>
          </w:tcPr>
          <w:p w14:paraId="7B3C96F9">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8" w:type="dxa"/>
            <w:noWrap w:val="0"/>
            <w:vAlign w:val="top"/>
          </w:tcPr>
          <w:p w14:paraId="0CA49E8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657" w:type="dxa"/>
            <w:noWrap w:val="0"/>
            <w:vAlign w:val="top"/>
          </w:tcPr>
          <w:p w14:paraId="75421DE9">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81" w:type="dxa"/>
            <w:noWrap w:val="0"/>
            <w:vAlign w:val="top"/>
          </w:tcPr>
          <w:p w14:paraId="3F92542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05C6F6D2">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9F1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noWrap w:val="0"/>
            <w:vAlign w:val="top"/>
          </w:tcPr>
          <w:p w14:paraId="29C65CBB">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7BB8CEC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25" w:type="dxa"/>
            <w:noWrap w:val="0"/>
            <w:vAlign w:val="top"/>
          </w:tcPr>
          <w:p w14:paraId="0ED0D3B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9" w:type="dxa"/>
            <w:noWrap w:val="0"/>
            <w:vAlign w:val="top"/>
          </w:tcPr>
          <w:p w14:paraId="42B0A6D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12" w:type="dxa"/>
            <w:noWrap w:val="0"/>
            <w:vAlign w:val="top"/>
          </w:tcPr>
          <w:p w14:paraId="1970BBD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13" w:type="dxa"/>
            <w:noWrap w:val="0"/>
            <w:vAlign w:val="top"/>
          </w:tcPr>
          <w:p w14:paraId="72E00CC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8" w:type="dxa"/>
            <w:noWrap w:val="0"/>
            <w:vAlign w:val="top"/>
          </w:tcPr>
          <w:p w14:paraId="342F614B">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657" w:type="dxa"/>
            <w:noWrap w:val="0"/>
            <w:vAlign w:val="top"/>
          </w:tcPr>
          <w:p w14:paraId="041C08B8">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81" w:type="dxa"/>
            <w:noWrap w:val="0"/>
            <w:vAlign w:val="top"/>
          </w:tcPr>
          <w:p w14:paraId="3B43D8C2">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4D12D0CB">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F9C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noWrap w:val="0"/>
            <w:vAlign w:val="top"/>
          </w:tcPr>
          <w:p w14:paraId="1991FB9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130B783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25" w:type="dxa"/>
            <w:noWrap w:val="0"/>
            <w:vAlign w:val="top"/>
          </w:tcPr>
          <w:p w14:paraId="634BCD1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9" w:type="dxa"/>
            <w:noWrap w:val="0"/>
            <w:vAlign w:val="top"/>
          </w:tcPr>
          <w:p w14:paraId="5686E91A">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12" w:type="dxa"/>
            <w:noWrap w:val="0"/>
            <w:vAlign w:val="top"/>
          </w:tcPr>
          <w:p w14:paraId="55645F0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13" w:type="dxa"/>
            <w:noWrap w:val="0"/>
            <w:vAlign w:val="top"/>
          </w:tcPr>
          <w:p w14:paraId="65F64F0A">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8" w:type="dxa"/>
            <w:noWrap w:val="0"/>
            <w:vAlign w:val="top"/>
          </w:tcPr>
          <w:p w14:paraId="4840D264">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657" w:type="dxa"/>
            <w:noWrap w:val="0"/>
            <w:vAlign w:val="top"/>
          </w:tcPr>
          <w:p w14:paraId="6B1C8CA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81" w:type="dxa"/>
            <w:noWrap w:val="0"/>
            <w:vAlign w:val="top"/>
          </w:tcPr>
          <w:p w14:paraId="2F1E2DEB">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39B841E6">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980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noWrap w:val="0"/>
            <w:vAlign w:val="top"/>
          </w:tcPr>
          <w:p w14:paraId="364F3FF9">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297C50F2">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25" w:type="dxa"/>
            <w:noWrap w:val="0"/>
            <w:vAlign w:val="top"/>
          </w:tcPr>
          <w:p w14:paraId="006FFDB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9" w:type="dxa"/>
            <w:noWrap w:val="0"/>
            <w:vAlign w:val="top"/>
          </w:tcPr>
          <w:p w14:paraId="5DACE814">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12" w:type="dxa"/>
            <w:noWrap w:val="0"/>
            <w:vAlign w:val="top"/>
          </w:tcPr>
          <w:p w14:paraId="47F97528">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13" w:type="dxa"/>
            <w:noWrap w:val="0"/>
            <w:vAlign w:val="top"/>
          </w:tcPr>
          <w:p w14:paraId="65924AE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8" w:type="dxa"/>
            <w:noWrap w:val="0"/>
            <w:vAlign w:val="top"/>
          </w:tcPr>
          <w:p w14:paraId="30C73A5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657" w:type="dxa"/>
            <w:noWrap w:val="0"/>
            <w:vAlign w:val="top"/>
          </w:tcPr>
          <w:p w14:paraId="13A3FBFB">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81" w:type="dxa"/>
            <w:noWrap w:val="0"/>
            <w:vAlign w:val="top"/>
          </w:tcPr>
          <w:p w14:paraId="5B5841C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57475CC9">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01D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noWrap w:val="0"/>
            <w:vAlign w:val="top"/>
          </w:tcPr>
          <w:p w14:paraId="0FE800E8">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407BB17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25" w:type="dxa"/>
            <w:noWrap w:val="0"/>
            <w:vAlign w:val="top"/>
          </w:tcPr>
          <w:p w14:paraId="601DEA0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9" w:type="dxa"/>
            <w:noWrap w:val="0"/>
            <w:vAlign w:val="top"/>
          </w:tcPr>
          <w:p w14:paraId="36C60B0A">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12" w:type="dxa"/>
            <w:noWrap w:val="0"/>
            <w:vAlign w:val="top"/>
          </w:tcPr>
          <w:p w14:paraId="17E928E6">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13" w:type="dxa"/>
            <w:noWrap w:val="0"/>
            <w:vAlign w:val="top"/>
          </w:tcPr>
          <w:p w14:paraId="551B5A86">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8" w:type="dxa"/>
            <w:noWrap w:val="0"/>
            <w:vAlign w:val="top"/>
          </w:tcPr>
          <w:p w14:paraId="58DF9B2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657" w:type="dxa"/>
            <w:noWrap w:val="0"/>
            <w:vAlign w:val="top"/>
          </w:tcPr>
          <w:p w14:paraId="4F293CE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81" w:type="dxa"/>
            <w:noWrap w:val="0"/>
            <w:vAlign w:val="top"/>
          </w:tcPr>
          <w:p w14:paraId="2036F49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6436734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D54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noWrap w:val="0"/>
            <w:vAlign w:val="top"/>
          </w:tcPr>
          <w:p w14:paraId="71BCF65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31536AB2">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25" w:type="dxa"/>
            <w:noWrap w:val="0"/>
            <w:vAlign w:val="top"/>
          </w:tcPr>
          <w:p w14:paraId="2122468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9" w:type="dxa"/>
            <w:noWrap w:val="0"/>
            <w:vAlign w:val="top"/>
          </w:tcPr>
          <w:p w14:paraId="715A45D6">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12" w:type="dxa"/>
            <w:noWrap w:val="0"/>
            <w:vAlign w:val="top"/>
          </w:tcPr>
          <w:p w14:paraId="58207734">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13" w:type="dxa"/>
            <w:noWrap w:val="0"/>
            <w:vAlign w:val="top"/>
          </w:tcPr>
          <w:p w14:paraId="62065BB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8" w:type="dxa"/>
            <w:noWrap w:val="0"/>
            <w:vAlign w:val="top"/>
          </w:tcPr>
          <w:p w14:paraId="74F5B9A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657" w:type="dxa"/>
            <w:noWrap w:val="0"/>
            <w:vAlign w:val="top"/>
          </w:tcPr>
          <w:p w14:paraId="4BD97128">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81" w:type="dxa"/>
            <w:noWrap w:val="0"/>
            <w:vAlign w:val="top"/>
          </w:tcPr>
          <w:p w14:paraId="56C3498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2EAB15B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E14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noWrap w:val="0"/>
            <w:vAlign w:val="top"/>
          </w:tcPr>
          <w:p w14:paraId="5FC6788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1A1D7AE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25" w:type="dxa"/>
            <w:noWrap w:val="0"/>
            <w:vAlign w:val="top"/>
          </w:tcPr>
          <w:p w14:paraId="1B529EE2">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9" w:type="dxa"/>
            <w:noWrap w:val="0"/>
            <w:vAlign w:val="top"/>
          </w:tcPr>
          <w:p w14:paraId="154FCEB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12" w:type="dxa"/>
            <w:noWrap w:val="0"/>
            <w:vAlign w:val="top"/>
          </w:tcPr>
          <w:p w14:paraId="205B274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13" w:type="dxa"/>
            <w:noWrap w:val="0"/>
            <w:vAlign w:val="top"/>
          </w:tcPr>
          <w:p w14:paraId="41AB789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8" w:type="dxa"/>
            <w:noWrap w:val="0"/>
            <w:vAlign w:val="top"/>
          </w:tcPr>
          <w:p w14:paraId="2C3BF0B6">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657" w:type="dxa"/>
            <w:noWrap w:val="0"/>
            <w:vAlign w:val="top"/>
          </w:tcPr>
          <w:p w14:paraId="253CFDE9">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81" w:type="dxa"/>
            <w:noWrap w:val="0"/>
            <w:vAlign w:val="top"/>
          </w:tcPr>
          <w:p w14:paraId="41D09C56">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70B1B84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3F5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noWrap w:val="0"/>
            <w:vAlign w:val="top"/>
          </w:tcPr>
          <w:p w14:paraId="3B367CF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2819E15D">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25" w:type="dxa"/>
            <w:noWrap w:val="0"/>
            <w:vAlign w:val="top"/>
          </w:tcPr>
          <w:p w14:paraId="4824FFAA">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9" w:type="dxa"/>
            <w:noWrap w:val="0"/>
            <w:vAlign w:val="top"/>
          </w:tcPr>
          <w:p w14:paraId="6F034229">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12" w:type="dxa"/>
            <w:noWrap w:val="0"/>
            <w:vAlign w:val="top"/>
          </w:tcPr>
          <w:p w14:paraId="3B70BB33">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13" w:type="dxa"/>
            <w:noWrap w:val="0"/>
            <w:vAlign w:val="top"/>
          </w:tcPr>
          <w:p w14:paraId="37A83E3A">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8" w:type="dxa"/>
            <w:noWrap w:val="0"/>
            <w:vAlign w:val="top"/>
          </w:tcPr>
          <w:p w14:paraId="5F6C6FA5">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657" w:type="dxa"/>
            <w:noWrap w:val="0"/>
            <w:vAlign w:val="top"/>
          </w:tcPr>
          <w:p w14:paraId="7FC9E9A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81" w:type="dxa"/>
            <w:noWrap w:val="0"/>
            <w:vAlign w:val="top"/>
          </w:tcPr>
          <w:p w14:paraId="6E093A2C">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157D17D7">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D3F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noWrap w:val="0"/>
            <w:vAlign w:val="top"/>
          </w:tcPr>
          <w:p w14:paraId="1012D4E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center"/>
          </w:tcPr>
          <w:p w14:paraId="1D4AF3F7">
            <w:pPr>
              <w:spacing w:line="420" w:lineRule="exact"/>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累计</w:t>
            </w:r>
          </w:p>
        </w:tc>
        <w:tc>
          <w:tcPr>
            <w:tcW w:w="825" w:type="dxa"/>
            <w:noWrap w:val="0"/>
            <w:vAlign w:val="top"/>
          </w:tcPr>
          <w:p w14:paraId="65146B8F">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9" w:type="dxa"/>
            <w:noWrap w:val="0"/>
            <w:vAlign w:val="top"/>
          </w:tcPr>
          <w:p w14:paraId="027F91DB">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12" w:type="dxa"/>
            <w:noWrap w:val="0"/>
            <w:vAlign w:val="top"/>
          </w:tcPr>
          <w:p w14:paraId="66E2E6E5">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313" w:type="dxa"/>
            <w:noWrap w:val="0"/>
            <w:vAlign w:val="top"/>
          </w:tcPr>
          <w:p w14:paraId="717627B1">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068" w:type="dxa"/>
            <w:noWrap w:val="0"/>
            <w:vAlign w:val="top"/>
          </w:tcPr>
          <w:p w14:paraId="3A18B079">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657" w:type="dxa"/>
            <w:noWrap w:val="0"/>
            <w:vAlign w:val="top"/>
          </w:tcPr>
          <w:p w14:paraId="401D4E3B">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81" w:type="dxa"/>
            <w:noWrap w:val="0"/>
            <w:vAlign w:val="top"/>
          </w:tcPr>
          <w:p w14:paraId="0AD4F552">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81" w:type="dxa"/>
            <w:noWrap w:val="0"/>
            <w:vAlign w:val="top"/>
          </w:tcPr>
          <w:p w14:paraId="780D624E">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bl>
    <w:p w14:paraId="652EB6B0">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编制：                       复核：        编制日期：  　 年  　月　 日</w:t>
      </w:r>
    </w:p>
    <w:p w14:paraId="2307AB6B">
      <w:pPr>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说明：本表用于承包人、发包人的工程款额支付凭证统计和内部管理。</w:t>
      </w:r>
    </w:p>
    <w:p w14:paraId="7A973B23">
      <w:pPr>
        <w:rPr>
          <w:rFonts w:ascii="仿宋" w:hAnsi="仿宋" w:eastAsia="仿宋" w:cs="Times New Roman"/>
          <w:color w:val="000000" w:themeColor="text1"/>
          <w:szCs w:val="21"/>
          <w:highlight w:val="none"/>
          <w14:textFill>
            <w14:solidFill>
              <w14:schemeClr w14:val="tx1"/>
            </w14:solidFill>
          </w14:textFill>
        </w:rPr>
      </w:pPr>
    </w:p>
    <w:p w14:paraId="5DC83259">
      <w:pPr>
        <w:rPr>
          <w:rFonts w:ascii="Calibri" w:hAnsi="Calibri" w:cs="Times New Roman"/>
          <w:color w:val="000000" w:themeColor="text1"/>
          <w:szCs w:val="21"/>
          <w:highlight w:val="none"/>
          <w14:textFill>
            <w14:solidFill>
              <w14:schemeClr w14:val="tx1"/>
            </w14:solidFill>
          </w14:textFill>
        </w:rPr>
      </w:pPr>
    </w:p>
    <w:p w14:paraId="3C617574">
      <w:pPr>
        <w:rPr>
          <w:rFonts w:ascii="Calibri" w:hAnsi="Calibri" w:cs="Times New Roman"/>
          <w:color w:val="000000" w:themeColor="text1"/>
          <w:szCs w:val="21"/>
          <w:highlight w:val="none"/>
          <w14:textFill>
            <w14:solidFill>
              <w14:schemeClr w14:val="tx1"/>
            </w14:solidFill>
          </w14:textFill>
        </w:rPr>
      </w:pPr>
    </w:p>
    <w:p w14:paraId="6E3AC816">
      <w:pPr>
        <w:rPr>
          <w:rFonts w:ascii="Calibri" w:hAnsi="Calibri" w:cs="Times New Roman"/>
          <w:color w:val="000000" w:themeColor="text1"/>
          <w:szCs w:val="21"/>
          <w:highlight w:val="none"/>
          <w14:textFill>
            <w14:solidFill>
              <w14:schemeClr w14:val="tx1"/>
            </w14:solidFill>
          </w14:textFill>
        </w:rPr>
      </w:pPr>
    </w:p>
    <w:p w14:paraId="61791FC0">
      <w:pPr>
        <w:rPr>
          <w:rFonts w:ascii="Calibri" w:hAnsi="Calibri" w:cs="Times New Roman"/>
          <w:color w:val="000000" w:themeColor="text1"/>
          <w:szCs w:val="21"/>
          <w:highlight w:val="none"/>
          <w14:textFill>
            <w14:solidFill>
              <w14:schemeClr w14:val="tx1"/>
            </w14:solidFill>
          </w14:textFill>
        </w:rPr>
      </w:pPr>
    </w:p>
    <w:p w14:paraId="20D0CFC2">
      <w:pPr>
        <w:rPr>
          <w:rFonts w:ascii="Calibri" w:hAnsi="Calibri" w:cs="Times New Roman"/>
          <w:color w:val="000000" w:themeColor="text1"/>
          <w:szCs w:val="21"/>
          <w:highlight w:val="none"/>
          <w14:textFill>
            <w14:solidFill>
              <w14:schemeClr w14:val="tx1"/>
            </w14:solidFill>
          </w14:textFill>
        </w:rPr>
      </w:pPr>
    </w:p>
    <w:p w14:paraId="3E3535D2">
      <w:pPr>
        <w:rPr>
          <w:rFonts w:ascii="Calibri" w:hAnsi="Calibri" w:cs="Times New Roman"/>
          <w:color w:val="000000" w:themeColor="text1"/>
          <w:szCs w:val="21"/>
          <w:highlight w:val="none"/>
          <w14:textFill>
            <w14:solidFill>
              <w14:schemeClr w14:val="tx1"/>
            </w14:solidFill>
          </w14:textFill>
        </w:rPr>
      </w:pPr>
    </w:p>
    <w:p w14:paraId="3A02FA49">
      <w:pPr>
        <w:rPr>
          <w:rFonts w:ascii="Calibri" w:hAnsi="Calibri" w:cs="Times New Roman"/>
          <w:color w:val="000000" w:themeColor="text1"/>
          <w:szCs w:val="21"/>
          <w:highlight w:val="none"/>
          <w14:textFill>
            <w14:solidFill>
              <w14:schemeClr w14:val="tx1"/>
            </w14:solidFill>
          </w14:textFill>
        </w:rPr>
      </w:pPr>
    </w:p>
    <w:p w14:paraId="71D27470">
      <w:pPr>
        <w:rPr>
          <w:rFonts w:ascii="Calibri" w:hAnsi="Calibri" w:cs="Times New Roman"/>
          <w:color w:val="000000" w:themeColor="text1"/>
          <w:szCs w:val="21"/>
          <w:highlight w:val="none"/>
          <w14:textFill>
            <w14:solidFill>
              <w14:schemeClr w14:val="tx1"/>
            </w14:solidFill>
          </w14:textFill>
        </w:rPr>
      </w:pPr>
    </w:p>
    <w:p w14:paraId="243873D3">
      <w:pPr>
        <w:rPr>
          <w:rFonts w:ascii="Calibri" w:hAnsi="Calibri" w:cs="Times New Roman"/>
          <w:color w:val="000000" w:themeColor="text1"/>
          <w:szCs w:val="21"/>
          <w:highlight w:val="none"/>
          <w14:textFill>
            <w14:solidFill>
              <w14:schemeClr w14:val="tx1"/>
            </w14:solidFill>
          </w14:textFill>
        </w:rPr>
      </w:pPr>
    </w:p>
    <w:p w14:paraId="5CE1BD5B">
      <w:pPr>
        <w:rPr>
          <w:rFonts w:ascii="Calibri" w:hAnsi="Calibri" w:cs="Times New Roman"/>
          <w:color w:val="000000" w:themeColor="text1"/>
          <w:szCs w:val="21"/>
          <w:highlight w:val="none"/>
          <w14:textFill>
            <w14:solidFill>
              <w14:schemeClr w14:val="tx1"/>
            </w14:solidFill>
          </w14:textFill>
        </w:rPr>
      </w:pPr>
    </w:p>
    <w:p w14:paraId="0C595A39">
      <w:pPr>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p>
    <w:p w14:paraId="26390C7C">
      <w:pPr>
        <w:widowControl/>
        <w:jc w:val="left"/>
        <w:rPr>
          <w:color w:val="000000" w:themeColor="text1"/>
          <w:sz w:val="24"/>
          <w:highlight w:val="none"/>
          <w14:textFill>
            <w14:solidFill>
              <w14:schemeClr w14:val="tx1"/>
            </w14:solidFill>
          </w14:textFill>
        </w:rPr>
      </w:pPr>
    </w:p>
    <w:p w14:paraId="27D26630">
      <w:pPr>
        <w:widowControl/>
        <w:spacing w:line="640" w:lineRule="exact"/>
        <w:jc w:val="left"/>
        <w:rPr>
          <w:rFonts w:ascii="黑体" w:hAnsi="黑体" w:eastAsia="黑体" w:cs="黑体"/>
          <w:color w:val="000000" w:themeColor="text1"/>
          <w:sz w:val="32"/>
          <w:szCs w:val="32"/>
          <w:highlight w:val="none"/>
          <w14:textFill>
            <w14:solidFill>
              <w14:schemeClr w14:val="tx1"/>
            </w14:solidFill>
          </w14:textFill>
        </w:rPr>
      </w:pPr>
    </w:p>
    <w:p w14:paraId="096B5752">
      <w:pPr>
        <w:rPr>
          <w:rFonts w:ascii="Calibri" w:hAnsi="Calibri" w:cs="Times New Roman"/>
          <w:color w:val="000000" w:themeColor="text1"/>
          <w:szCs w:val="21"/>
          <w:highlight w:val="none"/>
          <w14:textFill>
            <w14:solidFill>
              <w14:schemeClr w14:val="tx1"/>
            </w14:solidFill>
          </w14:textFill>
        </w:rPr>
        <w:sectPr>
          <w:footerReference r:id="rId13" w:type="default"/>
          <w:pgSz w:w="11906" w:h="16838"/>
          <w:pgMar w:top="1440" w:right="1797" w:bottom="1440" w:left="1797" w:header="851" w:footer="992" w:gutter="0"/>
          <w:pgNumType w:fmt="decimal"/>
          <w:cols w:space="720" w:num="1"/>
          <w:docGrid w:linePitch="312" w:charSpace="0"/>
        </w:sectPr>
      </w:pPr>
    </w:p>
    <w:p w14:paraId="71E89143">
      <w:pPr>
        <w:rPr>
          <w:rFonts w:hint="default" w:ascii="黑体" w:hAnsi="黑体" w:eastAsia="黑体" w:cs="黑体"/>
          <w:b w:val="0"/>
          <w:bCs w:val="0"/>
          <w:color w:val="000000" w:themeColor="text1"/>
          <w:kern w:val="2"/>
          <w:sz w:val="24"/>
          <w:szCs w:val="24"/>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格式 28</w:t>
      </w:r>
    </w:p>
    <w:p w14:paraId="6B143392">
      <w:pPr>
        <w:spacing w:line="420" w:lineRule="exact"/>
        <w:jc w:val="center"/>
        <w:rPr>
          <w:rFonts w:hint="eastAsia" w:ascii="方正小标宋简体" w:hAnsi="方正小标宋简体" w:eastAsia="方正小标宋简体" w:cs="方正小标宋简体"/>
          <w:b w:val="0"/>
          <w:bCs w:val="0"/>
          <w:color w:val="000000" w:themeColor="text1"/>
          <w:spacing w:val="40"/>
          <w:kern w:val="2"/>
          <w:sz w:val="32"/>
          <w:szCs w:val="32"/>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40"/>
          <w:kern w:val="2"/>
          <w:sz w:val="32"/>
          <w:szCs w:val="32"/>
          <w:highlight w:val="none"/>
          <w:lang w:val="en-US" w:eastAsia="zh-CN" w:bidi="ar-SA"/>
          <w14:textFill>
            <w14:solidFill>
              <w14:schemeClr w14:val="tx1"/>
            </w14:solidFill>
          </w14:textFill>
        </w:rPr>
        <w:t>交通疏导员现场签到表</w:t>
      </w:r>
    </w:p>
    <w:p w14:paraId="164E6B98">
      <w:pPr>
        <w:pStyle w:val="15"/>
        <w:ind w:firstLine="0" w:firstLineChars="0"/>
        <w:jc w:val="both"/>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工程名称：                                        项目编号：</w:t>
      </w:r>
    </w:p>
    <w:tbl>
      <w:tblPr>
        <w:tblStyle w:val="39"/>
        <w:tblW w:w="9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329"/>
        <w:gridCol w:w="1132"/>
        <w:gridCol w:w="1374"/>
        <w:gridCol w:w="891"/>
        <w:gridCol w:w="1133"/>
        <w:gridCol w:w="936"/>
        <w:gridCol w:w="1452"/>
      </w:tblGrid>
      <w:tr w14:paraId="3292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6EF1C1FA">
            <w:pPr>
              <w:pStyle w:val="15"/>
              <w:jc w:val="cente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t>日期</w:t>
            </w:r>
          </w:p>
        </w:tc>
        <w:tc>
          <w:tcPr>
            <w:tcW w:w="1329" w:type="dxa"/>
            <w:noWrap w:val="0"/>
            <w:vAlign w:val="top"/>
          </w:tcPr>
          <w:p w14:paraId="60342496">
            <w:pPr>
              <w:pStyle w:val="15"/>
              <w:jc w:val="cente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t>时间</w:t>
            </w:r>
          </w:p>
        </w:tc>
        <w:tc>
          <w:tcPr>
            <w:tcW w:w="1132" w:type="dxa"/>
            <w:noWrap w:val="0"/>
            <w:vAlign w:val="top"/>
          </w:tcPr>
          <w:p w14:paraId="58FC7762">
            <w:pPr>
              <w:pStyle w:val="15"/>
              <w:jc w:val="cente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t>签名</w:t>
            </w:r>
          </w:p>
        </w:tc>
        <w:tc>
          <w:tcPr>
            <w:tcW w:w="1374" w:type="dxa"/>
            <w:noWrap w:val="0"/>
            <w:vAlign w:val="top"/>
          </w:tcPr>
          <w:p w14:paraId="3DF3499E">
            <w:pPr>
              <w:pStyle w:val="15"/>
              <w:jc w:val="cente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t>身份证号码</w:t>
            </w:r>
          </w:p>
        </w:tc>
        <w:tc>
          <w:tcPr>
            <w:tcW w:w="891" w:type="dxa"/>
            <w:noWrap w:val="0"/>
            <w:vAlign w:val="top"/>
          </w:tcPr>
          <w:p w14:paraId="41A6743A">
            <w:pPr>
              <w:pStyle w:val="15"/>
              <w:jc w:val="cente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t>日期</w:t>
            </w:r>
          </w:p>
        </w:tc>
        <w:tc>
          <w:tcPr>
            <w:tcW w:w="1133" w:type="dxa"/>
            <w:noWrap w:val="0"/>
            <w:vAlign w:val="top"/>
          </w:tcPr>
          <w:p w14:paraId="0D2FC17D">
            <w:pPr>
              <w:pStyle w:val="15"/>
              <w:jc w:val="cente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t>时间</w:t>
            </w:r>
          </w:p>
        </w:tc>
        <w:tc>
          <w:tcPr>
            <w:tcW w:w="936" w:type="dxa"/>
            <w:noWrap w:val="0"/>
            <w:vAlign w:val="top"/>
          </w:tcPr>
          <w:p w14:paraId="7DFA185E">
            <w:pPr>
              <w:pStyle w:val="15"/>
              <w:jc w:val="cente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t>签名</w:t>
            </w:r>
          </w:p>
        </w:tc>
        <w:tc>
          <w:tcPr>
            <w:tcW w:w="1452" w:type="dxa"/>
            <w:noWrap w:val="0"/>
            <w:vAlign w:val="top"/>
          </w:tcPr>
          <w:p w14:paraId="75017F1B">
            <w:pPr>
              <w:pStyle w:val="15"/>
              <w:jc w:val="cente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vertAlign w:val="baseline"/>
                <w:lang w:val="en-US" w:eastAsia="zh-CN"/>
                <w14:textFill>
                  <w14:solidFill>
                    <w14:schemeClr w14:val="tx1"/>
                  </w14:solidFill>
                </w14:textFill>
              </w:rPr>
              <w:t>身份证号码</w:t>
            </w:r>
          </w:p>
        </w:tc>
      </w:tr>
      <w:tr w14:paraId="26A0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1C8BF75E">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633FEBC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7F554A06">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00DD626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34E392C4">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1154B2E9">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464BDEF8">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4F2A742A">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440A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4BBA923B">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312A32F0">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5AC79ED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01682E6B">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7D37E9EE">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3C031E6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4A69BAA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57104F80">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2F38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7A12C4B9">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68F5F4F5">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6FBF865D">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0947A177">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331C4528">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5A94DCE7">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7170121A">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26470C9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4FF93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49EFE51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284021ED">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7D34BBE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5F4481CB">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0113A3A3">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5E768B7D">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64AD9CCE">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10A50F75">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07C2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18EABD9E">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4FA6A1FA">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6333A398">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0880FF09">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6A75203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3A2F6574">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528F7ECB">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6B0E344A">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4AA8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201C30CB">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578B66F7">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54B878A9">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3AFD1C5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22138497">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51151065">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26362834">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1BBBF71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1085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051244ED">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111A94C5">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64ECF739">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5237369E">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1D3B6F3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6CAB1044">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2CF6D99E">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3331160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7D72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393F9A27">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3F416439">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3C2F548C">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2B46F544">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482DAD76">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3B4BD356">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1F585A30">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4A9507D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0524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3C1E819B">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0C5D17DB">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19F48F43">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6432205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18FD176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78177558">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30B83AA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5D165E8C">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7035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7D37ECD8">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33D2CFA6">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1CF55CA0">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1B4FB625">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5650B08C">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5282CAB4">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50534CC7">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6B8763AE">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458D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1807BF0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5D9D095E">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17D86C86">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1A17CEB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4C668BAC">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099D3F8C">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17AD5B70">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3EDA4283">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3AD8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05078966">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205C7599">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504BF0F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6C5EBE0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3DB5C8BA">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161404A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04EC494E">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4D55B394">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75C4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71EEA8A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12D3D1D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68181DE9">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4C484CD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768738C9">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2A135230">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51790890">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1562F35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0462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16BCB318">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53947786">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1F77BFB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654E331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0524E508">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3714A4E4">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26614FA0">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52BD838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5719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5CE5DA65">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0ECB65C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1893177A">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35D58153">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02EB774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0510E2D7">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09036468">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29CDC4B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1D32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6945346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22316485">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67479E5C">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5F96B76B">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2D41D760">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09312374">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7D447C0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544C5706">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2C73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3C5336A3">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7BCD8B1A">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173A3173">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6A862A35">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68627793">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2FE88CDB">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79BD4714">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60AEE60A">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3793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412D64E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3087666C">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105F5FC5">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30A210F6">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7C3DD043">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3638B555">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3FABFD3B">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6AA3376B">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0C03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08A8E46A">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5C800AEE">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5136DF4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6DC406A0">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2DA7D0F8">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3BF20F3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49820244">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30ECFF00">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0C8B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1401FEB5">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5870CD6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4D13D05B">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1D9115DC">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30DD785C">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30CDBBBA">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7EA053D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65E0C1A4">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0312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47D915DD">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41246BD7">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052FDDE3">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5273CA3D">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0B6FF03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6C252E15">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4E28C46D">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2564CF7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4949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3CB74353">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168AD0C0">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25E1F467">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4A4FBB92">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2089F0CC">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40985756">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1F5AEB65">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43DA4E21">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r w14:paraId="0A5E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0"/>
            <w:vAlign w:val="top"/>
          </w:tcPr>
          <w:p w14:paraId="43FE7FF7">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29" w:type="dxa"/>
            <w:noWrap w:val="0"/>
            <w:vAlign w:val="top"/>
          </w:tcPr>
          <w:p w14:paraId="5B69C8E4">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2" w:type="dxa"/>
            <w:noWrap w:val="0"/>
            <w:vAlign w:val="top"/>
          </w:tcPr>
          <w:p w14:paraId="0411CDBF">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374" w:type="dxa"/>
            <w:noWrap w:val="0"/>
            <w:vAlign w:val="top"/>
          </w:tcPr>
          <w:p w14:paraId="6F0D905A">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891" w:type="dxa"/>
            <w:noWrap w:val="0"/>
            <w:vAlign w:val="top"/>
          </w:tcPr>
          <w:p w14:paraId="0D7FEBDC">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133" w:type="dxa"/>
            <w:noWrap w:val="0"/>
            <w:vAlign w:val="top"/>
          </w:tcPr>
          <w:p w14:paraId="3D99E77D">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936" w:type="dxa"/>
            <w:noWrap w:val="0"/>
            <w:vAlign w:val="top"/>
          </w:tcPr>
          <w:p w14:paraId="7BFFB7C6">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c>
          <w:tcPr>
            <w:tcW w:w="1452" w:type="dxa"/>
            <w:noWrap w:val="0"/>
            <w:vAlign w:val="top"/>
          </w:tcPr>
          <w:p w14:paraId="2750E3CB">
            <w:pPr>
              <w:pStyle w:val="15"/>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p>
        </w:tc>
      </w:tr>
    </w:tbl>
    <w:p w14:paraId="77CA9FD3">
      <w:pPr>
        <w:pStyle w:val="15"/>
        <w:ind w:firstLine="0" w:firstLine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highlight w:val="none"/>
          <w:lang w:val="en-US" w:eastAsia="zh-CN"/>
          <w14:textFill>
            <w14:solidFill>
              <w14:schemeClr w14:val="tx1"/>
            </w14:solidFill>
          </w14:textFill>
        </w:rPr>
        <w:t>备注</w:t>
      </w:r>
      <w:r>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t>：每班上岗人员手写签到。</w:t>
      </w:r>
    </w:p>
    <w:p w14:paraId="5D1EFB0D">
      <w:pPr>
        <w:ind w:firstLine="0" w:firstLineChars="0"/>
        <w:rPr>
          <w:rFonts w:hint="eastAsia" w:ascii="仿宋_GB2312" w:hAnsi="仿宋_GB2312" w:eastAsia="仿宋_GB2312" w:cs="仿宋_GB2312"/>
          <w:color w:val="000000" w:themeColor="text1"/>
          <w:sz w:val="2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2"/>
          <w:highlight w:val="none"/>
          <w:lang w:val="en-US" w:eastAsia="zh-CN"/>
          <w14:textFill>
            <w14:solidFill>
              <w14:schemeClr w14:val="tx1"/>
            </w14:solidFill>
          </w14:textFill>
        </w:rPr>
        <w:t xml:space="preserve">承包人现场负责：            监理：                            项目负责人： </w:t>
      </w:r>
    </w:p>
    <w:p w14:paraId="57F59C9A">
      <w:pPr>
        <w:ind w:firstLine="0" w:firstLineChars="0"/>
        <w:rPr>
          <w:rFonts w:hint="eastAsia" w:ascii="仿宋_GB2312" w:hAnsi="仿宋_GB2312" w:eastAsia="仿宋_GB2312" w:cs="仿宋_GB2312"/>
          <w:color w:val="000000" w:themeColor="text1"/>
          <w:sz w:val="2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2"/>
          <w:highlight w:val="none"/>
          <w:lang w:val="en-US" w:eastAsia="zh-CN"/>
          <w14:textFill>
            <w14:solidFill>
              <w14:schemeClr w14:val="tx1"/>
            </w14:solidFill>
          </w14:textFill>
        </w:rPr>
        <w:t>日期：                      日期：                             日期：</w:t>
      </w:r>
    </w:p>
    <w:p w14:paraId="34A241F9">
      <w:pPr>
        <w:rPr>
          <w:rFonts w:ascii="Calibri" w:hAnsi="Calibri" w:cs="Times New Roman"/>
          <w:color w:val="000000" w:themeColor="text1"/>
          <w:szCs w:val="21"/>
          <w:highlight w:val="none"/>
          <w14:textFill>
            <w14:solidFill>
              <w14:schemeClr w14:val="tx1"/>
            </w14:solidFill>
          </w14:textFill>
        </w:rPr>
      </w:pPr>
    </w:p>
    <w:p w14:paraId="3E2F2263">
      <w:pPr>
        <w:pStyle w:val="2"/>
        <w:rPr>
          <w:rFonts w:ascii="黑体" w:hAnsi="黑体" w:eastAsia="黑体"/>
          <w:color w:val="000000" w:themeColor="text1"/>
          <w:szCs w:val="27"/>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br w:type="page"/>
      </w:r>
      <w:bookmarkStart w:id="714" w:name="_Toc5218"/>
      <w:bookmarkStart w:id="715" w:name="_Toc25408"/>
      <w:bookmarkStart w:id="716" w:name="_Toc29334"/>
      <w:bookmarkStart w:id="717" w:name="_Toc21598"/>
      <w:bookmarkStart w:id="718" w:name="_Toc20898"/>
      <w:bookmarkStart w:id="719" w:name="_Toc27328"/>
      <w:bookmarkStart w:id="720" w:name="_Toc259524404"/>
      <w:bookmarkStart w:id="721" w:name="_Toc222033927"/>
      <w:bookmarkStart w:id="722" w:name="_Toc222031078"/>
      <w:bookmarkStart w:id="723" w:name="_Toc222029576"/>
      <w:bookmarkStart w:id="724" w:name="_Toc221948392"/>
      <w:bookmarkStart w:id="725" w:name="_Toc221952224"/>
      <w:bookmarkStart w:id="726" w:name="_Toc229305436"/>
      <w:bookmarkStart w:id="727" w:name="_Toc222032745"/>
      <w:r>
        <w:rPr>
          <w:rFonts w:hint="eastAsia"/>
          <w:color w:val="000000" w:themeColor="text1"/>
          <w:highlight w:val="none"/>
          <w14:textFill>
            <w14:solidFill>
              <w14:schemeClr w14:val="tx1"/>
            </w14:solidFill>
          </w14:textFill>
        </w:rPr>
        <w:t>第五章 工程量清单（综合单价承包）</w:t>
      </w:r>
      <w:bookmarkEnd w:id="714"/>
      <w:bookmarkEnd w:id="715"/>
      <w:bookmarkEnd w:id="716"/>
      <w:bookmarkEnd w:id="717"/>
      <w:bookmarkEnd w:id="718"/>
      <w:bookmarkEnd w:id="719"/>
    </w:p>
    <w:p w14:paraId="14E6AAA9">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728" w:name="_Toc8069"/>
      <w:bookmarkStart w:id="729" w:name="_Toc17454942"/>
      <w:bookmarkStart w:id="730" w:name="_Toc22181"/>
      <w:bookmarkStart w:id="731" w:name="_Toc17556896"/>
      <w:bookmarkStart w:id="732" w:name="_Toc17451643"/>
      <w:bookmarkStart w:id="733" w:name="_Toc17454891"/>
      <w:bookmarkStart w:id="734" w:name="_Toc23583"/>
      <w:bookmarkStart w:id="735" w:name="_Toc17452684"/>
      <w:bookmarkStart w:id="736" w:name="_Toc15784"/>
      <w:bookmarkStart w:id="737" w:name="_Toc17451121"/>
      <w:bookmarkStart w:id="738" w:name="_Toc17451598"/>
      <w:r>
        <w:rPr>
          <w:rFonts w:hint="eastAsia" w:ascii="黑体" w:hAnsi="黑体" w:eastAsia="黑体"/>
          <w:color w:val="000000" w:themeColor="text1"/>
          <w:sz w:val="28"/>
          <w:szCs w:val="27"/>
          <w:highlight w:val="none"/>
          <w14:textFill>
            <w14:solidFill>
              <w14:schemeClr w14:val="tx1"/>
            </w14:solidFill>
          </w14:textFill>
        </w:rPr>
        <w:t>一、工程量清单说明</w:t>
      </w:r>
      <w:bookmarkEnd w:id="728"/>
      <w:bookmarkEnd w:id="729"/>
      <w:bookmarkEnd w:id="730"/>
      <w:bookmarkEnd w:id="731"/>
      <w:bookmarkEnd w:id="732"/>
      <w:bookmarkEnd w:id="733"/>
      <w:bookmarkEnd w:id="734"/>
      <w:bookmarkEnd w:id="735"/>
      <w:bookmarkEnd w:id="736"/>
      <w:bookmarkEnd w:id="737"/>
      <w:bookmarkEnd w:id="738"/>
    </w:p>
    <w:p w14:paraId="27384040">
      <w:pPr>
        <w:spacing w:line="360" w:lineRule="auto"/>
        <w:ind w:firstLine="480" w:firstLineChars="200"/>
        <w:rPr>
          <w:rFonts w:ascii="宋体" w:hAnsi="宋体"/>
          <w:i/>
          <w:color w:val="000000" w:themeColor="text1"/>
          <w:sz w:val="24"/>
          <w:highlight w:val="none"/>
          <w14:textFill>
            <w14:solidFill>
              <w14:schemeClr w14:val="tx1"/>
            </w14:solidFill>
          </w14:textFill>
        </w:rPr>
      </w:pPr>
      <w:r>
        <w:rPr>
          <w:rFonts w:hint="eastAsia" w:ascii="宋体" w:hAnsi="宋体"/>
          <w:i/>
          <w:color w:val="000000" w:themeColor="text1"/>
          <w:sz w:val="24"/>
          <w:highlight w:val="none"/>
          <w14:textFill>
            <w14:solidFill>
              <w14:schemeClr w14:val="tx1"/>
            </w14:solidFill>
          </w14:textFill>
        </w:rPr>
        <w:t>（</w:t>
      </w:r>
      <w:r>
        <w:rPr>
          <w:rFonts w:hint="eastAsia" w:ascii="宋体" w:hAnsi="宋体"/>
          <w:i/>
          <w:color w:val="000000" w:themeColor="text1"/>
          <w:sz w:val="24"/>
          <w:highlight w:val="none"/>
          <w:lang w:val="en-US" w:eastAsia="zh-CN"/>
          <w14:textFill>
            <w14:solidFill>
              <w14:schemeClr w14:val="tx1"/>
            </w14:solidFill>
          </w14:textFill>
        </w:rPr>
        <w:t>注</w:t>
      </w:r>
      <w:r>
        <w:rPr>
          <w:rFonts w:hint="eastAsia" w:ascii="宋体" w:hAnsi="宋体"/>
          <w:i/>
          <w:color w:val="000000" w:themeColor="text1"/>
          <w:sz w:val="24"/>
          <w:highlight w:val="none"/>
          <w14:textFill>
            <w14:solidFill>
              <w14:schemeClr w14:val="tx1"/>
            </w14:solidFill>
          </w14:textFill>
        </w:rPr>
        <w:t>：本说明内容仅供参考，招标人可以根据项目情况修改。）</w:t>
      </w:r>
    </w:p>
    <w:p w14:paraId="5442967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1.1 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1D90D0A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 本工程量清单应与招标文件中的投标人须知、通用合同条款、专用合同条款、技术标准和要求及图纸等一起阅读和理解。</w:t>
      </w:r>
    </w:p>
    <w:p w14:paraId="1A10DFE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1.3 本工程量清单仅是投标报价的共同基础，实际工程计量和工程价款的支付应遵循合同条款的约定和第七章“技术标准和要求”的有关规定。</w:t>
      </w:r>
    </w:p>
    <w:p w14:paraId="65F26B1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1.4 补充子目工程量计算规则及子目工作内容说明：</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w:t>
      </w:r>
    </w:p>
    <w:p w14:paraId="4EF8994E">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739" w:name="_Toc12651"/>
      <w:bookmarkStart w:id="740" w:name="_Toc17454943"/>
      <w:bookmarkStart w:id="741" w:name="_Toc17452685"/>
      <w:bookmarkStart w:id="742" w:name="_Toc17451122"/>
      <w:bookmarkStart w:id="743" w:name="_Toc17454892"/>
      <w:bookmarkStart w:id="744" w:name="_Toc31712"/>
      <w:bookmarkStart w:id="745" w:name="_Toc17556897"/>
      <w:bookmarkStart w:id="746" w:name="_Toc17451599"/>
      <w:bookmarkStart w:id="747" w:name="_Toc296602589"/>
      <w:bookmarkStart w:id="748" w:name="_Toc22136"/>
      <w:bookmarkStart w:id="749" w:name="_Toc6421"/>
      <w:bookmarkStart w:id="750" w:name="_Toc17451644"/>
      <w:r>
        <w:rPr>
          <w:rFonts w:hint="eastAsia" w:ascii="黑体" w:hAnsi="黑体" w:eastAsia="黑体"/>
          <w:color w:val="000000" w:themeColor="text1"/>
          <w:sz w:val="28"/>
          <w:szCs w:val="27"/>
          <w:highlight w:val="none"/>
          <w14:textFill>
            <w14:solidFill>
              <w14:schemeClr w14:val="tx1"/>
            </w14:solidFill>
          </w14:textFill>
        </w:rPr>
        <w:t>二、投标报价说明</w:t>
      </w:r>
      <w:bookmarkEnd w:id="739"/>
      <w:bookmarkEnd w:id="740"/>
      <w:bookmarkEnd w:id="741"/>
      <w:bookmarkEnd w:id="742"/>
      <w:bookmarkEnd w:id="743"/>
      <w:bookmarkEnd w:id="744"/>
      <w:bookmarkEnd w:id="745"/>
      <w:bookmarkEnd w:id="746"/>
      <w:bookmarkEnd w:id="747"/>
      <w:bookmarkEnd w:id="748"/>
      <w:bookmarkEnd w:id="749"/>
      <w:bookmarkEnd w:id="750"/>
    </w:p>
    <w:p w14:paraId="2CCF139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2.1 工程量清单中的每一子目须填入单价或价格，且只允许有一个报价。</w:t>
      </w:r>
    </w:p>
    <w:p w14:paraId="651468F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2.2 工程量清单中标价的单价或金额，应包括所需的人工费、材料和施工机具使用费和企业管理费、利润以及一定范围内的风险费用等。</w:t>
      </w:r>
    </w:p>
    <w:p w14:paraId="6195324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2.3 工程量清单中投标人没有填入单价或价格的子目，其费用视为已分摊在工程量清单中其他相关子目的单价或价格之中。</w:t>
      </w:r>
    </w:p>
    <w:p w14:paraId="501862F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2.4 暂列金额的数量及拟用子目的说明：</w:t>
      </w:r>
    </w:p>
    <w:p w14:paraId="55A0E76B">
      <w:pPr>
        <w:spacing w:line="360" w:lineRule="auto"/>
        <w:ind w:firstLine="480" w:firstLineChars="200"/>
        <w:rPr>
          <w:rFonts w:hint="eastAsia" w:ascii="宋体" w:hAnsi="宋体"/>
          <w:i/>
          <w:color w:val="000000" w:themeColor="text1"/>
          <w:sz w:val="24"/>
          <w:highlight w:val="none"/>
          <w14:textFill>
            <w14:solidFill>
              <w14:schemeClr w14:val="tx1"/>
            </w14:solidFill>
          </w14:textFill>
        </w:rPr>
      </w:pPr>
      <w:r>
        <w:rPr>
          <w:rFonts w:hint="eastAsia" w:ascii="宋体" w:hAnsi="宋体"/>
          <w:i/>
          <w:color w:val="000000" w:themeColor="text1"/>
          <w:sz w:val="24"/>
          <w:highlight w:val="none"/>
          <w14:textFill>
            <w14:solidFill>
              <w14:schemeClr w14:val="tx1"/>
            </w14:solidFill>
          </w14:textFill>
        </w:rPr>
        <w:t>（说明：由招标人根据项目情况拟订，对投标报价采用的定额、取费标准等进行说明）</w:t>
      </w:r>
    </w:p>
    <w:p w14:paraId="6D524CDB">
      <w:pPr>
        <w:spacing w:line="360" w:lineRule="auto"/>
        <w:ind w:firstLine="480" w:firstLineChars="200"/>
        <w:rPr>
          <w:rFonts w:hint="eastAsia" w:ascii="宋体" w:hAnsi="宋体" w:eastAsia="宋体" w:cs="Times New Roman"/>
          <w:i w:val="0"/>
          <w:color w:val="000000" w:themeColor="text1"/>
          <w:sz w:val="24"/>
          <w:highlight w:val="none"/>
          <w:lang w:eastAsia="zh-CN"/>
          <w14:textFill>
            <w14:solidFill>
              <w14:schemeClr w14:val="tx1"/>
            </w14:solidFill>
          </w14:textFill>
        </w:rPr>
      </w:pPr>
      <w:r>
        <w:rPr>
          <w:rFonts w:hint="eastAsia" w:ascii="宋体" w:hAnsi="宋体" w:eastAsia="宋体" w:cs="Times New Roman"/>
          <w:i w:val="0"/>
          <w:color w:val="000000" w:themeColor="text1"/>
          <w:sz w:val="24"/>
          <w:highlight w:val="none"/>
          <w14:textFill>
            <w14:solidFill>
              <w14:schemeClr w14:val="tx1"/>
            </w14:solidFill>
          </w14:textFill>
        </w:rPr>
        <w:t>2.5 将建筑垃圾运输、处置费用列入工程造价的落实情况</w:t>
      </w:r>
      <w:r>
        <w:rPr>
          <w:rFonts w:hint="eastAsia" w:ascii="宋体" w:hAnsi="宋体" w:eastAsia="宋体" w:cs="Times New Roman"/>
          <w:i w:val="0"/>
          <w:color w:val="000000" w:themeColor="text1"/>
          <w:sz w:val="24"/>
          <w:highlight w:val="none"/>
          <w:lang w:eastAsia="zh-CN"/>
          <w14:textFill>
            <w14:solidFill>
              <w14:schemeClr w14:val="tx1"/>
            </w14:solidFill>
          </w14:textFill>
        </w:rPr>
        <w:t>。</w:t>
      </w:r>
    </w:p>
    <w:p w14:paraId="156656C0">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751" w:name="_Toc17454893"/>
      <w:bookmarkStart w:id="752" w:name="_Toc17452686"/>
      <w:bookmarkStart w:id="753" w:name="_Toc17451600"/>
      <w:bookmarkStart w:id="754" w:name="_Toc17556898"/>
      <w:bookmarkStart w:id="755" w:name="_Toc17451123"/>
      <w:bookmarkStart w:id="756" w:name="_Toc17451645"/>
      <w:bookmarkStart w:id="757" w:name="_Toc3690"/>
      <w:bookmarkStart w:id="758" w:name="_Toc32369"/>
      <w:bookmarkStart w:id="759" w:name="_Toc16786"/>
      <w:bookmarkStart w:id="760" w:name="_Toc17422"/>
      <w:bookmarkStart w:id="761" w:name="_Toc17454944"/>
      <w:bookmarkStart w:id="762" w:name="_Toc296602590"/>
      <w:r>
        <w:rPr>
          <w:rFonts w:hint="eastAsia" w:ascii="黑体" w:hAnsi="黑体" w:eastAsia="黑体"/>
          <w:color w:val="000000" w:themeColor="text1"/>
          <w:sz w:val="28"/>
          <w:szCs w:val="27"/>
          <w:highlight w:val="none"/>
          <w14:textFill>
            <w14:solidFill>
              <w14:schemeClr w14:val="tx1"/>
            </w14:solidFill>
          </w14:textFill>
        </w:rPr>
        <w:t>三、其他说明</w:t>
      </w:r>
      <w:bookmarkEnd w:id="751"/>
      <w:bookmarkEnd w:id="752"/>
      <w:bookmarkEnd w:id="753"/>
      <w:bookmarkEnd w:id="754"/>
      <w:bookmarkEnd w:id="755"/>
      <w:bookmarkEnd w:id="756"/>
      <w:bookmarkEnd w:id="757"/>
      <w:bookmarkEnd w:id="758"/>
      <w:bookmarkEnd w:id="759"/>
      <w:bookmarkEnd w:id="760"/>
      <w:bookmarkEnd w:id="761"/>
    </w:p>
    <w:p w14:paraId="4F6C0A70">
      <w:pPr>
        <w:spacing w:line="360" w:lineRule="auto"/>
        <w:ind w:firstLine="480" w:firstLineChars="200"/>
        <w:rPr>
          <w:rFonts w:ascii="宋体" w:hAnsi="宋体"/>
          <w:i/>
          <w:color w:val="000000" w:themeColor="text1"/>
          <w:sz w:val="24"/>
          <w:highlight w:val="none"/>
          <w14:textFill>
            <w14:solidFill>
              <w14:schemeClr w14:val="tx1"/>
            </w14:solidFill>
          </w14:textFill>
        </w:rPr>
      </w:pPr>
      <w:r>
        <w:rPr>
          <w:rFonts w:hint="eastAsia" w:ascii="宋体" w:hAnsi="宋体"/>
          <w:i/>
          <w:color w:val="000000" w:themeColor="text1"/>
          <w:sz w:val="24"/>
          <w:highlight w:val="none"/>
          <w14:textFill>
            <w14:solidFill>
              <w14:schemeClr w14:val="tx1"/>
            </w14:solidFill>
          </w14:textFill>
        </w:rPr>
        <w:t>（</w:t>
      </w:r>
      <w:r>
        <w:rPr>
          <w:rFonts w:hint="eastAsia" w:ascii="宋体" w:hAnsi="宋体"/>
          <w:i/>
          <w:color w:val="000000" w:themeColor="text1"/>
          <w:sz w:val="24"/>
          <w:highlight w:val="none"/>
          <w:lang w:val="en-US" w:eastAsia="zh-CN"/>
          <w14:textFill>
            <w14:solidFill>
              <w14:schemeClr w14:val="tx1"/>
            </w14:solidFill>
          </w14:textFill>
        </w:rPr>
        <w:t>注</w:t>
      </w:r>
      <w:r>
        <w:rPr>
          <w:rFonts w:hint="eastAsia" w:ascii="宋体" w:hAnsi="宋体"/>
          <w:i/>
          <w:color w:val="000000" w:themeColor="text1"/>
          <w:sz w:val="24"/>
          <w:highlight w:val="none"/>
          <w14:textFill>
            <w14:solidFill>
              <w14:schemeClr w14:val="tx1"/>
            </w14:solidFill>
          </w14:textFill>
        </w:rPr>
        <w:t>：由招标人根据实际情况补充）</w:t>
      </w:r>
    </w:p>
    <w:p w14:paraId="3FC88167">
      <w:pPr>
        <w:spacing w:line="360" w:lineRule="auto"/>
        <w:rPr>
          <w:rFonts w:ascii="宋体" w:hAnsi="宋体"/>
          <w:color w:val="000000" w:themeColor="text1"/>
          <w:sz w:val="24"/>
          <w:highlight w:val="none"/>
          <w14:textFill>
            <w14:solidFill>
              <w14:schemeClr w14:val="tx1"/>
            </w14:solidFill>
          </w14:textFill>
        </w:rPr>
      </w:pPr>
      <w:bookmarkStart w:id="763" w:name="_Toc296602591"/>
    </w:p>
    <w:p w14:paraId="540F8D59">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764" w:name="_Toc17451601"/>
      <w:bookmarkStart w:id="765" w:name="_Toc17454894"/>
      <w:bookmarkStart w:id="766" w:name="_Toc17452687"/>
      <w:bookmarkStart w:id="767" w:name="_Toc17556899"/>
      <w:bookmarkStart w:id="768" w:name="_Toc12862"/>
      <w:bookmarkStart w:id="769" w:name="_Toc17451646"/>
      <w:bookmarkStart w:id="770" w:name="_Toc17451124"/>
      <w:bookmarkStart w:id="771" w:name="_Toc19179"/>
      <w:bookmarkStart w:id="772" w:name="_Toc24116"/>
      <w:bookmarkStart w:id="773" w:name="_Toc17454945"/>
      <w:bookmarkStart w:id="774" w:name="_Toc24174"/>
      <w:r>
        <w:rPr>
          <w:rFonts w:hint="eastAsia" w:ascii="黑体" w:hAnsi="黑体" w:eastAsia="黑体"/>
          <w:color w:val="000000" w:themeColor="text1"/>
          <w:sz w:val="28"/>
          <w:szCs w:val="27"/>
          <w:highlight w:val="none"/>
          <w14:textFill>
            <w14:solidFill>
              <w14:schemeClr w14:val="tx1"/>
            </w14:solidFill>
          </w14:textFill>
        </w:rPr>
        <w:t>四、工程量清单</w:t>
      </w:r>
      <w:bookmarkEnd w:id="762"/>
      <w:bookmarkEnd w:id="763"/>
      <w:bookmarkEnd w:id="764"/>
      <w:bookmarkEnd w:id="765"/>
      <w:bookmarkEnd w:id="766"/>
      <w:bookmarkEnd w:id="767"/>
      <w:bookmarkEnd w:id="768"/>
      <w:bookmarkEnd w:id="769"/>
      <w:bookmarkEnd w:id="770"/>
      <w:bookmarkEnd w:id="771"/>
      <w:bookmarkEnd w:id="772"/>
      <w:bookmarkEnd w:id="773"/>
      <w:bookmarkEnd w:id="774"/>
    </w:p>
    <w:p w14:paraId="6433C684">
      <w:pPr>
        <w:spacing w:line="360" w:lineRule="auto"/>
        <w:ind w:firstLine="480" w:firstLineChars="200"/>
        <w:rPr>
          <w:rFonts w:ascii="宋体" w:hAnsi="宋体"/>
          <w:i/>
          <w:color w:val="000000" w:themeColor="text1"/>
          <w:sz w:val="24"/>
          <w:highlight w:val="none"/>
          <w14:textFill>
            <w14:solidFill>
              <w14:schemeClr w14:val="tx1"/>
            </w14:solidFill>
          </w14:textFill>
        </w:rPr>
      </w:pPr>
      <w:r>
        <w:rPr>
          <w:rFonts w:hint="eastAsia" w:ascii="宋体" w:hAnsi="宋体"/>
          <w:i/>
          <w:color w:val="000000" w:themeColor="text1"/>
          <w:sz w:val="24"/>
          <w:highlight w:val="none"/>
          <w14:textFill>
            <w14:solidFill>
              <w14:schemeClr w14:val="tx1"/>
            </w14:solidFill>
          </w14:textFill>
        </w:rPr>
        <w:t>（</w:t>
      </w:r>
      <w:r>
        <w:rPr>
          <w:rFonts w:hint="eastAsia" w:ascii="宋体" w:hAnsi="宋体"/>
          <w:i/>
          <w:color w:val="000000" w:themeColor="text1"/>
          <w:sz w:val="24"/>
          <w:highlight w:val="none"/>
          <w:lang w:val="en-US" w:eastAsia="zh-CN"/>
          <w14:textFill>
            <w14:solidFill>
              <w14:schemeClr w14:val="tx1"/>
            </w14:solidFill>
          </w14:textFill>
        </w:rPr>
        <w:t>注</w:t>
      </w:r>
      <w:r>
        <w:rPr>
          <w:rFonts w:hint="eastAsia" w:ascii="宋体" w:hAnsi="宋体"/>
          <w:i/>
          <w:color w:val="000000" w:themeColor="text1"/>
          <w:sz w:val="24"/>
          <w:highlight w:val="none"/>
          <w14:textFill>
            <w14:solidFill>
              <w14:schemeClr w14:val="tx1"/>
            </w14:solidFill>
          </w14:textFill>
        </w:rPr>
        <w:t>：由招标人根据项目情况自定）</w:t>
      </w:r>
    </w:p>
    <w:p w14:paraId="64CD7BF2">
      <w:pPr>
        <w:rPr>
          <w:color w:val="000000" w:themeColor="text1"/>
          <w:highlight w:val="none"/>
          <w14:textFill>
            <w14:solidFill>
              <w14:schemeClr w14:val="tx1"/>
            </w14:solidFill>
          </w14:textFill>
        </w:rPr>
      </w:pPr>
    </w:p>
    <w:p w14:paraId="7E28DB31">
      <w:pPr>
        <w:spacing w:line="360" w:lineRule="auto"/>
        <w:jc w:val="center"/>
        <w:outlineLvl w:val="9"/>
        <w:rPr>
          <w:rFonts w:hint="eastAsia" w:ascii="黑体" w:hAnsi="黑体" w:eastAsia="黑体"/>
          <w:color w:val="000000" w:themeColor="text1"/>
          <w:sz w:val="32"/>
          <w:szCs w:val="27"/>
          <w:highlight w:val="none"/>
          <w14:textFill>
            <w14:solidFill>
              <w14:schemeClr w14:val="tx1"/>
            </w14:solidFill>
          </w14:textFill>
        </w:rPr>
        <w:sectPr>
          <w:pgSz w:w="11906" w:h="16838"/>
          <w:pgMar w:top="1440" w:right="1797" w:bottom="1440" w:left="1797" w:header="851" w:footer="992" w:gutter="0"/>
          <w:pgNumType w:fmt="decimal"/>
          <w:cols w:space="720" w:num="1"/>
          <w:docGrid w:linePitch="312" w:charSpace="0"/>
        </w:sectPr>
      </w:pPr>
      <w:bookmarkStart w:id="775" w:name="_Toc17452688"/>
      <w:bookmarkStart w:id="776" w:name="_Toc22625"/>
      <w:bookmarkStart w:id="777" w:name="_Toc17451602"/>
      <w:bookmarkStart w:id="778" w:name="_Toc17451125"/>
      <w:bookmarkStart w:id="779" w:name="_Toc17556900"/>
      <w:bookmarkStart w:id="780" w:name="_Toc17454946"/>
      <w:bookmarkStart w:id="781" w:name="_Toc17451647"/>
      <w:bookmarkStart w:id="782" w:name="_Toc17454895"/>
    </w:p>
    <w:p w14:paraId="7B376A40">
      <w:pPr>
        <w:pStyle w:val="2"/>
        <w:rPr>
          <w:rFonts w:ascii="Arial" w:hAnsi="Arial" w:eastAsia="黑体"/>
          <w:color w:val="000000" w:themeColor="text1"/>
          <w:szCs w:val="20"/>
          <w:highlight w:val="none"/>
          <w14:textFill>
            <w14:solidFill>
              <w14:schemeClr w14:val="tx1"/>
            </w14:solidFill>
          </w14:textFill>
        </w:rPr>
      </w:pPr>
      <w:bookmarkStart w:id="783" w:name="_Toc23992"/>
      <w:bookmarkStart w:id="784" w:name="_Toc2202"/>
      <w:bookmarkStart w:id="785" w:name="_Toc16191"/>
      <w:bookmarkStart w:id="786" w:name="_Toc8171"/>
      <w:bookmarkStart w:id="787" w:name="_Toc4733"/>
      <w:bookmarkStart w:id="788" w:name="_Toc26406"/>
      <w:r>
        <w:rPr>
          <w:rFonts w:hint="eastAsia"/>
          <w:color w:val="000000" w:themeColor="text1"/>
          <w:highlight w:val="none"/>
          <w14:textFill>
            <w14:solidFill>
              <w14:schemeClr w14:val="tx1"/>
            </w14:solidFill>
          </w14:textFill>
        </w:rPr>
        <w:t>第六章 图纸</w:t>
      </w:r>
      <w:bookmarkEnd w:id="720"/>
      <w:r>
        <w:rPr>
          <w:rFonts w:hint="eastAsia"/>
          <w:color w:val="000000" w:themeColor="text1"/>
          <w:highlight w:val="none"/>
          <w14:textFill>
            <w14:solidFill>
              <w14:schemeClr w14:val="tx1"/>
            </w14:solidFill>
          </w14:textFill>
        </w:rPr>
        <w:t>（招标图纸</w:t>
      </w:r>
      <w:bookmarkEnd w:id="721"/>
      <w:bookmarkEnd w:id="722"/>
      <w:bookmarkEnd w:id="723"/>
      <w:bookmarkEnd w:id="724"/>
      <w:bookmarkEnd w:id="725"/>
      <w:bookmarkEnd w:id="726"/>
      <w:bookmarkEnd w:id="727"/>
      <w:r>
        <w:rPr>
          <w:rFonts w:hint="eastAsia"/>
          <w:color w:val="000000" w:themeColor="text1"/>
          <w:highlight w:val="none"/>
          <w14:textFill>
            <w14:solidFill>
              <w14:schemeClr w14:val="tx1"/>
            </w14:solidFill>
          </w14:textFill>
        </w:rPr>
        <w:t>）</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425644A7">
      <w:pPr>
        <w:spacing w:line="360" w:lineRule="auto"/>
        <w:jc w:val="center"/>
        <w:outlineLvl w:val="9"/>
        <w:rPr>
          <w:rFonts w:hint="eastAsia" w:ascii="黑体" w:hAnsi="黑体" w:eastAsia="黑体" w:cs="黑体"/>
          <w:color w:val="000000" w:themeColor="text1"/>
          <w:sz w:val="28"/>
          <w:szCs w:val="32"/>
          <w:highlight w:val="none"/>
          <w:lang w:eastAsia="zh-CN"/>
          <w14:textFill>
            <w14:solidFill>
              <w14:schemeClr w14:val="tx1"/>
            </w14:solidFill>
          </w14:textFill>
        </w:rPr>
      </w:pPr>
      <w:r>
        <w:rPr>
          <w:rFonts w:hint="eastAsia" w:ascii="黑体" w:hAnsi="黑体" w:eastAsia="黑体" w:cs="黑体"/>
          <w:color w:val="000000" w:themeColor="text1"/>
          <w:sz w:val="28"/>
          <w:szCs w:val="32"/>
          <w:highlight w:val="none"/>
          <w:lang w:eastAsia="zh-CN"/>
          <w14:textFill>
            <w14:solidFill>
              <w14:schemeClr w14:val="tx1"/>
            </w14:solidFill>
          </w14:textFill>
        </w:rPr>
        <w:t>（</w:t>
      </w:r>
      <w:r>
        <w:rPr>
          <w:rFonts w:hint="eastAsia" w:ascii="黑体" w:hAnsi="黑体" w:eastAsia="黑体" w:cs="黑体"/>
          <w:color w:val="000000" w:themeColor="text1"/>
          <w:sz w:val="28"/>
          <w:szCs w:val="32"/>
          <w:highlight w:val="none"/>
          <w:lang w:val="en-US" w:eastAsia="zh-CN"/>
          <w14:textFill>
            <w14:solidFill>
              <w14:schemeClr w14:val="tx1"/>
            </w14:solidFill>
          </w14:textFill>
        </w:rPr>
        <w:t>另册</w:t>
      </w:r>
      <w:r>
        <w:rPr>
          <w:rFonts w:hint="eastAsia" w:ascii="黑体" w:hAnsi="黑体" w:eastAsia="黑体" w:cs="黑体"/>
          <w:color w:val="000000" w:themeColor="text1"/>
          <w:sz w:val="28"/>
          <w:szCs w:val="32"/>
          <w:highlight w:val="none"/>
          <w:lang w:eastAsia="zh-CN"/>
          <w14:textFill>
            <w14:solidFill>
              <w14:schemeClr w14:val="tx1"/>
            </w14:solidFill>
          </w14:textFill>
        </w:rPr>
        <w:t>）</w:t>
      </w:r>
    </w:p>
    <w:p w14:paraId="140726D0">
      <w:pPr>
        <w:spacing w:line="400" w:lineRule="exact"/>
        <w:rPr>
          <w:rFonts w:ascii="宋体" w:hAnsi="宋体"/>
          <w:b/>
          <w:color w:val="000000" w:themeColor="text1"/>
          <w:sz w:val="27"/>
          <w:szCs w:val="27"/>
          <w:highlight w:val="none"/>
          <w14:textFill>
            <w14:solidFill>
              <w14:schemeClr w14:val="tx1"/>
            </w14:solidFill>
          </w14:textFill>
        </w:rPr>
      </w:pPr>
    </w:p>
    <w:p w14:paraId="3CC30624">
      <w:pPr>
        <w:spacing w:line="360" w:lineRule="auto"/>
        <w:rPr>
          <w:rFonts w:ascii="宋体" w:hAnsi="宋体"/>
          <w:color w:val="000000" w:themeColor="text1"/>
          <w:szCs w:val="21"/>
          <w:highlight w:val="none"/>
          <w14:textFill>
            <w14:solidFill>
              <w14:schemeClr w14:val="tx1"/>
            </w14:solidFill>
          </w14:textFill>
        </w:rPr>
      </w:pPr>
    </w:p>
    <w:p w14:paraId="2AAA41EE">
      <w:pPr>
        <w:widowControl/>
        <w:jc w:val="lef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br w:type="page"/>
      </w:r>
    </w:p>
    <w:p w14:paraId="5758E3FE">
      <w:pPr>
        <w:pStyle w:val="2"/>
        <w:rPr>
          <w:rFonts w:ascii="黑体" w:hAnsi="黑体" w:eastAsia="黑体"/>
          <w:color w:val="000000" w:themeColor="text1"/>
          <w:szCs w:val="27"/>
          <w:highlight w:val="none"/>
          <w14:textFill>
            <w14:solidFill>
              <w14:schemeClr w14:val="tx1"/>
            </w14:solidFill>
          </w14:textFill>
        </w:rPr>
      </w:pPr>
      <w:bookmarkStart w:id="789" w:name="_Toc259524409"/>
      <w:bookmarkStart w:id="790" w:name="_Toc30358"/>
      <w:bookmarkStart w:id="791" w:name="_Toc17454897"/>
      <w:bookmarkStart w:id="792" w:name="_Toc15234"/>
      <w:bookmarkStart w:id="793" w:name="_Toc17451649"/>
      <w:bookmarkStart w:id="794" w:name="_Toc17454948"/>
      <w:bookmarkStart w:id="795" w:name="_Toc7819"/>
      <w:bookmarkStart w:id="796" w:name="_Toc17556902"/>
      <w:bookmarkStart w:id="797" w:name="_Toc18239"/>
      <w:bookmarkStart w:id="798" w:name="_Toc17452690"/>
      <w:bookmarkStart w:id="799" w:name="_Toc4667"/>
      <w:bookmarkStart w:id="800" w:name="_Toc27883"/>
      <w:bookmarkStart w:id="801" w:name="_Toc17451127"/>
      <w:bookmarkStart w:id="802" w:name="_Toc5729"/>
      <w:bookmarkStart w:id="803" w:name="_Toc17451604"/>
      <w:r>
        <w:rPr>
          <w:rFonts w:hint="eastAsia"/>
          <w:color w:val="000000" w:themeColor="text1"/>
          <w:highlight w:val="none"/>
          <w14:textFill>
            <w14:solidFill>
              <w14:schemeClr w14:val="tx1"/>
            </w14:solidFill>
          </w14:textFill>
        </w:rPr>
        <w:t>第七章 技术标准和要求</w:t>
      </w:r>
      <w:bookmarkEnd w:id="789"/>
      <w:r>
        <w:rPr>
          <w:rFonts w:hint="eastAsia"/>
          <w:color w:val="000000" w:themeColor="text1"/>
          <w:highlight w:val="none"/>
          <w14:textFill>
            <w14:solidFill>
              <w14:schemeClr w14:val="tx1"/>
            </w14:solidFill>
          </w14:textFill>
        </w:rPr>
        <w:t>（合同技术条款）</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270DE95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（另册）</w:t>
      </w:r>
      <w:r>
        <w:rPr>
          <w:rFonts w:hint="eastAsia" w:ascii="宋体" w:hAnsi="宋体"/>
          <w:color w:val="000000" w:themeColor="text1"/>
          <w:sz w:val="24"/>
          <w:highlight w:val="none"/>
          <w14:textFill>
            <w14:solidFill>
              <w14:schemeClr w14:val="tx1"/>
            </w14:solidFill>
          </w14:textFill>
        </w:rPr>
        <w:t>。</w:t>
      </w:r>
    </w:p>
    <w:p w14:paraId="1FA25445">
      <w:pPr>
        <w:pStyle w:val="2"/>
        <w:rPr>
          <w:rFonts w:ascii="黑体" w:hAnsi="黑体" w:eastAsia="黑体"/>
          <w:color w:val="000000" w:themeColor="text1"/>
          <w:szCs w:val="27"/>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br w:type="page"/>
      </w:r>
      <w:bookmarkStart w:id="804" w:name="_Toc259524411"/>
      <w:bookmarkStart w:id="805" w:name="_Toc14650"/>
      <w:bookmarkStart w:id="806" w:name="_Toc17454898"/>
      <w:bookmarkStart w:id="807" w:name="_Toc15066"/>
      <w:bookmarkStart w:id="808" w:name="_Toc17454949"/>
      <w:bookmarkStart w:id="809" w:name="_Toc1290"/>
      <w:bookmarkStart w:id="810" w:name="_Toc17451605"/>
      <w:bookmarkStart w:id="811" w:name="_Toc17451128"/>
      <w:bookmarkStart w:id="812" w:name="_Toc17556903"/>
      <w:bookmarkStart w:id="813" w:name="_Toc31560"/>
      <w:bookmarkStart w:id="814" w:name="_Toc17169"/>
      <w:bookmarkStart w:id="815" w:name="_Toc17452691"/>
      <w:bookmarkStart w:id="816" w:name="_Toc12973"/>
      <w:bookmarkStart w:id="817" w:name="_Toc17451650"/>
      <w:r>
        <w:rPr>
          <w:rFonts w:hint="eastAsia"/>
          <w:color w:val="000000" w:themeColor="text1"/>
          <w:highlight w:val="none"/>
          <w14:textFill>
            <w14:solidFill>
              <w14:schemeClr w14:val="tx1"/>
            </w14:solidFill>
          </w14:textFill>
        </w:rPr>
        <w:t>第八章 投标文件格式</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51DCB60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投标人应按以下规定的格式及要求编制投标文件，如电子投标文件没有按招标文件规定的格式及要求编制，因其所引起系统无法检索、读取电子投标文件中的数据时，其结果将由投标人自行承担。本格式及要求规定适用于电子评标项目的投标文件的编制。</w:t>
      </w:r>
    </w:p>
    <w:p w14:paraId="1D78FD1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1.1《投标函附录》是投标文件的重要组成部分，其内容是投标人开标信息的主要来源，投标人应准确填写《投标函附录》的相关内容。</w:t>
      </w:r>
    </w:p>
    <w:p w14:paraId="1B410A6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  《投标函附录》内容按以下表述填写。</w:t>
      </w:r>
    </w:p>
    <w:p w14:paraId="72F4DAE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投标总工期：“＿日历天”或“按招标文件的要求”；</w:t>
      </w:r>
    </w:p>
    <w:p w14:paraId="57C48C7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工程质量标准：“按招标文件的要求”；</w:t>
      </w:r>
    </w:p>
    <w:p w14:paraId="664201B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保修期限： “按《建设工程质量管理条例》规定”或“按招标文件的要求”。</w:t>
      </w:r>
    </w:p>
    <w:p w14:paraId="4039705C">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1.3工程量清单报价表</w:t>
      </w:r>
      <w:r>
        <w:rPr>
          <w:color w:val="000000" w:themeColor="text1"/>
          <w:sz w:val="24"/>
          <w:szCs w:val="24"/>
          <w:highlight w:val="none"/>
          <w14:textFill>
            <w14:solidFill>
              <w14:schemeClr w14:val="tx1"/>
            </w14:solidFill>
          </w14:textFill>
        </w:rPr>
        <w:t>工程量清单报价表应使用符合广东省标准《建设工程政府投资项目造价数据标准（DBJ/T15-145-2018）》及后续版本的有关规定</w:t>
      </w:r>
      <w:r>
        <w:rPr>
          <w:rFonts w:hint="eastAsia" w:ascii="宋体" w:hAnsi="宋体"/>
          <w:color w:val="000000" w:themeColor="text1"/>
          <w:sz w:val="24"/>
          <w:szCs w:val="24"/>
          <w:highlight w:val="none"/>
          <w14:textFill>
            <w14:solidFill>
              <w14:schemeClr w14:val="tx1"/>
            </w14:solidFill>
          </w14:textFill>
        </w:rPr>
        <w:t>的</w:t>
      </w:r>
      <w:r>
        <w:rPr>
          <w:rFonts w:ascii="宋体" w:hAnsi="宋体"/>
          <w:color w:val="000000" w:themeColor="text1"/>
          <w:sz w:val="24"/>
          <w:szCs w:val="24"/>
          <w:highlight w:val="none"/>
          <w14:textFill>
            <w14:solidFill>
              <w14:schemeClr w14:val="tx1"/>
            </w14:solidFill>
          </w14:textFill>
        </w:rPr>
        <w:t>cos</w:t>
      </w:r>
      <w:r>
        <w:rPr>
          <w:rFonts w:hint="eastAsia" w:ascii="宋体" w:hAnsi="宋体"/>
          <w:color w:val="000000" w:themeColor="text1"/>
          <w:sz w:val="24"/>
          <w:szCs w:val="24"/>
          <w:highlight w:val="none"/>
          <w14:textFill>
            <w14:solidFill>
              <w14:schemeClr w14:val="tx1"/>
            </w14:solidFill>
          </w14:textFill>
        </w:rPr>
        <w:t>文件</w:t>
      </w:r>
      <w:r>
        <w:rPr>
          <w:rFonts w:hint="eastAsia"/>
          <w:color w:val="000000" w:themeColor="text1"/>
          <w:sz w:val="24"/>
          <w:szCs w:val="24"/>
          <w:highlight w:val="none"/>
          <w14:textFill>
            <w14:solidFill>
              <w14:schemeClr w14:val="tx1"/>
            </w14:solidFill>
          </w14:textFill>
        </w:rPr>
        <w:t>或者投标文件编制工具要求的文件格式，</w:t>
      </w:r>
      <w:r>
        <w:rPr>
          <w:rFonts w:hint="eastAsia" w:ascii="宋体" w:hAnsi="宋体"/>
          <w:color w:val="000000" w:themeColor="text1"/>
          <w:sz w:val="24"/>
          <w:highlight w:val="none"/>
          <w14:textFill>
            <w14:solidFill>
              <w14:schemeClr w14:val="tx1"/>
            </w14:solidFill>
          </w14:textFill>
        </w:rPr>
        <w:t>《投标函附录》使用</w:t>
      </w:r>
      <w:r>
        <w:rPr>
          <w:rFonts w:hint="eastAsia" w:ascii="宋体" w:hAnsi="宋体"/>
          <w:color w:val="000000" w:themeColor="text1"/>
          <w:sz w:val="24"/>
          <w:highlight w:val="none"/>
          <w:lang w:eastAsia="zh-CN"/>
          <w14:textFill>
            <w14:solidFill>
              <w14:schemeClr w14:val="tx1"/>
            </w14:solidFill>
          </w14:textFill>
        </w:rPr>
        <w:t>广州交易集团有限公司（广州公共资源交易中心）</w:t>
      </w:r>
      <w:r>
        <w:rPr>
          <w:rFonts w:hint="eastAsia" w:ascii="宋体" w:hAnsi="宋体"/>
          <w:color w:val="000000" w:themeColor="text1"/>
          <w:sz w:val="24"/>
          <w:highlight w:val="none"/>
          <w14:textFill>
            <w14:solidFill>
              <w14:schemeClr w14:val="tx1"/>
            </w14:solidFill>
          </w14:textFill>
        </w:rPr>
        <w:t>提供的电子投标文件管理软件直接填写，投标文件的其他内容均以电子文件编制。扫描图片电子文件要求为从扫描原纸质文件所形成的电子图片。图片文件格式要求为JPG格式，文件名称要求与上述对应名称一致且唯一，文件内容（即扫描图片内容）要求与文件名称相符，电子图片要求清晰可辨，每个JPG文件可包含多张扫描图片，单个JPG文件大小要求在1M以下。</w:t>
      </w:r>
    </w:p>
    <w:p w14:paraId="1F1E9DD9">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1.4 投标人为联合体投标时，应按以下规定填写。</w:t>
      </w:r>
    </w:p>
    <w:p w14:paraId="0302F11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1.4.1投标人在</w:t>
      </w:r>
      <w:r>
        <w:rPr>
          <w:rFonts w:hint="eastAsia" w:ascii="宋体" w:hAnsi="宋体"/>
          <w:color w:val="000000" w:themeColor="text1"/>
          <w:sz w:val="24"/>
          <w:highlight w:val="none"/>
          <w:lang w:eastAsia="zh-CN"/>
          <w14:textFill>
            <w14:solidFill>
              <w14:schemeClr w14:val="tx1"/>
            </w14:solidFill>
          </w14:textFill>
        </w:rPr>
        <w:t>广州交易集团有限公司（广州公共资源交易中心）</w:t>
      </w:r>
      <w:r>
        <w:rPr>
          <w:rFonts w:hint="eastAsia" w:ascii="宋体" w:hAnsi="宋体"/>
          <w:color w:val="000000" w:themeColor="text1"/>
          <w:sz w:val="24"/>
          <w:highlight w:val="none"/>
          <w14:textFill>
            <w14:solidFill>
              <w14:schemeClr w14:val="tx1"/>
            </w14:solidFill>
          </w14:textFill>
        </w:rPr>
        <w:t>信息登记时，必须将联合体的所有成员单位的全称填写完整。</w:t>
      </w:r>
    </w:p>
    <w:p w14:paraId="7BF0B5D7">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1.4.2投标人在编制工程量清单时应只填写主体单位全称，且要求填写的全称与</w:t>
      </w:r>
      <w:r>
        <w:rPr>
          <w:rFonts w:hint="eastAsia" w:ascii="宋体" w:hAnsi="宋体"/>
          <w:color w:val="000000" w:themeColor="text1"/>
          <w:sz w:val="24"/>
          <w:highlight w:val="none"/>
          <w:lang w:eastAsia="zh-CN"/>
          <w14:textFill>
            <w14:solidFill>
              <w14:schemeClr w14:val="tx1"/>
            </w14:solidFill>
          </w14:textFill>
        </w:rPr>
        <w:t>广州交易集团有限公司（广州公共资源交易中心）</w:t>
      </w:r>
      <w:r>
        <w:rPr>
          <w:rFonts w:hint="eastAsia" w:ascii="宋体" w:hAnsi="宋体"/>
          <w:color w:val="000000" w:themeColor="text1"/>
          <w:sz w:val="24"/>
          <w:highlight w:val="none"/>
          <w14:textFill>
            <w14:solidFill>
              <w14:schemeClr w14:val="tx1"/>
            </w14:solidFill>
          </w14:textFill>
        </w:rPr>
        <w:t>登记名称完全一致。</w:t>
      </w:r>
    </w:p>
    <w:p w14:paraId="7948398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1.5投标文件中要求盖单位章的，均以盖电子签章为准。要求</w:t>
      </w:r>
      <w:r>
        <w:rPr>
          <w:rFonts w:hint="eastAsia"/>
          <w:color w:val="000000" w:themeColor="text1"/>
          <w:sz w:val="24"/>
          <w:szCs w:val="24"/>
          <w:highlight w:val="none"/>
          <w14:textFill>
            <w14:solidFill>
              <w14:schemeClr w14:val="tx1"/>
            </w14:solidFill>
          </w14:textFill>
        </w:rPr>
        <w:t>规定法定代表人或授权委托人人、项目负责人和技术负责人签字的页面必须签字。签字必须由本人在规定页面手写签名或签章后扫描上传。</w:t>
      </w:r>
    </w:p>
    <w:p w14:paraId="480BA46F">
      <w:pPr>
        <w:widowControl/>
        <w:jc w:val="lef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1FC2CFAE">
      <w:pPr>
        <w:spacing w:line="400" w:lineRule="exact"/>
        <w:rPr>
          <w:color w:val="000000" w:themeColor="text1"/>
          <w:sz w:val="35"/>
          <w:szCs w:val="35"/>
          <w:highlight w:val="none"/>
          <w14:textFill>
            <w14:solidFill>
              <w14:schemeClr w14:val="tx1"/>
            </w14:solidFill>
          </w14:textFill>
        </w:rPr>
      </w:pPr>
    </w:p>
    <w:p w14:paraId="657CE7B7">
      <w:pPr>
        <w:spacing w:line="400" w:lineRule="exact"/>
        <w:rPr>
          <w:rFonts w:eastAsia="黑体"/>
          <w:color w:val="000000" w:themeColor="text1"/>
          <w:sz w:val="19"/>
          <w:szCs w:val="19"/>
          <w:highlight w:val="none"/>
          <w14:textFill>
            <w14:solidFill>
              <w14:schemeClr w14:val="tx1"/>
            </w14:solidFill>
          </w14:textFill>
        </w:rPr>
      </w:pPr>
    </w:p>
    <w:p w14:paraId="655A532D">
      <w:pPr>
        <w:spacing w:line="400" w:lineRule="exact"/>
        <w:rPr>
          <w:rFonts w:eastAsia="黑体"/>
          <w:color w:val="000000" w:themeColor="text1"/>
          <w:sz w:val="19"/>
          <w:szCs w:val="19"/>
          <w:highlight w:val="none"/>
          <w14:textFill>
            <w14:solidFill>
              <w14:schemeClr w14:val="tx1"/>
            </w14:solidFill>
          </w14:textFill>
        </w:rPr>
      </w:pPr>
    </w:p>
    <w:p w14:paraId="552E21C9">
      <w:pPr>
        <w:spacing w:line="360" w:lineRule="auto"/>
        <w:jc w:val="center"/>
        <w:rPr>
          <w:rFonts w:eastAsia="黑体"/>
          <w:color w:val="000000" w:themeColor="text1"/>
          <w:sz w:val="27"/>
          <w:szCs w:val="27"/>
          <w:highlight w:val="none"/>
          <w14:textFill>
            <w14:solidFill>
              <w14:schemeClr w14:val="tx1"/>
            </w14:solidFill>
          </w14:textFill>
        </w:rPr>
      </w:pPr>
      <w:r>
        <w:rPr>
          <w:rFonts w:hint="eastAsia" w:ascii="黑体" w:hAnsi="黑体" w:eastAsia="黑体" w:cs="黑体"/>
          <w:color w:val="000000" w:themeColor="text1"/>
          <w:sz w:val="42"/>
          <w:szCs w:val="42"/>
          <w:highlight w:val="none"/>
          <w:u w:val="single"/>
          <w:lang w:val="en-US" w:eastAsia="zh-CN"/>
          <w14:textFill>
            <w14:solidFill>
              <w14:schemeClr w14:val="tx1"/>
            </w14:solidFill>
          </w14:textFill>
        </w:rPr>
        <w:t>2024年中区片区内街管网改造工程（北京南等8个片区）施工总承包项目</w:t>
      </w:r>
      <w:r>
        <w:rPr>
          <w:rFonts w:hint="eastAsia" w:eastAsia="黑体"/>
          <w:color w:val="000000" w:themeColor="text1"/>
          <w:sz w:val="27"/>
          <w:szCs w:val="27"/>
          <w:highlight w:val="none"/>
          <w14:textFill>
            <w14:solidFill>
              <w14:schemeClr w14:val="tx1"/>
            </w14:solidFill>
          </w14:textFill>
        </w:rPr>
        <w:t xml:space="preserve"> </w:t>
      </w:r>
    </w:p>
    <w:p w14:paraId="4175E86B">
      <w:pPr>
        <w:spacing w:line="400" w:lineRule="exact"/>
        <w:rPr>
          <w:rFonts w:eastAsia="黑体"/>
          <w:color w:val="000000" w:themeColor="text1"/>
          <w:sz w:val="19"/>
          <w:szCs w:val="19"/>
          <w:highlight w:val="none"/>
          <w14:textFill>
            <w14:solidFill>
              <w14:schemeClr w14:val="tx1"/>
            </w14:solidFill>
          </w14:textFill>
        </w:rPr>
      </w:pPr>
    </w:p>
    <w:p w14:paraId="3A4CF212">
      <w:pPr>
        <w:spacing w:line="400" w:lineRule="exact"/>
        <w:rPr>
          <w:rFonts w:eastAsia="黑体"/>
          <w:color w:val="000000" w:themeColor="text1"/>
          <w:sz w:val="19"/>
          <w:szCs w:val="19"/>
          <w:highlight w:val="none"/>
          <w14:textFill>
            <w14:solidFill>
              <w14:schemeClr w14:val="tx1"/>
            </w14:solidFill>
          </w14:textFill>
        </w:rPr>
      </w:pPr>
    </w:p>
    <w:p w14:paraId="5A3225D7">
      <w:pPr>
        <w:spacing w:line="400" w:lineRule="exact"/>
        <w:jc w:val="center"/>
        <w:rPr>
          <w:rFonts w:eastAsia="黑体"/>
          <w:color w:val="000000" w:themeColor="text1"/>
          <w:sz w:val="42"/>
          <w:szCs w:val="42"/>
          <w:highlight w:val="none"/>
          <w14:textFill>
            <w14:solidFill>
              <w14:schemeClr w14:val="tx1"/>
            </w14:solidFill>
          </w14:textFill>
        </w:rPr>
      </w:pPr>
      <w:bookmarkStart w:id="818" w:name="_Toc221951911"/>
      <w:r>
        <w:rPr>
          <w:rFonts w:eastAsia="黑体"/>
          <w:color w:val="000000" w:themeColor="text1"/>
          <w:sz w:val="42"/>
          <w:szCs w:val="42"/>
          <w:highlight w:val="none"/>
          <w14:textFill>
            <w14:solidFill>
              <w14:schemeClr w14:val="tx1"/>
            </w14:solidFill>
          </w14:textFill>
        </w:rPr>
        <w:t>投  标  文  件</w:t>
      </w:r>
      <w:bookmarkEnd w:id="818"/>
    </w:p>
    <w:p w14:paraId="13CAE1CA">
      <w:pPr>
        <w:spacing w:line="400" w:lineRule="exact"/>
        <w:rPr>
          <w:rFonts w:eastAsia="黑体"/>
          <w:color w:val="000000" w:themeColor="text1"/>
          <w:sz w:val="27"/>
          <w:szCs w:val="27"/>
          <w:highlight w:val="none"/>
          <w14:textFill>
            <w14:solidFill>
              <w14:schemeClr w14:val="tx1"/>
            </w14:solidFill>
          </w14:textFill>
        </w:rPr>
      </w:pPr>
    </w:p>
    <w:p w14:paraId="63758A37">
      <w:pPr>
        <w:spacing w:line="400" w:lineRule="exact"/>
        <w:rPr>
          <w:rFonts w:eastAsia="黑体"/>
          <w:color w:val="000000" w:themeColor="text1"/>
          <w:sz w:val="27"/>
          <w:szCs w:val="27"/>
          <w:highlight w:val="none"/>
          <w14:textFill>
            <w14:solidFill>
              <w14:schemeClr w14:val="tx1"/>
            </w14:solidFill>
          </w14:textFill>
        </w:rPr>
      </w:pPr>
    </w:p>
    <w:p w14:paraId="019CFAE9">
      <w:pPr>
        <w:spacing w:line="400" w:lineRule="exact"/>
        <w:rPr>
          <w:rFonts w:eastAsia="黑体"/>
          <w:color w:val="000000" w:themeColor="text1"/>
          <w:sz w:val="27"/>
          <w:szCs w:val="27"/>
          <w:highlight w:val="none"/>
          <w14:textFill>
            <w14:solidFill>
              <w14:schemeClr w14:val="tx1"/>
            </w14:solidFill>
          </w14:textFill>
        </w:rPr>
      </w:pPr>
    </w:p>
    <w:p w14:paraId="3FD91943">
      <w:pPr>
        <w:spacing w:line="400" w:lineRule="exact"/>
        <w:rPr>
          <w:rFonts w:eastAsia="黑体"/>
          <w:color w:val="000000" w:themeColor="text1"/>
          <w:sz w:val="27"/>
          <w:szCs w:val="27"/>
          <w:highlight w:val="none"/>
          <w14:textFill>
            <w14:solidFill>
              <w14:schemeClr w14:val="tx1"/>
            </w14:solidFill>
          </w14:textFill>
        </w:rPr>
      </w:pPr>
    </w:p>
    <w:p w14:paraId="632CB0A6">
      <w:pPr>
        <w:spacing w:line="400" w:lineRule="exact"/>
        <w:rPr>
          <w:rFonts w:eastAsia="黑体"/>
          <w:color w:val="000000" w:themeColor="text1"/>
          <w:sz w:val="27"/>
          <w:szCs w:val="27"/>
          <w:highlight w:val="none"/>
          <w14:textFill>
            <w14:solidFill>
              <w14:schemeClr w14:val="tx1"/>
            </w14:solidFill>
          </w14:textFill>
        </w:rPr>
      </w:pPr>
    </w:p>
    <w:p w14:paraId="645D7925">
      <w:pPr>
        <w:spacing w:line="400" w:lineRule="exact"/>
        <w:rPr>
          <w:rFonts w:eastAsia="黑体"/>
          <w:color w:val="000000" w:themeColor="text1"/>
          <w:sz w:val="27"/>
          <w:szCs w:val="27"/>
          <w:highlight w:val="none"/>
          <w14:textFill>
            <w14:solidFill>
              <w14:schemeClr w14:val="tx1"/>
            </w14:solidFill>
          </w14:textFill>
        </w:rPr>
      </w:pPr>
    </w:p>
    <w:p w14:paraId="09455E7F">
      <w:pPr>
        <w:spacing w:line="400" w:lineRule="exact"/>
        <w:rPr>
          <w:rFonts w:eastAsia="黑体"/>
          <w:color w:val="000000" w:themeColor="text1"/>
          <w:sz w:val="27"/>
          <w:szCs w:val="27"/>
          <w:highlight w:val="none"/>
          <w14:textFill>
            <w14:solidFill>
              <w14:schemeClr w14:val="tx1"/>
            </w14:solidFill>
          </w14:textFill>
        </w:rPr>
      </w:pPr>
    </w:p>
    <w:p w14:paraId="576D1D69">
      <w:pPr>
        <w:spacing w:line="400" w:lineRule="exact"/>
        <w:rPr>
          <w:rFonts w:eastAsia="黑体"/>
          <w:color w:val="000000" w:themeColor="text1"/>
          <w:sz w:val="27"/>
          <w:szCs w:val="27"/>
          <w:highlight w:val="none"/>
          <w14:textFill>
            <w14:solidFill>
              <w14:schemeClr w14:val="tx1"/>
            </w14:solidFill>
          </w14:textFill>
        </w:rPr>
      </w:pPr>
    </w:p>
    <w:p w14:paraId="5942A198">
      <w:pPr>
        <w:spacing w:line="400" w:lineRule="exact"/>
        <w:rPr>
          <w:rFonts w:eastAsia="黑体"/>
          <w:color w:val="000000" w:themeColor="text1"/>
          <w:sz w:val="27"/>
          <w:szCs w:val="27"/>
          <w:highlight w:val="none"/>
          <w14:textFill>
            <w14:solidFill>
              <w14:schemeClr w14:val="tx1"/>
            </w14:solidFill>
          </w14:textFill>
        </w:rPr>
      </w:pPr>
    </w:p>
    <w:p w14:paraId="45CAD0C4">
      <w:pPr>
        <w:spacing w:line="400" w:lineRule="exact"/>
        <w:rPr>
          <w:rFonts w:eastAsia="黑体"/>
          <w:color w:val="000000" w:themeColor="text1"/>
          <w:sz w:val="27"/>
          <w:szCs w:val="27"/>
          <w:highlight w:val="none"/>
          <w14:textFill>
            <w14:solidFill>
              <w14:schemeClr w14:val="tx1"/>
            </w14:solidFill>
          </w14:textFill>
        </w:rPr>
      </w:pPr>
    </w:p>
    <w:p w14:paraId="78D2C9C2">
      <w:pPr>
        <w:spacing w:line="400" w:lineRule="exact"/>
        <w:rPr>
          <w:rFonts w:eastAsia="黑体"/>
          <w:color w:val="000000" w:themeColor="text1"/>
          <w:sz w:val="27"/>
          <w:szCs w:val="27"/>
          <w:highlight w:val="none"/>
          <w14:textFill>
            <w14:solidFill>
              <w14:schemeClr w14:val="tx1"/>
            </w14:solidFill>
          </w14:textFill>
        </w:rPr>
      </w:pPr>
    </w:p>
    <w:p w14:paraId="7FACFA4A">
      <w:pPr>
        <w:spacing w:line="400" w:lineRule="exact"/>
        <w:jc w:val="center"/>
        <w:rPr>
          <w:rFonts w:eastAsia="黑体"/>
          <w:color w:val="000000" w:themeColor="text1"/>
          <w:sz w:val="27"/>
          <w:szCs w:val="27"/>
          <w:highlight w:val="none"/>
          <w14:textFill>
            <w14:solidFill>
              <w14:schemeClr w14:val="tx1"/>
            </w14:solidFill>
          </w14:textFill>
        </w:rPr>
      </w:pPr>
      <w:bookmarkStart w:id="819" w:name="_Toc221951912"/>
      <w:r>
        <w:rPr>
          <w:rFonts w:eastAsia="黑体"/>
          <w:color w:val="000000" w:themeColor="text1"/>
          <w:sz w:val="27"/>
          <w:szCs w:val="27"/>
          <w:highlight w:val="none"/>
          <w14:textFill>
            <w14:solidFill>
              <w14:schemeClr w14:val="tx1"/>
            </w14:solidFill>
          </w14:textFill>
        </w:rPr>
        <w:t>投标人：</w:t>
      </w:r>
      <w:r>
        <w:rPr>
          <w:rFonts w:eastAsia="黑体"/>
          <w:color w:val="000000" w:themeColor="text1"/>
          <w:sz w:val="27"/>
          <w:szCs w:val="27"/>
          <w:highlight w:val="none"/>
          <w:u w:val="single"/>
          <w14:textFill>
            <w14:solidFill>
              <w14:schemeClr w14:val="tx1"/>
            </w14:solidFill>
          </w14:textFill>
        </w:rPr>
        <w:t xml:space="preserve">                     </w:t>
      </w:r>
      <w:r>
        <w:rPr>
          <w:rFonts w:hint="eastAsia" w:eastAsia="黑体"/>
          <w:color w:val="000000" w:themeColor="text1"/>
          <w:sz w:val="27"/>
          <w:szCs w:val="27"/>
          <w:highlight w:val="none"/>
          <w:u w:val="single"/>
          <w14:textFill>
            <w14:solidFill>
              <w14:schemeClr w14:val="tx1"/>
            </w14:solidFill>
          </w14:textFill>
        </w:rPr>
        <w:t xml:space="preserve">  </w:t>
      </w:r>
      <w:r>
        <w:rPr>
          <w:rFonts w:eastAsia="黑体"/>
          <w:color w:val="000000" w:themeColor="text1"/>
          <w:sz w:val="27"/>
          <w:szCs w:val="27"/>
          <w:highlight w:val="none"/>
          <w:u w:val="single"/>
          <w14:textFill>
            <w14:solidFill>
              <w14:schemeClr w14:val="tx1"/>
            </w14:solidFill>
          </w14:textFill>
        </w:rPr>
        <w:t xml:space="preserve">       </w:t>
      </w:r>
      <w:r>
        <w:rPr>
          <w:rFonts w:eastAsia="黑体"/>
          <w:color w:val="000000" w:themeColor="text1"/>
          <w:sz w:val="27"/>
          <w:szCs w:val="27"/>
          <w:highlight w:val="none"/>
          <w14:textFill>
            <w14:solidFill>
              <w14:schemeClr w14:val="tx1"/>
            </w14:solidFill>
          </w14:textFill>
        </w:rPr>
        <w:t>（盖单位章）</w:t>
      </w:r>
      <w:bookmarkEnd w:id="819"/>
    </w:p>
    <w:p w14:paraId="0603916E">
      <w:pPr>
        <w:spacing w:line="400" w:lineRule="exact"/>
        <w:jc w:val="center"/>
        <w:rPr>
          <w:rFonts w:eastAsia="黑体"/>
          <w:color w:val="000000" w:themeColor="text1"/>
          <w:sz w:val="27"/>
          <w:szCs w:val="27"/>
          <w:highlight w:val="none"/>
          <w:u w:val="single"/>
          <w14:textFill>
            <w14:solidFill>
              <w14:schemeClr w14:val="tx1"/>
            </w14:solidFill>
          </w14:textFill>
        </w:rPr>
      </w:pPr>
    </w:p>
    <w:p w14:paraId="1C850C9D">
      <w:pPr>
        <w:spacing w:line="400" w:lineRule="exact"/>
        <w:jc w:val="center"/>
        <w:rPr>
          <w:rFonts w:eastAsia="黑体"/>
          <w:color w:val="000000" w:themeColor="text1"/>
          <w:sz w:val="27"/>
          <w:szCs w:val="27"/>
          <w:highlight w:val="none"/>
          <w14:textFill>
            <w14:solidFill>
              <w14:schemeClr w14:val="tx1"/>
            </w14:solidFill>
          </w14:textFill>
        </w:rPr>
      </w:pPr>
      <w:r>
        <w:rPr>
          <w:rFonts w:eastAsia="黑体"/>
          <w:color w:val="000000" w:themeColor="text1"/>
          <w:sz w:val="27"/>
          <w:szCs w:val="27"/>
          <w:highlight w:val="none"/>
          <w:u w:val="single"/>
          <w14:textFill>
            <w14:solidFill>
              <w14:schemeClr w14:val="tx1"/>
            </w14:solidFill>
          </w14:textFill>
        </w:rPr>
        <w:t xml:space="preserve">        </w:t>
      </w:r>
      <w:bookmarkStart w:id="820" w:name="_Toc221951914"/>
      <w:r>
        <w:rPr>
          <w:rFonts w:eastAsia="黑体"/>
          <w:color w:val="000000" w:themeColor="text1"/>
          <w:sz w:val="27"/>
          <w:szCs w:val="27"/>
          <w:highlight w:val="none"/>
          <w14:textFill>
            <w14:solidFill>
              <w14:schemeClr w14:val="tx1"/>
            </w14:solidFill>
          </w14:textFill>
        </w:rPr>
        <w:t>年</w:t>
      </w:r>
      <w:r>
        <w:rPr>
          <w:rFonts w:eastAsia="黑体"/>
          <w:color w:val="000000" w:themeColor="text1"/>
          <w:sz w:val="27"/>
          <w:szCs w:val="27"/>
          <w:highlight w:val="none"/>
          <w:u w:val="single"/>
          <w14:textFill>
            <w14:solidFill>
              <w14:schemeClr w14:val="tx1"/>
            </w14:solidFill>
          </w14:textFill>
        </w:rPr>
        <w:t xml:space="preserve">        </w:t>
      </w:r>
      <w:r>
        <w:rPr>
          <w:rFonts w:eastAsia="黑体"/>
          <w:color w:val="000000" w:themeColor="text1"/>
          <w:sz w:val="27"/>
          <w:szCs w:val="27"/>
          <w:highlight w:val="none"/>
          <w14:textFill>
            <w14:solidFill>
              <w14:schemeClr w14:val="tx1"/>
            </w14:solidFill>
          </w14:textFill>
        </w:rPr>
        <w:t>月</w:t>
      </w:r>
      <w:r>
        <w:rPr>
          <w:rFonts w:eastAsia="黑体"/>
          <w:color w:val="000000" w:themeColor="text1"/>
          <w:sz w:val="27"/>
          <w:szCs w:val="27"/>
          <w:highlight w:val="none"/>
          <w:u w:val="single"/>
          <w14:textFill>
            <w14:solidFill>
              <w14:schemeClr w14:val="tx1"/>
            </w14:solidFill>
          </w14:textFill>
        </w:rPr>
        <w:t xml:space="preserve">         </w:t>
      </w:r>
      <w:r>
        <w:rPr>
          <w:rFonts w:eastAsia="黑体"/>
          <w:color w:val="000000" w:themeColor="text1"/>
          <w:sz w:val="27"/>
          <w:szCs w:val="27"/>
          <w:highlight w:val="none"/>
          <w14:textFill>
            <w14:solidFill>
              <w14:schemeClr w14:val="tx1"/>
            </w14:solidFill>
          </w14:textFill>
        </w:rPr>
        <w:t>日</w:t>
      </w:r>
      <w:bookmarkEnd w:id="820"/>
    </w:p>
    <w:p w14:paraId="50850F6D">
      <w:pPr>
        <w:spacing w:line="400" w:lineRule="exact"/>
        <w:rPr>
          <w:color w:val="000000" w:themeColor="text1"/>
          <w:sz w:val="20"/>
          <w:szCs w:val="20"/>
          <w:highlight w:val="none"/>
          <w14:textFill>
            <w14:solidFill>
              <w14:schemeClr w14:val="tx1"/>
            </w14:solidFill>
          </w14:textFill>
        </w:rPr>
      </w:pPr>
      <w:r>
        <w:rPr>
          <w:color w:val="000000" w:themeColor="text1"/>
          <w:sz w:val="20"/>
          <w:szCs w:val="20"/>
          <w:highlight w:val="none"/>
          <w14:textFill>
            <w14:solidFill>
              <w14:schemeClr w14:val="tx1"/>
            </w14:solidFill>
          </w14:textFill>
        </w:rPr>
        <w:br w:type="page"/>
      </w:r>
    </w:p>
    <w:p w14:paraId="73CDAFAD">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821" w:name="_Toc259524413"/>
      <w:bookmarkStart w:id="822" w:name="_Toc229305419"/>
      <w:bookmarkStart w:id="823" w:name="_Toc17454950"/>
      <w:bookmarkStart w:id="824" w:name="_Toc17451651"/>
      <w:bookmarkStart w:id="825" w:name="_Toc17454899"/>
      <w:bookmarkStart w:id="826" w:name="_Toc14596"/>
      <w:bookmarkStart w:id="827" w:name="_Toc17451129"/>
      <w:bookmarkStart w:id="828" w:name="_Toc17451606"/>
      <w:bookmarkStart w:id="829" w:name="_Toc17556904"/>
      <w:bookmarkStart w:id="830" w:name="_Toc17452692"/>
      <w:r>
        <w:rPr>
          <w:rFonts w:hint="eastAsia" w:ascii="黑体" w:hAnsi="黑体" w:eastAsia="黑体"/>
          <w:color w:val="000000" w:themeColor="text1"/>
          <w:sz w:val="28"/>
          <w:szCs w:val="27"/>
          <w:highlight w:val="none"/>
          <w14:textFill>
            <w14:solidFill>
              <w14:schemeClr w14:val="tx1"/>
            </w14:solidFill>
          </w14:textFill>
        </w:rPr>
        <w:t>目    录</w:t>
      </w:r>
      <w:bookmarkEnd w:id="821"/>
      <w:bookmarkEnd w:id="822"/>
      <w:r>
        <w:rPr>
          <w:rFonts w:hint="eastAsia" w:ascii="华文宋体" w:hAnsi="华文宋体" w:eastAsia="华文宋体"/>
          <w:color w:val="000000" w:themeColor="text1"/>
          <w:szCs w:val="21"/>
          <w:highlight w:val="none"/>
          <w14:textFill>
            <w14:solidFill>
              <w14:schemeClr w14:val="tx1"/>
            </w14:solidFill>
          </w14:textFill>
        </w:rPr>
        <w:t>（可加上二级目录）</w:t>
      </w:r>
      <w:bookmarkEnd w:id="823"/>
      <w:bookmarkEnd w:id="824"/>
      <w:bookmarkEnd w:id="825"/>
      <w:bookmarkEnd w:id="826"/>
      <w:bookmarkEnd w:id="827"/>
      <w:bookmarkEnd w:id="828"/>
      <w:bookmarkEnd w:id="829"/>
      <w:bookmarkEnd w:id="830"/>
    </w:p>
    <w:p w14:paraId="49174BB7">
      <w:pPr>
        <w:spacing w:line="400" w:lineRule="exact"/>
        <w:rPr>
          <w:color w:val="000000" w:themeColor="text1"/>
          <w:sz w:val="20"/>
          <w:szCs w:val="20"/>
          <w:highlight w:val="none"/>
          <w14:textFill>
            <w14:solidFill>
              <w14:schemeClr w14:val="tx1"/>
            </w14:solidFill>
          </w14:textFill>
        </w:rPr>
      </w:pPr>
    </w:p>
    <w:p w14:paraId="59C377E5">
      <w:pPr>
        <w:spacing w:line="276" w:lineRule="auto"/>
        <w:rPr>
          <w:rFonts w:ascii="黑体" w:eastAsia="黑体"/>
          <w:color w:val="000000" w:themeColor="text1"/>
          <w:sz w:val="27"/>
          <w:szCs w:val="27"/>
          <w:highlight w:val="none"/>
          <w14:textFill>
            <w14:solidFill>
              <w14:schemeClr w14:val="tx1"/>
            </w14:solidFill>
          </w14:textFill>
        </w:rPr>
      </w:pPr>
      <w:bookmarkStart w:id="831" w:name="_Toc221951916"/>
      <w:r>
        <w:rPr>
          <w:rFonts w:hint="eastAsia" w:ascii="黑体" w:eastAsia="黑体"/>
          <w:color w:val="000000" w:themeColor="text1"/>
          <w:sz w:val="27"/>
          <w:szCs w:val="27"/>
          <w:highlight w:val="none"/>
          <w14:textFill>
            <w14:solidFill>
              <w14:schemeClr w14:val="tx1"/>
            </w14:solidFill>
          </w14:textFill>
        </w:rPr>
        <w:t>一、投标函及投标函附录</w:t>
      </w:r>
      <w:bookmarkEnd w:id="831"/>
    </w:p>
    <w:p w14:paraId="3B41CD83">
      <w:pPr>
        <w:spacing w:line="276" w:lineRule="auto"/>
        <w:rPr>
          <w:rFonts w:ascii="黑体" w:eastAsia="黑体"/>
          <w:color w:val="000000" w:themeColor="text1"/>
          <w:sz w:val="27"/>
          <w:szCs w:val="27"/>
          <w:highlight w:val="none"/>
          <w14:textFill>
            <w14:solidFill>
              <w14:schemeClr w14:val="tx1"/>
            </w14:solidFill>
          </w14:textFill>
        </w:rPr>
      </w:pPr>
      <w:bookmarkStart w:id="832" w:name="_Toc221951917"/>
      <w:r>
        <w:rPr>
          <w:rFonts w:hint="eastAsia" w:ascii="黑体" w:eastAsia="黑体"/>
          <w:color w:val="000000" w:themeColor="text1"/>
          <w:sz w:val="27"/>
          <w:szCs w:val="27"/>
          <w:highlight w:val="none"/>
          <w14:textFill>
            <w14:solidFill>
              <w14:schemeClr w14:val="tx1"/>
            </w14:solidFill>
          </w14:textFill>
        </w:rPr>
        <w:t>二、法定代表人身份证明</w:t>
      </w:r>
    </w:p>
    <w:p w14:paraId="48816A5C">
      <w:pPr>
        <w:spacing w:line="276" w:lineRule="auto"/>
        <w:rPr>
          <w:rFonts w:ascii="黑体" w:eastAsia="黑体"/>
          <w:color w:val="000000" w:themeColor="text1"/>
          <w:sz w:val="27"/>
          <w:szCs w:val="27"/>
          <w:highlight w:val="none"/>
          <w14:textFill>
            <w14:solidFill>
              <w14:schemeClr w14:val="tx1"/>
            </w14:solidFill>
          </w14:textFill>
        </w:rPr>
      </w:pPr>
      <w:r>
        <w:rPr>
          <w:rFonts w:hint="eastAsia" w:ascii="黑体" w:eastAsia="黑体"/>
          <w:color w:val="000000" w:themeColor="text1"/>
          <w:sz w:val="27"/>
          <w:szCs w:val="27"/>
          <w:highlight w:val="none"/>
          <w14:textFill>
            <w14:solidFill>
              <w14:schemeClr w14:val="tx1"/>
            </w14:solidFill>
          </w14:textFill>
        </w:rPr>
        <w:t>三、授权委托书</w:t>
      </w:r>
      <w:bookmarkEnd w:id="832"/>
      <w:r>
        <w:rPr>
          <w:rFonts w:hint="eastAsia" w:ascii="黑体" w:eastAsia="黑体"/>
          <w:color w:val="000000" w:themeColor="text1"/>
          <w:sz w:val="27"/>
          <w:szCs w:val="27"/>
          <w:highlight w:val="none"/>
          <w14:textFill>
            <w14:solidFill>
              <w14:schemeClr w14:val="tx1"/>
            </w14:solidFill>
          </w14:textFill>
        </w:rPr>
        <w:t>（适用于有委托代理人的情况）</w:t>
      </w:r>
    </w:p>
    <w:p w14:paraId="364F5A79">
      <w:pPr>
        <w:spacing w:line="276" w:lineRule="auto"/>
        <w:rPr>
          <w:rFonts w:ascii="黑体" w:eastAsia="黑体"/>
          <w:color w:val="000000" w:themeColor="text1"/>
          <w:sz w:val="27"/>
          <w:szCs w:val="27"/>
          <w:highlight w:val="none"/>
          <w14:textFill>
            <w14:solidFill>
              <w14:schemeClr w14:val="tx1"/>
            </w14:solidFill>
          </w14:textFill>
        </w:rPr>
      </w:pPr>
      <w:bookmarkStart w:id="833" w:name="_Toc221951919"/>
      <w:r>
        <w:rPr>
          <w:rFonts w:hint="eastAsia" w:ascii="黑体" w:eastAsia="黑体"/>
          <w:color w:val="000000" w:themeColor="text1"/>
          <w:sz w:val="27"/>
          <w:szCs w:val="27"/>
          <w:highlight w:val="none"/>
          <w:lang w:val="en-US" w:eastAsia="zh-CN"/>
          <w14:textFill>
            <w14:solidFill>
              <w14:schemeClr w14:val="tx1"/>
            </w14:solidFill>
          </w14:textFill>
        </w:rPr>
        <w:t>四</w:t>
      </w:r>
      <w:r>
        <w:rPr>
          <w:rFonts w:hint="eastAsia" w:ascii="黑体" w:eastAsia="黑体"/>
          <w:color w:val="000000" w:themeColor="text1"/>
          <w:sz w:val="27"/>
          <w:szCs w:val="27"/>
          <w:highlight w:val="none"/>
          <w14:textFill>
            <w14:solidFill>
              <w14:schemeClr w14:val="tx1"/>
            </w14:solidFill>
          </w14:textFill>
        </w:rPr>
        <w:t>、投标保证金</w:t>
      </w:r>
      <w:bookmarkEnd w:id="833"/>
      <w:r>
        <w:rPr>
          <w:rFonts w:hint="eastAsia" w:ascii="黑体" w:eastAsia="黑体"/>
          <w:color w:val="000000" w:themeColor="text1"/>
          <w:sz w:val="27"/>
          <w:szCs w:val="27"/>
          <w:highlight w:val="none"/>
          <w14:textFill>
            <w14:solidFill>
              <w14:schemeClr w14:val="tx1"/>
            </w14:solidFill>
          </w14:textFill>
        </w:rPr>
        <w:t xml:space="preserve"> </w:t>
      </w:r>
    </w:p>
    <w:p w14:paraId="21A32955">
      <w:pPr>
        <w:spacing w:line="276" w:lineRule="auto"/>
        <w:rPr>
          <w:rFonts w:ascii="黑体" w:eastAsia="黑体"/>
          <w:color w:val="000000" w:themeColor="text1"/>
          <w:sz w:val="27"/>
          <w:szCs w:val="27"/>
          <w:highlight w:val="none"/>
          <w14:textFill>
            <w14:solidFill>
              <w14:schemeClr w14:val="tx1"/>
            </w14:solidFill>
          </w14:textFill>
        </w:rPr>
      </w:pPr>
      <w:bookmarkStart w:id="834" w:name="_Toc221951920"/>
      <w:r>
        <w:rPr>
          <w:rFonts w:hint="eastAsia" w:ascii="黑体" w:eastAsia="黑体"/>
          <w:color w:val="000000" w:themeColor="text1"/>
          <w:sz w:val="27"/>
          <w:szCs w:val="27"/>
          <w:highlight w:val="none"/>
          <w:lang w:val="en-US" w:eastAsia="zh-CN"/>
          <w14:textFill>
            <w14:solidFill>
              <w14:schemeClr w14:val="tx1"/>
            </w14:solidFill>
          </w14:textFill>
        </w:rPr>
        <w:t>五</w:t>
      </w:r>
      <w:r>
        <w:rPr>
          <w:rFonts w:hint="eastAsia" w:ascii="黑体" w:eastAsia="黑体"/>
          <w:color w:val="000000" w:themeColor="text1"/>
          <w:sz w:val="27"/>
          <w:szCs w:val="27"/>
          <w:highlight w:val="none"/>
          <w14:textFill>
            <w14:solidFill>
              <w14:schemeClr w14:val="tx1"/>
            </w14:solidFill>
          </w14:textFill>
        </w:rPr>
        <w:t>、已标价工程量清单</w:t>
      </w:r>
      <w:bookmarkEnd w:id="834"/>
    </w:p>
    <w:p w14:paraId="506C2EA2">
      <w:pPr>
        <w:spacing w:line="276" w:lineRule="auto"/>
        <w:rPr>
          <w:rFonts w:ascii="黑体" w:eastAsia="黑体"/>
          <w:color w:val="000000" w:themeColor="text1"/>
          <w:sz w:val="27"/>
          <w:szCs w:val="27"/>
          <w:highlight w:val="none"/>
          <w14:textFill>
            <w14:solidFill>
              <w14:schemeClr w14:val="tx1"/>
            </w14:solidFill>
          </w14:textFill>
        </w:rPr>
      </w:pPr>
      <w:bookmarkStart w:id="835" w:name="_Toc221951921"/>
      <w:r>
        <w:rPr>
          <w:rFonts w:hint="eastAsia" w:ascii="黑体" w:eastAsia="黑体"/>
          <w:color w:val="000000" w:themeColor="text1"/>
          <w:sz w:val="27"/>
          <w:szCs w:val="27"/>
          <w:highlight w:val="none"/>
          <w:lang w:val="en-US" w:eastAsia="zh-CN"/>
          <w14:textFill>
            <w14:solidFill>
              <w14:schemeClr w14:val="tx1"/>
            </w14:solidFill>
          </w14:textFill>
        </w:rPr>
        <w:t>六</w:t>
      </w:r>
      <w:r>
        <w:rPr>
          <w:rFonts w:hint="eastAsia" w:ascii="黑体" w:eastAsia="黑体"/>
          <w:color w:val="000000" w:themeColor="text1"/>
          <w:sz w:val="27"/>
          <w:szCs w:val="27"/>
          <w:highlight w:val="none"/>
          <w14:textFill>
            <w14:solidFill>
              <w14:schemeClr w14:val="tx1"/>
            </w14:solidFill>
          </w14:textFill>
        </w:rPr>
        <w:t>、施工组织设计</w:t>
      </w:r>
      <w:bookmarkEnd w:id="835"/>
    </w:p>
    <w:p w14:paraId="513AA87C">
      <w:pPr>
        <w:spacing w:line="276" w:lineRule="auto"/>
        <w:rPr>
          <w:rFonts w:ascii="黑体" w:eastAsia="黑体"/>
          <w:color w:val="000000" w:themeColor="text1"/>
          <w:sz w:val="27"/>
          <w:szCs w:val="27"/>
          <w:highlight w:val="none"/>
          <w14:textFill>
            <w14:solidFill>
              <w14:schemeClr w14:val="tx1"/>
            </w14:solidFill>
          </w14:textFill>
        </w:rPr>
      </w:pPr>
      <w:bookmarkStart w:id="836" w:name="_Toc221951922"/>
      <w:r>
        <w:rPr>
          <w:rFonts w:hint="eastAsia" w:ascii="黑体" w:eastAsia="黑体"/>
          <w:color w:val="000000" w:themeColor="text1"/>
          <w:sz w:val="27"/>
          <w:szCs w:val="27"/>
          <w:highlight w:val="none"/>
          <w:lang w:val="en-US" w:eastAsia="zh-CN"/>
          <w14:textFill>
            <w14:solidFill>
              <w14:schemeClr w14:val="tx1"/>
            </w14:solidFill>
          </w14:textFill>
        </w:rPr>
        <w:t>七</w:t>
      </w:r>
      <w:r>
        <w:rPr>
          <w:rFonts w:hint="eastAsia" w:ascii="黑体" w:eastAsia="黑体"/>
          <w:color w:val="000000" w:themeColor="text1"/>
          <w:sz w:val="27"/>
          <w:szCs w:val="27"/>
          <w:highlight w:val="none"/>
          <w14:textFill>
            <w14:solidFill>
              <w14:schemeClr w14:val="tx1"/>
            </w14:solidFill>
          </w14:textFill>
        </w:rPr>
        <w:t>、项目管理机构</w:t>
      </w:r>
      <w:bookmarkEnd w:id="836"/>
    </w:p>
    <w:p w14:paraId="1830C91C">
      <w:pPr>
        <w:spacing w:line="276" w:lineRule="auto"/>
        <w:rPr>
          <w:rFonts w:ascii="黑体" w:eastAsia="黑体"/>
          <w:color w:val="000000" w:themeColor="text1"/>
          <w:sz w:val="27"/>
          <w:szCs w:val="27"/>
          <w:highlight w:val="none"/>
          <w14:textFill>
            <w14:solidFill>
              <w14:schemeClr w14:val="tx1"/>
            </w14:solidFill>
          </w14:textFill>
        </w:rPr>
      </w:pPr>
      <w:bookmarkStart w:id="837" w:name="_Toc221951924"/>
      <w:r>
        <w:rPr>
          <w:rFonts w:hint="eastAsia" w:ascii="黑体" w:eastAsia="黑体"/>
          <w:color w:val="000000" w:themeColor="text1"/>
          <w:sz w:val="27"/>
          <w:szCs w:val="27"/>
          <w:highlight w:val="none"/>
          <w:lang w:val="en-US" w:eastAsia="zh-CN"/>
          <w14:textFill>
            <w14:solidFill>
              <w14:schemeClr w14:val="tx1"/>
            </w14:solidFill>
          </w14:textFill>
        </w:rPr>
        <w:t>八</w:t>
      </w:r>
      <w:r>
        <w:rPr>
          <w:rFonts w:hint="eastAsia" w:ascii="黑体" w:eastAsia="黑体"/>
          <w:color w:val="000000" w:themeColor="text1"/>
          <w:sz w:val="27"/>
          <w:szCs w:val="27"/>
          <w:highlight w:val="none"/>
          <w14:textFill>
            <w14:solidFill>
              <w14:schemeClr w14:val="tx1"/>
            </w14:solidFill>
          </w14:textFill>
        </w:rPr>
        <w:t>、资格审查资料</w:t>
      </w:r>
      <w:bookmarkEnd w:id="837"/>
    </w:p>
    <w:p w14:paraId="51FE5C2C">
      <w:pPr>
        <w:spacing w:line="276" w:lineRule="auto"/>
        <w:rPr>
          <w:rFonts w:ascii="黑体" w:eastAsia="黑体"/>
          <w:color w:val="000000" w:themeColor="text1"/>
          <w:sz w:val="27"/>
          <w:szCs w:val="27"/>
          <w:highlight w:val="none"/>
          <w14:textFill>
            <w14:solidFill>
              <w14:schemeClr w14:val="tx1"/>
            </w14:solidFill>
          </w14:textFill>
        </w:rPr>
      </w:pPr>
      <w:bookmarkStart w:id="838" w:name="_Toc221951925"/>
      <w:r>
        <w:rPr>
          <w:rFonts w:hint="eastAsia" w:ascii="黑体" w:eastAsia="黑体"/>
          <w:color w:val="000000" w:themeColor="text1"/>
          <w:sz w:val="27"/>
          <w:szCs w:val="27"/>
          <w:highlight w:val="none"/>
          <w:lang w:val="en-US" w:eastAsia="zh-CN"/>
          <w14:textFill>
            <w14:solidFill>
              <w14:schemeClr w14:val="tx1"/>
            </w14:solidFill>
          </w14:textFill>
        </w:rPr>
        <w:t>九</w:t>
      </w:r>
      <w:r>
        <w:rPr>
          <w:rFonts w:hint="eastAsia" w:ascii="黑体" w:eastAsia="黑体"/>
          <w:color w:val="000000" w:themeColor="text1"/>
          <w:sz w:val="27"/>
          <w:szCs w:val="27"/>
          <w:highlight w:val="none"/>
          <w14:textFill>
            <w14:solidFill>
              <w14:schemeClr w14:val="tx1"/>
            </w14:solidFill>
          </w14:textFill>
        </w:rPr>
        <w:t>、</w:t>
      </w:r>
      <w:bookmarkEnd w:id="838"/>
      <w:r>
        <w:rPr>
          <w:rFonts w:hint="eastAsia" w:ascii="黑体" w:eastAsia="黑体"/>
          <w:color w:val="000000" w:themeColor="text1"/>
          <w:sz w:val="27"/>
          <w:szCs w:val="27"/>
          <w:highlight w:val="none"/>
          <w14:textFill>
            <w14:solidFill>
              <w14:schemeClr w14:val="tx1"/>
            </w14:solidFill>
          </w14:textFill>
        </w:rPr>
        <w:t>其他应提交的材料</w:t>
      </w:r>
    </w:p>
    <w:p w14:paraId="4BE4371C">
      <w:pPr>
        <w:spacing w:line="276" w:lineRule="auto"/>
        <w:rPr>
          <w:rFonts w:eastAsia="黑体"/>
          <w:color w:val="000000" w:themeColor="text1"/>
          <w:sz w:val="19"/>
          <w:szCs w:val="19"/>
          <w:highlight w:val="none"/>
          <w14:textFill>
            <w14:solidFill>
              <w14:schemeClr w14:val="tx1"/>
            </w14:solidFill>
          </w14:textFill>
        </w:rPr>
      </w:pPr>
      <w:r>
        <w:rPr>
          <w:color w:val="000000" w:themeColor="text1"/>
          <w:sz w:val="20"/>
          <w:szCs w:val="20"/>
          <w:highlight w:val="none"/>
          <w14:textFill>
            <w14:solidFill>
              <w14:schemeClr w14:val="tx1"/>
            </w14:solidFill>
          </w14:textFill>
        </w:rPr>
        <w:t xml:space="preserve"> </w:t>
      </w:r>
      <w:r>
        <w:rPr>
          <w:color w:val="000000" w:themeColor="text1"/>
          <w:sz w:val="20"/>
          <w:szCs w:val="20"/>
          <w:highlight w:val="none"/>
          <w14:textFill>
            <w14:solidFill>
              <w14:schemeClr w14:val="tx1"/>
            </w14:solidFill>
          </w14:textFill>
        </w:rPr>
        <w:br w:type="page"/>
      </w:r>
    </w:p>
    <w:p w14:paraId="14F77A5C">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839" w:name="_Toc17452693"/>
      <w:bookmarkStart w:id="840" w:name="_Toc168475915"/>
      <w:bookmarkStart w:id="841" w:name="_Toc26051"/>
      <w:bookmarkStart w:id="842" w:name="_Toc221951926"/>
      <w:bookmarkStart w:id="843" w:name="_Toc17451130"/>
      <w:bookmarkStart w:id="844" w:name="_Toc27786"/>
      <w:bookmarkStart w:id="845" w:name="_Toc259524414"/>
      <w:bookmarkStart w:id="846" w:name="_Toc17451652"/>
      <w:bookmarkStart w:id="847" w:name="_Toc168476318"/>
      <w:bookmarkStart w:id="848" w:name="_Toc17556905"/>
      <w:bookmarkStart w:id="849" w:name="_Toc229305420"/>
      <w:bookmarkStart w:id="850" w:name="_Toc22158"/>
      <w:bookmarkStart w:id="851" w:name="_Toc222031062"/>
      <w:bookmarkStart w:id="852" w:name="_Toc17451607"/>
      <w:bookmarkStart w:id="853" w:name="_Toc11337"/>
      <w:bookmarkStart w:id="854" w:name="_Toc222033911"/>
      <w:bookmarkStart w:id="855" w:name="_Toc222032729"/>
      <w:bookmarkStart w:id="856" w:name="_Toc222029560"/>
      <w:bookmarkStart w:id="857" w:name="_Toc144974857"/>
      <w:bookmarkStart w:id="858" w:name="_Toc17454900"/>
      <w:bookmarkStart w:id="859" w:name="_Toc17454951"/>
      <w:r>
        <w:rPr>
          <w:rFonts w:ascii="黑体" w:hAnsi="黑体" w:eastAsia="黑体"/>
          <w:color w:val="000000" w:themeColor="text1"/>
          <w:sz w:val="28"/>
          <w:szCs w:val="27"/>
          <w:highlight w:val="none"/>
          <w14:textFill>
            <w14:solidFill>
              <w14:schemeClr w14:val="tx1"/>
            </w14:solidFill>
          </w14:textFill>
        </w:rPr>
        <w:t>一、投标函及投标函附录</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44933E6F">
      <w:pPr>
        <w:spacing w:line="400" w:lineRule="exact"/>
        <w:outlineLvl w:val="3"/>
        <w:rPr>
          <w:rFonts w:ascii="宋体" w:hAnsi="宋体"/>
          <w:b/>
          <w:color w:val="000000" w:themeColor="text1"/>
          <w:sz w:val="24"/>
          <w:szCs w:val="31"/>
          <w:highlight w:val="none"/>
          <w14:textFill>
            <w14:solidFill>
              <w14:schemeClr w14:val="tx1"/>
            </w14:solidFill>
          </w14:textFill>
        </w:rPr>
      </w:pPr>
      <w:bookmarkStart w:id="860" w:name="_Toc168475916"/>
      <w:bookmarkStart w:id="861" w:name="_Toc144974858"/>
      <w:bookmarkStart w:id="862" w:name="_Toc168476319"/>
      <w:bookmarkStart w:id="863" w:name="_Toc221951927"/>
      <w:r>
        <w:rPr>
          <w:rFonts w:ascii="宋体" w:hAnsi="宋体"/>
          <w:b/>
          <w:color w:val="000000" w:themeColor="text1"/>
          <w:sz w:val="24"/>
          <w:szCs w:val="31"/>
          <w:highlight w:val="none"/>
          <w14:textFill>
            <w14:solidFill>
              <w14:schemeClr w14:val="tx1"/>
            </w14:solidFill>
          </w14:textFill>
        </w:rPr>
        <w:t>（一）投标函</w:t>
      </w:r>
      <w:bookmarkEnd w:id="860"/>
      <w:bookmarkEnd w:id="861"/>
      <w:bookmarkEnd w:id="862"/>
      <w:bookmarkEnd w:id="863"/>
    </w:p>
    <w:p w14:paraId="17442B2A">
      <w:pPr>
        <w:spacing w:line="400" w:lineRule="exact"/>
        <w:rPr>
          <w:color w:val="000000" w:themeColor="text1"/>
          <w:sz w:val="19"/>
          <w:szCs w:val="19"/>
          <w:highlight w:val="none"/>
          <w14:textFill>
            <w14:solidFill>
              <w14:schemeClr w14:val="tx1"/>
            </w14:solidFill>
          </w14:textFill>
        </w:rPr>
      </w:pPr>
    </w:p>
    <w:p w14:paraId="6F4E90A9">
      <w:pPr>
        <w:spacing w:line="400" w:lineRule="exac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u w:val="single"/>
          <w14:textFill>
            <w14:solidFill>
              <w14:schemeClr w14:val="tx1"/>
            </w14:solidFill>
          </w14:textFill>
        </w:rPr>
        <w:t xml:space="preserve">                        </w:t>
      </w:r>
      <w:bookmarkStart w:id="864" w:name="_Toc221951928"/>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招标人名称</w:t>
      </w:r>
      <w:r>
        <w:rPr>
          <w:rFonts w:ascii="宋体" w:hAnsi="宋体"/>
          <w:color w:val="000000" w:themeColor="text1"/>
          <w:szCs w:val="21"/>
          <w:highlight w:val="none"/>
          <w14:textFill>
            <w14:solidFill>
              <w14:schemeClr w14:val="tx1"/>
            </w14:solidFill>
          </w14:textFill>
        </w:rPr>
        <w:t>）：</w:t>
      </w:r>
      <w:bookmarkEnd w:id="864"/>
    </w:p>
    <w:p w14:paraId="0E631579">
      <w:pPr>
        <w:spacing w:line="400" w:lineRule="exact"/>
        <w:rPr>
          <w:rFonts w:ascii="宋体" w:hAnsi="宋体"/>
          <w:color w:val="000000" w:themeColor="text1"/>
          <w:szCs w:val="21"/>
          <w:highlight w:val="none"/>
          <w14:textFill>
            <w14:solidFill>
              <w14:schemeClr w14:val="tx1"/>
            </w14:solidFill>
          </w14:textFill>
        </w:rPr>
      </w:pPr>
    </w:p>
    <w:p w14:paraId="25665108">
      <w:pPr>
        <w:spacing w:line="400" w:lineRule="exact"/>
        <w:ind w:firstLine="420" w:firstLineChars="200"/>
        <w:rPr>
          <w:rFonts w:ascii="宋体" w:hAnsi="宋体"/>
          <w:color w:val="000000" w:themeColor="text1"/>
          <w:szCs w:val="21"/>
          <w:highlight w:val="none"/>
          <w14:textFill>
            <w14:solidFill>
              <w14:schemeClr w14:val="tx1"/>
            </w14:solidFill>
          </w14:textFill>
        </w:rPr>
      </w:pPr>
      <w:bookmarkStart w:id="865" w:name="_Toc221951929"/>
      <w:r>
        <w:rPr>
          <w:rFonts w:ascii="宋体" w:hAnsi="宋体"/>
          <w:color w:val="000000" w:themeColor="text1"/>
          <w:szCs w:val="21"/>
          <w:highlight w:val="none"/>
          <w14:textFill>
            <w14:solidFill>
              <w14:schemeClr w14:val="tx1"/>
            </w14:solidFill>
          </w14:textFill>
        </w:rPr>
        <w:t>1．我方已仔细研究了</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项目名称）      </w:t>
      </w:r>
      <w:r>
        <w:rPr>
          <w:rFonts w:hint="eastAsia" w:ascii="宋体" w:hAnsi="宋体"/>
          <w:color w:val="000000" w:themeColor="text1"/>
          <w:szCs w:val="21"/>
          <w:highlight w:val="none"/>
          <w14:textFill>
            <w14:solidFill>
              <w14:schemeClr w14:val="tx1"/>
            </w14:solidFill>
          </w14:textFill>
        </w:rPr>
        <w:t>（标段名称）</w:t>
      </w:r>
      <w:r>
        <w:rPr>
          <w:rFonts w:ascii="宋体" w:hAnsi="宋体"/>
          <w:color w:val="000000" w:themeColor="text1"/>
          <w:szCs w:val="21"/>
          <w:highlight w:val="none"/>
          <w14:textFill>
            <w14:solidFill>
              <w14:schemeClr w14:val="tx1"/>
            </w14:solidFill>
          </w14:textFill>
        </w:rPr>
        <w:t>招标文件的全部内容，愿意以人民币（大写）</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元（¥</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）的投标总报价，</w:t>
      </w:r>
      <w:r>
        <w:rPr>
          <w:rFonts w:hint="eastAsia" w:ascii="宋体" w:hAnsi="宋体"/>
          <w:color w:val="000000" w:themeColor="text1"/>
          <w:szCs w:val="21"/>
          <w:highlight w:val="none"/>
          <w14:textFill>
            <w14:solidFill>
              <w14:schemeClr w14:val="tx1"/>
            </w14:solidFill>
          </w14:textFill>
        </w:rPr>
        <w:t>工期</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日历天，</w:t>
      </w:r>
      <w:r>
        <w:rPr>
          <w:rFonts w:ascii="宋体" w:hAnsi="宋体"/>
          <w:color w:val="000000" w:themeColor="text1"/>
          <w:szCs w:val="21"/>
          <w:highlight w:val="none"/>
          <w14:textFill>
            <w14:solidFill>
              <w14:schemeClr w14:val="tx1"/>
            </w14:solidFill>
          </w14:textFill>
        </w:rPr>
        <w:t>按合同约定实施和完成承包工程，修补工程中的任何缺陷，工程质量达到</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w:t>
      </w:r>
      <w:bookmarkEnd w:id="865"/>
    </w:p>
    <w:p w14:paraId="1B762299">
      <w:pPr>
        <w:spacing w:line="400" w:lineRule="exact"/>
        <w:ind w:firstLine="420" w:firstLineChars="200"/>
        <w:jc w:val="left"/>
        <w:rPr>
          <w:rFonts w:ascii="宋体" w:hAnsi="宋体"/>
          <w:color w:val="000000" w:themeColor="text1"/>
          <w:szCs w:val="21"/>
          <w:highlight w:val="none"/>
          <w14:textFill>
            <w14:solidFill>
              <w14:schemeClr w14:val="tx1"/>
            </w14:solidFill>
          </w14:textFill>
        </w:rPr>
      </w:pPr>
      <w:bookmarkStart w:id="866" w:name="_Toc221951930"/>
      <w:r>
        <w:rPr>
          <w:rFonts w:ascii="宋体" w:hAnsi="宋体"/>
          <w:color w:val="000000" w:themeColor="text1"/>
          <w:szCs w:val="21"/>
          <w:highlight w:val="none"/>
          <w14:textFill>
            <w14:solidFill>
              <w14:schemeClr w14:val="tx1"/>
            </w14:solidFill>
          </w14:textFill>
        </w:rPr>
        <w:t>2．我方承诺在投标有效期内不</w:t>
      </w:r>
      <w:r>
        <w:rPr>
          <w:rFonts w:hint="eastAsia" w:ascii="宋体" w:hAnsi="宋体"/>
          <w:color w:val="000000" w:themeColor="text1"/>
          <w:szCs w:val="21"/>
          <w:highlight w:val="none"/>
          <w14:textFill>
            <w14:solidFill>
              <w14:schemeClr w14:val="tx1"/>
            </w14:solidFill>
          </w14:textFill>
        </w:rPr>
        <w:t>补充、</w:t>
      </w:r>
      <w:r>
        <w:rPr>
          <w:rFonts w:ascii="宋体" w:hAnsi="宋体"/>
          <w:color w:val="000000" w:themeColor="text1"/>
          <w:szCs w:val="21"/>
          <w:highlight w:val="none"/>
          <w14:textFill>
            <w14:solidFill>
              <w14:schemeClr w14:val="tx1"/>
            </w14:solidFill>
          </w14:textFill>
        </w:rPr>
        <w:t>修改、</w:t>
      </w:r>
      <w:r>
        <w:rPr>
          <w:rFonts w:hint="eastAsia" w:ascii="宋体" w:hAnsi="宋体"/>
          <w:color w:val="000000" w:themeColor="text1"/>
          <w:szCs w:val="21"/>
          <w:highlight w:val="none"/>
          <w14:textFill>
            <w14:solidFill>
              <w14:schemeClr w14:val="tx1"/>
            </w14:solidFill>
          </w14:textFill>
        </w:rPr>
        <w:t>替代或</w:t>
      </w:r>
      <w:r>
        <w:rPr>
          <w:rFonts w:ascii="宋体" w:hAnsi="宋体"/>
          <w:color w:val="000000" w:themeColor="text1"/>
          <w:szCs w:val="21"/>
          <w:highlight w:val="none"/>
          <w14:textFill>
            <w14:solidFill>
              <w14:schemeClr w14:val="tx1"/>
            </w14:solidFill>
          </w14:textFill>
        </w:rPr>
        <w:t>撤</w:t>
      </w:r>
      <w:r>
        <w:rPr>
          <w:rFonts w:hint="eastAsia" w:ascii="宋体" w:hAnsi="宋体"/>
          <w:color w:val="000000" w:themeColor="text1"/>
          <w:szCs w:val="21"/>
          <w:highlight w:val="none"/>
          <w14:textFill>
            <w14:solidFill>
              <w14:schemeClr w14:val="tx1"/>
            </w14:solidFill>
          </w14:textFill>
        </w:rPr>
        <w:t>回本</w:t>
      </w:r>
      <w:r>
        <w:rPr>
          <w:rFonts w:ascii="宋体" w:hAnsi="宋体"/>
          <w:color w:val="000000" w:themeColor="text1"/>
          <w:szCs w:val="21"/>
          <w:highlight w:val="none"/>
          <w14:textFill>
            <w14:solidFill>
              <w14:schemeClr w14:val="tx1"/>
            </w14:solidFill>
          </w14:textFill>
        </w:rPr>
        <w:t>投标文件。</w:t>
      </w:r>
      <w:bookmarkEnd w:id="866"/>
    </w:p>
    <w:p w14:paraId="350C821E">
      <w:pPr>
        <w:spacing w:line="400" w:lineRule="exact"/>
        <w:ind w:firstLine="420" w:firstLineChars="200"/>
        <w:rPr>
          <w:rFonts w:ascii="宋体" w:hAnsi="宋体"/>
          <w:color w:val="000000" w:themeColor="text1"/>
          <w:szCs w:val="21"/>
          <w:highlight w:val="none"/>
          <w14:textFill>
            <w14:solidFill>
              <w14:schemeClr w14:val="tx1"/>
            </w14:solidFill>
          </w14:textFill>
        </w:rPr>
      </w:pPr>
      <w:bookmarkStart w:id="867" w:name="_Toc221951931"/>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随同本投标函提交投标保证金一份，金额为人民币（大写）</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元（¥</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元</w:t>
      </w:r>
      <w:r>
        <w:rPr>
          <w:rFonts w:ascii="宋体" w:hAnsi="宋体"/>
          <w:color w:val="000000" w:themeColor="text1"/>
          <w:szCs w:val="21"/>
          <w:highlight w:val="none"/>
          <w14:textFill>
            <w14:solidFill>
              <w14:schemeClr w14:val="tx1"/>
            </w14:solidFill>
          </w14:textFill>
        </w:rPr>
        <w:t xml:space="preserve"> ）。</w:t>
      </w:r>
      <w:bookmarkEnd w:id="867"/>
    </w:p>
    <w:p w14:paraId="46E8BC58">
      <w:pPr>
        <w:spacing w:line="400" w:lineRule="exact"/>
        <w:ind w:firstLine="420" w:firstLineChars="200"/>
        <w:rPr>
          <w:rFonts w:ascii="宋体" w:hAnsi="宋体"/>
          <w:color w:val="000000" w:themeColor="text1"/>
          <w:szCs w:val="21"/>
          <w:highlight w:val="none"/>
          <w14:textFill>
            <w14:solidFill>
              <w14:schemeClr w14:val="tx1"/>
            </w14:solidFill>
          </w14:textFill>
        </w:rPr>
      </w:pPr>
      <w:bookmarkStart w:id="868" w:name="_Toc221951932"/>
      <w:r>
        <w:rPr>
          <w:rFonts w:ascii="宋体" w:hAnsi="宋体"/>
          <w:color w:val="000000" w:themeColor="text1"/>
          <w:szCs w:val="21"/>
          <w:highlight w:val="none"/>
          <w14:textFill>
            <w14:solidFill>
              <w14:schemeClr w14:val="tx1"/>
            </w14:solidFill>
          </w14:textFill>
        </w:rPr>
        <w:t>4．如我方中标：</w:t>
      </w:r>
      <w:bookmarkEnd w:id="868"/>
    </w:p>
    <w:p w14:paraId="4BA69AF0">
      <w:pPr>
        <w:spacing w:line="400" w:lineRule="exact"/>
        <w:ind w:firstLine="718" w:firstLineChars="342"/>
        <w:rPr>
          <w:rFonts w:ascii="宋体" w:hAnsi="宋体"/>
          <w:color w:val="000000" w:themeColor="text1"/>
          <w:szCs w:val="21"/>
          <w:highlight w:val="none"/>
          <w14:textFill>
            <w14:solidFill>
              <w14:schemeClr w14:val="tx1"/>
            </w14:solidFill>
          </w14:textFill>
        </w:rPr>
      </w:pPr>
      <w:bookmarkStart w:id="869" w:name="_Toc221951933"/>
      <w:r>
        <w:rPr>
          <w:rFonts w:ascii="宋体" w:hAnsi="宋体"/>
          <w:color w:val="000000" w:themeColor="text1"/>
          <w:szCs w:val="21"/>
          <w:highlight w:val="none"/>
          <w14:textFill>
            <w14:solidFill>
              <w14:schemeClr w14:val="tx1"/>
            </w14:solidFill>
          </w14:textFill>
        </w:rPr>
        <w:t>（1）我方承诺在收到中标通知书后，在中标通知书规定的期限内与你方签订合同。</w:t>
      </w:r>
      <w:bookmarkEnd w:id="869"/>
    </w:p>
    <w:p w14:paraId="151422B8">
      <w:pPr>
        <w:spacing w:line="400" w:lineRule="exact"/>
        <w:ind w:firstLine="718" w:firstLineChars="342"/>
        <w:rPr>
          <w:rFonts w:ascii="宋体" w:hAnsi="宋体"/>
          <w:color w:val="000000" w:themeColor="text1"/>
          <w:szCs w:val="21"/>
          <w:highlight w:val="none"/>
          <w14:textFill>
            <w14:solidFill>
              <w14:schemeClr w14:val="tx1"/>
            </w14:solidFill>
          </w14:textFill>
        </w:rPr>
      </w:pPr>
      <w:bookmarkStart w:id="870" w:name="_Toc221951934"/>
      <w:r>
        <w:rPr>
          <w:rFonts w:ascii="宋体" w:hAnsi="宋体"/>
          <w:color w:val="000000" w:themeColor="text1"/>
          <w:szCs w:val="21"/>
          <w:highlight w:val="none"/>
          <w14:textFill>
            <w14:solidFill>
              <w14:schemeClr w14:val="tx1"/>
            </w14:solidFill>
          </w14:textFill>
        </w:rPr>
        <w:t>（2）随同本投标函递交的投标函附录属于合同文件的组成部分。</w:t>
      </w:r>
      <w:bookmarkEnd w:id="870"/>
    </w:p>
    <w:p w14:paraId="4EA7DF8E">
      <w:pPr>
        <w:spacing w:line="400" w:lineRule="exact"/>
        <w:ind w:firstLine="718" w:firstLineChars="342"/>
        <w:rPr>
          <w:rFonts w:ascii="宋体" w:hAnsi="宋体"/>
          <w:color w:val="000000" w:themeColor="text1"/>
          <w:szCs w:val="21"/>
          <w:highlight w:val="none"/>
          <w14:textFill>
            <w14:solidFill>
              <w14:schemeClr w14:val="tx1"/>
            </w14:solidFill>
          </w14:textFill>
        </w:rPr>
      </w:pPr>
      <w:bookmarkStart w:id="871" w:name="_Toc221951935"/>
      <w:r>
        <w:rPr>
          <w:rFonts w:ascii="宋体" w:hAnsi="宋体"/>
          <w:color w:val="000000" w:themeColor="text1"/>
          <w:szCs w:val="21"/>
          <w:highlight w:val="none"/>
          <w14:textFill>
            <w14:solidFill>
              <w14:schemeClr w14:val="tx1"/>
            </w14:solidFill>
          </w14:textFill>
        </w:rPr>
        <w:t>（3）我方承诺按照招标文件规定向你方递交履约担保。</w:t>
      </w:r>
      <w:bookmarkEnd w:id="871"/>
    </w:p>
    <w:p w14:paraId="326CD974">
      <w:pPr>
        <w:spacing w:line="400" w:lineRule="exact"/>
        <w:ind w:firstLine="718" w:firstLineChars="342"/>
        <w:rPr>
          <w:rFonts w:ascii="宋体" w:hAnsi="宋体"/>
          <w:color w:val="000000" w:themeColor="text1"/>
          <w:szCs w:val="21"/>
          <w:highlight w:val="none"/>
          <w14:textFill>
            <w14:solidFill>
              <w14:schemeClr w14:val="tx1"/>
            </w14:solidFill>
          </w14:textFill>
        </w:rPr>
      </w:pPr>
      <w:bookmarkStart w:id="872" w:name="_Toc221951936"/>
      <w:r>
        <w:rPr>
          <w:rFonts w:ascii="宋体" w:hAnsi="宋体"/>
          <w:color w:val="000000" w:themeColor="text1"/>
          <w:szCs w:val="21"/>
          <w:highlight w:val="none"/>
          <w14:textFill>
            <w14:solidFill>
              <w14:schemeClr w14:val="tx1"/>
            </w14:solidFill>
          </w14:textFill>
        </w:rPr>
        <w:t>（4）我方承诺在合同约定的期限内完成并移交全部合同工程。</w:t>
      </w:r>
      <w:bookmarkEnd w:id="872"/>
    </w:p>
    <w:p w14:paraId="53698EA0">
      <w:pPr>
        <w:spacing w:line="400" w:lineRule="exact"/>
        <w:ind w:firstLine="420" w:firstLineChars="200"/>
        <w:rPr>
          <w:rFonts w:ascii="宋体" w:hAnsi="宋体"/>
          <w:color w:val="000000" w:themeColor="text1"/>
          <w:szCs w:val="21"/>
          <w:highlight w:val="none"/>
          <w14:textFill>
            <w14:solidFill>
              <w14:schemeClr w14:val="tx1"/>
            </w14:solidFill>
          </w14:textFill>
        </w:rPr>
      </w:pPr>
      <w:bookmarkStart w:id="873" w:name="_Toc221951937"/>
      <w:r>
        <w:rPr>
          <w:rFonts w:hint="eastAsia" w:ascii="宋体" w:hAnsi="宋体"/>
          <w:color w:val="000000" w:themeColor="text1"/>
          <w:szCs w:val="21"/>
          <w:highlight w:val="none"/>
          <w14:textFill>
            <w14:solidFill>
              <w14:schemeClr w14:val="tx1"/>
            </w14:solidFill>
          </w14:textFill>
        </w:rPr>
        <w:t>5．我方在此声明，所递交的投标文件及有关资料内容完整、真实和准确，且不存在第二章“投标人须知”第1.4.</w:t>
      </w: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项规定的任何一种情形。</w:t>
      </w:r>
      <w:bookmarkEnd w:id="873"/>
    </w:p>
    <w:p w14:paraId="53832AD8">
      <w:pPr>
        <w:spacing w:line="400" w:lineRule="exact"/>
        <w:ind w:firstLine="420" w:firstLineChars="200"/>
        <w:rPr>
          <w:rFonts w:ascii="宋体" w:hAnsi="宋体"/>
          <w:color w:val="000000" w:themeColor="text1"/>
          <w:szCs w:val="21"/>
          <w:highlight w:val="none"/>
          <w14:textFill>
            <w14:solidFill>
              <w14:schemeClr w14:val="tx1"/>
            </w14:solidFill>
          </w14:textFill>
        </w:rPr>
      </w:pPr>
      <w:bookmarkStart w:id="874" w:name="_Toc221951938"/>
      <w:r>
        <w:rPr>
          <w:rFonts w:hint="eastAsia" w:ascii="宋体" w:hAnsi="宋体"/>
          <w:color w:val="000000" w:themeColor="text1"/>
          <w:szCs w:val="21"/>
          <w:highlight w:val="none"/>
          <w14:textFill>
            <w14:solidFill>
              <w14:schemeClr w14:val="tx1"/>
            </w14:solidFill>
          </w14:textFill>
        </w:rPr>
        <w:t>6</w:t>
      </w:r>
      <w:r>
        <w:rPr>
          <w:rFonts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其他</w:t>
      </w:r>
      <w:r>
        <w:rPr>
          <w:rFonts w:ascii="宋体" w:hAnsi="宋体"/>
          <w:color w:val="000000" w:themeColor="text1"/>
          <w:szCs w:val="21"/>
          <w:highlight w:val="none"/>
          <w14:textFill>
            <w14:solidFill>
              <w14:schemeClr w14:val="tx1"/>
            </w14:solidFill>
          </w14:textFill>
        </w:rPr>
        <w:t>补充说明）。</w:t>
      </w:r>
      <w:bookmarkEnd w:id="874"/>
    </w:p>
    <w:p w14:paraId="2231B62F">
      <w:pPr>
        <w:spacing w:line="400" w:lineRule="exact"/>
        <w:rPr>
          <w:rFonts w:ascii="宋体" w:hAnsi="宋体"/>
          <w:color w:val="000000" w:themeColor="text1"/>
          <w:szCs w:val="21"/>
          <w:highlight w:val="none"/>
          <w14:textFill>
            <w14:solidFill>
              <w14:schemeClr w14:val="tx1"/>
            </w14:solidFill>
          </w14:textFill>
        </w:rPr>
      </w:pPr>
    </w:p>
    <w:p w14:paraId="076E3EC2">
      <w:pPr>
        <w:spacing w:line="400" w:lineRule="exact"/>
        <w:ind w:firstLine="3675" w:firstLineChars="1750"/>
        <w:rPr>
          <w:rFonts w:ascii="宋体" w:hAnsi="宋体"/>
          <w:color w:val="000000" w:themeColor="text1"/>
          <w:szCs w:val="21"/>
          <w:highlight w:val="none"/>
          <w14:textFill>
            <w14:solidFill>
              <w14:schemeClr w14:val="tx1"/>
            </w14:solidFill>
          </w14:textFill>
        </w:rPr>
      </w:pPr>
      <w:bookmarkStart w:id="875" w:name="_Toc221951939"/>
      <w:r>
        <w:rPr>
          <w:rFonts w:ascii="宋体" w:hAnsi="宋体"/>
          <w:color w:val="000000" w:themeColor="text1"/>
          <w:szCs w:val="21"/>
          <w:highlight w:val="none"/>
          <w14:textFill>
            <w14:solidFill>
              <w14:schemeClr w14:val="tx1"/>
            </w14:solidFill>
          </w14:textFill>
        </w:rPr>
        <w:t>投 标 人：</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（盖单位章）</w:t>
      </w:r>
      <w:bookmarkEnd w:id="875"/>
    </w:p>
    <w:p w14:paraId="6251EB84">
      <w:pPr>
        <w:spacing w:line="400" w:lineRule="exact"/>
        <w:ind w:firstLine="3675" w:firstLineChars="1750"/>
        <w:rPr>
          <w:rFonts w:ascii="宋体" w:hAnsi="宋体"/>
          <w:color w:val="000000" w:themeColor="text1"/>
          <w:szCs w:val="21"/>
          <w:highlight w:val="none"/>
          <w14:textFill>
            <w14:solidFill>
              <w14:schemeClr w14:val="tx1"/>
            </w14:solidFill>
          </w14:textFill>
        </w:rPr>
      </w:pPr>
      <w:bookmarkStart w:id="876" w:name="_Toc221951941"/>
      <w:r>
        <w:rPr>
          <w:rFonts w:ascii="宋体" w:hAnsi="宋体"/>
          <w:color w:val="000000" w:themeColor="text1"/>
          <w:szCs w:val="21"/>
          <w:highlight w:val="none"/>
          <w14:textFill>
            <w14:solidFill>
              <w14:schemeClr w14:val="tx1"/>
            </w14:solidFill>
          </w14:textFill>
        </w:rPr>
        <w:t>地址：</w:t>
      </w:r>
      <w:bookmarkEnd w:id="876"/>
      <w:r>
        <w:rPr>
          <w:rFonts w:ascii="宋体" w:hAnsi="宋体"/>
          <w:color w:val="000000" w:themeColor="text1"/>
          <w:szCs w:val="21"/>
          <w:highlight w:val="none"/>
          <w:u w:val="single"/>
          <w14:textFill>
            <w14:solidFill>
              <w14:schemeClr w14:val="tx1"/>
            </w14:solidFill>
          </w14:textFill>
        </w:rPr>
        <w:t xml:space="preserve">                                     </w:t>
      </w:r>
    </w:p>
    <w:p w14:paraId="6BE0506E">
      <w:pPr>
        <w:spacing w:line="400" w:lineRule="exact"/>
        <w:ind w:firstLine="3675" w:firstLineChars="1750"/>
        <w:rPr>
          <w:rFonts w:ascii="宋体" w:hAnsi="宋体"/>
          <w:color w:val="000000" w:themeColor="text1"/>
          <w:szCs w:val="21"/>
          <w:highlight w:val="none"/>
          <w14:textFill>
            <w14:solidFill>
              <w14:schemeClr w14:val="tx1"/>
            </w14:solidFill>
          </w14:textFill>
        </w:rPr>
      </w:pPr>
      <w:bookmarkStart w:id="877" w:name="_Toc221951942"/>
      <w:r>
        <w:rPr>
          <w:rFonts w:ascii="宋体" w:hAnsi="宋体"/>
          <w:color w:val="000000" w:themeColor="text1"/>
          <w:szCs w:val="21"/>
          <w:highlight w:val="none"/>
          <w14:textFill>
            <w14:solidFill>
              <w14:schemeClr w14:val="tx1"/>
            </w14:solidFill>
          </w14:textFill>
        </w:rPr>
        <w:t>网址：</w:t>
      </w:r>
      <w:bookmarkEnd w:id="877"/>
      <w:r>
        <w:rPr>
          <w:rFonts w:ascii="宋体" w:hAnsi="宋体"/>
          <w:color w:val="000000" w:themeColor="text1"/>
          <w:szCs w:val="21"/>
          <w:highlight w:val="none"/>
          <w:u w:val="single"/>
          <w14:textFill>
            <w14:solidFill>
              <w14:schemeClr w14:val="tx1"/>
            </w14:solidFill>
          </w14:textFill>
        </w:rPr>
        <w:t xml:space="preserve">                                     </w:t>
      </w:r>
    </w:p>
    <w:p w14:paraId="12F4A97E">
      <w:pPr>
        <w:spacing w:line="400" w:lineRule="exact"/>
        <w:ind w:firstLine="3675" w:firstLineChars="1750"/>
        <w:rPr>
          <w:rFonts w:ascii="宋体" w:hAnsi="宋体"/>
          <w:color w:val="000000" w:themeColor="text1"/>
          <w:szCs w:val="21"/>
          <w:highlight w:val="none"/>
          <w14:textFill>
            <w14:solidFill>
              <w14:schemeClr w14:val="tx1"/>
            </w14:solidFill>
          </w14:textFill>
        </w:rPr>
      </w:pPr>
      <w:bookmarkStart w:id="878" w:name="_Toc221951943"/>
      <w:r>
        <w:rPr>
          <w:rFonts w:ascii="宋体" w:hAnsi="宋体"/>
          <w:color w:val="000000" w:themeColor="text1"/>
          <w:szCs w:val="21"/>
          <w:highlight w:val="none"/>
          <w14:textFill>
            <w14:solidFill>
              <w14:schemeClr w14:val="tx1"/>
            </w14:solidFill>
          </w14:textFill>
        </w:rPr>
        <w:t>电话：</w:t>
      </w:r>
      <w:bookmarkEnd w:id="878"/>
      <w:r>
        <w:rPr>
          <w:rFonts w:ascii="宋体" w:hAnsi="宋体"/>
          <w:color w:val="000000" w:themeColor="text1"/>
          <w:szCs w:val="21"/>
          <w:highlight w:val="none"/>
          <w:u w:val="single"/>
          <w14:textFill>
            <w14:solidFill>
              <w14:schemeClr w14:val="tx1"/>
            </w14:solidFill>
          </w14:textFill>
        </w:rPr>
        <w:t xml:space="preserve">                                     </w:t>
      </w:r>
    </w:p>
    <w:p w14:paraId="1EA4DAC4">
      <w:pPr>
        <w:spacing w:line="400" w:lineRule="exact"/>
        <w:ind w:firstLine="3675" w:firstLineChars="1750"/>
        <w:rPr>
          <w:rFonts w:ascii="宋体" w:hAnsi="宋体"/>
          <w:color w:val="000000" w:themeColor="text1"/>
          <w:szCs w:val="21"/>
          <w:highlight w:val="none"/>
          <w14:textFill>
            <w14:solidFill>
              <w14:schemeClr w14:val="tx1"/>
            </w14:solidFill>
          </w14:textFill>
        </w:rPr>
      </w:pPr>
      <w:bookmarkStart w:id="879" w:name="_Toc221951944"/>
      <w:r>
        <w:rPr>
          <w:rFonts w:ascii="宋体" w:hAnsi="宋体"/>
          <w:color w:val="000000" w:themeColor="text1"/>
          <w:szCs w:val="21"/>
          <w:highlight w:val="none"/>
          <w14:textFill>
            <w14:solidFill>
              <w14:schemeClr w14:val="tx1"/>
            </w14:solidFill>
          </w14:textFill>
        </w:rPr>
        <w:t>传真：</w:t>
      </w:r>
      <w:bookmarkEnd w:id="879"/>
      <w:r>
        <w:rPr>
          <w:rFonts w:ascii="宋体" w:hAnsi="宋体"/>
          <w:color w:val="000000" w:themeColor="text1"/>
          <w:szCs w:val="21"/>
          <w:highlight w:val="none"/>
          <w:u w:val="single"/>
          <w14:textFill>
            <w14:solidFill>
              <w14:schemeClr w14:val="tx1"/>
            </w14:solidFill>
          </w14:textFill>
        </w:rPr>
        <w:t xml:space="preserve">                                     </w:t>
      </w:r>
    </w:p>
    <w:p w14:paraId="08126E7B">
      <w:pPr>
        <w:spacing w:line="400" w:lineRule="exact"/>
        <w:ind w:firstLine="3675" w:firstLineChars="1750"/>
        <w:rPr>
          <w:rFonts w:ascii="宋体" w:hAnsi="宋体"/>
          <w:color w:val="000000" w:themeColor="text1"/>
          <w:szCs w:val="21"/>
          <w:highlight w:val="none"/>
          <w14:textFill>
            <w14:solidFill>
              <w14:schemeClr w14:val="tx1"/>
            </w14:solidFill>
          </w14:textFill>
        </w:rPr>
      </w:pPr>
      <w:bookmarkStart w:id="880" w:name="_Toc221951945"/>
      <w:r>
        <w:rPr>
          <w:rFonts w:ascii="宋体" w:hAnsi="宋体"/>
          <w:color w:val="000000" w:themeColor="text1"/>
          <w:szCs w:val="21"/>
          <w:highlight w:val="none"/>
          <w14:textFill>
            <w14:solidFill>
              <w14:schemeClr w14:val="tx1"/>
            </w14:solidFill>
          </w14:textFill>
        </w:rPr>
        <w:t>邮政编码：</w:t>
      </w:r>
      <w:bookmarkEnd w:id="880"/>
      <w:r>
        <w:rPr>
          <w:rFonts w:ascii="宋体" w:hAnsi="宋体"/>
          <w:color w:val="000000" w:themeColor="text1"/>
          <w:szCs w:val="21"/>
          <w:highlight w:val="none"/>
          <w:u w:val="single"/>
          <w14:textFill>
            <w14:solidFill>
              <w14:schemeClr w14:val="tx1"/>
            </w14:solidFill>
          </w14:textFill>
        </w:rPr>
        <w:t xml:space="preserve">                                 </w:t>
      </w:r>
    </w:p>
    <w:p w14:paraId="552D0FCD">
      <w:pPr>
        <w:spacing w:line="400" w:lineRule="exact"/>
        <w:ind w:firstLine="3675" w:firstLineChars="1750"/>
        <w:rPr>
          <w:rFonts w:ascii="宋体" w:hAnsi="宋体"/>
          <w:color w:val="000000" w:themeColor="text1"/>
          <w:szCs w:val="21"/>
          <w:highlight w:val="none"/>
          <w14:textFill>
            <w14:solidFill>
              <w14:schemeClr w14:val="tx1"/>
            </w14:solidFill>
          </w14:textFill>
        </w:rPr>
      </w:pPr>
    </w:p>
    <w:p w14:paraId="14E7EEAF">
      <w:pPr>
        <w:spacing w:line="400" w:lineRule="exact"/>
        <w:ind w:firstLine="4725" w:firstLineChars="2250"/>
        <w:jc w:val="right"/>
        <w:rPr>
          <w:rFonts w:ascii="宋体" w:hAnsi="宋体"/>
          <w:color w:val="000000" w:themeColor="text1"/>
          <w:szCs w:val="21"/>
          <w:highlight w:val="none"/>
          <w14:textFill>
            <w14:solidFill>
              <w14:schemeClr w14:val="tx1"/>
            </w14:solidFill>
          </w14:textFill>
        </w:rPr>
      </w:pPr>
      <w:bookmarkStart w:id="881" w:name="_Toc221951946"/>
      <w:r>
        <w:rPr>
          <w:rFonts w:ascii="宋体" w:hAnsi="宋体"/>
          <w:color w:val="000000" w:themeColor="text1"/>
          <w:szCs w:val="21"/>
          <w:highlight w:val="none"/>
          <w:u w:val="single"/>
          <w14:textFill>
            <w14:solidFill>
              <w14:schemeClr w14:val="tx1"/>
            </w14:solidFill>
          </w14:textFill>
        </w:rPr>
        <w:t>___</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__</w:t>
      </w:r>
      <w:r>
        <w:rPr>
          <w:rFonts w:ascii="宋体" w:hAnsi="宋体"/>
          <w:color w:val="000000" w:themeColor="text1"/>
          <w:szCs w:val="21"/>
          <w:highlight w:val="none"/>
          <w14:textFill>
            <w14:solidFill>
              <w14:schemeClr w14:val="tx1"/>
            </w14:solidFill>
          </w14:textFill>
        </w:rPr>
        <w:t>年</w:t>
      </w:r>
      <w:r>
        <w:rPr>
          <w:rFonts w:ascii="宋体" w:hAnsi="宋体"/>
          <w:color w:val="000000" w:themeColor="text1"/>
          <w:szCs w:val="21"/>
          <w:highlight w:val="none"/>
          <w:u w:val="single"/>
          <w14:textFill>
            <w14:solidFill>
              <w14:schemeClr w14:val="tx1"/>
            </w14:solidFill>
          </w14:textFill>
        </w:rPr>
        <w:t>__</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__</w:t>
      </w:r>
      <w:r>
        <w:rPr>
          <w:rFonts w:ascii="宋体" w:hAnsi="宋体"/>
          <w:color w:val="000000" w:themeColor="text1"/>
          <w:szCs w:val="21"/>
          <w:highlight w:val="none"/>
          <w14:textFill>
            <w14:solidFill>
              <w14:schemeClr w14:val="tx1"/>
            </w14:solidFill>
          </w14:textFill>
        </w:rPr>
        <w:t>月__</w:t>
      </w:r>
      <w:r>
        <w:rPr>
          <w:rFonts w:ascii="宋体" w:hAnsi="宋体"/>
          <w:color w:val="000000" w:themeColor="text1"/>
          <w:szCs w:val="21"/>
          <w:highlight w:val="none"/>
          <w:u w:val="single"/>
          <w14:textFill>
            <w14:solidFill>
              <w14:schemeClr w14:val="tx1"/>
            </w14:solidFill>
          </w14:textFill>
        </w:rPr>
        <w:t>_</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_</w:t>
      </w:r>
      <w:r>
        <w:rPr>
          <w:rFonts w:ascii="宋体" w:hAnsi="宋体"/>
          <w:color w:val="000000" w:themeColor="text1"/>
          <w:szCs w:val="21"/>
          <w:highlight w:val="none"/>
          <w14:textFill>
            <w14:solidFill>
              <w14:schemeClr w14:val="tx1"/>
            </w14:solidFill>
          </w14:textFill>
        </w:rPr>
        <w:t>日</w:t>
      </w:r>
      <w:bookmarkEnd w:id="881"/>
    </w:p>
    <w:p w14:paraId="6A0985DA">
      <w:pPr>
        <w:spacing w:line="400" w:lineRule="exact"/>
        <w:rPr>
          <w:rFonts w:eastAsia="黑体"/>
          <w:color w:val="000000" w:themeColor="text1"/>
          <w:sz w:val="20"/>
          <w:szCs w:val="20"/>
          <w:highlight w:val="none"/>
          <w14:textFill>
            <w14:solidFill>
              <w14:schemeClr w14:val="tx1"/>
            </w14:solidFill>
          </w14:textFill>
        </w:rPr>
      </w:pPr>
    </w:p>
    <w:p w14:paraId="65593D48">
      <w:pPr>
        <w:spacing w:line="400" w:lineRule="exact"/>
        <w:outlineLvl w:val="9"/>
        <w:rPr>
          <w:rFonts w:hint="eastAsia" w:ascii="宋体" w:hAnsi="宋体" w:cs="宋体"/>
          <w:b/>
          <w:bCs/>
          <w:color w:val="000000" w:themeColor="text1"/>
          <w:sz w:val="36"/>
          <w:szCs w:val="36"/>
          <w:highlight w:val="none"/>
          <w:lang w:val="zh-CN"/>
          <w14:textFill>
            <w14:solidFill>
              <w14:schemeClr w14:val="tx1"/>
            </w14:solidFill>
          </w14:textFill>
        </w:rPr>
      </w:pPr>
      <w:r>
        <w:rPr>
          <w:rFonts w:eastAsia="黑体"/>
          <w:color w:val="000000" w:themeColor="text1"/>
          <w:sz w:val="19"/>
          <w:szCs w:val="19"/>
          <w:highlight w:val="none"/>
          <w14:textFill>
            <w14:solidFill>
              <w14:schemeClr w14:val="tx1"/>
            </w14:solidFill>
          </w14:textFill>
        </w:rPr>
        <w:br w:type="page"/>
      </w:r>
      <w:bookmarkStart w:id="882" w:name="_Toc144974859"/>
      <w:bookmarkStart w:id="883" w:name="_Toc168475917"/>
      <w:bookmarkStart w:id="884" w:name="_Toc168476320"/>
      <w:bookmarkStart w:id="885" w:name="_Toc221951947"/>
      <w:r>
        <w:rPr>
          <w:rFonts w:ascii="宋体" w:hAnsi="宋体"/>
          <w:b/>
          <w:color w:val="000000" w:themeColor="text1"/>
          <w:sz w:val="24"/>
          <w:szCs w:val="31"/>
          <w:highlight w:val="none"/>
          <w14:textFill>
            <w14:solidFill>
              <w14:schemeClr w14:val="tx1"/>
            </w14:solidFill>
          </w14:textFill>
        </w:rPr>
        <w:t>（二）</w:t>
      </w:r>
      <w:r>
        <w:rPr>
          <w:rFonts w:ascii="黑体" w:hAnsi="黑体" w:eastAsia="黑体"/>
          <w:color w:val="000000" w:themeColor="text1"/>
          <w:sz w:val="28"/>
          <w:szCs w:val="27"/>
          <w:highlight w:val="none"/>
          <w14:textFill>
            <w14:solidFill>
              <w14:schemeClr w14:val="tx1"/>
            </w14:solidFill>
          </w14:textFill>
        </w:rPr>
        <w:t>投标函附录</w:t>
      </w:r>
      <w:r>
        <w:rPr>
          <w:rFonts w:hint="eastAsia" w:ascii="黑体" w:hAnsi="黑体" w:eastAsia="黑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适用于不采用综合评估法三的情形</w:t>
      </w:r>
      <w:r>
        <w:rPr>
          <w:rFonts w:hint="eastAsia" w:ascii="黑体" w:hAnsi="黑体" w:eastAsia="黑体"/>
          <w:color w:val="000000" w:themeColor="text1"/>
          <w:szCs w:val="21"/>
          <w:highlight w:val="none"/>
          <w14:textFill>
            <w14:solidFill>
              <w14:schemeClr w14:val="tx1"/>
            </w14:solidFill>
          </w14:textFill>
        </w:rPr>
        <w:t>）</w:t>
      </w:r>
    </w:p>
    <w:p w14:paraId="68745430">
      <w:pPr>
        <w:autoSpaceDE w:val="0"/>
        <w:autoSpaceDN w:val="0"/>
        <w:adjustRightInd w:val="0"/>
        <w:jc w:val="center"/>
        <w:rPr>
          <w:rFonts w:hint="eastAsia" w:ascii="宋体" w:hAnsi="宋体"/>
          <w:bCs/>
          <w:color w:val="000000" w:themeColor="text1"/>
          <w:sz w:val="52"/>
          <w:szCs w:val="52"/>
          <w:highlight w:val="none"/>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 xml:space="preserve">                                              </w:t>
      </w:r>
      <w:r>
        <w:rPr>
          <w:rFonts w:hint="eastAsia" w:ascii="宋体" w:hAnsi="宋体" w:cs="宋体"/>
          <w:color w:val="000000" w:themeColor="text1"/>
          <w:sz w:val="24"/>
          <w:szCs w:val="24"/>
          <w:highlight w:val="none"/>
          <w:lang w:val="zh-CN"/>
          <w14:textFill>
            <w14:solidFill>
              <w14:schemeClr w14:val="tx1"/>
            </w14:solidFill>
          </w14:textFill>
        </w:rPr>
        <w:t>投标日期：   年  月  日</w:t>
      </w:r>
    </w:p>
    <w:tbl>
      <w:tblPr>
        <w:tblStyle w:val="38"/>
        <w:tblpPr w:leftFromText="180" w:rightFromText="180" w:vertAnchor="text" w:horzAnchor="margin" w:tblpY="-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2028"/>
        <w:gridCol w:w="3823"/>
      </w:tblGrid>
      <w:tr w14:paraId="60E6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14:paraId="4AAEC57D">
            <w:pPr>
              <w:autoSpaceDE w:val="0"/>
              <w:autoSpaceDN w:val="0"/>
              <w:adjustRightInd w:val="0"/>
              <w:jc w:val="center"/>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工 程 名 称</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14:paraId="638BA5E4">
            <w:pPr>
              <w:autoSpaceDE w:val="0"/>
              <w:autoSpaceDN w:val="0"/>
              <w:adjustRightInd w:val="0"/>
              <w:rPr>
                <w:rFonts w:ascii="宋体" w:hAnsi="宋体" w:cs="宋体"/>
                <w:bCs/>
                <w:color w:val="000000" w:themeColor="text1"/>
                <w:sz w:val="24"/>
                <w:szCs w:val="24"/>
                <w:highlight w:val="none"/>
                <w:lang w:val="zh-CN"/>
                <w14:textFill>
                  <w14:solidFill>
                    <w14:schemeClr w14:val="tx1"/>
                  </w14:solidFill>
                </w14:textFill>
              </w:rPr>
            </w:pPr>
          </w:p>
        </w:tc>
      </w:tr>
      <w:tr w14:paraId="0421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14:paraId="302788DC">
            <w:pPr>
              <w:autoSpaceDE w:val="0"/>
              <w:autoSpaceDN w:val="0"/>
              <w:adjustRightInd/>
              <w:jc w:val="center"/>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投标总报价（元）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29759BB3">
            <w:pPr>
              <w:autoSpaceDE w:val="0"/>
              <w:autoSpaceDN w:val="0"/>
              <w:adjustRightInd w:val="0"/>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大写：</w:t>
            </w:r>
          </w:p>
        </w:tc>
      </w:tr>
      <w:tr w14:paraId="14D4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14:paraId="51B442F7">
            <w:pPr>
              <w:widowControl/>
              <w:jc w:val="center"/>
              <w:rPr>
                <w:rFonts w:ascii="宋体" w:hAnsi="宋体" w:cs="宋体"/>
                <w:bCs/>
                <w:color w:val="000000" w:themeColor="text1"/>
                <w:sz w:val="24"/>
                <w:szCs w:val="24"/>
                <w:highlight w:val="none"/>
                <w:lang w:val="zh-CN"/>
                <w14:textFill>
                  <w14:solidFill>
                    <w14:schemeClr w14:val="tx1"/>
                  </w14:solidFill>
                </w14:textFill>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0FFE1807">
            <w:pPr>
              <w:autoSpaceDE w:val="0"/>
              <w:autoSpaceDN w:val="0"/>
              <w:adjustRightInd w:val="0"/>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小写：</w:t>
            </w:r>
          </w:p>
        </w:tc>
      </w:tr>
      <w:tr w14:paraId="2D4E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14:paraId="75732B91">
            <w:pPr>
              <w:autoSpaceDE w:val="0"/>
              <w:autoSpaceDN w:val="0"/>
              <w:adjustRightInd/>
              <w:jc w:val="center"/>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其中：</w:t>
            </w:r>
            <w:r>
              <w:rPr>
                <w:rFonts w:hint="eastAsia" w:ascii="宋体" w:hAnsi="宋体" w:cs="宋体"/>
                <w:bCs/>
                <w:color w:val="000000" w:themeColor="text1"/>
                <w:sz w:val="24"/>
                <w:szCs w:val="24"/>
                <w:highlight w:val="none"/>
                <w:lang w:val="zh-CN"/>
                <w14:textFill>
                  <w14:solidFill>
                    <w14:schemeClr w14:val="tx1"/>
                  </w14:solidFill>
                </w14:textFill>
              </w:rPr>
              <w:t>人工费</w:t>
            </w:r>
            <w:r>
              <w:rPr>
                <w:rFonts w:hint="eastAsia" w:ascii="宋体" w:hAnsi="宋体" w:cs="宋体"/>
                <w:color w:val="000000" w:themeColor="text1"/>
                <w:sz w:val="24"/>
                <w:szCs w:val="24"/>
                <w:highlight w:val="none"/>
                <w:lang w:val="zh-CN"/>
                <w14:textFill>
                  <w14:solidFill>
                    <w14:schemeClr w14:val="tx1"/>
                  </w14:solidFill>
                </w14:textFill>
              </w:rPr>
              <w:t>（元）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5548FB3D">
            <w:pPr>
              <w:autoSpaceDE w:val="0"/>
              <w:autoSpaceDN w:val="0"/>
              <w:adjustRightInd w:val="0"/>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大写：</w:t>
            </w:r>
          </w:p>
        </w:tc>
      </w:tr>
      <w:tr w14:paraId="5174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14:paraId="4668E1CC">
            <w:pPr>
              <w:widowControl/>
              <w:jc w:val="center"/>
              <w:rPr>
                <w:rFonts w:ascii="宋体" w:hAnsi="宋体" w:cs="宋体"/>
                <w:bCs/>
                <w:color w:val="000000" w:themeColor="text1"/>
                <w:sz w:val="24"/>
                <w:szCs w:val="24"/>
                <w:highlight w:val="none"/>
                <w:lang w:val="zh-CN"/>
                <w14:textFill>
                  <w14:solidFill>
                    <w14:schemeClr w14:val="tx1"/>
                  </w14:solidFill>
                </w14:textFill>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292A7E21">
            <w:pPr>
              <w:autoSpaceDE w:val="0"/>
              <w:autoSpaceDN w:val="0"/>
              <w:adjustRightInd w:val="0"/>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小写：</w:t>
            </w:r>
          </w:p>
        </w:tc>
      </w:tr>
      <w:tr w14:paraId="26A0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right w:val="single" w:color="auto" w:sz="4" w:space="0"/>
            </w:tcBorders>
            <w:noWrap w:val="0"/>
            <w:vAlign w:val="center"/>
          </w:tcPr>
          <w:p w14:paraId="19A442C2">
            <w:pPr>
              <w:widowControl/>
              <w:jc w:val="center"/>
              <w:rPr>
                <w:rFonts w:hint="eastAsia" w:ascii="宋体" w:hAnsi="宋体" w:cs="宋体"/>
                <w:bCs/>
                <w:color w:val="000000" w:themeColor="text1"/>
                <w:sz w:val="24"/>
                <w:szCs w:val="24"/>
                <w:highlight w:val="none"/>
                <w:lang w:val="zh-CN"/>
                <w14:textFill>
                  <w14:solidFill>
                    <w14:schemeClr w14:val="tx1"/>
                  </w14:solidFill>
                </w14:textFill>
              </w:rPr>
            </w:pPr>
            <w:r>
              <w:rPr>
                <w:rFonts w:hint="eastAsia" w:ascii="宋体" w:hAnsi="宋体" w:cs="宋体"/>
                <w:bCs/>
                <w:color w:val="000000" w:themeColor="text1"/>
                <w:sz w:val="24"/>
                <w:szCs w:val="24"/>
                <w:highlight w:val="none"/>
                <w:lang w:val="zh-CN"/>
                <w14:textFill>
                  <w14:solidFill>
                    <w14:schemeClr w14:val="tx1"/>
                  </w14:solidFill>
                </w14:textFill>
              </w:rPr>
              <w:t>其中</w:t>
            </w:r>
            <w:r>
              <w:rPr>
                <w:rFonts w:hint="eastAsia" w:ascii="宋体" w:hAnsi="宋体" w:eastAsia="宋体" w:cs="宋体"/>
                <w:bCs/>
                <w:color w:val="000000" w:themeColor="text1"/>
                <w:sz w:val="24"/>
                <w:szCs w:val="24"/>
                <w:highlight w:val="none"/>
                <w:lang w:val="zh-CN"/>
                <w14:textFill>
                  <w14:solidFill>
                    <w14:schemeClr w14:val="tx1"/>
                  </w14:solidFill>
                </w14:textFill>
              </w:rPr>
              <w:t>：</w:t>
            </w:r>
            <w:r>
              <w:rPr>
                <w:rFonts w:hint="default" w:ascii="宋体" w:hAnsi="宋体" w:eastAsia="宋体" w:cs="宋体"/>
                <w:bCs/>
                <w:color w:val="000000" w:themeColor="text1"/>
                <w:sz w:val="24"/>
                <w:szCs w:val="24"/>
                <w:highlight w:val="none"/>
                <w:lang w:val="en-US"/>
                <w14:textFill>
                  <w14:solidFill>
                    <w14:schemeClr w14:val="tx1"/>
                  </w14:solidFill>
                </w14:textFill>
              </w:rPr>
              <w:t>绿色施工安全防护</w:t>
            </w:r>
            <w:r>
              <w:rPr>
                <w:rFonts w:hint="eastAsia" w:ascii="宋体" w:hAnsi="宋体" w:eastAsia="宋体" w:cs="宋体"/>
                <w:bCs/>
                <w:color w:val="000000" w:themeColor="text1"/>
                <w:sz w:val="24"/>
                <w:szCs w:val="24"/>
                <w:highlight w:val="none"/>
                <w:lang w:val="zh-CN"/>
                <w14:textFill>
                  <w14:solidFill>
                    <w14:schemeClr w14:val="tx1"/>
                  </w14:solidFill>
                </w14:textFill>
              </w:rPr>
              <w:t>措施费（元）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03C80E4F">
            <w:pPr>
              <w:autoSpaceDE w:val="0"/>
              <w:autoSpaceDN w:val="0"/>
              <w:adjustRightInd w:val="0"/>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大写：</w:t>
            </w:r>
          </w:p>
        </w:tc>
      </w:tr>
      <w:tr w14:paraId="07EA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28" w:type="dxa"/>
            <w:vMerge w:val="continue"/>
            <w:tcBorders>
              <w:left w:val="single" w:color="auto" w:sz="4" w:space="0"/>
              <w:bottom w:val="single" w:color="auto" w:sz="4" w:space="0"/>
              <w:right w:val="single" w:color="auto" w:sz="4" w:space="0"/>
            </w:tcBorders>
            <w:noWrap w:val="0"/>
            <w:vAlign w:val="center"/>
          </w:tcPr>
          <w:p w14:paraId="121527AA">
            <w:pPr>
              <w:widowControl/>
              <w:jc w:val="center"/>
              <w:rPr>
                <w:rFonts w:ascii="宋体" w:hAnsi="宋体" w:cs="宋体"/>
                <w:bCs/>
                <w:color w:val="000000" w:themeColor="text1"/>
                <w:sz w:val="24"/>
                <w:szCs w:val="24"/>
                <w:highlight w:val="none"/>
                <w:lang w:val="zh-CN"/>
                <w14:textFill>
                  <w14:solidFill>
                    <w14:schemeClr w14:val="tx1"/>
                  </w14:solidFill>
                </w14:textFill>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7EE9D82B">
            <w:pPr>
              <w:autoSpaceDE w:val="0"/>
              <w:autoSpaceDN w:val="0"/>
              <w:adjustRightInd w:val="0"/>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小写：</w:t>
            </w:r>
          </w:p>
        </w:tc>
      </w:tr>
      <w:tr w14:paraId="2B35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14:paraId="75F79119">
            <w:pPr>
              <w:jc w:val="center"/>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投 标 总</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lang w:val="zh-CN"/>
                <w14:textFill>
                  <w14:solidFill>
                    <w14:schemeClr w14:val="tx1"/>
                  </w14:solidFill>
                </w14:textFill>
              </w:rPr>
              <w:t>工 期</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4865C1BC">
            <w:pPr>
              <w:autoSpaceDE w:val="0"/>
              <w:autoSpaceDN w:val="0"/>
              <w:adjustRightInd w:val="0"/>
              <w:rPr>
                <w:rFonts w:ascii="宋体" w:hAnsi="宋体" w:cs="宋体"/>
                <w:bCs/>
                <w:color w:val="000000" w:themeColor="text1"/>
                <w:sz w:val="24"/>
                <w:szCs w:val="24"/>
                <w:highlight w:val="none"/>
                <w:lang w:val="zh-CN"/>
                <w14:textFill>
                  <w14:solidFill>
                    <w14:schemeClr w14:val="tx1"/>
                  </w14:solidFill>
                </w14:textFill>
              </w:rPr>
            </w:pPr>
          </w:p>
        </w:tc>
      </w:tr>
      <w:tr w14:paraId="4028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14:paraId="65CE61A9">
            <w:pPr>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工程质量标准</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37E2A6F1">
            <w:pPr>
              <w:autoSpaceDE w:val="0"/>
              <w:autoSpaceDN w:val="0"/>
              <w:adjustRightInd w:val="0"/>
              <w:rPr>
                <w:rFonts w:ascii="宋体" w:hAnsi="宋体" w:cs="宋体"/>
                <w:bCs/>
                <w:color w:val="000000" w:themeColor="text1"/>
                <w:sz w:val="24"/>
                <w:szCs w:val="24"/>
                <w:highlight w:val="none"/>
                <w:lang w:val="zh-CN"/>
                <w14:textFill>
                  <w14:solidFill>
                    <w14:schemeClr w14:val="tx1"/>
                  </w14:solidFill>
                </w14:textFill>
              </w:rPr>
            </w:pPr>
          </w:p>
        </w:tc>
      </w:tr>
      <w:tr w14:paraId="4BF1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14:paraId="59C6FFD3">
            <w:pPr>
              <w:autoSpaceDE w:val="0"/>
              <w:autoSpaceDN w:val="0"/>
              <w:adjustRightInd/>
              <w:ind w:firstLine="0" w:firstLineChars="0"/>
              <w:jc w:val="center"/>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保 修 期 限</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69164D59">
            <w:pPr>
              <w:autoSpaceDE w:val="0"/>
              <w:autoSpaceDN w:val="0"/>
              <w:adjustRightInd w:val="0"/>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s="宋体"/>
                <w:bCs/>
                <w:color w:val="000000" w:themeColor="text1"/>
                <w:sz w:val="24"/>
                <w:szCs w:val="24"/>
                <w:highlight w:val="none"/>
                <w:lang w:val="zh-CN"/>
                <w14:textFill>
                  <w14:solidFill>
                    <w14:schemeClr w14:val="tx1"/>
                  </w14:solidFill>
                </w14:textFill>
              </w:rPr>
              <w:t>自工程竣工验收合格之日起两年</w:t>
            </w:r>
          </w:p>
        </w:tc>
      </w:tr>
      <w:tr w14:paraId="443C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14:paraId="0AD05A23">
            <w:pPr>
              <w:autoSpaceDE w:val="0"/>
              <w:autoSpaceDN w:val="0"/>
              <w:adjustRightInd/>
              <w:jc w:val="center"/>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委派的项目负责人</w:t>
            </w:r>
          </w:p>
        </w:tc>
        <w:tc>
          <w:tcPr>
            <w:tcW w:w="2028" w:type="dxa"/>
            <w:tcBorders>
              <w:top w:val="single" w:color="auto" w:sz="4" w:space="0"/>
              <w:left w:val="single" w:color="auto" w:sz="4" w:space="0"/>
              <w:bottom w:val="single" w:color="auto" w:sz="4" w:space="0"/>
              <w:right w:val="single" w:color="auto" w:sz="4" w:space="0"/>
            </w:tcBorders>
            <w:noWrap w:val="0"/>
            <w:vAlign w:val="center"/>
          </w:tcPr>
          <w:p w14:paraId="7FEB1570">
            <w:pPr>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姓    名</w:t>
            </w:r>
          </w:p>
        </w:tc>
        <w:tc>
          <w:tcPr>
            <w:tcW w:w="3823" w:type="dxa"/>
            <w:tcBorders>
              <w:top w:val="single" w:color="auto" w:sz="4" w:space="0"/>
              <w:left w:val="single" w:color="auto" w:sz="4" w:space="0"/>
              <w:bottom w:val="single" w:color="auto" w:sz="4" w:space="0"/>
              <w:right w:val="single" w:color="auto" w:sz="4" w:space="0"/>
            </w:tcBorders>
            <w:noWrap w:val="0"/>
            <w:vAlign w:val="center"/>
          </w:tcPr>
          <w:p w14:paraId="4145E02F">
            <w:pPr>
              <w:autoSpaceDE w:val="0"/>
              <w:autoSpaceDN w:val="0"/>
              <w:adjustRightInd w:val="0"/>
              <w:rPr>
                <w:rFonts w:ascii="宋体" w:hAnsi="宋体" w:cs="宋体"/>
                <w:b/>
                <w:bCs/>
                <w:color w:val="000000" w:themeColor="text1"/>
                <w:sz w:val="24"/>
                <w:szCs w:val="24"/>
                <w:highlight w:val="none"/>
                <w:lang w:val="zh-CN"/>
                <w14:textFill>
                  <w14:solidFill>
                    <w14:schemeClr w14:val="tx1"/>
                  </w14:solidFill>
                </w14:textFill>
              </w:rPr>
            </w:pPr>
          </w:p>
        </w:tc>
      </w:tr>
      <w:tr w14:paraId="17DC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14:paraId="6A54F83D">
            <w:pPr>
              <w:widowControl/>
              <w:jc w:val="center"/>
              <w:rPr>
                <w:rFonts w:ascii="宋体" w:hAnsi="宋体" w:cs="宋体"/>
                <w:bCs/>
                <w:color w:val="000000" w:themeColor="text1"/>
                <w:sz w:val="24"/>
                <w:szCs w:val="24"/>
                <w:highlight w:val="none"/>
                <w:lang w:val="zh-CN"/>
                <w14:textFill>
                  <w14:solidFill>
                    <w14:schemeClr w14:val="tx1"/>
                  </w14:solidFill>
                </w14:textFill>
              </w:rPr>
            </w:pPr>
          </w:p>
        </w:tc>
        <w:tc>
          <w:tcPr>
            <w:tcW w:w="2028" w:type="dxa"/>
            <w:tcBorders>
              <w:top w:val="single" w:color="auto" w:sz="4" w:space="0"/>
              <w:left w:val="single" w:color="auto" w:sz="4" w:space="0"/>
              <w:bottom w:val="single" w:color="auto" w:sz="4" w:space="0"/>
              <w:right w:val="single" w:color="auto" w:sz="4" w:space="0"/>
            </w:tcBorders>
            <w:noWrap w:val="0"/>
            <w:vAlign w:val="center"/>
          </w:tcPr>
          <w:p w14:paraId="751D855E">
            <w:pPr>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建造师的注册编号</w:t>
            </w:r>
          </w:p>
        </w:tc>
        <w:tc>
          <w:tcPr>
            <w:tcW w:w="3823" w:type="dxa"/>
            <w:tcBorders>
              <w:top w:val="single" w:color="auto" w:sz="4" w:space="0"/>
              <w:left w:val="single" w:color="auto" w:sz="4" w:space="0"/>
              <w:bottom w:val="single" w:color="auto" w:sz="4" w:space="0"/>
              <w:right w:val="single" w:color="auto" w:sz="4" w:space="0"/>
            </w:tcBorders>
            <w:noWrap w:val="0"/>
            <w:vAlign w:val="center"/>
          </w:tcPr>
          <w:p w14:paraId="6C3C2289">
            <w:pPr>
              <w:autoSpaceDE w:val="0"/>
              <w:autoSpaceDN w:val="0"/>
              <w:adjustRightInd w:val="0"/>
              <w:rPr>
                <w:rFonts w:ascii="宋体" w:hAnsi="宋体" w:cs="宋体"/>
                <w:b/>
                <w:bCs/>
                <w:color w:val="000000" w:themeColor="text1"/>
                <w:sz w:val="24"/>
                <w:szCs w:val="24"/>
                <w:highlight w:val="none"/>
                <w:lang w:val="zh-CN"/>
                <w14:textFill>
                  <w14:solidFill>
                    <w14:schemeClr w14:val="tx1"/>
                  </w14:solidFill>
                </w14:textFill>
              </w:rPr>
            </w:pPr>
          </w:p>
        </w:tc>
      </w:tr>
      <w:tr w14:paraId="6433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14:paraId="1D25BB1E">
            <w:pPr>
              <w:autoSpaceDE w:val="0"/>
              <w:autoSpaceDN w:val="0"/>
              <w:adjustRightInd/>
              <w:ind w:firstLine="0" w:firstLineChars="0"/>
              <w:jc w:val="center"/>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s="宋体"/>
                <w:bCs/>
                <w:color w:val="000000" w:themeColor="text1"/>
                <w:sz w:val="24"/>
                <w:szCs w:val="24"/>
                <w:highlight w:val="none"/>
                <w:lang w:val="zh-CN"/>
                <w14:textFill>
                  <w14:solidFill>
                    <w14:schemeClr w14:val="tx1"/>
                  </w14:solidFill>
                </w14:textFill>
              </w:rPr>
              <w:t>委派的</w:t>
            </w:r>
            <w:r>
              <w:rPr>
                <w:rFonts w:hint="eastAsia" w:ascii="宋体" w:hAnsi="宋体" w:cs="宋体"/>
                <w:bCs/>
                <w:color w:val="000000" w:themeColor="text1"/>
                <w:sz w:val="24"/>
                <w:szCs w:val="24"/>
                <w:highlight w:val="none"/>
                <w:lang w:val="en-US" w:eastAsia="zh-CN"/>
                <w14:textFill>
                  <w14:solidFill>
                    <w14:schemeClr w14:val="tx1"/>
                  </w14:solidFill>
                </w14:textFill>
              </w:rPr>
              <w:t>专职</w:t>
            </w:r>
            <w:r>
              <w:rPr>
                <w:rFonts w:hint="eastAsia" w:ascii="宋体" w:hAnsi="宋体" w:cs="宋体"/>
                <w:bCs/>
                <w:color w:val="000000" w:themeColor="text1"/>
                <w:sz w:val="24"/>
                <w:szCs w:val="24"/>
                <w:highlight w:val="none"/>
                <w:lang w:val="zh-CN"/>
                <w14:textFill>
                  <w14:solidFill>
                    <w14:schemeClr w14:val="tx1"/>
                  </w14:solidFill>
                </w14:textFill>
              </w:rPr>
              <w:t>安全员</w:t>
            </w:r>
          </w:p>
        </w:tc>
        <w:tc>
          <w:tcPr>
            <w:tcW w:w="2028" w:type="dxa"/>
            <w:tcBorders>
              <w:top w:val="single" w:color="auto" w:sz="4" w:space="0"/>
              <w:left w:val="single" w:color="auto" w:sz="4" w:space="0"/>
              <w:bottom w:val="single" w:color="auto" w:sz="4" w:space="0"/>
              <w:right w:val="single" w:color="auto" w:sz="4" w:space="0"/>
            </w:tcBorders>
            <w:noWrap w:val="0"/>
            <w:vAlign w:val="center"/>
          </w:tcPr>
          <w:p w14:paraId="1767E299">
            <w:pPr>
              <w:autoSpaceDE w:val="0"/>
              <w:autoSpaceDN w:val="0"/>
              <w:adjustRightInd w:val="0"/>
              <w:ind w:firstLine="0" w:firstLineChars="0"/>
              <w:jc w:val="center"/>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s="宋体"/>
                <w:bCs/>
                <w:color w:val="000000" w:themeColor="text1"/>
                <w:sz w:val="24"/>
                <w:szCs w:val="24"/>
                <w:highlight w:val="none"/>
                <w:lang w:val="zh-CN"/>
                <w14:textFill>
                  <w14:solidFill>
                    <w14:schemeClr w14:val="tx1"/>
                  </w14:solidFill>
                </w14:textFill>
              </w:rPr>
              <w:t>姓   名</w:t>
            </w:r>
          </w:p>
        </w:tc>
        <w:tc>
          <w:tcPr>
            <w:tcW w:w="3823" w:type="dxa"/>
            <w:tcBorders>
              <w:top w:val="single" w:color="auto" w:sz="4" w:space="0"/>
              <w:left w:val="single" w:color="auto" w:sz="4" w:space="0"/>
              <w:bottom w:val="single" w:color="auto" w:sz="4" w:space="0"/>
              <w:right w:val="single" w:color="auto" w:sz="4" w:space="0"/>
            </w:tcBorders>
            <w:noWrap w:val="0"/>
            <w:vAlign w:val="center"/>
          </w:tcPr>
          <w:p w14:paraId="642BEE1E">
            <w:pPr>
              <w:autoSpaceDE w:val="0"/>
              <w:autoSpaceDN w:val="0"/>
              <w:adjustRightInd w:val="0"/>
              <w:rPr>
                <w:rFonts w:ascii="宋体" w:hAnsi="宋体" w:cs="宋体"/>
                <w:b/>
                <w:bCs/>
                <w:color w:val="000000" w:themeColor="text1"/>
                <w:sz w:val="24"/>
                <w:szCs w:val="24"/>
                <w:highlight w:val="none"/>
                <w:lang w:val="zh-CN"/>
                <w14:textFill>
                  <w14:solidFill>
                    <w14:schemeClr w14:val="tx1"/>
                  </w14:solidFill>
                </w14:textFill>
              </w:rPr>
            </w:pPr>
          </w:p>
        </w:tc>
      </w:tr>
      <w:tr w14:paraId="4292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14:paraId="29C9A391">
            <w:pPr>
              <w:widowControl/>
              <w:jc w:val="left"/>
              <w:rPr>
                <w:rFonts w:ascii="宋体" w:hAnsi="宋体" w:cs="宋体"/>
                <w:bCs/>
                <w:color w:val="000000" w:themeColor="text1"/>
                <w:sz w:val="24"/>
                <w:szCs w:val="24"/>
                <w:highlight w:val="none"/>
                <w:lang w:val="zh-CN"/>
                <w14:textFill>
                  <w14:solidFill>
                    <w14:schemeClr w14:val="tx1"/>
                  </w14:solidFill>
                </w14:textFill>
              </w:rPr>
            </w:pPr>
          </w:p>
        </w:tc>
        <w:tc>
          <w:tcPr>
            <w:tcW w:w="2028" w:type="dxa"/>
            <w:tcBorders>
              <w:top w:val="single" w:color="auto" w:sz="4" w:space="0"/>
              <w:left w:val="single" w:color="auto" w:sz="4" w:space="0"/>
              <w:bottom w:val="single" w:color="auto" w:sz="4" w:space="0"/>
              <w:right w:val="single" w:color="auto" w:sz="4" w:space="0"/>
            </w:tcBorders>
            <w:noWrap w:val="0"/>
            <w:vAlign w:val="center"/>
          </w:tcPr>
          <w:p w14:paraId="202F02D7">
            <w:pPr>
              <w:autoSpaceDE w:val="0"/>
              <w:autoSpaceDN w:val="0"/>
              <w:adjustRightInd w:val="0"/>
              <w:jc w:val="center"/>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安全生产考核合格证（C类）或安全生产考核合格证书（C3类）编号</w:t>
            </w:r>
          </w:p>
        </w:tc>
        <w:tc>
          <w:tcPr>
            <w:tcW w:w="3823" w:type="dxa"/>
            <w:tcBorders>
              <w:top w:val="single" w:color="auto" w:sz="4" w:space="0"/>
              <w:left w:val="single" w:color="auto" w:sz="4" w:space="0"/>
              <w:bottom w:val="single" w:color="auto" w:sz="4" w:space="0"/>
              <w:right w:val="single" w:color="auto" w:sz="4" w:space="0"/>
            </w:tcBorders>
            <w:noWrap w:val="0"/>
            <w:vAlign w:val="center"/>
          </w:tcPr>
          <w:p w14:paraId="0DCD8A3D">
            <w:pPr>
              <w:autoSpaceDE w:val="0"/>
              <w:autoSpaceDN w:val="0"/>
              <w:adjustRightInd w:val="0"/>
              <w:rPr>
                <w:rFonts w:ascii="宋体" w:hAnsi="宋体" w:cs="宋体"/>
                <w:b/>
                <w:bCs/>
                <w:color w:val="000000" w:themeColor="text1"/>
                <w:sz w:val="24"/>
                <w:szCs w:val="24"/>
                <w:highlight w:val="none"/>
                <w:lang w:val="zh-CN"/>
                <w14:textFill>
                  <w14:solidFill>
                    <w14:schemeClr w14:val="tx1"/>
                  </w14:solidFill>
                </w14:textFill>
              </w:rPr>
            </w:pPr>
          </w:p>
        </w:tc>
      </w:tr>
    </w:tbl>
    <w:p w14:paraId="065BA81B">
      <w:pPr>
        <w:autoSpaceDE w:val="0"/>
        <w:autoSpaceDN w:val="0"/>
        <w:adjustRightInd w:val="0"/>
        <w:rPr>
          <w:rFonts w:hint="eastAsia"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注：1.本表所报委派的项目负责人、</w:t>
      </w:r>
      <w:r>
        <w:rPr>
          <w:rFonts w:hint="eastAsia" w:ascii="宋体" w:hAnsi="宋体" w:cs="宋体"/>
          <w:color w:val="000000" w:themeColor="text1"/>
          <w:szCs w:val="21"/>
          <w:highlight w:val="none"/>
          <w:lang w:val="en-US" w:eastAsia="zh-CN"/>
          <w14:textFill>
            <w14:solidFill>
              <w14:schemeClr w14:val="tx1"/>
            </w14:solidFill>
          </w14:textFill>
        </w:rPr>
        <w:t>专职</w:t>
      </w:r>
      <w:r>
        <w:rPr>
          <w:rFonts w:hint="eastAsia" w:ascii="宋体" w:hAnsi="宋体" w:cs="宋体"/>
          <w:color w:val="000000" w:themeColor="text1"/>
          <w:szCs w:val="21"/>
          <w:highlight w:val="none"/>
          <w:lang w:val="zh-CN"/>
          <w14:textFill>
            <w14:solidFill>
              <w14:schemeClr w14:val="tx1"/>
            </w14:solidFill>
          </w14:textFill>
        </w:rPr>
        <w:t>安全员的姓名及相关资料，须与本企业在广州交易集团有限公司（广州公共资源交易中心）企业库记录的相应信息一致，评审时，委派的项目负责人、</w:t>
      </w:r>
      <w:r>
        <w:rPr>
          <w:rFonts w:hint="eastAsia" w:ascii="宋体" w:hAnsi="宋体" w:cs="宋体"/>
          <w:color w:val="000000" w:themeColor="text1"/>
          <w:szCs w:val="21"/>
          <w:highlight w:val="none"/>
          <w:lang w:val="en-US" w:eastAsia="zh-CN"/>
          <w14:textFill>
            <w14:solidFill>
              <w14:schemeClr w14:val="tx1"/>
            </w14:solidFill>
          </w14:textFill>
        </w:rPr>
        <w:t>专职</w:t>
      </w:r>
      <w:r>
        <w:rPr>
          <w:rFonts w:hint="eastAsia" w:ascii="宋体" w:hAnsi="宋体" w:cs="宋体"/>
          <w:color w:val="000000" w:themeColor="text1"/>
          <w:szCs w:val="21"/>
          <w:highlight w:val="none"/>
          <w:lang w:val="zh-CN"/>
          <w14:textFill>
            <w14:solidFill>
              <w14:schemeClr w14:val="tx1"/>
            </w14:solidFill>
          </w14:textFill>
        </w:rPr>
        <w:t>安全员以投标人在广州交易集团有限公司（广州公共资源交易中心）企业库登记的信息为准。</w:t>
      </w:r>
    </w:p>
    <w:bookmarkEnd w:id="882"/>
    <w:bookmarkEnd w:id="883"/>
    <w:bookmarkEnd w:id="884"/>
    <w:bookmarkEnd w:id="885"/>
    <w:p w14:paraId="20F616A5">
      <w:pPr>
        <w:spacing w:line="400" w:lineRule="exact"/>
        <w:jc w:val="center"/>
        <w:rPr>
          <w:rFonts w:hint="eastAsia" w:eastAsia="黑体"/>
          <w:color w:val="000000" w:themeColor="text1"/>
          <w:sz w:val="19"/>
          <w:szCs w:val="19"/>
          <w:highlight w:val="none"/>
          <w14:textFill>
            <w14:solidFill>
              <w14:schemeClr w14:val="tx1"/>
            </w14:solidFill>
          </w14:textFill>
        </w:rPr>
      </w:pPr>
    </w:p>
    <w:p w14:paraId="1CA1349C">
      <w:pPr>
        <w:pageBreakBefore/>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886" w:name="_Toc17454901"/>
      <w:bookmarkStart w:id="887" w:name="_Toc168475918"/>
      <w:bookmarkStart w:id="888" w:name="_Toc23836"/>
      <w:bookmarkStart w:id="889" w:name="_Toc168476321"/>
      <w:bookmarkStart w:id="890" w:name="_Toc17451653"/>
      <w:bookmarkStart w:id="891" w:name="_Toc222031063"/>
      <w:bookmarkStart w:id="892" w:name="_Toc17451131"/>
      <w:bookmarkStart w:id="893" w:name="_Toc222032730"/>
      <w:bookmarkStart w:id="894" w:name="_Toc221952013"/>
      <w:bookmarkStart w:id="895" w:name="_Toc222033912"/>
      <w:bookmarkStart w:id="896" w:name="_Toc259524415"/>
      <w:bookmarkStart w:id="897" w:name="_Toc13802"/>
      <w:bookmarkStart w:id="898" w:name="_Toc222029561"/>
      <w:bookmarkStart w:id="899" w:name="_Toc17452694"/>
      <w:bookmarkStart w:id="900" w:name="_Toc17556906"/>
      <w:bookmarkStart w:id="901" w:name="_Toc144974860"/>
      <w:bookmarkStart w:id="902" w:name="_Toc17451608"/>
      <w:bookmarkStart w:id="903" w:name="_Toc229305421"/>
      <w:bookmarkStart w:id="904" w:name="_Toc17454952"/>
      <w:bookmarkStart w:id="905" w:name="_Toc17132"/>
      <w:bookmarkStart w:id="906" w:name="_Toc4218"/>
      <w:r>
        <w:rPr>
          <w:rFonts w:ascii="黑体" w:hAnsi="黑体" w:eastAsia="黑体"/>
          <w:color w:val="000000" w:themeColor="text1"/>
          <w:sz w:val="28"/>
          <w:szCs w:val="27"/>
          <w:highlight w:val="none"/>
          <w14:textFill>
            <w14:solidFill>
              <w14:schemeClr w14:val="tx1"/>
            </w14:solidFill>
          </w14:textFill>
        </w:rPr>
        <w:t>二、法定代表人身份证明</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571E52AD">
      <w:pPr>
        <w:spacing w:line="400" w:lineRule="exact"/>
        <w:rPr>
          <w:color w:val="000000" w:themeColor="text1"/>
          <w:sz w:val="19"/>
          <w:szCs w:val="19"/>
          <w:highlight w:val="none"/>
          <w14:textFill>
            <w14:solidFill>
              <w14:schemeClr w14:val="tx1"/>
            </w14:solidFill>
          </w14:textFill>
        </w:rPr>
      </w:pPr>
    </w:p>
    <w:p w14:paraId="61C8EB7E">
      <w:pPr>
        <w:spacing w:line="400" w:lineRule="exact"/>
        <w:rPr>
          <w:rFonts w:ascii="宋体" w:hAnsi="宋体"/>
          <w:color w:val="000000" w:themeColor="text1"/>
          <w:szCs w:val="21"/>
          <w:highlight w:val="none"/>
          <w14:textFill>
            <w14:solidFill>
              <w14:schemeClr w14:val="tx1"/>
            </w14:solidFill>
          </w14:textFill>
        </w:rPr>
      </w:pPr>
    </w:p>
    <w:p w14:paraId="400D74F0">
      <w:pPr>
        <w:spacing w:line="400" w:lineRule="exact"/>
        <w:rPr>
          <w:rFonts w:ascii="宋体" w:hAnsi="宋体"/>
          <w:color w:val="000000" w:themeColor="text1"/>
          <w:szCs w:val="21"/>
          <w:highlight w:val="none"/>
          <w14:textFill>
            <w14:solidFill>
              <w14:schemeClr w14:val="tx1"/>
            </w14:solidFill>
          </w14:textFill>
        </w:rPr>
      </w:pPr>
      <w:bookmarkStart w:id="907" w:name="_Toc221952014"/>
      <w:r>
        <w:rPr>
          <w:rFonts w:ascii="宋体" w:hAnsi="宋体"/>
          <w:color w:val="000000" w:themeColor="text1"/>
          <w:szCs w:val="21"/>
          <w:highlight w:val="none"/>
          <w14:textFill>
            <w14:solidFill>
              <w14:schemeClr w14:val="tx1"/>
            </w14:solidFill>
          </w14:textFill>
        </w:rPr>
        <w:t>投标人名称：</w:t>
      </w:r>
      <w:bookmarkEnd w:id="907"/>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w:t>
      </w:r>
    </w:p>
    <w:p w14:paraId="55927A49">
      <w:pPr>
        <w:spacing w:line="400" w:lineRule="exact"/>
        <w:rPr>
          <w:rFonts w:ascii="宋体" w:hAnsi="宋体"/>
          <w:color w:val="000000" w:themeColor="text1"/>
          <w:szCs w:val="21"/>
          <w:highlight w:val="none"/>
          <w14:textFill>
            <w14:solidFill>
              <w14:schemeClr w14:val="tx1"/>
            </w14:solidFill>
          </w14:textFill>
        </w:rPr>
      </w:pPr>
      <w:bookmarkStart w:id="908" w:name="_Toc221952015"/>
      <w:r>
        <w:rPr>
          <w:rFonts w:ascii="宋体" w:hAnsi="宋体"/>
          <w:color w:val="000000" w:themeColor="text1"/>
          <w:szCs w:val="21"/>
          <w:highlight w:val="none"/>
          <w14:textFill>
            <w14:solidFill>
              <w14:schemeClr w14:val="tx1"/>
            </w14:solidFill>
          </w14:textFill>
        </w:rPr>
        <w:t>单位性质：</w:t>
      </w:r>
      <w:bookmarkEnd w:id="908"/>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w:t>
      </w:r>
    </w:p>
    <w:p w14:paraId="48EE0118">
      <w:pPr>
        <w:spacing w:line="400" w:lineRule="exact"/>
        <w:rPr>
          <w:rFonts w:ascii="宋体" w:hAnsi="宋体"/>
          <w:color w:val="000000" w:themeColor="text1"/>
          <w:szCs w:val="21"/>
          <w:highlight w:val="none"/>
          <w14:textFill>
            <w14:solidFill>
              <w14:schemeClr w14:val="tx1"/>
            </w14:solidFill>
          </w14:textFill>
        </w:rPr>
      </w:pPr>
      <w:bookmarkStart w:id="909" w:name="_Toc221952016"/>
      <w:r>
        <w:rPr>
          <w:rFonts w:ascii="宋体" w:hAnsi="宋体"/>
          <w:color w:val="000000" w:themeColor="text1"/>
          <w:szCs w:val="21"/>
          <w:highlight w:val="none"/>
          <w14:textFill>
            <w14:solidFill>
              <w14:schemeClr w14:val="tx1"/>
            </w14:solidFill>
          </w14:textFill>
        </w:rPr>
        <w:t>地址：</w:t>
      </w:r>
      <w:bookmarkEnd w:id="909"/>
      <w:r>
        <w:rPr>
          <w:rFonts w:ascii="宋体" w:hAnsi="宋体"/>
          <w:color w:val="000000" w:themeColor="text1"/>
          <w:szCs w:val="21"/>
          <w:highlight w:val="none"/>
          <w:u w:val="single"/>
          <w14:textFill>
            <w14:solidFill>
              <w14:schemeClr w14:val="tx1"/>
            </w14:solidFill>
          </w14:textFill>
        </w:rPr>
        <w:t xml:space="preserve">                                   </w:t>
      </w:r>
    </w:p>
    <w:p w14:paraId="36B6DFFA">
      <w:pPr>
        <w:spacing w:line="400" w:lineRule="exact"/>
        <w:rPr>
          <w:rFonts w:ascii="宋体" w:hAnsi="宋体"/>
          <w:color w:val="000000" w:themeColor="text1"/>
          <w:szCs w:val="21"/>
          <w:highlight w:val="none"/>
          <w14:textFill>
            <w14:solidFill>
              <w14:schemeClr w14:val="tx1"/>
            </w14:solidFill>
          </w14:textFill>
        </w:rPr>
      </w:pPr>
      <w:bookmarkStart w:id="910" w:name="_Toc221952017"/>
      <w:r>
        <w:rPr>
          <w:rFonts w:ascii="宋体" w:hAnsi="宋体"/>
          <w:color w:val="000000" w:themeColor="text1"/>
          <w:szCs w:val="21"/>
          <w:highlight w:val="none"/>
          <w14:textFill>
            <w14:solidFill>
              <w14:schemeClr w14:val="tx1"/>
            </w14:solidFill>
          </w14:textFill>
        </w:rPr>
        <w:t>成立时间：</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年</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月</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日</w:t>
      </w:r>
      <w:bookmarkEnd w:id="910"/>
    </w:p>
    <w:p w14:paraId="0E6D97E6">
      <w:pPr>
        <w:spacing w:line="400" w:lineRule="exact"/>
        <w:rPr>
          <w:rFonts w:ascii="宋体" w:hAnsi="宋体"/>
          <w:color w:val="000000" w:themeColor="text1"/>
          <w:szCs w:val="21"/>
          <w:highlight w:val="none"/>
          <w14:textFill>
            <w14:solidFill>
              <w14:schemeClr w14:val="tx1"/>
            </w14:solidFill>
          </w14:textFill>
        </w:rPr>
      </w:pPr>
      <w:bookmarkStart w:id="911" w:name="_Toc221952018"/>
      <w:r>
        <w:rPr>
          <w:rFonts w:ascii="宋体" w:hAnsi="宋体"/>
          <w:color w:val="000000" w:themeColor="text1"/>
          <w:szCs w:val="21"/>
          <w:highlight w:val="none"/>
          <w14:textFill>
            <w14:solidFill>
              <w14:schemeClr w14:val="tx1"/>
            </w14:solidFill>
          </w14:textFill>
        </w:rPr>
        <w:t>经营期限：</w:t>
      </w:r>
      <w:bookmarkEnd w:id="911"/>
      <w:r>
        <w:rPr>
          <w:rFonts w:ascii="宋体" w:hAnsi="宋体"/>
          <w:color w:val="000000" w:themeColor="text1"/>
          <w:szCs w:val="21"/>
          <w:highlight w:val="none"/>
          <w:u w:val="single"/>
          <w14:textFill>
            <w14:solidFill>
              <w14:schemeClr w14:val="tx1"/>
            </w14:solidFill>
          </w14:textFill>
        </w:rPr>
        <w:t xml:space="preserve">                               </w:t>
      </w:r>
    </w:p>
    <w:p w14:paraId="71080B9F">
      <w:pPr>
        <w:spacing w:line="400" w:lineRule="exact"/>
        <w:rPr>
          <w:rFonts w:ascii="宋体" w:hAnsi="宋体"/>
          <w:color w:val="000000" w:themeColor="text1"/>
          <w:szCs w:val="21"/>
          <w:highlight w:val="none"/>
          <w14:textFill>
            <w14:solidFill>
              <w14:schemeClr w14:val="tx1"/>
            </w14:solidFill>
          </w14:textFill>
        </w:rPr>
      </w:pPr>
      <w:bookmarkStart w:id="912" w:name="_Toc221952019"/>
      <w:r>
        <w:rPr>
          <w:rFonts w:ascii="宋体" w:hAnsi="宋体"/>
          <w:color w:val="000000" w:themeColor="text1"/>
          <w:szCs w:val="21"/>
          <w:highlight w:val="none"/>
          <w14:textFill>
            <w14:solidFill>
              <w14:schemeClr w14:val="tx1"/>
            </w14:solidFill>
          </w14:textFill>
        </w:rPr>
        <w:t>姓名：</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性别：</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年龄：</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身份证号码：</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职务：</w:t>
      </w:r>
      <w:bookmarkEnd w:id="912"/>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bookmarkStart w:id="913" w:name="_Toc221952020"/>
      <w:r>
        <w:rPr>
          <w:rFonts w:ascii="宋体" w:hAnsi="宋体"/>
          <w:color w:val="000000" w:themeColor="text1"/>
          <w:szCs w:val="21"/>
          <w:highlight w:val="none"/>
          <w14:textFill>
            <w14:solidFill>
              <w14:schemeClr w14:val="tx1"/>
            </w14:solidFill>
          </w14:textFill>
        </w:rPr>
        <w:t>系</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(投标人名称)的法定代表人。</w:t>
      </w:r>
      <w:bookmarkEnd w:id="913"/>
    </w:p>
    <w:p w14:paraId="02B33DB3">
      <w:pPr>
        <w:spacing w:line="400" w:lineRule="exact"/>
        <w:ind w:firstLine="420" w:firstLineChars="200"/>
        <w:rPr>
          <w:rFonts w:ascii="宋体" w:hAnsi="宋体"/>
          <w:color w:val="000000" w:themeColor="text1"/>
          <w:szCs w:val="21"/>
          <w:highlight w:val="none"/>
          <w14:textFill>
            <w14:solidFill>
              <w14:schemeClr w14:val="tx1"/>
            </w14:solidFill>
          </w14:textFill>
        </w:rPr>
      </w:pPr>
      <w:bookmarkStart w:id="914" w:name="_Toc221952021"/>
      <w:r>
        <w:rPr>
          <w:rFonts w:ascii="宋体" w:hAnsi="宋体"/>
          <w:color w:val="000000" w:themeColor="text1"/>
          <w:szCs w:val="21"/>
          <w:highlight w:val="none"/>
          <w14:textFill>
            <w14:solidFill>
              <w14:schemeClr w14:val="tx1"/>
            </w14:solidFill>
          </w14:textFill>
        </w:rPr>
        <w:t>特此证明。</w:t>
      </w:r>
      <w:bookmarkEnd w:id="914"/>
    </w:p>
    <w:p w14:paraId="1439F29E">
      <w:pPr>
        <w:spacing w:line="400" w:lineRule="exact"/>
        <w:rPr>
          <w:rFonts w:ascii="宋体" w:hAnsi="宋体"/>
          <w:color w:val="000000" w:themeColor="text1"/>
          <w:szCs w:val="21"/>
          <w:highlight w:val="none"/>
          <w14:textFill>
            <w14:solidFill>
              <w14:schemeClr w14:val="tx1"/>
            </w14:solidFill>
          </w14:textFill>
        </w:rPr>
      </w:pPr>
    </w:p>
    <w:p w14:paraId="21C84ED5">
      <w:pPr>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附：法定代表人身份证正反面扫描件。</w:t>
      </w:r>
    </w:p>
    <w:p w14:paraId="52B1792C">
      <w:pPr>
        <w:spacing w:line="400" w:lineRule="exact"/>
        <w:rPr>
          <w:rFonts w:ascii="宋体" w:hAnsi="宋体"/>
          <w:color w:val="000000" w:themeColor="text1"/>
          <w:szCs w:val="21"/>
          <w:highlight w:val="none"/>
          <w14:textFill>
            <w14:solidFill>
              <w14:schemeClr w14:val="tx1"/>
            </w14:solidFill>
          </w14:textFill>
        </w:rPr>
      </w:pPr>
    </w:p>
    <w:p w14:paraId="60E9D2BB">
      <w:pPr>
        <w:spacing w:line="400" w:lineRule="exact"/>
        <w:jc w:val="right"/>
        <w:rPr>
          <w:rFonts w:ascii="宋体" w:hAnsi="宋体"/>
          <w:color w:val="000000" w:themeColor="text1"/>
          <w:szCs w:val="21"/>
          <w:highlight w:val="none"/>
          <w14:textFill>
            <w14:solidFill>
              <w14:schemeClr w14:val="tx1"/>
            </w14:solidFill>
          </w14:textFill>
        </w:rPr>
      </w:pPr>
      <w:bookmarkStart w:id="915" w:name="_Toc221952022"/>
      <w:r>
        <w:rPr>
          <w:rFonts w:ascii="宋体" w:hAnsi="宋体"/>
          <w:color w:val="000000" w:themeColor="text1"/>
          <w:szCs w:val="21"/>
          <w:highlight w:val="none"/>
          <w14:textFill>
            <w14:solidFill>
              <w14:schemeClr w14:val="tx1"/>
            </w14:solidFill>
          </w14:textFill>
        </w:rPr>
        <w:t>投标人：</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（盖单位章）</w:t>
      </w:r>
      <w:bookmarkEnd w:id="915"/>
    </w:p>
    <w:p w14:paraId="360DE93A">
      <w:pPr>
        <w:spacing w:line="400" w:lineRule="exact"/>
        <w:jc w:val="right"/>
        <w:rPr>
          <w:rFonts w:ascii="宋体" w:hAnsi="宋体"/>
          <w:color w:val="000000" w:themeColor="text1"/>
          <w:szCs w:val="21"/>
          <w:highlight w:val="none"/>
          <w14:textFill>
            <w14:solidFill>
              <w14:schemeClr w14:val="tx1"/>
            </w14:solidFill>
          </w14:textFill>
        </w:rPr>
      </w:pPr>
    </w:p>
    <w:p w14:paraId="4A1285F1">
      <w:pPr>
        <w:spacing w:line="400" w:lineRule="exact"/>
        <w:jc w:val="righ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u w:val="single"/>
          <w14:textFill>
            <w14:solidFill>
              <w14:schemeClr w14:val="tx1"/>
            </w14:solidFill>
          </w14:textFill>
        </w:rPr>
        <w:t xml:space="preserve">         </w:t>
      </w:r>
      <w:bookmarkStart w:id="916" w:name="_Toc221952023"/>
      <w:r>
        <w:rPr>
          <w:rFonts w:ascii="宋体" w:hAnsi="宋体"/>
          <w:color w:val="000000" w:themeColor="text1"/>
          <w:szCs w:val="21"/>
          <w:highlight w:val="none"/>
          <w14:textFill>
            <w14:solidFill>
              <w14:schemeClr w14:val="tx1"/>
            </w14:solidFill>
          </w14:textFill>
        </w:rPr>
        <w:t>年</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月</w:t>
      </w:r>
      <w:r>
        <w:rPr>
          <w:rFonts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日</w:t>
      </w:r>
      <w:bookmarkEnd w:id="916"/>
      <w:r>
        <w:rPr>
          <w:rFonts w:ascii="宋体" w:hAnsi="宋体"/>
          <w:color w:val="000000" w:themeColor="text1"/>
          <w:szCs w:val="21"/>
          <w:highlight w:val="none"/>
          <w14:textFill>
            <w14:solidFill>
              <w14:schemeClr w14:val="tx1"/>
            </w14:solidFill>
          </w14:textFill>
        </w:rPr>
        <w:t xml:space="preserve"> </w:t>
      </w:r>
    </w:p>
    <w:p w14:paraId="07BCA17B">
      <w:pPr>
        <w:spacing w:line="400" w:lineRule="exact"/>
        <w:jc w:val="center"/>
        <w:rPr>
          <w:rFonts w:eastAsia="黑体"/>
          <w:color w:val="000000" w:themeColor="text1"/>
          <w:sz w:val="19"/>
          <w:szCs w:val="19"/>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br w:type="page"/>
      </w:r>
    </w:p>
    <w:p w14:paraId="44B23F92">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917" w:name="_Toc222032731"/>
      <w:bookmarkStart w:id="918" w:name="_Toc222029562"/>
      <w:bookmarkStart w:id="919" w:name="_Toc17451654"/>
      <w:bookmarkStart w:id="920" w:name="_Toc229305422"/>
      <w:bookmarkStart w:id="921" w:name="_Toc144974861"/>
      <w:bookmarkStart w:id="922" w:name="_Toc17451609"/>
      <w:bookmarkStart w:id="923" w:name="_Toc17556907"/>
      <w:bookmarkStart w:id="924" w:name="_Toc32163"/>
      <w:bookmarkStart w:id="925" w:name="_Toc22272"/>
      <w:bookmarkStart w:id="926" w:name="_Toc17452695"/>
      <w:bookmarkStart w:id="927" w:name="_Toc168476322"/>
      <w:bookmarkStart w:id="928" w:name="_Toc17454953"/>
      <w:bookmarkStart w:id="929" w:name="_Toc17451132"/>
      <w:bookmarkStart w:id="930" w:name="_Toc221952024"/>
      <w:bookmarkStart w:id="931" w:name="_Toc26045"/>
      <w:bookmarkStart w:id="932" w:name="_Toc27238"/>
      <w:bookmarkStart w:id="933" w:name="_Toc222033913"/>
      <w:bookmarkStart w:id="934" w:name="_Toc222031064"/>
      <w:bookmarkStart w:id="935" w:name="_Toc259524416"/>
      <w:bookmarkStart w:id="936" w:name="_Toc17454902"/>
      <w:bookmarkStart w:id="937" w:name="_Toc168475919"/>
      <w:r>
        <w:rPr>
          <w:rFonts w:hint="eastAsia" w:ascii="黑体" w:hAnsi="黑体" w:eastAsia="黑体"/>
          <w:color w:val="000000" w:themeColor="text1"/>
          <w:sz w:val="28"/>
          <w:szCs w:val="27"/>
          <w:highlight w:val="none"/>
          <w14:textFill>
            <w14:solidFill>
              <w14:schemeClr w14:val="tx1"/>
            </w14:solidFill>
          </w14:textFill>
        </w:rPr>
        <w:t>三</w:t>
      </w:r>
      <w:r>
        <w:rPr>
          <w:rFonts w:ascii="黑体" w:hAnsi="黑体" w:eastAsia="黑体"/>
          <w:color w:val="000000" w:themeColor="text1"/>
          <w:sz w:val="28"/>
          <w:szCs w:val="27"/>
          <w:highlight w:val="none"/>
          <w14:textFill>
            <w14:solidFill>
              <w14:schemeClr w14:val="tx1"/>
            </w14:solidFill>
          </w14:textFill>
        </w:rPr>
        <w:t>、授权委托书</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25A3089F">
      <w:pPr>
        <w:spacing w:line="400" w:lineRule="exact"/>
        <w:rPr>
          <w:rFonts w:eastAsia="黑体"/>
          <w:color w:val="000000" w:themeColor="text1"/>
          <w:sz w:val="20"/>
          <w:szCs w:val="20"/>
          <w:highlight w:val="none"/>
          <w14:textFill>
            <w14:solidFill>
              <w14:schemeClr w14:val="tx1"/>
            </w14:solidFill>
          </w14:textFill>
        </w:rPr>
      </w:pPr>
    </w:p>
    <w:p w14:paraId="0BCE9C9B">
      <w:pPr>
        <w:topLinePunct/>
        <w:spacing w:line="400" w:lineRule="exact"/>
        <w:ind w:firstLine="420" w:firstLineChars="200"/>
        <w:rPr>
          <w:color w:val="000000" w:themeColor="text1"/>
          <w:szCs w:val="21"/>
          <w:highlight w:val="none"/>
          <w14:textFill>
            <w14:solidFill>
              <w14:schemeClr w14:val="tx1"/>
            </w14:solidFill>
          </w14:textFill>
        </w:rPr>
      </w:pPr>
      <w:bookmarkStart w:id="938" w:name="_Toc221952025"/>
      <w:r>
        <w:rPr>
          <w:color w:val="000000" w:themeColor="text1"/>
          <w:szCs w:val="21"/>
          <w:highlight w:val="none"/>
          <w14:textFill>
            <w14:solidFill>
              <w14:schemeClr w14:val="tx1"/>
            </w14:solidFill>
          </w14:textFill>
        </w:rPr>
        <w:t>本人</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（姓名）系</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（投标人名称）的法定代表人，现委托</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（姓名）</w:t>
      </w:r>
      <w:r>
        <w:rPr>
          <w:rFonts w:hint="eastAsia"/>
          <w:color w:val="000000" w:themeColor="text1"/>
          <w:szCs w:val="21"/>
          <w:highlight w:val="none"/>
          <w14:textFill>
            <w14:solidFill>
              <w14:schemeClr w14:val="tx1"/>
            </w14:solidFill>
          </w14:textFill>
        </w:rPr>
        <w:t xml:space="preserve">（身份证号为： </w:t>
      </w:r>
      <w:r>
        <w:rPr>
          <w:rFonts w:hint="eastAsia"/>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为我方代理人。代理人根据授权，以我方名义签署、澄清、</w:t>
      </w:r>
      <w:r>
        <w:rPr>
          <w:rFonts w:hint="eastAsia"/>
          <w:color w:val="000000" w:themeColor="text1"/>
          <w:szCs w:val="21"/>
          <w:highlight w:val="none"/>
          <w14:textFill>
            <w14:solidFill>
              <w14:schemeClr w14:val="tx1"/>
            </w14:solidFill>
          </w14:textFill>
        </w:rPr>
        <w:t>说明、补正、</w:t>
      </w:r>
      <w:r>
        <w:rPr>
          <w:color w:val="000000" w:themeColor="text1"/>
          <w:szCs w:val="21"/>
          <w:highlight w:val="none"/>
          <w14:textFill>
            <w14:solidFill>
              <w14:schemeClr w14:val="tx1"/>
            </w14:solidFill>
          </w14:textFill>
        </w:rPr>
        <w:t>递交、撤回、修改</w:t>
      </w:r>
      <w:r>
        <w:rPr>
          <w:color w:val="000000" w:themeColor="text1"/>
          <w:szCs w:val="21"/>
          <w:highlight w:val="none"/>
          <w:u w:val="single"/>
          <w14:textFill>
            <w14:solidFill>
              <w14:schemeClr w14:val="tx1"/>
            </w14:solidFill>
          </w14:textFill>
        </w:rPr>
        <w:t xml:space="preserve">           （项目名称）           </w:t>
      </w:r>
      <w:r>
        <w:rPr>
          <w:rFonts w:hint="eastAsia"/>
          <w:color w:val="000000" w:themeColor="text1"/>
          <w:szCs w:val="21"/>
          <w:highlight w:val="none"/>
          <w14:textFill>
            <w14:solidFill>
              <w14:schemeClr w14:val="tx1"/>
            </w14:solidFill>
          </w14:textFill>
        </w:rPr>
        <w:t>（标段名称）</w:t>
      </w:r>
      <w:r>
        <w:rPr>
          <w:color w:val="000000" w:themeColor="text1"/>
          <w:szCs w:val="21"/>
          <w:highlight w:val="none"/>
          <w14:textFill>
            <w14:solidFill>
              <w14:schemeClr w14:val="tx1"/>
            </w14:solidFill>
          </w14:textFill>
        </w:rPr>
        <w:t>投标文件、签订合同和处理有关事宜，其法律后果由我方承担。</w:t>
      </w:r>
      <w:bookmarkEnd w:id="938"/>
    </w:p>
    <w:p w14:paraId="6ACA578D">
      <w:pPr>
        <w:spacing w:line="400" w:lineRule="exac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    </w:t>
      </w:r>
      <w:bookmarkStart w:id="939" w:name="_Toc221952026"/>
      <w:r>
        <w:rPr>
          <w:color w:val="000000" w:themeColor="text1"/>
          <w:szCs w:val="21"/>
          <w:highlight w:val="none"/>
          <w14:textFill>
            <w14:solidFill>
              <w14:schemeClr w14:val="tx1"/>
            </w14:solidFill>
          </w14:textFill>
        </w:rPr>
        <w:t>委托期限：</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w:t>
      </w:r>
      <w:bookmarkEnd w:id="939"/>
    </w:p>
    <w:p w14:paraId="585C03FC">
      <w:pPr>
        <w:pStyle w:val="82"/>
        <w:spacing w:before="0" w:after="0" w:line="400" w:lineRule="exact"/>
        <w:ind w:firstLine="540"/>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代理人无转委托权。代理人为投标人正式职工</w:t>
      </w:r>
      <w:r>
        <w:rPr>
          <w:rFonts w:hint="default" w:ascii="Times New Roman" w:hAnsi="Times New Roman"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2"/>
          <w:sz w:val="21"/>
          <w:szCs w:val="21"/>
          <w:highlight w:val="none"/>
          <w14:textFill>
            <w14:solidFill>
              <w14:schemeClr w14:val="tx1"/>
            </w14:solidFill>
          </w14:textFill>
        </w:rPr>
        <w:t>必须具有离投标截止时间最近</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的至少1</w:t>
      </w:r>
      <w:r>
        <w:rPr>
          <w:rFonts w:hint="default" w:ascii="Times New Roman" w:hAnsi="Times New Roman" w:cs="Times New Roman"/>
          <w:color w:val="000000" w:themeColor="text1"/>
          <w:kern w:val="2"/>
          <w:sz w:val="21"/>
          <w:szCs w:val="21"/>
          <w:highlight w:val="none"/>
          <w14:textFill>
            <w14:solidFill>
              <w14:schemeClr w14:val="tx1"/>
            </w14:solidFill>
          </w14:textFill>
        </w:rPr>
        <w:t>个月</w:t>
      </w:r>
      <w:r>
        <w:rPr>
          <w:rFonts w:hint="eastAsia" w:ascii="Times New Roman" w:hAnsi="Times New Roman"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2"/>
          <w:sz w:val="21"/>
          <w:szCs w:val="21"/>
          <w:highlight w:val="none"/>
          <w14:textFill>
            <w14:solidFill>
              <w14:schemeClr w14:val="tx1"/>
            </w14:solidFill>
          </w14:textFill>
        </w:rPr>
        <w:t>时间为：202</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kern w:val="2"/>
          <w:sz w:val="21"/>
          <w:szCs w:val="21"/>
          <w:highlight w:val="none"/>
          <w14:textFill>
            <w14:solidFill>
              <w14:schemeClr w14:val="tx1"/>
            </w14:solidFill>
          </w14:textFill>
        </w:rPr>
        <w:t>年</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kern w:val="2"/>
          <w:sz w:val="21"/>
          <w:szCs w:val="21"/>
          <w:highlight w:val="none"/>
          <w14:textFill>
            <w14:solidFill>
              <w14:schemeClr w14:val="tx1"/>
            </w14:solidFill>
          </w14:textFill>
        </w:rPr>
        <w:t>月</w:t>
      </w:r>
      <w:r>
        <w:rPr>
          <w:rFonts w:hint="eastAsia" w:ascii="Times New Roman" w:hAnsi="Times New Roman"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2"/>
          <w:sz w:val="21"/>
          <w:szCs w:val="21"/>
          <w:highlight w:val="none"/>
          <w14:textFill>
            <w14:solidFill>
              <w14:schemeClr w14:val="tx1"/>
            </w14:solidFill>
          </w14:textFill>
        </w:rPr>
        <w:t>在本单位缴纳的社保证明文件。</w:t>
      </w:r>
    </w:p>
    <w:p w14:paraId="3CE5C06E">
      <w:pPr>
        <w:spacing w:line="400" w:lineRule="exact"/>
        <w:ind w:firstLine="420" w:firstLineChars="200"/>
        <w:rPr>
          <w:rFonts w:hint="eastAsia" w:eastAsia="宋体"/>
          <w:color w:val="000000" w:themeColor="text1"/>
          <w:szCs w:val="21"/>
          <w:highlight w:val="none"/>
          <w:lang w:eastAsia="zh-CN"/>
          <w14:textFill>
            <w14:solidFill>
              <w14:schemeClr w14:val="tx1"/>
            </w14:solidFill>
          </w14:textFill>
        </w:rPr>
      </w:pPr>
    </w:p>
    <w:p w14:paraId="1E0CE7F2">
      <w:pPr>
        <w:spacing w:line="400" w:lineRule="exact"/>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附：委托代理人身份证正反面和社保证明扫描件</w:t>
      </w:r>
    </w:p>
    <w:p w14:paraId="36B75A76">
      <w:pPr>
        <w:spacing w:line="400" w:lineRule="exact"/>
        <w:rPr>
          <w:color w:val="000000" w:themeColor="text1"/>
          <w:szCs w:val="21"/>
          <w:highlight w:val="none"/>
          <w14:textFill>
            <w14:solidFill>
              <w14:schemeClr w14:val="tx1"/>
            </w14:solidFill>
          </w14:textFill>
        </w:rPr>
      </w:pPr>
    </w:p>
    <w:p w14:paraId="74EB60CC">
      <w:pPr>
        <w:spacing w:line="400" w:lineRule="exact"/>
        <w:rPr>
          <w:color w:val="000000" w:themeColor="text1"/>
          <w:szCs w:val="21"/>
          <w:highlight w:val="none"/>
          <w14:textFill>
            <w14:solidFill>
              <w14:schemeClr w14:val="tx1"/>
            </w14:solidFill>
          </w14:textFill>
        </w:rPr>
      </w:pPr>
    </w:p>
    <w:p w14:paraId="24866B09">
      <w:pPr>
        <w:spacing w:line="400" w:lineRule="exact"/>
        <w:jc w:val="right"/>
        <w:rPr>
          <w:color w:val="000000" w:themeColor="text1"/>
          <w:szCs w:val="21"/>
          <w:highlight w:val="none"/>
          <w14:textFill>
            <w14:solidFill>
              <w14:schemeClr w14:val="tx1"/>
            </w14:solidFill>
          </w14:textFill>
        </w:rPr>
      </w:pPr>
      <w:bookmarkStart w:id="940" w:name="_Toc221952029"/>
      <w:r>
        <w:rPr>
          <w:color w:val="000000" w:themeColor="text1"/>
          <w:szCs w:val="21"/>
          <w:highlight w:val="none"/>
          <w14:textFill>
            <w14:solidFill>
              <w14:schemeClr w14:val="tx1"/>
            </w14:solidFill>
          </w14:textFill>
        </w:rPr>
        <w:t>投标人：</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（盖单位章）</w:t>
      </w:r>
      <w:bookmarkEnd w:id="940"/>
    </w:p>
    <w:p w14:paraId="58244143">
      <w:pPr>
        <w:spacing w:line="400" w:lineRule="exact"/>
        <w:jc w:val="right"/>
        <w:rPr>
          <w:color w:val="000000" w:themeColor="text1"/>
          <w:szCs w:val="21"/>
          <w:highlight w:val="none"/>
          <w14:textFill>
            <w14:solidFill>
              <w14:schemeClr w14:val="tx1"/>
            </w14:solidFill>
          </w14:textFill>
        </w:rPr>
      </w:pPr>
    </w:p>
    <w:p w14:paraId="7E865B08">
      <w:pPr>
        <w:wordWrap w:val="0"/>
        <w:spacing w:line="400" w:lineRule="exact"/>
        <w:jc w:val="right"/>
        <w:rPr>
          <w:color w:val="000000" w:themeColor="text1"/>
          <w:szCs w:val="21"/>
          <w:highlight w:val="none"/>
          <w14:textFill>
            <w14:solidFill>
              <w14:schemeClr w14:val="tx1"/>
            </w14:solidFill>
          </w14:textFill>
        </w:rPr>
      </w:pPr>
      <w:bookmarkStart w:id="941" w:name="_Toc221952030"/>
      <w:r>
        <w:rPr>
          <w:color w:val="000000" w:themeColor="text1"/>
          <w:szCs w:val="21"/>
          <w:highlight w:val="none"/>
          <w14:textFill>
            <w14:solidFill>
              <w14:schemeClr w14:val="tx1"/>
            </w14:solidFill>
          </w14:textFill>
        </w:rPr>
        <w:t>法定代表人：</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14:textFill>
            <w14:solidFill>
              <w14:schemeClr w14:val="tx1"/>
            </w14:solidFill>
          </w14:textFill>
        </w:rPr>
        <w:t xml:space="preserve">    </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签</w:t>
      </w:r>
      <w:r>
        <w:rPr>
          <w:color w:val="000000" w:themeColor="text1"/>
          <w:szCs w:val="21"/>
          <w:highlight w:val="none"/>
          <w14:textFill>
            <w14:solidFill>
              <w14:schemeClr w14:val="tx1"/>
            </w14:solidFill>
          </w14:textFill>
        </w:rPr>
        <w:t>字）</w:t>
      </w:r>
      <w:bookmarkEnd w:id="941"/>
    </w:p>
    <w:p w14:paraId="4B72EB09">
      <w:pPr>
        <w:spacing w:line="400" w:lineRule="exact"/>
        <w:jc w:val="right"/>
        <w:rPr>
          <w:color w:val="000000" w:themeColor="text1"/>
          <w:szCs w:val="21"/>
          <w:highlight w:val="none"/>
          <w14:textFill>
            <w14:solidFill>
              <w14:schemeClr w14:val="tx1"/>
            </w14:solidFill>
          </w14:textFill>
        </w:rPr>
      </w:pPr>
    </w:p>
    <w:p w14:paraId="1D5A8009">
      <w:pPr>
        <w:spacing w:line="400" w:lineRule="exact"/>
        <w:ind w:right="420" w:firstLine="2940" w:firstLineChars="1400"/>
        <w:rPr>
          <w:color w:val="000000" w:themeColor="text1"/>
          <w:szCs w:val="21"/>
          <w:highlight w:val="none"/>
          <w14:textFill>
            <w14:solidFill>
              <w14:schemeClr w14:val="tx1"/>
            </w14:solidFill>
          </w14:textFill>
        </w:rPr>
      </w:pPr>
      <w:bookmarkStart w:id="942" w:name="_Toc221952031"/>
      <w:r>
        <w:rPr>
          <w:color w:val="000000" w:themeColor="text1"/>
          <w:szCs w:val="21"/>
          <w:highlight w:val="none"/>
          <w14:textFill>
            <w14:solidFill>
              <w14:schemeClr w14:val="tx1"/>
            </w14:solidFill>
          </w14:textFill>
        </w:rPr>
        <w:t>身份证号码：</w:t>
      </w:r>
      <w:bookmarkEnd w:id="942"/>
      <w:r>
        <w:rPr>
          <w:color w:val="000000" w:themeColor="text1"/>
          <w:szCs w:val="21"/>
          <w:highlight w:val="none"/>
          <w:u w:val="single"/>
          <w14:textFill>
            <w14:solidFill>
              <w14:schemeClr w14:val="tx1"/>
            </w14:solidFill>
          </w14:textFill>
        </w:rPr>
        <w:t xml:space="preserve">                                   </w:t>
      </w:r>
    </w:p>
    <w:p w14:paraId="56854A9C">
      <w:pPr>
        <w:spacing w:line="400" w:lineRule="exact"/>
        <w:jc w:val="right"/>
        <w:rPr>
          <w:color w:val="000000" w:themeColor="text1"/>
          <w:szCs w:val="21"/>
          <w:highlight w:val="none"/>
          <w14:textFill>
            <w14:solidFill>
              <w14:schemeClr w14:val="tx1"/>
            </w14:solidFill>
          </w14:textFill>
        </w:rPr>
      </w:pPr>
    </w:p>
    <w:p w14:paraId="5B1AE8D3">
      <w:pPr>
        <w:wordWrap w:val="0"/>
        <w:spacing w:line="400" w:lineRule="exact"/>
        <w:jc w:val="right"/>
        <w:rPr>
          <w:color w:val="000000" w:themeColor="text1"/>
          <w:szCs w:val="21"/>
          <w:highlight w:val="none"/>
          <w14:textFill>
            <w14:solidFill>
              <w14:schemeClr w14:val="tx1"/>
            </w14:solidFill>
          </w14:textFill>
        </w:rPr>
      </w:pPr>
      <w:bookmarkStart w:id="943" w:name="_Toc221952032"/>
      <w:r>
        <w:rPr>
          <w:rFonts w:hint="eastAsia"/>
          <w:color w:val="000000" w:themeColor="text1"/>
          <w:szCs w:val="21"/>
          <w:highlight w:val="none"/>
          <w14:textFill>
            <w14:solidFill>
              <w14:schemeClr w14:val="tx1"/>
            </w14:solidFill>
          </w14:textFill>
        </w:rPr>
        <w:t>委托</w:t>
      </w:r>
      <w:r>
        <w:rPr>
          <w:color w:val="000000" w:themeColor="text1"/>
          <w:szCs w:val="21"/>
          <w:highlight w:val="none"/>
          <w14:textFill>
            <w14:solidFill>
              <w14:schemeClr w14:val="tx1"/>
            </w14:solidFill>
          </w14:textFill>
        </w:rPr>
        <w:t>代理人：</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14:textFill>
            <w14:solidFill>
              <w14:schemeClr w14:val="tx1"/>
            </w14:solidFill>
          </w14:textFill>
        </w:rPr>
        <w:t xml:space="preserve">   </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14:textFill>
            <w14:solidFill>
              <w14:schemeClr w14:val="tx1"/>
            </w14:solidFill>
          </w14:textFill>
        </w:rPr>
        <w:t>（</w:t>
      </w:r>
      <w:r>
        <w:rPr>
          <w:rFonts w:hint="eastAsia"/>
          <w:color w:val="000000" w:themeColor="text1"/>
          <w:szCs w:val="21"/>
          <w:highlight w:val="none"/>
          <w14:textFill>
            <w14:solidFill>
              <w14:schemeClr w14:val="tx1"/>
            </w14:solidFill>
          </w14:textFill>
        </w:rPr>
        <w:t>签字</w:t>
      </w:r>
      <w:r>
        <w:rPr>
          <w:color w:val="000000" w:themeColor="text1"/>
          <w:szCs w:val="21"/>
          <w:highlight w:val="none"/>
          <w14:textFill>
            <w14:solidFill>
              <w14:schemeClr w14:val="tx1"/>
            </w14:solidFill>
          </w14:textFill>
        </w:rPr>
        <w:t>）</w:t>
      </w:r>
      <w:bookmarkEnd w:id="943"/>
      <w:r>
        <w:rPr>
          <w:color w:val="000000" w:themeColor="text1"/>
          <w:szCs w:val="21"/>
          <w:highlight w:val="none"/>
          <w14:textFill>
            <w14:solidFill>
              <w14:schemeClr w14:val="tx1"/>
            </w14:solidFill>
          </w14:textFill>
        </w:rPr>
        <w:t xml:space="preserve"> </w:t>
      </w:r>
    </w:p>
    <w:p w14:paraId="25EE5BDC">
      <w:pPr>
        <w:wordWrap w:val="0"/>
        <w:spacing w:line="400" w:lineRule="exact"/>
        <w:jc w:val="righ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w:t>
      </w:r>
    </w:p>
    <w:p w14:paraId="22E4CC97">
      <w:pPr>
        <w:spacing w:line="400" w:lineRule="exact"/>
        <w:ind w:right="420" w:firstLine="2940" w:firstLineChars="1400"/>
        <w:rPr>
          <w:color w:val="000000" w:themeColor="text1"/>
          <w:szCs w:val="21"/>
          <w:highlight w:val="none"/>
          <w14:textFill>
            <w14:solidFill>
              <w14:schemeClr w14:val="tx1"/>
            </w14:solidFill>
          </w14:textFill>
        </w:rPr>
      </w:pPr>
      <w:bookmarkStart w:id="944" w:name="_Toc221952033"/>
      <w:r>
        <w:rPr>
          <w:color w:val="000000" w:themeColor="text1"/>
          <w:szCs w:val="21"/>
          <w:highlight w:val="none"/>
          <w14:textFill>
            <w14:solidFill>
              <w14:schemeClr w14:val="tx1"/>
            </w14:solidFill>
          </w14:textFill>
        </w:rPr>
        <w:t>身份证号码：</w:t>
      </w:r>
      <w:bookmarkEnd w:id="944"/>
      <w:r>
        <w:rPr>
          <w:color w:val="000000" w:themeColor="text1"/>
          <w:szCs w:val="21"/>
          <w:highlight w:val="none"/>
          <w:u w:val="single"/>
          <w14:textFill>
            <w14:solidFill>
              <w14:schemeClr w14:val="tx1"/>
            </w14:solidFill>
          </w14:textFill>
        </w:rPr>
        <w:t xml:space="preserve">                                    </w:t>
      </w:r>
    </w:p>
    <w:p w14:paraId="71706FF4">
      <w:pPr>
        <w:spacing w:line="400" w:lineRule="exact"/>
        <w:jc w:val="right"/>
        <w:rPr>
          <w:color w:val="000000" w:themeColor="text1"/>
          <w:szCs w:val="21"/>
          <w:highlight w:val="none"/>
          <w14:textFill>
            <w14:solidFill>
              <w14:schemeClr w14:val="tx1"/>
            </w14:solidFill>
          </w14:textFill>
        </w:rPr>
      </w:pPr>
    </w:p>
    <w:p w14:paraId="0C86AAA6">
      <w:pPr>
        <w:spacing w:line="400" w:lineRule="exact"/>
        <w:ind w:firstLine="1575" w:firstLineChars="750"/>
        <w:jc w:val="right"/>
        <w:rPr>
          <w:rFonts w:eastAsia="黑体"/>
          <w:color w:val="000000" w:themeColor="text1"/>
          <w:szCs w:val="21"/>
          <w:highlight w:val="none"/>
          <w14:textFill>
            <w14:solidFill>
              <w14:schemeClr w14:val="tx1"/>
            </w14:solidFill>
          </w14:textFill>
        </w:rPr>
      </w:pPr>
      <w:r>
        <w:rPr>
          <w:color w:val="000000" w:themeColor="text1"/>
          <w:szCs w:val="21"/>
          <w:highlight w:val="none"/>
          <w:u w:val="single"/>
          <w14:textFill>
            <w14:solidFill>
              <w14:schemeClr w14:val="tx1"/>
            </w14:solidFill>
          </w14:textFill>
        </w:rPr>
        <w:t xml:space="preserve">       </w:t>
      </w:r>
      <w:bookmarkStart w:id="945" w:name="_Toc221952034"/>
      <w:r>
        <w:rPr>
          <w:color w:val="000000" w:themeColor="text1"/>
          <w:szCs w:val="21"/>
          <w:highlight w:val="none"/>
          <w14:textFill>
            <w14:solidFill>
              <w14:schemeClr w14:val="tx1"/>
            </w14:solidFill>
          </w14:textFill>
        </w:rPr>
        <w:t xml:space="preserve">年 </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月</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日</w:t>
      </w:r>
      <w:bookmarkEnd w:id="945"/>
    </w:p>
    <w:p w14:paraId="237AC04B">
      <w:pPr>
        <w:spacing w:line="400" w:lineRule="exact"/>
        <w:jc w:val="center"/>
        <w:rPr>
          <w:rFonts w:eastAsia="黑体"/>
          <w:color w:val="000000" w:themeColor="text1"/>
          <w:sz w:val="19"/>
          <w:szCs w:val="19"/>
          <w:highlight w:val="none"/>
          <w14:textFill>
            <w14:solidFill>
              <w14:schemeClr w14:val="tx1"/>
            </w14:solidFill>
          </w14:textFill>
        </w:rPr>
      </w:pPr>
      <w:r>
        <w:rPr>
          <w:rFonts w:eastAsia="黑体"/>
          <w:color w:val="000000" w:themeColor="text1"/>
          <w:sz w:val="19"/>
          <w:szCs w:val="19"/>
          <w:highlight w:val="none"/>
          <w14:textFill>
            <w14:solidFill>
              <w14:schemeClr w14:val="tx1"/>
            </w14:solidFill>
          </w14:textFill>
        </w:rPr>
        <w:br w:type="page"/>
      </w:r>
    </w:p>
    <w:p w14:paraId="7000FBCB">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946" w:name="_Toc17451656"/>
      <w:bookmarkStart w:id="947" w:name="_Toc17556909"/>
      <w:bookmarkStart w:id="948" w:name="_Toc17452697"/>
      <w:bookmarkStart w:id="949" w:name="_Toc18097"/>
      <w:bookmarkStart w:id="950" w:name="_Toc17451134"/>
      <w:bookmarkStart w:id="951" w:name="_Toc259524418"/>
      <w:bookmarkStart w:id="952" w:name="_Toc17454955"/>
      <w:bookmarkStart w:id="953" w:name="_Toc222032733"/>
      <w:bookmarkStart w:id="954" w:name="_Toc17451611"/>
      <w:bookmarkStart w:id="955" w:name="_Toc229305424"/>
      <w:bookmarkStart w:id="956" w:name="_Toc168475921"/>
      <w:bookmarkStart w:id="957" w:name="_Toc12570"/>
      <w:bookmarkStart w:id="958" w:name="_Toc222031066"/>
      <w:bookmarkStart w:id="959" w:name="_Toc5536"/>
      <w:bookmarkStart w:id="960" w:name="_Toc222029564"/>
      <w:bookmarkStart w:id="961" w:name="_Toc168476324"/>
      <w:bookmarkStart w:id="962" w:name="_Toc27168"/>
      <w:bookmarkStart w:id="963" w:name="_Toc221952052"/>
      <w:bookmarkStart w:id="964" w:name="_Toc222033915"/>
      <w:bookmarkStart w:id="965" w:name="_Toc17454904"/>
      <w:r>
        <w:rPr>
          <w:rFonts w:hint="eastAsia" w:ascii="黑体" w:hAnsi="黑体" w:eastAsia="黑体"/>
          <w:color w:val="000000" w:themeColor="text1"/>
          <w:sz w:val="28"/>
          <w:szCs w:val="27"/>
          <w:highlight w:val="none"/>
          <w:lang w:val="en-US" w:eastAsia="zh-CN"/>
          <w14:textFill>
            <w14:solidFill>
              <w14:schemeClr w14:val="tx1"/>
            </w14:solidFill>
          </w14:textFill>
        </w:rPr>
        <w:t>四</w:t>
      </w:r>
      <w:r>
        <w:rPr>
          <w:rFonts w:ascii="黑体" w:hAnsi="黑体" w:eastAsia="黑体"/>
          <w:color w:val="000000" w:themeColor="text1"/>
          <w:sz w:val="28"/>
          <w:szCs w:val="27"/>
          <w:highlight w:val="none"/>
          <w14:textFill>
            <w14:solidFill>
              <w14:schemeClr w14:val="tx1"/>
            </w14:solidFill>
          </w14:textFill>
        </w:rPr>
        <w:t>、投标保证金</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345E8FF2">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bookmarkStart w:id="966" w:name="_Toc221952054"/>
      <w:r>
        <w:rPr>
          <w:rFonts w:hint="eastAsia" w:ascii="宋体" w:hAnsi="宋体" w:eastAsia="宋体" w:cs="宋体"/>
          <w:color w:val="000000" w:themeColor="text1"/>
          <w:szCs w:val="21"/>
          <w:highlight w:val="none"/>
          <w14:textFill>
            <w14:solidFill>
              <w14:schemeClr w14:val="tx1"/>
            </w14:solidFill>
          </w14:textFill>
        </w:rPr>
        <w:t>（招标人名称）：</w:t>
      </w:r>
      <w:bookmarkEnd w:id="966"/>
    </w:p>
    <w:p w14:paraId="24C2B373">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p>
    <w:p w14:paraId="2C2B0A37">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鉴于</w:t>
      </w:r>
      <w:r>
        <w:rPr>
          <w:rFonts w:hint="eastAsia" w:ascii="宋体" w:hAnsi="宋体" w:eastAsia="宋体" w:cs="宋体"/>
          <w:color w:val="000000" w:themeColor="text1"/>
          <w:szCs w:val="21"/>
          <w:highlight w:val="none"/>
          <w:u w:val="single"/>
          <w14:textFill>
            <w14:solidFill>
              <w14:schemeClr w14:val="tx1"/>
            </w14:solidFill>
          </w14:textFill>
        </w:rPr>
        <w:t xml:space="preserve">       （投标人名称）</w:t>
      </w:r>
      <w:r>
        <w:rPr>
          <w:rFonts w:hint="eastAsia" w:ascii="宋体" w:hAnsi="宋体" w:eastAsia="宋体" w:cs="宋体"/>
          <w:color w:val="000000" w:themeColor="text1"/>
          <w:szCs w:val="21"/>
          <w:highlight w:val="none"/>
          <w14:textFill>
            <w14:solidFill>
              <w14:schemeClr w14:val="tx1"/>
            </w14:solidFill>
          </w14:textFill>
        </w:rPr>
        <w:t>（以下称“投标人”）于</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日参加</w:t>
      </w:r>
      <w:r>
        <w:rPr>
          <w:rFonts w:hint="eastAsia" w:ascii="宋体" w:hAnsi="宋体" w:eastAsia="宋体" w:cs="宋体"/>
          <w:color w:val="000000" w:themeColor="text1"/>
          <w:szCs w:val="21"/>
          <w:highlight w:val="none"/>
          <w:u w:val="single"/>
          <w14:textFill>
            <w14:solidFill>
              <w14:schemeClr w14:val="tx1"/>
            </w14:solidFill>
          </w14:textFill>
        </w:rPr>
        <w:t xml:space="preserve">         （项目名称）</w:t>
      </w:r>
      <w:r>
        <w:rPr>
          <w:rFonts w:hint="eastAsia" w:ascii="宋体" w:hAnsi="宋体" w:eastAsia="宋体" w:cs="宋体"/>
          <w:color w:val="000000" w:themeColor="text1"/>
          <w:szCs w:val="21"/>
          <w:highlight w:val="none"/>
          <w14:textFill>
            <w14:solidFill>
              <w14:schemeClr w14:val="tx1"/>
            </w14:solidFill>
          </w14:textFill>
        </w:rPr>
        <w:t>的投标，</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担保人名称，以下简称“我方”）保证：投标人在规定的投标文件有效期内撤销或修改其投标文件的，或者投标人在收到中标通知书后无正当理由拒签合同或拒交规定履约担保的，我方承担保证责任。收到你方书面通知后，在7日内向你方支付人民币（大写）</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w:t>
      </w:r>
    </w:p>
    <w:p w14:paraId="06CD288F">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bookmarkStart w:id="967" w:name="_Toc221952056"/>
      <w:r>
        <w:rPr>
          <w:rFonts w:hint="eastAsia" w:ascii="宋体" w:hAnsi="宋体" w:eastAsia="宋体" w:cs="宋体"/>
          <w:color w:val="000000" w:themeColor="text1"/>
          <w:szCs w:val="21"/>
          <w:highlight w:val="none"/>
          <w14:textFill>
            <w14:solidFill>
              <w14:schemeClr w14:val="tx1"/>
            </w14:solidFill>
          </w14:textFill>
        </w:rPr>
        <w:t>本担保在投标有效期内保持有效。要求我方承担保证责任的书面通知应在投标有效期内送达我方。</w:t>
      </w:r>
      <w:bookmarkEnd w:id="967"/>
    </w:p>
    <w:p w14:paraId="2A4BE115">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w:t>
      </w:r>
    </w:p>
    <w:p w14:paraId="0DDD4995">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p>
    <w:p w14:paraId="498135AA">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p>
    <w:p w14:paraId="698E0E8F">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p>
    <w:p w14:paraId="116AF60C">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bookmarkStart w:id="968" w:name="_Toc221952057"/>
      <w:r>
        <w:rPr>
          <w:rFonts w:hint="eastAsia" w:ascii="宋体" w:hAnsi="宋体" w:eastAsia="宋体" w:cs="宋体"/>
          <w:color w:val="000000" w:themeColor="text1"/>
          <w:szCs w:val="21"/>
          <w:highlight w:val="none"/>
          <w14:textFill>
            <w14:solidFill>
              <w14:schemeClr w14:val="tx1"/>
            </w14:solidFill>
          </w14:textFill>
        </w:rPr>
        <w:t>担保人：</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（盖单位章）</w:t>
      </w:r>
      <w:bookmarkEnd w:id="968"/>
    </w:p>
    <w:p w14:paraId="1F5DFD14">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bookmarkStart w:id="969" w:name="_Toc221952058"/>
      <w:r>
        <w:rPr>
          <w:rFonts w:hint="eastAsia" w:ascii="宋体" w:hAnsi="宋体" w:eastAsia="宋体" w:cs="宋体"/>
          <w:color w:val="000000" w:themeColor="text1"/>
          <w:szCs w:val="21"/>
          <w:highlight w:val="none"/>
          <w14:textFill>
            <w14:solidFill>
              <w14:schemeClr w14:val="tx1"/>
            </w14:solidFill>
          </w14:textFill>
        </w:rPr>
        <w:t>法定代表人或其委托代理人：</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（签字）</w:t>
      </w:r>
      <w:bookmarkEnd w:id="969"/>
    </w:p>
    <w:p w14:paraId="064DCC54">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bookmarkStart w:id="970" w:name="_Toc221952059"/>
      <w:r>
        <w:rPr>
          <w:rFonts w:hint="eastAsia" w:ascii="宋体" w:hAnsi="宋体" w:eastAsia="宋体" w:cs="宋体"/>
          <w:color w:val="000000" w:themeColor="text1"/>
          <w:szCs w:val="21"/>
          <w:highlight w:val="none"/>
          <w14:textFill>
            <w14:solidFill>
              <w14:schemeClr w14:val="tx1"/>
            </w14:solidFill>
          </w14:textFill>
        </w:rPr>
        <w:t>地    址：</w:t>
      </w:r>
      <w:bookmarkEnd w:id="970"/>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p>
    <w:p w14:paraId="37A1E8F7">
      <w:pPr>
        <w:spacing w:line="400" w:lineRule="exact"/>
        <w:ind w:firstLine="420" w:firstLineChars="200"/>
        <w:jc w:val="left"/>
        <w:rPr>
          <w:rFonts w:hint="eastAsia" w:ascii="宋体" w:hAnsi="宋体" w:eastAsia="宋体" w:cs="宋体"/>
          <w:color w:val="000000" w:themeColor="text1"/>
          <w:szCs w:val="21"/>
          <w:highlight w:val="none"/>
          <w:u w:val="single"/>
          <w14:textFill>
            <w14:solidFill>
              <w14:schemeClr w14:val="tx1"/>
            </w14:solidFill>
          </w14:textFill>
        </w:rPr>
      </w:pPr>
      <w:bookmarkStart w:id="971" w:name="_Toc221952060"/>
      <w:r>
        <w:rPr>
          <w:rFonts w:hint="eastAsia" w:ascii="宋体" w:hAnsi="宋体" w:eastAsia="宋体" w:cs="宋体"/>
          <w:color w:val="000000" w:themeColor="text1"/>
          <w:szCs w:val="21"/>
          <w:highlight w:val="none"/>
          <w14:textFill>
            <w14:solidFill>
              <w14:schemeClr w14:val="tx1"/>
            </w14:solidFill>
          </w14:textFill>
        </w:rPr>
        <w:t>邮政编码：</w:t>
      </w:r>
      <w:bookmarkEnd w:id="971"/>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ab/>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ab/>
      </w:r>
    </w:p>
    <w:p w14:paraId="113E9559">
      <w:pPr>
        <w:spacing w:line="400" w:lineRule="exact"/>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bookmarkStart w:id="972" w:name="_Toc221952061"/>
      <w:r>
        <w:rPr>
          <w:rFonts w:hint="eastAsia" w:ascii="宋体" w:hAnsi="宋体" w:eastAsia="宋体" w:cs="宋体"/>
          <w:color w:val="000000" w:themeColor="text1"/>
          <w:szCs w:val="21"/>
          <w:highlight w:val="none"/>
          <w14:textFill>
            <w14:solidFill>
              <w14:schemeClr w14:val="tx1"/>
            </w14:solidFill>
          </w14:textFill>
        </w:rPr>
        <w:t>电    话：</w:t>
      </w:r>
      <w:bookmarkEnd w:id="972"/>
      <w:r>
        <w:rPr>
          <w:rFonts w:hint="eastAsia" w:ascii="宋体" w:hAnsi="宋体" w:eastAsia="宋体" w:cs="宋体"/>
          <w:color w:val="000000" w:themeColor="text1"/>
          <w:szCs w:val="21"/>
          <w:highlight w:val="none"/>
          <w:u w:val="single"/>
          <w14:textFill>
            <w14:solidFill>
              <w14:schemeClr w14:val="tx1"/>
            </w14:solidFill>
          </w14:textFill>
        </w:rPr>
        <w:t xml:space="preserve">                                          </w:t>
      </w:r>
    </w:p>
    <w:p w14:paraId="528B5284">
      <w:pPr>
        <w:spacing w:line="400" w:lineRule="exact"/>
        <w:ind w:firstLine="420" w:firstLineChars="200"/>
        <w:jc w:val="center"/>
        <w:rPr>
          <w:rFonts w:hint="eastAsia" w:ascii="宋体" w:hAnsi="宋体" w:eastAsia="宋体" w:cs="宋体"/>
          <w:color w:val="000000" w:themeColor="text1"/>
          <w:szCs w:val="21"/>
          <w:highlight w:val="none"/>
          <w14:textFill>
            <w14:solidFill>
              <w14:schemeClr w14:val="tx1"/>
            </w14:solidFill>
          </w14:textFill>
        </w:rPr>
      </w:pPr>
      <w:bookmarkStart w:id="973" w:name="_Toc221952062"/>
      <w:r>
        <w:rPr>
          <w:rFonts w:hint="eastAsia" w:ascii="宋体" w:hAnsi="宋体" w:eastAsia="宋体" w:cs="宋体"/>
          <w:color w:val="000000" w:themeColor="text1"/>
          <w:szCs w:val="21"/>
          <w:highlight w:val="none"/>
          <w14:textFill>
            <w14:solidFill>
              <w14:schemeClr w14:val="tx1"/>
            </w14:solidFill>
          </w14:textFill>
        </w:rPr>
        <w:t>______年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w:t>
      </w:r>
      <w:bookmarkEnd w:id="973"/>
    </w:p>
    <w:p w14:paraId="7F39C7EF">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p>
    <w:p w14:paraId="0ACD3A82">
      <w:pPr>
        <w:spacing w:line="400" w:lineRule="exact"/>
        <w:jc w:val="left"/>
        <w:rPr>
          <w:rFonts w:hint="eastAsia" w:ascii="宋体" w:hAnsi="宋体" w:eastAsia="宋体" w:cs="宋体"/>
          <w:color w:val="000000" w:themeColor="text1"/>
          <w:szCs w:val="21"/>
          <w:highlight w:val="none"/>
          <w14:textFill>
            <w14:solidFill>
              <w14:schemeClr w14:val="tx1"/>
            </w14:solidFill>
          </w14:textFill>
        </w:rPr>
      </w:pPr>
    </w:p>
    <w:p w14:paraId="06FDC9BF">
      <w:pPr>
        <w:spacing w:line="24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w:t>
      </w:r>
    </w:p>
    <w:p w14:paraId="632F6796">
      <w:pPr>
        <w:spacing w:line="240" w:lineRule="auto"/>
        <w:jc w:val="left"/>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1、投标保证金由广州公共资源交易平台代收的，以开标记录表记录的结果为准。（</w:t>
      </w:r>
      <w:r>
        <w:rPr>
          <w:rFonts w:hint="eastAsia" w:ascii="宋体" w:hAnsi="宋体" w:eastAsia="宋体" w:cs="宋体"/>
          <w:bCs/>
          <w:color w:val="000000" w:themeColor="text1"/>
          <w:szCs w:val="21"/>
          <w:highlight w:val="none"/>
          <w:u w:val="single"/>
          <w14:textFill>
            <w14:solidFill>
              <w14:schemeClr w14:val="tx1"/>
            </w14:solidFill>
          </w14:textFill>
        </w:rPr>
        <w:t>投标人应在此处提供广州交易集团有限公司（广州公共资源交易中心）出具的投标保证金回执扫描件</w:t>
      </w:r>
      <w:r>
        <w:rPr>
          <w:rFonts w:hint="eastAsia" w:ascii="宋体" w:hAnsi="宋体" w:eastAsia="宋体" w:cs="宋体"/>
          <w:color w:val="000000" w:themeColor="text1"/>
          <w:szCs w:val="21"/>
          <w:highlight w:val="none"/>
          <w:u w:val="single"/>
          <w14:textFill>
            <w14:solidFill>
              <w14:schemeClr w14:val="tx1"/>
            </w14:solidFill>
          </w14:textFill>
        </w:rPr>
        <w:t>）；</w:t>
      </w:r>
    </w:p>
    <w:p w14:paraId="3A77922D">
      <w:pPr>
        <w:spacing w:line="240" w:lineRule="auto"/>
        <w:jc w:val="left"/>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lang w:val="en-US" w:eastAsia="zh-CN"/>
          <w14:textFill>
            <w14:solidFill>
              <w14:schemeClr w14:val="tx1"/>
            </w14:solidFill>
          </w14:textFill>
        </w:rPr>
        <w:t>2</w:t>
      </w:r>
      <w:r>
        <w:rPr>
          <w:rFonts w:hint="eastAsia" w:ascii="宋体" w:hAnsi="宋体" w:eastAsia="宋体" w:cs="宋体"/>
          <w:color w:val="000000" w:themeColor="text1"/>
          <w:szCs w:val="21"/>
          <w:highlight w:val="none"/>
          <w:u w:val="single"/>
          <w14:textFill>
            <w14:solidFill>
              <w14:schemeClr w14:val="tx1"/>
            </w14:solidFill>
          </w14:textFill>
        </w:rPr>
        <w:t>、</w:t>
      </w:r>
      <w:r>
        <w:rPr>
          <w:rFonts w:hint="eastAsia" w:ascii="宋体" w:hAnsi="宋体" w:eastAsia="宋体" w:cs="宋体"/>
          <w:color w:val="000000" w:themeColor="text1"/>
          <w:szCs w:val="21"/>
          <w:highlight w:val="none"/>
          <w:u w:val="single"/>
          <w:lang w:val="en-US" w:eastAsia="zh-CN"/>
          <w14:textFill>
            <w14:solidFill>
              <w14:schemeClr w14:val="tx1"/>
            </w14:solidFill>
          </w14:textFill>
        </w:rPr>
        <w:t>若</w:t>
      </w:r>
      <w:r>
        <w:rPr>
          <w:rFonts w:hint="eastAsia" w:ascii="宋体" w:hAnsi="宋体" w:eastAsia="宋体" w:cs="宋体"/>
          <w:color w:val="000000" w:themeColor="text1"/>
          <w:szCs w:val="21"/>
          <w:highlight w:val="none"/>
          <w:u w:val="single"/>
          <w14:textFill>
            <w14:solidFill>
              <w14:schemeClr w14:val="tx1"/>
            </w14:solidFill>
          </w14:textFill>
        </w:rPr>
        <w:t>采用</w:t>
      </w:r>
      <w:r>
        <w:rPr>
          <w:rFonts w:hint="eastAsia" w:ascii="宋体" w:hAnsi="宋体" w:eastAsia="宋体" w:cs="宋体"/>
          <w:color w:val="000000" w:themeColor="text1"/>
          <w:szCs w:val="21"/>
          <w:highlight w:val="none"/>
          <w:u w:val="single"/>
          <w:lang w:val="en-US" w:eastAsia="zh-CN"/>
          <w14:textFill>
            <w14:solidFill>
              <w14:schemeClr w14:val="tx1"/>
            </w14:solidFill>
          </w14:textFill>
        </w:rPr>
        <w:t>银行</w:t>
      </w:r>
      <w:r>
        <w:rPr>
          <w:rFonts w:hint="eastAsia" w:ascii="宋体" w:hAnsi="宋体" w:eastAsia="宋体" w:cs="宋体"/>
          <w:color w:val="000000" w:themeColor="text1"/>
          <w:szCs w:val="21"/>
          <w:highlight w:val="none"/>
          <w:u w:val="single"/>
          <w14:textFill>
            <w14:solidFill>
              <w14:schemeClr w14:val="tx1"/>
            </w14:solidFill>
          </w14:textFill>
        </w:rPr>
        <w:t>保函形式</w:t>
      </w:r>
      <w:r>
        <w:rPr>
          <w:rFonts w:hint="eastAsia" w:ascii="宋体" w:hAnsi="宋体" w:eastAsia="宋体" w:cs="宋体"/>
          <w:color w:val="000000" w:themeColor="text1"/>
          <w:szCs w:val="21"/>
          <w:highlight w:val="none"/>
          <w:u w:val="single"/>
          <w:lang w:val="en-US" w:eastAsia="zh-CN"/>
          <w14:textFill>
            <w14:solidFill>
              <w14:schemeClr w14:val="tx1"/>
            </w14:solidFill>
          </w14:textFill>
        </w:rPr>
        <w:t>提交的</w:t>
      </w:r>
      <w:r>
        <w:rPr>
          <w:rFonts w:hint="eastAsia" w:ascii="宋体" w:hAnsi="宋体" w:eastAsia="宋体" w:cs="宋体"/>
          <w:color w:val="000000" w:themeColor="text1"/>
          <w:szCs w:val="21"/>
          <w:highlight w:val="none"/>
          <w:u w:val="single"/>
          <w14:textFill>
            <w14:solidFill>
              <w14:schemeClr w14:val="tx1"/>
            </w14:solidFill>
          </w14:textFill>
        </w:rPr>
        <w:t>，应采用上述格式或银行保函的格式。（</w:t>
      </w:r>
      <w:r>
        <w:rPr>
          <w:rFonts w:hint="eastAsia" w:ascii="宋体" w:hAnsi="宋体" w:eastAsia="宋体" w:cs="宋体"/>
          <w:bCs/>
          <w:color w:val="000000" w:themeColor="text1"/>
          <w:szCs w:val="21"/>
          <w:highlight w:val="none"/>
          <w:u w:val="single"/>
          <w14:textFill>
            <w14:solidFill>
              <w14:schemeClr w14:val="tx1"/>
            </w14:solidFill>
          </w14:textFill>
        </w:rPr>
        <w:t>投标人应在此处提供银行出具的保函原件的扫描件</w:t>
      </w:r>
      <w:r>
        <w:rPr>
          <w:rFonts w:hint="eastAsia" w:ascii="宋体" w:hAnsi="宋体" w:eastAsia="宋体" w:cs="宋体"/>
          <w:color w:val="000000" w:themeColor="text1"/>
          <w:szCs w:val="21"/>
          <w:highlight w:val="none"/>
          <w:u w:val="single"/>
          <w14:textFill>
            <w14:solidFill>
              <w14:schemeClr w14:val="tx1"/>
            </w14:solidFill>
          </w14:textFill>
        </w:rPr>
        <w:t>）</w:t>
      </w:r>
      <w:r>
        <w:rPr>
          <w:rFonts w:hint="eastAsia" w:ascii="宋体" w:hAnsi="宋体" w:eastAsia="宋体" w:cs="宋体"/>
          <w:bCs/>
          <w:color w:val="000000" w:themeColor="text1"/>
          <w:szCs w:val="21"/>
          <w:highlight w:val="none"/>
          <w:u w:val="single"/>
          <w14:textFill>
            <w14:solidFill>
              <w14:schemeClr w14:val="tx1"/>
            </w14:solidFill>
          </w14:textFill>
        </w:rPr>
        <w:t>；</w:t>
      </w:r>
    </w:p>
    <w:p w14:paraId="4B1A315A">
      <w:pPr>
        <w:spacing w:line="240" w:lineRule="auto"/>
        <w:rPr>
          <w:rFonts w:hint="eastAsia" w:ascii="宋体" w:hAnsi="宋体" w:eastAsia="宋体" w:cs="宋体"/>
          <w:bCs/>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lang w:val="en-US" w:eastAsia="zh-CN"/>
          <w14:textFill>
            <w14:solidFill>
              <w14:schemeClr w14:val="tx1"/>
            </w14:solidFill>
          </w14:textFill>
        </w:rPr>
        <w:t>3</w:t>
      </w:r>
      <w:r>
        <w:rPr>
          <w:rFonts w:hint="eastAsia" w:ascii="宋体" w:hAnsi="宋体" w:eastAsia="宋体" w:cs="宋体"/>
          <w:color w:val="000000" w:themeColor="text1"/>
          <w:szCs w:val="21"/>
          <w:highlight w:val="none"/>
          <w:u w:val="single"/>
          <w14:textFill>
            <w14:solidFill>
              <w14:schemeClr w14:val="tx1"/>
            </w14:solidFill>
          </w14:textFill>
        </w:rPr>
        <w:t>、</w:t>
      </w:r>
      <w:r>
        <w:rPr>
          <w:rFonts w:hint="eastAsia" w:ascii="宋体" w:hAnsi="宋体" w:eastAsia="宋体" w:cs="宋体"/>
          <w:bCs/>
          <w:color w:val="000000" w:themeColor="text1"/>
          <w:szCs w:val="21"/>
          <w:highlight w:val="none"/>
          <w:u w:val="single"/>
          <w14:textFill>
            <w14:solidFill>
              <w14:schemeClr w14:val="tx1"/>
            </w14:solidFill>
          </w14:textFill>
        </w:rPr>
        <w:t>若采用</w:t>
      </w:r>
      <w:r>
        <w:rPr>
          <w:rFonts w:hint="eastAsia" w:ascii="宋体" w:hAnsi="宋体" w:eastAsia="宋体" w:cs="宋体"/>
          <w:bCs/>
          <w:color w:val="000000" w:themeColor="text1"/>
          <w:szCs w:val="21"/>
          <w:highlight w:val="none"/>
          <w:u w:val="single"/>
          <w:lang w:val="en-US" w:eastAsia="zh-CN"/>
          <w14:textFill>
            <w14:solidFill>
              <w14:schemeClr w14:val="tx1"/>
            </w14:solidFill>
          </w14:textFill>
        </w:rPr>
        <w:t>保证保险</w:t>
      </w:r>
      <w:r>
        <w:rPr>
          <w:rFonts w:hint="eastAsia" w:ascii="宋体" w:hAnsi="宋体" w:eastAsia="宋体" w:cs="宋体"/>
          <w:bCs/>
          <w:color w:val="000000" w:themeColor="text1"/>
          <w:szCs w:val="21"/>
          <w:highlight w:val="none"/>
          <w:u w:val="single"/>
          <w14:textFill>
            <w14:solidFill>
              <w14:schemeClr w14:val="tx1"/>
            </w14:solidFill>
          </w14:textFill>
        </w:rPr>
        <w:t>形式提交的，投标人应在此处提供保险公司出具的保单原件的扫描件；</w:t>
      </w:r>
    </w:p>
    <w:p w14:paraId="5030207E">
      <w:pPr>
        <w:spacing w:line="240" w:lineRule="auto"/>
        <w:jc w:val="left"/>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bCs/>
          <w:color w:val="000000" w:themeColor="text1"/>
          <w:szCs w:val="21"/>
          <w:highlight w:val="none"/>
          <w:u w:val="single"/>
          <w:lang w:val="en-US" w:eastAsia="zh-CN"/>
          <w14:textFill>
            <w14:solidFill>
              <w14:schemeClr w14:val="tx1"/>
            </w14:solidFill>
          </w14:textFill>
        </w:rPr>
        <w:t>4</w:t>
      </w:r>
      <w:r>
        <w:rPr>
          <w:rFonts w:hint="eastAsia" w:ascii="宋体" w:hAnsi="宋体" w:eastAsia="宋体" w:cs="宋体"/>
          <w:bCs/>
          <w:color w:val="000000" w:themeColor="text1"/>
          <w:szCs w:val="21"/>
          <w:highlight w:val="none"/>
          <w:u w:val="single"/>
          <w14:textFill>
            <w14:solidFill>
              <w14:schemeClr w14:val="tx1"/>
            </w14:solidFill>
          </w14:textFill>
        </w:rPr>
        <w:t>、若采用担保</w:t>
      </w:r>
      <w:r>
        <w:rPr>
          <w:rFonts w:hint="eastAsia" w:ascii="宋体" w:hAnsi="宋体" w:eastAsia="宋体" w:cs="宋体"/>
          <w:bCs/>
          <w:color w:val="000000" w:themeColor="text1"/>
          <w:szCs w:val="21"/>
          <w:highlight w:val="none"/>
          <w:u w:val="single"/>
          <w:lang w:val="en-US" w:eastAsia="zh-CN"/>
          <w14:textFill>
            <w14:solidFill>
              <w14:schemeClr w14:val="tx1"/>
            </w14:solidFill>
          </w14:textFill>
        </w:rPr>
        <w:t>保函</w:t>
      </w:r>
      <w:r>
        <w:rPr>
          <w:rFonts w:hint="eastAsia" w:ascii="宋体" w:hAnsi="宋体" w:eastAsia="宋体" w:cs="宋体"/>
          <w:bCs/>
          <w:color w:val="000000" w:themeColor="text1"/>
          <w:szCs w:val="21"/>
          <w:highlight w:val="none"/>
          <w:u w:val="single"/>
          <w14:textFill>
            <w14:solidFill>
              <w14:schemeClr w14:val="tx1"/>
            </w14:solidFill>
          </w14:textFill>
        </w:rPr>
        <w:t>形式提交的，</w:t>
      </w:r>
      <w:r>
        <w:rPr>
          <w:rFonts w:hint="eastAsia" w:ascii="宋体" w:hAnsi="宋体" w:eastAsia="宋体" w:cs="宋体"/>
          <w:color w:val="000000" w:themeColor="text1"/>
          <w:szCs w:val="21"/>
          <w:highlight w:val="none"/>
          <w:u w:val="single"/>
          <w14:textFill>
            <w14:solidFill>
              <w14:schemeClr w14:val="tx1"/>
            </w14:solidFill>
          </w14:textFill>
        </w:rPr>
        <w:t>应采用上述格式或</w:t>
      </w:r>
      <w:r>
        <w:rPr>
          <w:rFonts w:hint="eastAsia" w:ascii="宋体" w:hAnsi="宋体" w:eastAsia="宋体" w:cs="宋体"/>
          <w:color w:val="000000" w:themeColor="text1"/>
          <w:szCs w:val="21"/>
          <w:highlight w:val="none"/>
          <w:u w:val="single"/>
          <w:lang w:val="en-US" w:eastAsia="zh-CN"/>
          <w14:textFill>
            <w14:solidFill>
              <w14:schemeClr w14:val="tx1"/>
            </w14:solidFill>
          </w14:textFill>
        </w:rPr>
        <w:t>担保</w:t>
      </w:r>
      <w:r>
        <w:rPr>
          <w:rFonts w:hint="eastAsia" w:ascii="宋体" w:hAnsi="宋体" w:eastAsia="宋体" w:cs="宋体"/>
          <w:color w:val="000000" w:themeColor="text1"/>
          <w:szCs w:val="21"/>
          <w:highlight w:val="none"/>
          <w:u w:val="single"/>
          <w14:textFill>
            <w14:solidFill>
              <w14:schemeClr w14:val="tx1"/>
            </w14:solidFill>
          </w14:textFill>
        </w:rPr>
        <w:t>保函的格式。（</w:t>
      </w:r>
      <w:r>
        <w:rPr>
          <w:rFonts w:hint="eastAsia" w:ascii="宋体" w:hAnsi="宋体" w:eastAsia="宋体" w:cs="宋体"/>
          <w:bCs/>
          <w:color w:val="000000" w:themeColor="text1"/>
          <w:szCs w:val="21"/>
          <w:highlight w:val="none"/>
          <w:u w:val="single"/>
          <w14:textFill>
            <w14:solidFill>
              <w14:schemeClr w14:val="tx1"/>
            </w14:solidFill>
          </w14:textFill>
        </w:rPr>
        <w:t>投标人应在此处提供</w:t>
      </w:r>
      <w:r>
        <w:rPr>
          <w:rFonts w:hint="eastAsia" w:ascii="宋体" w:hAnsi="宋体" w:eastAsia="宋体" w:cs="宋体"/>
          <w:bCs/>
          <w:color w:val="000000" w:themeColor="text1"/>
          <w:szCs w:val="21"/>
          <w:highlight w:val="none"/>
          <w:u w:val="single"/>
          <w:lang w:val="en-US" w:eastAsia="zh-CN"/>
          <w14:textFill>
            <w14:solidFill>
              <w14:schemeClr w14:val="tx1"/>
            </w14:solidFill>
          </w14:textFill>
        </w:rPr>
        <w:t>担保机构</w:t>
      </w:r>
      <w:r>
        <w:rPr>
          <w:rFonts w:hint="eastAsia" w:ascii="宋体" w:hAnsi="宋体" w:eastAsia="宋体" w:cs="宋体"/>
          <w:bCs/>
          <w:color w:val="000000" w:themeColor="text1"/>
          <w:szCs w:val="21"/>
          <w:highlight w:val="none"/>
          <w:u w:val="single"/>
          <w14:textFill>
            <w14:solidFill>
              <w14:schemeClr w14:val="tx1"/>
            </w14:solidFill>
          </w14:textFill>
        </w:rPr>
        <w:t>出具的保函原件的扫描件</w:t>
      </w:r>
      <w:r>
        <w:rPr>
          <w:rFonts w:hint="eastAsia" w:ascii="宋体" w:hAnsi="宋体" w:eastAsia="宋体" w:cs="宋体"/>
          <w:color w:val="000000" w:themeColor="text1"/>
          <w:szCs w:val="21"/>
          <w:highlight w:val="none"/>
          <w:u w:val="single"/>
          <w14:textFill>
            <w14:solidFill>
              <w14:schemeClr w14:val="tx1"/>
            </w14:solidFill>
          </w14:textFill>
        </w:rPr>
        <w:t>）</w:t>
      </w:r>
      <w:r>
        <w:rPr>
          <w:rFonts w:hint="eastAsia" w:ascii="宋体" w:hAnsi="宋体" w:eastAsia="宋体" w:cs="宋体"/>
          <w:bCs/>
          <w:color w:val="000000" w:themeColor="text1"/>
          <w:szCs w:val="21"/>
          <w:highlight w:val="none"/>
          <w:u w:val="single"/>
          <w14:textFill>
            <w14:solidFill>
              <w14:schemeClr w14:val="tx1"/>
            </w14:solidFill>
          </w14:textFill>
        </w:rPr>
        <w:t>；</w:t>
      </w:r>
    </w:p>
    <w:p w14:paraId="58657653">
      <w:pPr>
        <w:spacing w:line="240" w:lineRule="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bCs/>
          <w:color w:val="000000" w:themeColor="text1"/>
          <w:szCs w:val="21"/>
          <w:highlight w:val="none"/>
          <w:u w:val="single"/>
          <w:lang w:val="en-US" w:eastAsia="zh-CN"/>
          <w14:textFill>
            <w14:solidFill>
              <w14:schemeClr w14:val="tx1"/>
            </w14:solidFill>
          </w14:textFill>
        </w:rPr>
        <w:t>5</w:t>
      </w:r>
      <w:r>
        <w:rPr>
          <w:rFonts w:hint="eastAsia" w:ascii="宋体" w:hAnsi="宋体" w:eastAsia="宋体" w:cs="宋体"/>
          <w:bCs/>
          <w:color w:val="000000" w:themeColor="text1"/>
          <w:szCs w:val="21"/>
          <w:highlight w:val="none"/>
          <w:u w:val="single"/>
          <w14:textFill>
            <w14:solidFill>
              <w14:schemeClr w14:val="tx1"/>
            </w14:solidFill>
          </w14:textFill>
        </w:rPr>
        <w:t>、</w:t>
      </w:r>
      <w:r>
        <w:rPr>
          <w:rFonts w:hint="eastAsia" w:ascii="宋体" w:hAnsi="宋体" w:eastAsia="宋体" w:cs="宋体"/>
          <w:color w:val="000000" w:themeColor="text1"/>
          <w:szCs w:val="21"/>
          <w:highlight w:val="none"/>
          <w:u w:val="single"/>
          <w14:textFill>
            <w14:solidFill>
              <w14:schemeClr w14:val="tx1"/>
            </w14:solidFill>
          </w14:textFill>
        </w:rPr>
        <w:t>投标人如采用银行保函、保证保险、担保保函的形式递交的，开标前可不提交纸质原件，但投标人应在投标文件中提交投标保函或投标保险的扫描件并加盖投标人电子印章，完成评标后，由中标候选人在中标候选人公示前向招标代理单位提交纸质原件并在网上公示。如投标人选择在开标前提交纸质原件的，可在投标截止时间前单独密封递交至开标室。(通过广州交易集团有限公司(广州公共资源交易中心)交易服务系统代收或办理电子保函的，不需要提交证明材料。）</w:t>
      </w:r>
    </w:p>
    <w:p w14:paraId="0B1AC192">
      <w:pPr>
        <w:spacing w:line="400" w:lineRule="exact"/>
        <w:jc w:val="left"/>
        <w:rPr>
          <w:rFonts w:ascii="宋体" w:hAnsi="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、委托代理人应附授权委托书。</w:t>
      </w:r>
    </w:p>
    <w:p w14:paraId="74A39C99">
      <w:pPr>
        <w:spacing w:line="400" w:lineRule="exact"/>
        <w:jc w:val="left"/>
        <w:rPr>
          <w:color w:val="000000" w:themeColor="text1"/>
          <w:sz w:val="20"/>
          <w:szCs w:val="20"/>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br w:type="page"/>
      </w:r>
      <w:bookmarkStart w:id="974" w:name="_Toc168475922"/>
      <w:bookmarkStart w:id="975" w:name="_Toc222031067"/>
      <w:bookmarkStart w:id="976" w:name="_Toc144974863"/>
      <w:bookmarkStart w:id="977" w:name="_Toc222029565"/>
      <w:bookmarkStart w:id="978" w:name="_Toc221952063"/>
      <w:bookmarkStart w:id="979" w:name="_Toc168476325"/>
    </w:p>
    <w:p w14:paraId="52AD4942">
      <w:pPr>
        <w:spacing w:line="360" w:lineRule="auto"/>
        <w:jc w:val="center"/>
        <w:outlineLvl w:val="2"/>
        <w:rPr>
          <w:rFonts w:hint="eastAsia" w:ascii="黑体" w:hAnsi="黑体" w:eastAsia="黑体"/>
          <w:color w:val="000000" w:themeColor="text1"/>
          <w:sz w:val="28"/>
          <w:szCs w:val="27"/>
          <w:highlight w:val="none"/>
          <w14:textFill>
            <w14:solidFill>
              <w14:schemeClr w14:val="tx1"/>
            </w14:solidFill>
          </w14:textFill>
        </w:rPr>
      </w:pPr>
      <w:bookmarkStart w:id="980" w:name="_Toc17556910"/>
      <w:bookmarkStart w:id="981" w:name="_Toc22780"/>
      <w:bookmarkStart w:id="982" w:name="_Toc17451135"/>
      <w:bookmarkStart w:id="983" w:name="_Toc229305425"/>
      <w:bookmarkStart w:id="984" w:name="_Toc17454956"/>
      <w:bookmarkStart w:id="985" w:name="_Toc17454905"/>
      <w:bookmarkStart w:id="986" w:name="_Toc259524419"/>
      <w:bookmarkStart w:id="987" w:name="_Toc7502"/>
      <w:bookmarkStart w:id="988" w:name="_Toc17452698"/>
      <w:bookmarkStart w:id="989" w:name="_Toc17451612"/>
      <w:bookmarkStart w:id="990" w:name="_Toc222032734"/>
      <w:bookmarkStart w:id="991" w:name="_Toc29537"/>
      <w:bookmarkStart w:id="992" w:name="_Toc3443"/>
      <w:bookmarkStart w:id="993" w:name="_Toc222033916"/>
      <w:bookmarkStart w:id="994" w:name="_Toc17451657"/>
      <w:r>
        <w:rPr>
          <w:rFonts w:hint="eastAsia" w:ascii="黑体" w:hAnsi="黑体" w:eastAsia="黑体"/>
          <w:color w:val="000000" w:themeColor="text1"/>
          <w:sz w:val="28"/>
          <w:szCs w:val="27"/>
          <w:highlight w:val="none"/>
          <w:lang w:val="en-US" w:eastAsia="zh-CN"/>
          <w14:textFill>
            <w14:solidFill>
              <w14:schemeClr w14:val="tx1"/>
            </w14:solidFill>
          </w14:textFill>
        </w:rPr>
        <w:t>五</w:t>
      </w:r>
      <w:r>
        <w:rPr>
          <w:rFonts w:ascii="黑体" w:hAnsi="黑体" w:eastAsia="黑体"/>
          <w:color w:val="000000" w:themeColor="text1"/>
          <w:sz w:val="28"/>
          <w:szCs w:val="27"/>
          <w:highlight w:val="none"/>
          <w14:textFill>
            <w14:solidFill>
              <w14:schemeClr w14:val="tx1"/>
            </w14:solidFill>
          </w14:textFill>
        </w:rPr>
        <w:t>、已标价工程量清单</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1D916231">
      <w:pPr>
        <w:spacing w:line="240" w:lineRule="auto"/>
        <w:jc w:val="left"/>
        <w:outlineLvl w:val="9"/>
        <w:rPr>
          <w:rFonts w:hint="eastAsia"/>
          <w:color w:val="000000" w:themeColor="text1"/>
          <w:highlight w:val="none"/>
          <w14:textFill>
            <w14:solidFill>
              <w14:schemeClr w14:val="tx1"/>
            </w14:solidFill>
          </w14:textFill>
        </w:rPr>
      </w:pPr>
    </w:p>
    <w:p w14:paraId="3D5BB830">
      <w:pPr>
        <w:spacing w:line="360" w:lineRule="auto"/>
        <w:rPr>
          <w:rFonts w:ascii="黑体" w:hAnsi="黑体" w:eastAsia="黑体"/>
          <w:color w:val="000000" w:themeColor="text1"/>
          <w:sz w:val="28"/>
          <w:szCs w:val="27"/>
          <w:highlight w:val="none"/>
          <w14:textFill>
            <w14:solidFill>
              <w14:schemeClr w14:val="tx1"/>
            </w14:solidFill>
          </w14:textFill>
        </w:rPr>
      </w:pPr>
    </w:p>
    <w:p w14:paraId="30354CAA">
      <w:pPr>
        <w:widowControl/>
        <w:jc w:val="left"/>
        <w:rPr>
          <w:rFonts w:ascii="黑体" w:hAnsi="黑体" w:eastAsia="黑体"/>
          <w:color w:val="000000" w:themeColor="text1"/>
          <w:sz w:val="28"/>
          <w:szCs w:val="27"/>
          <w:highlight w:val="none"/>
          <w14:textFill>
            <w14:solidFill>
              <w14:schemeClr w14:val="tx1"/>
            </w14:solidFill>
          </w14:textFill>
        </w:rPr>
      </w:pPr>
      <w:r>
        <w:rPr>
          <w:rFonts w:ascii="黑体" w:hAnsi="黑体" w:eastAsia="黑体"/>
          <w:color w:val="000000" w:themeColor="text1"/>
          <w:sz w:val="28"/>
          <w:szCs w:val="27"/>
          <w:highlight w:val="none"/>
          <w14:textFill>
            <w14:solidFill>
              <w14:schemeClr w14:val="tx1"/>
            </w14:solidFill>
          </w14:textFill>
        </w:rPr>
        <w:br w:type="page"/>
      </w:r>
    </w:p>
    <w:p w14:paraId="7769EAC1">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995" w:name="_Toc13112"/>
      <w:bookmarkStart w:id="996" w:name="_Toc28829"/>
      <w:bookmarkStart w:id="997" w:name="_Toc222031068"/>
      <w:bookmarkStart w:id="998" w:name="_Toc17451659"/>
      <w:bookmarkStart w:id="999" w:name="_Toc259524420"/>
      <w:bookmarkStart w:id="1000" w:name="_Toc17454958"/>
      <w:bookmarkStart w:id="1001" w:name="_Toc17451137"/>
      <w:bookmarkStart w:id="1002" w:name="_Toc17452700"/>
      <w:bookmarkStart w:id="1003" w:name="_Toc17556912"/>
      <w:bookmarkStart w:id="1004" w:name="_Toc2975"/>
      <w:bookmarkStart w:id="1005" w:name="_Toc17451614"/>
      <w:bookmarkStart w:id="1006" w:name="_Toc17454907"/>
      <w:bookmarkStart w:id="1007" w:name="_Toc168475923"/>
      <w:bookmarkStart w:id="1008" w:name="_Toc168476326"/>
      <w:bookmarkStart w:id="1009" w:name="_Toc229305426"/>
      <w:bookmarkStart w:id="1010" w:name="_Toc221952064"/>
      <w:bookmarkStart w:id="1011" w:name="_Toc222029566"/>
      <w:bookmarkStart w:id="1012" w:name="_Toc27530"/>
      <w:bookmarkStart w:id="1013" w:name="_Toc222033917"/>
      <w:bookmarkStart w:id="1014" w:name="_Toc144974864"/>
      <w:bookmarkStart w:id="1015" w:name="_Toc222032735"/>
      <w:r>
        <w:rPr>
          <w:rFonts w:hint="eastAsia" w:ascii="黑体" w:hAnsi="黑体" w:eastAsia="黑体"/>
          <w:color w:val="000000" w:themeColor="text1"/>
          <w:sz w:val="28"/>
          <w:szCs w:val="27"/>
          <w:highlight w:val="none"/>
          <w:lang w:val="en-US" w:eastAsia="zh-CN"/>
          <w14:textFill>
            <w14:solidFill>
              <w14:schemeClr w14:val="tx1"/>
            </w14:solidFill>
          </w14:textFill>
        </w:rPr>
        <w:t>六</w:t>
      </w:r>
      <w:r>
        <w:rPr>
          <w:rFonts w:ascii="黑体" w:hAnsi="黑体" w:eastAsia="黑体"/>
          <w:color w:val="000000" w:themeColor="text1"/>
          <w:sz w:val="28"/>
          <w:szCs w:val="27"/>
          <w:highlight w:val="none"/>
          <w14:textFill>
            <w14:solidFill>
              <w14:schemeClr w14:val="tx1"/>
            </w14:solidFill>
          </w14:textFill>
        </w:rPr>
        <w:t>、施工组织设计</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39835598">
      <w:pPr>
        <w:spacing w:line="400" w:lineRule="exact"/>
        <w:ind w:firstLine="420" w:firstLineChars="200"/>
        <w:jc w:val="center"/>
        <w:rPr>
          <w:rFonts w:hint="eastAsia" w:ascii="宋体" w:hAnsi="宋体"/>
          <w:i/>
          <w:color w:val="000000" w:themeColor="text1"/>
          <w:szCs w:val="21"/>
          <w:highlight w:val="none"/>
          <w14:textFill>
            <w14:solidFill>
              <w14:schemeClr w14:val="tx1"/>
            </w14:solidFill>
          </w14:textFill>
        </w:rPr>
      </w:pPr>
    </w:p>
    <w:p w14:paraId="70325D2A">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color w:val="000000" w:themeColor="text1"/>
          <w:szCs w:val="21"/>
          <w:highlight w:val="non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投标人编制施工组织设计的要求：编制时应简明扼要地说明施工方法，工程质量、安全生产、文明施工、环境保护、冬雨季施工、工程进度、技术组织等主要措施</w:t>
      </w:r>
      <w:r>
        <w:rPr>
          <w:rFonts w:hint="eastAsia" w:ascii="宋体" w:hAnsi="宋体"/>
          <w:color w:val="000000" w:themeColor="text1"/>
          <w:szCs w:val="21"/>
          <w:highlight w:val="none"/>
          <w:lang w:eastAsia="zh-CN"/>
          <w14:textFill>
            <w14:solidFill>
              <w14:schemeClr w14:val="tx1"/>
            </w14:solidFill>
          </w14:textFill>
        </w:rPr>
        <w:t>，应包含管线测量工作方案，需明确测量工作计划，使用器具等。</w:t>
      </w:r>
      <w:r>
        <w:rPr>
          <w:rFonts w:hint="eastAsia" w:ascii="宋体" w:hAnsi="宋体"/>
          <w:color w:val="000000" w:themeColor="text1"/>
          <w:szCs w:val="21"/>
          <w:highlight w:val="none"/>
          <w14:textFill>
            <w14:solidFill>
              <w14:schemeClr w14:val="tx1"/>
            </w14:solidFill>
          </w14:textFill>
        </w:rPr>
        <w:t>用图表形式阐明本项目的施工总平面、进度计划以及拟投入主要施工设备、劳动力、项目管理机构等。</w:t>
      </w:r>
    </w:p>
    <w:p w14:paraId="40953E3A">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图表及格式要求：</w:t>
      </w:r>
    </w:p>
    <w:p w14:paraId="323BCA20">
      <w:pPr>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附表一  拟投入本标段的主要施工设备表</w:t>
      </w:r>
    </w:p>
    <w:p w14:paraId="0F05F89D">
      <w:pPr>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附表二  拟投入本标段的试验和检测仪器设备表</w:t>
      </w:r>
    </w:p>
    <w:p w14:paraId="26D84F40">
      <w:pPr>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附表三  拟投入本标段的劳动力计划表</w:t>
      </w:r>
    </w:p>
    <w:p w14:paraId="6A639361">
      <w:pPr>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附表四  计划开工日期、完工日期和施工进度网络图</w:t>
      </w:r>
    </w:p>
    <w:p w14:paraId="623B8F39">
      <w:pPr>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附表五  施工总平面图                                                           </w:t>
      </w:r>
    </w:p>
    <w:p w14:paraId="4FA2C07A">
      <w:pPr>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附表六  临时用地表</w:t>
      </w:r>
    </w:p>
    <w:p w14:paraId="23E8DCA3">
      <w:pPr>
        <w:spacing w:line="400" w:lineRule="exact"/>
        <w:ind w:firstLine="420" w:firstLineChars="200"/>
        <w:jc w:val="left"/>
        <w:rPr>
          <w:color w:val="000000" w:themeColor="text1"/>
          <w:sz w:val="19"/>
          <w:szCs w:val="19"/>
          <w:highlight w:val="none"/>
          <w14:textFill>
            <w14:solidFill>
              <w14:schemeClr w14:val="tx1"/>
            </w14:solidFill>
          </w14:textFill>
        </w:rPr>
      </w:pPr>
      <w:r>
        <w:rPr>
          <w:rFonts w:hint="eastAsia" w:ascii="宋体" w:hAnsi="宋体" w:eastAsia="黑体"/>
          <w:color w:val="000000" w:themeColor="text1"/>
          <w:szCs w:val="21"/>
          <w:highlight w:val="none"/>
          <w:lang w:val="en-US" w:eastAsia="zh-CN"/>
          <w14:textFill>
            <w14:solidFill>
              <w14:schemeClr w14:val="tx1"/>
            </w14:solidFill>
          </w14:textFill>
        </w:rPr>
        <w:t xml:space="preserve">3. </w:t>
      </w:r>
      <w:r>
        <w:rPr>
          <w:rFonts w:hint="eastAsia" w:ascii="宋体" w:hAnsi="宋体" w:eastAsia="宋体" w:cs="Times New Roman"/>
          <w:color w:val="000000" w:themeColor="text1"/>
          <w:szCs w:val="21"/>
          <w:highlight w:val="none"/>
          <w:lang w:val="en-US" w:eastAsia="zh-CN"/>
          <w14:textFill>
            <w14:solidFill>
              <w14:schemeClr w14:val="tx1"/>
            </w14:solidFill>
          </w14:textFill>
        </w:rPr>
        <w:t>投标人在编制施工组织设计或施工方案时应按照招标人提出的施工现场建筑垃圾源头减量的具体要求以及建筑垃圾综合利用产品的使用要求提供相应措施。</w:t>
      </w:r>
      <w:r>
        <w:rPr>
          <w:rFonts w:eastAsia="黑体"/>
          <w:color w:val="000000" w:themeColor="text1"/>
          <w:sz w:val="19"/>
          <w:szCs w:val="19"/>
          <w:highlight w:val="none"/>
          <w14:textFill>
            <w14:solidFill>
              <w14:schemeClr w14:val="tx1"/>
            </w14:solidFill>
          </w14:textFill>
        </w:rPr>
        <w:br w:type="page"/>
      </w:r>
    </w:p>
    <w:p w14:paraId="31996A5F">
      <w:pPr>
        <w:spacing w:line="400" w:lineRule="exact"/>
        <w:jc w:val="center"/>
        <w:outlineLvl w:val="3"/>
        <w:rPr>
          <w:rFonts w:ascii="宋体" w:hAnsi="宋体"/>
          <w:b/>
          <w:color w:val="000000" w:themeColor="text1"/>
          <w:sz w:val="24"/>
          <w:szCs w:val="31"/>
          <w:highlight w:val="none"/>
          <w14:textFill>
            <w14:solidFill>
              <w14:schemeClr w14:val="tx1"/>
            </w14:solidFill>
          </w14:textFill>
        </w:rPr>
      </w:pPr>
      <w:bookmarkStart w:id="1016" w:name="_Toc221952073"/>
      <w:bookmarkStart w:id="1017" w:name="_Toc168476327"/>
      <w:bookmarkStart w:id="1018" w:name="_Toc144974865"/>
      <w:bookmarkStart w:id="1019" w:name="_Toc168475924"/>
      <w:r>
        <w:rPr>
          <w:rFonts w:ascii="宋体" w:hAnsi="宋体"/>
          <w:b/>
          <w:color w:val="000000" w:themeColor="text1"/>
          <w:sz w:val="24"/>
          <w:szCs w:val="31"/>
          <w:highlight w:val="none"/>
          <w14:textFill>
            <w14:solidFill>
              <w14:schemeClr w14:val="tx1"/>
            </w14:solidFill>
          </w14:textFill>
        </w:rPr>
        <w:t>附表一：拟投入本标段的主要施工设备表</w:t>
      </w:r>
      <w:bookmarkEnd w:id="1016"/>
      <w:bookmarkEnd w:id="1017"/>
      <w:bookmarkEnd w:id="1018"/>
      <w:bookmarkEnd w:id="1019"/>
    </w:p>
    <w:p w14:paraId="6449C838">
      <w:pPr>
        <w:spacing w:line="400" w:lineRule="exact"/>
        <w:rPr>
          <w:color w:val="000000" w:themeColor="text1"/>
          <w:sz w:val="19"/>
          <w:szCs w:val="19"/>
          <w:highlight w:val="none"/>
          <w14:textFill>
            <w14:solidFill>
              <w14:schemeClr w14:val="tx1"/>
            </w14:solidFill>
          </w14:textFill>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59"/>
        <w:gridCol w:w="742"/>
        <w:gridCol w:w="965"/>
        <w:gridCol w:w="655"/>
        <w:gridCol w:w="720"/>
        <w:gridCol w:w="1182"/>
        <w:gridCol w:w="853"/>
        <w:gridCol w:w="1028"/>
        <w:gridCol w:w="674"/>
      </w:tblGrid>
      <w:tr w14:paraId="40E4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62C652C8">
            <w:pPr>
              <w:spacing w:line="400" w:lineRule="exact"/>
              <w:jc w:val="center"/>
              <w:rPr>
                <w:rFonts w:ascii="宋体" w:hAnsi="宋体"/>
                <w:color w:val="000000" w:themeColor="text1"/>
                <w:szCs w:val="21"/>
                <w:highlight w:val="none"/>
                <w14:textFill>
                  <w14:solidFill>
                    <w14:schemeClr w14:val="tx1"/>
                  </w14:solidFill>
                </w14:textFill>
              </w:rPr>
            </w:pPr>
            <w:bookmarkStart w:id="1020" w:name="_Toc221952074"/>
            <w:r>
              <w:rPr>
                <w:rFonts w:ascii="宋体" w:hAnsi="宋体"/>
                <w:color w:val="000000" w:themeColor="text1"/>
                <w:szCs w:val="21"/>
                <w:highlight w:val="none"/>
                <w14:textFill>
                  <w14:solidFill>
                    <w14:schemeClr w14:val="tx1"/>
                  </w14:solidFill>
                </w14:textFill>
              </w:rPr>
              <w:t>序号</w:t>
            </w:r>
            <w:bookmarkEnd w:id="1020"/>
          </w:p>
        </w:tc>
        <w:tc>
          <w:tcPr>
            <w:tcW w:w="1059" w:type="dxa"/>
            <w:noWrap w:val="0"/>
            <w:vAlign w:val="top"/>
          </w:tcPr>
          <w:p w14:paraId="5543DF5D">
            <w:pPr>
              <w:spacing w:line="400" w:lineRule="exact"/>
              <w:jc w:val="center"/>
              <w:rPr>
                <w:rFonts w:ascii="宋体" w:hAnsi="宋体"/>
                <w:color w:val="000000" w:themeColor="text1"/>
                <w:szCs w:val="21"/>
                <w:highlight w:val="none"/>
                <w14:textFill>
                  <w14:solidFill>
                    <w14:schemeClr w14:val="tx1"/>
                  </w14:solidFill>
                </w14:textFill>
              </w:rPr>
            </w:pPr>
            <w:bookmarkStart w:id="1021" w:name="_Toc221952075"/>
            <w:r>
              <w:rPr>
                <w:rFonts w:ascii="宋体" w:hAnsi="宋体"/>
                <w:color w:val="000000" w:themeColor="text1"/>
                <w:szCs w:val="21"/>
                <w:highlight w:val="none"/>
                <w14:textFill>
                  <w14:solidFill>
                    <w14:schemeClr w14:val="tx1"/>
                  </w14:solidFill>
                </w14:textFill>
              </w:rPr>
              <w:t>设备名称</w:t>
            </w:r>
            <w:bookmarkEnd w:id="1021"/>
          </w:p>
        </w:tc>
        <w:tc>
          <w:tcPr>
            <w:tcW w:w="742" w:type="dxa"/>
            <w:noWrap w:val="0"/>
            <w:vAlign w:val="top"/>
          </w:tcPr>
          <w:p w14:paraId="2A388B31">
            <w:pPr>
              <w:spacing w:line="400" w:lineRule="exact"/>
              <w:jc w:val="center"/>
              <w:rPr>
                <w:rFonts w:ascii="宋体" w:hAnsi="宋体"/>
                <w:color w:val="000000" w:themeColor="text1"/>
                <w:szCs w:val="21"/>
                <w:highlight w:val="none"/>
                <w14:textFill>
                  <w14:solidFill>
                    <w14:schemeClr w14:val="tx1"/>
                  </w14:solidFill>
                </w14:textFill>
              </w:rPr>
            </w:pPr>
            <w:bookmarkStart w:id="1022" w:name="_Toc221952076"/>
            <w:r>
              <w:rPr>
                <w:rFonts w:ascii="宋体" w:hAnsi="宋体"/>
                <w:color w:val="000000" w:themeColor="text1"/>
                <w:szCs w:val="21"/>
                <w:highlight w:val="none"/>
                <w14:textFill>
                  <w14:solidFill>
                    <w14:schemeClr w14:val="tx1"/>
                  </w14:solidFill>
                </w14:textFill>
              </w:rPr>
              <w:t>型号</w:t>
            </w:r>
            <w:bookmarkEnd w:id="1022"/>
          </w:p>
          <w:p w14:paraId="728DC803">
            <w:pPr>
              <w:spacing w:line="400" w:lineRule="exact"/>
              <w:jc w:val="center"/>
              <w:rPr>
                <w:rFonts w:ascii="宋体" w:hAnsi="宋体"/>
                <w:color w:val="000000" w:themeColor="text1"/>
                <w:szCs w:val="21"/>
                <w:highlight w:val="none"/>
                <w14:textFill>
                  <w14:solidFill>
                    <w14:schemeClr w14:val="tx1"/>
                  </w14:solidFill>
                </w14:textFill>
              </w:rPr>
            </w:pPr>
            <w:bookmarkStart w:id="1023" w:name="_Toc221952077"/>
            <w:r>
              <w:rPr>
                <w:rFonts w:ascii="宋体" w:hAnsi="宋体"/>
                <w:color w:val="000000" w:themeColor="text1"/>
                <w:szCs w:val="21"/>
                <w:highlight w:val="none"/>
                <w14:textFill>
                  <w14:solidFill>
                    <w14:schemeClr w14:val="tx1"/>
                  </w14:solidFill>
                </w14:textFill>
              </w:rPr>
              <w:t>规格</w:t>
            </w:r>
            <w:bookmarkEnd w:id="1023"/>
          </w:p>
        </w:tc>
        <w:tc>
          <w:tcPr>
            <w:tcW w:w="965" w:type="dxa"/>
            <w:noWrap w:val="0"/>
            <w:vAlign w:val="top"/>
          </w:tcPr>
          <w:p w14:paraId="179887D7">
            <w:pPr>
              <w:spacing w:line="400" w:lineRule="exact"/>
              <w:jc w:val="center"/>
              <w:rPr>
                <w:rFonts w:ascii="宋体" w:hAnsi="宋体"/>
                <w:color w:val="000000" w:themeColor="text1"/>
                <w:szCs w:val="21"/>
                <w:highlight w:val="none"/>
                <w14:textFill>
                  <w14:solidFill>
                    <w14:schemeClr w14:val="tx1"/>
                  </w14:solidFill>
                </w14:textFill>
              </w:rPr>
            </w:pPr>
            <w:bookmarkStart w:id="1024" w:name="_Toc221952078"/>
            <w:r>
              <w:rPr>
                <w:rFonts w:ascii="宋体" w:hAnsi="宋体"/>
                <w:color w:val="000000" w:themeColor="text1"/>
                <w:szCs w:val="21"/>
                <w:highlight w:val="none"/>
                <w14:textFill>
                  <w14:solidFill>
                    <w14:schemeClr w14:val="tx1"/>
                  </w14:solidFill>
                </w14:textFill>
              </w:rPr>
              <w:t>数量</w:t>
            </w:r>
            <w:bookmarkEnd w:id="1024"/>
          </w:p>
        </w:tc>
        <w:tc>
          <w:tcPr>
            <w:tcW w:w="655" w:type="dxa"/>
            <w:noWrap w:val="0"/>
            <w:vAlign w:val="top"/>
          </w:tcPr>
          <w:p w14:paraId="696734DB">
            <w:pPr>
              <w:spacing w:line="400" w:lineRule="exact"/>
              <w:jc w:val="center"/>
              <w:rPr>
                <w:rFonts w:ascii="宋体" w:hAnsi="宋体"/>
                <w:color w:val="000000" w:themeColor="text1"/>
                <w:szCs w:val="21"/>
                <w:highlight w:val="none"/>
                <w14:textFill>
                  <w14:solidFill>
                    <w14:schemeClr w14:val="tx1"/>
                  </w14:solidFill>
                </w14:textFill>
              </w:rPr>
            </w:pPr>
            <w:bookmarkStart w:id="1025" w:name="_Toc221952079"/>
            <w:r>
              <w:rPr>
                <w:rFonts w:ascii="宋体" w:hAnsi="宋体"/>
                <w:color w:val="000000" w:themeColor="text1"/>
                <w:szCs w:val="21"/>
                <w:highlight w:val="none"/>
                <w14:textFill>
                  <w14:solidFill>
                    <w14:schemeClr w14:val="tx1"/>
                  </w14:solidFill>
                </w14:textFill>
              </w:rPr>
              <w:t>国别</w:t>
            </w:r>
            <w:bookmarkEnd w:id="1025"/>
          </w:p>
          <w:p w14:paraId="5845236F">
            <w:pPr>
              <w:spacing w:line="400" w:lineRule="exact"/>
              <w:jc w:val="center"/>
              <w:rPr>
                <w:rFonts w:ascii="宋体" w:hAnsi="宋体"/>
                <w:color w:val="000000" w:themeColor="text1"/>
                <w:szCs w:val="21"/>
                <w:highlight w:val="none"/>
                <w14:textFill>
                  <w14:solidFill>
                    <w14:schemeClr w14:val="tx1"/>
                  </w14:solidFill>
                </w14:textFill>
              </w:rPr>
            </w:pPr>
            <w:bookmarkStart w:id="1026" w:name="_Toc221952080"/>
            <w:r>
              <w:rPr>
                <w:rFonts w:ascii="宋体" w:hAnsi="宋体"/>
                <w:color w:val="000000" w:themeColor="text1"/>
                <w:szCs w:val="21"/>
                <w:highlight w:val="none"/>
                <w14:textFill>
                  <w14:solidFill>
                    <w14:schemeClr w14:val="tx1"/>
                  </w14:solidFill>
                </w14:textFill>
              </w:rPr>
              <w:t>产地</w:t>
            </w:r>
            <w:bookmarkEnd w:id="1026"/>
          </w:p>
        </w:tc>
        <w:tc>
          <w:tcPr>
            <w:tcW w:w="720" w:type="dxa"/>
            <w:noWrap w:val="0"/>
            <w:vAlign w:val="top"/>
          </w:tcPr>
          <w:p w14:paraId="489479D6">
            <w:pPr>
              <w:spacing w:line="400" w:lineRule="exact"/>
              <w:jc w:val="center"/>
              <w:rPr>
                <w:rFonts w:ascii="宋体" w:hAnsi="宋体"/>
                <w:color w:val="000000" w:themeColor="text1"/>
                <w:szCs w:val="21"/>
                <w:highlight w:val="none"/>
                <w14:textFill>
                  <w14:solidFill>
                    <w14:schemeClr w14:val="tx1"/>
                  </w14:solidFill>
                </w14:textFill>
              </w:rPr>
            </w:pPr>
            <w:bookmarkStart w:id="1027" w:name="_Toc221952081"/>
            <w:r>
              <w:rPr>
                <w:rFonts w:ascii="宋体" w:hAnsi="宋体"/>
                <w:color w:val="000000" w:themeColor="text1"/>
                <w:szCs w:val="21"/>
                <w:highlight w:val="none"/>
                <w14:textFill>
                  <w14:solidFill>
                    <w14:schemeClr w14:val="tx1"/>
                  </w14:solidFill>
                </w14:textFill>
              </w:rPr>
              <w:t>制造</w:t>
            </w:r>
            <w:bookmarkEnd w:id="1027"/>
          </w:p>
          <w:p w14:paraId="236E289C">
            <w:pPr>
              <w:spacing w:line="400" w:lineRule="exact"/>
              <w:jc w:val="center"/>
              <w:rPr>
                <w:rFonts w:ascii="宋体" w:hAnsi="宋体"/>
                <w:color w:val="000000" w:themeColor="text1"/>
                <w:szCs w:val="21"/>
                <w:highlight w:val="none"/>
                <w14:textFill>
                  <w14:solidFill>
                    <w14:schemeClr w14:val="tx1"/>
                  </w14:solidFill>
                </w14:textFill>
              </w:rPr>
            </w:pPr>
            <w:bookmarkStart w:id="1028" w:name="_Toc221952082"/>
            <w:r>
              <w:rPr>
                <w:rFonts w:ascii="宋体" w:hAnsi="宋体"/>
                <w:color w:val="000000" w:themeColor="text1"/>
                <w:szCs w:val="21"/>
                <w:highlight w:val="none"/>
                <w14:textFill>
                  <w14:solidFill>
                    <w14:schemeClr w14:val="tx1"/>
                  </w14:solidFill>
                </w14:textFill>
              </w:rPr>
              <w:t>年份</w:t>
            </w:r>
            <w:bookmarkEnd w:id="1028"/>
          </w:p>
        </w:tc>
        <w:tc>
          <w:tcPr>
            <w:tcW w:w="1182" w:type="dxa"/>
            <w:noWrap w:val="0"/>
            <w:vAlign w:val="top"/>
          </w:tcPr>
          <w:p w14:paraId="3661EC5E">
            <w:pPr>
              <w:spacing w:line="400" w:lineRule="exact"/>
              <w:jc w:val="center"/>
              <w:rPr>
                <w:rFonts w:ascii="宋体" w:hAnsi="宋体"/>
                <w:color w:val="000000" w:themeColor="text1"/>
                <w:szCs w:val="21"/>
                <w:highlight w:val="none"/>
                <w14:textFill>
                  <w14:solidFill>
                    <w14:schemeClr w14:val="tx1"/>
                  </w14:solidFill>
                </w14:textFill>
              </w:rPr>
            </w:pPr>
            <w:bookmarkStart w:id="1029" w:name="_Toc221952083"/>
            <w:r>
              <w:rPr>
                <w:rFonts w:ascii="宋体" w:hAnsi="宋体"/>
                <w:color w:val="000000" w:themeColor="text1"/>
                <w:szCs w:val="21"/>
                <w:highlight w:val="none"/>
                <w14:textFill>
                  <w14:solidFill>
                    <w14:schemeClr w14:val="tx1"/>
                  </w14:solidFill>
                </w14:textFill>
              </w:rPr>
              <w:t>额定功率（</w:t>
            </w:r>
            <w:r>
              <w:rPr>
                <w:rFonts w:hint="eastAsia" w:ascii="宋体" w:hAnsi="宋体"/>
                <w:color w:val="000000" w:themeColor="text1"/>
                <w:szCs w:val="21"/>
                <w:highlight w:val="none"/>
                <w14:textFill>
                  <w14:solidFill>
                    <w14:schemeClr w14:val="tx1"/>
                  </w14:solidFill>
                </w14:textFill>
              </w:rPr>
              <w:t>K</w:t>
            </w:r>
            <w:r>
              <w:rPr>
                <w:rFonts w:ascii="宋体" w:hAnsi="宋体"/>
                <w:color w:val="000000" w:themeColor="text1"/>
                <w:szCs w:val="21"/>
                <w:highlight w:val="none"/>
                <w14:textFill>
                  <w14:solidFill>
                    <w14:schemeClr w14:val="tx1"/>
                  </w14:solidFill>
                </w14:textFill>
              </w:rPr>
              <w:t>W）</w:t>
            </w:r>
            <w:bookmarkEnd w:id="1029"/>
          </w:p>
        </w:tc>
        <w:tc>
          <w:tcPr>
            <w:tcW w:w="853" w:type="dxa"/>
            <w:noWrap w:val="0"/>
            <w:vAlign w:val="top"/>
          </w:tcPr>
          <w:p w14:paraId="6AF9078C">
            <w:pPr>
              <w:spacing w:line="400" w:lineRule="exact"/>
              <w:jc w:val="center"/>
              <w:rPr>
                <w:rFonts w:ascii="宋体" w:hAnsi="宋体"/>
                <w:color w:val="000000" w:themeColor="text1"/>
                <w:szCs w:val="21"/>
                <w:highlight w:val="none"/>
                <w14:textFill>
                  <w14:solidFill>
                    <w14:schemeClr w14:val="tx1"/>
                  </w14:solidFill>
                </w14:textFill>
              </w:rPr>
            </w:pPr>
            <w:bookmarkStart w:id="1030" w:name="_Toc221952084"/>
            <w:r>
              <w:rPr>
                <w:rFonts w:ascii="宋体" w:hAnsi="宋体"/>
                <w:color w:val="000000" w:themeColor="text1"/>
                <w:szCs w:val="21"/>
                <w:highlight w:val="none"/>
                <w14:textFill>
                  <w14:solidFill>
                    <w14:schemeClr w14:val="tx1"/>
                  </w14:solidFill>
                </w14:textFill>
              </w:rPr>
              <w:t>生产</w:t>
            </w:r>
            <w:bookmarkEnd w:id="1030"/>
          </w:p>
          <w:p w14:paraId="7E3BF51F">
            <w:pPr>
              <w:spacing w:line="400" w:lineRule="exact"/>
              <w:jc w:val="center"/>
              <w:rPr>
                <w:rFonts w:ascii="宋体" w:hAnsi="宋体"/>
                <w:color w:val="000000" w:themeColor="text1"/>
                <w:szCs w:val="21"/>
                <w:highlight w:val="none"/>
                <w14:textFill>
                  <w14:solidFill>
                    <w14:schemeClr w14:val="tx1"/>
                  </w14:solidFill>
                </w14:textFill>
              </w:rPr>
            </w:pPr>
            <w:bookmarkStart w:id="1031" w:name="_Toc221952085"/>
            <w:r>
              <w:rPr>
                <w:rFonts w:ascii="宋体" w:hAnsi="宋体"/>
                <w:color w:val="000000" w:themeColor="text1"/>
                <w:szCs w:val="21"/>
                <w:highlight w:val="none"/>
                <w14:textFill>
                  <w14:solidFill>
                    <w14:schemeClr w14:val="tx1"/>
                  </w14:solidFill>
                </w14:textFill>
              </w:rPr>
              <w:t>能力</w:t>
            </w:r>
            <w:bookmarkEnd w:id="1031"/>
          </w:p>
        </w:tc>
        <w:tc>
          <w:tcPr>
            <w:tcW w:w="1028" w:type="dxa"/>
            <w:noWrap w:val="0"/>
            <w:vAlign w:val="top"/>
          </w:tcPr>
          <w:p w14:paraId="2566035C">
            <w:pPr>
              <w:spacing w:line="400" w:lineRule="exact"/>
              <w:jc w:val="center"/>
              <w:rPr>
                <w:rFonts w:ascii="宋体" w:hAnsi="宋体"/>
                <w:color w:val="000000" w:themeColor="text1"/>
                <w:szCs w:val="21"/>
                <w:highlight w:val="none"/>
                <w14:textFill>
                  <w14:solidFill>
                    <w14:schemeClr w14:val="tx1"/>
                  </w14:solidFill>
                </w14:textFill>
              </w:rPr>
            </w:pPr>
            <w:bookmarkStart w:id="1032" w:name="_Toc221952086"/>
            <w:r>
              <w:rPr>
                <w:rFonts w:ascii="宋体" w:hAnsi="宋体"/>
                <w:color w:val="000000" w:themeColor="text1"/>
                <w:szCs w:val="21"/>
                <w:highlight w:val="none"/>
                <w14:textFill>
                  <w14:solidFill>
                    <w14:schemeClr w14:val="tx1"/>
                  </w14:solidFill>
                </w14:textFill>
              </w:rPr>
              <w:t>用于施工部位</w:t>
            </w:r>
            <w:bookmarkEnd w:id="1032"/>
          </w:p>
        </w:tc>
        <w:tc>
          <w:tcPr>
            <w:tcW w:w="674" w:type="dxa"/>
            <w:noWrap w:val="0"/>
            <w:vAlign w:val="top"/>
          </w:tcPr>
          <w:p w14:paraId="033D0040">
            <w:pPr>
              <w:spacing w:line="400" w:lineRule="exact"/>
              <w:jc w:val="center"/>
              <w:rPr>
                <w:rFonts w:ascii="宋体" w:hAnsi="宋体"/>
                <w:color w:val="000000" w:themeColor="text1"/>
                <w:szCs w:val="21"/>
                <w:highlight w:val="none"/>
                <w14:textFill>
                  <w14:solidFill>
                    <w14:schemeClr w14:val="tx1"/>
                  </w14:solidFill>
                </w14:textFill>
              </w:rPr>
            </w:pPr>
            <w:bookmarkStart w:id="1033" w:name="_Toc221952087"/>
            <w:r>
              <w:rPr>
                <w:rFonts w:ascii="宋体" w:hAnsi="宋体"/>
                <w:color w:val="000000" w:themeColor="text1"/>
                <w:szCs w:val="21"/>
                <w:highlight w:val="none"/>
                <w14:textFill>
                  <w14:solidFill>
                    <w14:schemeClr w14:val="tx1"/>
                  </w14:solidFill>
                </w14:textFill>
              </w:rPr>
              <w:t>备注</w:t>
            </w:r>
            <w:bookmarkEnd w:id="1033"/>
          </w:p>
        </w:tc>
      </w:tr>
      <w:tr w14:paraId="60AC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283484F6">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07523690">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1EB38A91">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51AE9A95">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7EA072A3">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0ED64575">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19B6A3C1">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70069931">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0B359C21">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6FB240B5">
            <w:pPr>
              <w:spacing w:line="400" w:lineRule="exact"/>
              <w:jc w:val="center"/>
              <w:rPr>
                <w:rFonts w:ascii="宋体" w:hAnsi="宋体"/>
                <w:color w:val="000000" w:themeColor="text1"/>
                <w:szCs w:val="21"/>
                <w:highlight w:val="none"/>
                <w14:textFill>
                  <w14:solidFill>
                    <w14:schemeClr w14:val="tx1"/>
                  </w14:solidFill>
                </w14:textFill>
              </w:rPr>
            </w:pPr>
          </w:p>
        </w:tc>
      </w:tr>
      <w:tr w14:paraId="303E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5268ABA">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03503CB9">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21AFAD2F">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4301EF2C">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2727244A">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72D202BE">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3983C210">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66E8D2FD">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5C720D01">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1811DCC2">
            <w:pPr>
              <w:spacing w:line="400" w:lineRule="exact"/>
              <w:jc w:val="center"/>
              <w:rPr>
                <w:rFonts w:ascii="宋体" w:hAnsi="宋体"/>
                <w:color w:val="000000" w:themeColor="text1"/>
                <w:szCs w:val="21"/>
                <w:highlight w:val="none"/>
                <w14:textFill>
                  <w14:solidFill>
                    <w14:schemeClr w14:val="tx1"/>
                  </w14:solidFill>
                </w14:textFill>
              </w:rPr>
            </w:pPr>
          </w:p>
        </w:tc>
      </w:tr>
      <w:tr w14:paraId="1365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2E60588D">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249AE373">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6A7D5B85">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77534006">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6FCEE67B">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29D3A01F">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599283F8">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43DD8F97">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6E1490B6">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3BA97869">
            <w:pPr>
              <w:spacing w:line="400" w:lineRule="exact"/>
              <w:jc w:val="center"/>
              <w:rPr>
                <w:rFonts w:ascii="宋体" w:hAnsi="宋体"/>
                <w:color w:val="000000" w:themeColor="text1"/>
                <w:szCs w:val="21"/>
                <w:highlight w:val="none"/>
                <w14:textFill>
                  <w14:solidFill>
                    <w14:schemeClr w14:val="tx1"/>
                  </w14:solidFill>
                </w14:textFill>
              </w:rPr>
            </w:pPr>
          </w:p>
        </w:tc>
      </w:tr>
      <w:tr w14:paraId="7521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153621DD">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3DF78776">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6B2AE033">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559C604A">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5A9B6DFD">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6AF1CCB0">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24372E2F">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72FCA433">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3212F54A">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2075F74C">
            <w:pPr>
              <w:spacing w:line="400" w:lineRule="exact"/>
              <w:jc w:val="center"/>
              <w:rPr>
                <w:rFonts w:ascii="宋体" w:hAnsi="宋体"/>
                <w:color w:val="000000" w:themeColor="text1"/>
                <w:szCs w:val="21"/>
                <w:highlight w:val="none"/>
                <w14:textFill>
                  <w14:solidFill>
                    <w14:schemeClr w14:val="tx1"/>
                  </w14:solidFill>
                </w14:textFill>
              </w:rPr>
            </w:pPr>
          </w:p>
        </w:tc>
      </w:tr>
      <w:tr w14:paraId="4552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63FC81D1">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73209233">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1C1ABECB">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71E77E02">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297513CE">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2CA7733C">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52CD5CD0">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17B40689">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218158E9">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1FB0D9D5">
            <w:pPr>
              <w:spacing w:line="400" w:lineRule="exact"/>
              <w:jc w:val="center"/>
              <w:rPr>
                <w:rFonts w:ascii="宋体" w:hAnsi="宋体"/>
                <w:color w:val="000000" w:themeColor="text1"/>
                <w:szCs w:val="21"/>
                <w:highlight w:val="none"/>
                <w14:textFill>
                  <w14:solidFill>
                    <w14:schemeClr w14:val="tx1"/>
                  </w14:solidFill>
                </w14:textFill>
              </w:rPr>
            </w:pPr>
          </w:p>
        </w:tc>
      </w:tr>
      <w:tr w14:paraId="3507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67F8BD84">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7B8D8FE5">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0A5FD547">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5D3BC0E9">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67678421">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72647129">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14791B9E">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751053D3">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3258B319">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47F8334C">
            <w:pPr>
              <w:spacing w:line="400" w:lineRule="exact"/>
              <w:jc w:val="center"/>
              <w:rPr>
                <w:rFonts w:ascii="宋体" w:hAnsi="宋体"/>
                <w:color w:val="000000" w:themeColor="text1"/>
                <w:szCs w:val="21"/>
                <w:highlight w:val="none"/>
                <w14:textFill>
                  <w14:solidFill>
                    <w14:schemeClr w14:val="tx1"/>
                  </w14:solidFill>
                </w14:textFill>
              </w:rPr>
            </w:pPr>
          </w:p>
        </w:tc>
      </w:tr>
      <w:tr w14:paraId="33D4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11EC547E">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4164E77B">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1A091DAA">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6797267E">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3F7A3128">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13FA8504">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38F01E8F">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640C2C40">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369225B6">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5E430BC8">
            <w:pPr>
              <w:spacing w:line="400" w:lineRule="exact"/>
              <w:jc w:val="center"/>
              <w:rPr>
                <w:rFonts w:ascii="宋体" w:hAnsi="宋体"/>
                <w:color w:val="000000" w:themeColor="text1"/>
                <w:szCs w:val="21"/>
                <w:highlight w:val="none"/>
                <w14:textFill>
                  <w14:solidFill>
                    <w14:schemeClr w14:val="tx1"/>
                  </w14:solidFill>
                </w14:textFill>
              </w:rPr>
            </w:pPr>
          </w:p>
        </w:tc>
      </w:tr>
      <w:tr w14:paraId="3581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010442A">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4408DA10">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63CC8A4A">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4FCC253A">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53D0FB64">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5177EEE0">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6706BEC0">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0674B73F">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03864C52">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45CBA907">
            <w:pPr>
              <w:spacing w:line="400" w:lineRule="exact"/>
              <w:jc w:val="center"/>
              <w:rPr>
                <w:rFonts w:ascii="宋体" w:hAnsi="宋体"/>
                <w:color w:val="000000" w:themeColor="text1"/>
                <w:szCs w:val="21"/>
                <w:highlight w:val="none"/>
                <w14:textFill>
                  <w14:solidFill>
                    <w14:schemeClr w14:val="tx1"/>
                  </w14:solidFill>
                </w14:textFill>
              </w:rPr>
            </w:pPr>
          </w:p>
        </w:tc>
      </w:tr>
      <w:tr w14:paraId="6E00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75EABC74">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059174C1">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7D0FADE6">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5014A7A4">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7E9B72DF">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30D1956C">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7AEB6629">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3B15FBE7">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5EE91507">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71536399">
            <w:pPr>
              <w:spacing w:line="400" w:lineRule="exact"/>
              <w:jc w:val="center"/>
              <w:rPr>
                <w:rFonts w:ascii="宋体" w:hAnsi="宋体"/>
                <w:color w:val="000000" w:themeColor="text1"/>
                <w:szCs w:val="21"/>
                <w:highlight w:val="none"/>
                <w14:textFill>
                  <w14:solidFill>
                    <w14:schemeClr w14:val="tx1"/>
                  </w14:solidFill>
                </w14:textFill>
              </w:rPr>
            </w:pPr>
          </w:p>
        </w:tc>
      </w:tr>
      <w:tr w14:paraId="5A97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D4E11A9">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606AE3F1">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7DE1C265">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10DC0378">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1544F421">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35AA1BA1">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3A9A68AC">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5ED7C937">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1D1F7A2C">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21E206CC">
            <w:pPr>
              <w:spacing w:line="400" w:lineRule="exact"/>
              <w:jc w:val="center"/>
              <w:rPr>
                <w:rFonts w:ascii="宋体" w:hAnsi="宋体"/>
                <w:color w:val="000000" w:themeColor="text1"/>
                <w:szCs w:val="21"/>
                <w:highlight w:val="none"/>
                <w14:textFill>
                  <w14:solidFill>
                    <w14:schemeClr w14:val="tx1"/>
                  </w14:solidFill>
                </w14:textFill>
              </w:rPr>
            </w:pPr>
          </w:p>
        </w:tc>
      </w:tr>
      <w:tr w14:paraId="0F04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0E3901D5">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49C58976">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57488929">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10B986C6">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5C0EDC7C">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345B457F">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5325A1E4">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6DB7484D">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1A88005F">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57F94A65">
            <w:pPr>
              <w:spacing w:line="400" w:lineRule="exact"/>
              <w:jc w:val="center"/>
              <w:rPr>
                <w:rFonts w:ascii="宋体" w:hAnsi="宋体"/>
                <w:color w:val="000000" w:themeColor="text1"/>
                <w:szCs w:val="21"/>
                <w:highlight w:val="none"/>
                <w14:textFill>
                  <w14:solidFill>
                    <w14:schemeClr w14:val="tx1"/>
                  </w14:solidFill>
                </w14:textFill>
              </w:rPr>
            </w:pPr>
          </w:p>
        </w:tc>
      </w:tr>
      <w:tr w14:paraId="7DF9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4261009C">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7BDC36AB">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58920A59">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5E098617">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1E45E2A0">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5CB865BE">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17D7DF91">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0DCD4ACD">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478309AA">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3725FCC7">
            <w:pPr>
              <w:spacing w:line="400" w:lineRule="exact"/>
              <w:jc w:val="center"/>
              <w:rPr>
                <w:rFonts w:ascii="宋体" w:hAnsi="宋体"/>
                <w:color w:val="000000" w:themeColor="text1"/>
                <w:szCs w:val="21"/>
                <w:highlight w:val="none"/>
                <w14:textFill>
                  <w14:solidFill>
                    <w14:schemeClr w14:val="tx1"/>
                  </w14:solidFill>
                </w14:textFill>
              </w:rPr>
            </w:pPr>
          </w:p>
        </w:tc>
      </w:tr>
      <w:tr w14:paraId="2365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4CE3A62F">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4C393BDC">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0C0B953B">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63390E29">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3BA66C83">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20D12E69">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19755224">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64D7A30C">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7AB7A51D">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08E42E83">
            <w:pPr>
              <w:spacing w:line="400" w:lineRule="exact"/>
              <w:jc w:val="center"/>
              <w:rPr>
                <w:rFonts w:ascii="宋体" w:hAnsi="宋体"/>
                <w:color w:val="000000" w:themeColor="text1"/>
                <w:szCs w:val="21"/>
                <w:highlight w:val="none"/>
                <w14:textFill>
                  <w14:solidFill>
                    <w14:schemeClr w14:val="tx1"/>
                  </w14:solidFill>
                </w14:textFill>
              </w:rPr>
            </w:pPr>
          </w:p>
        </w:tc>
      </w:tr>
      <w:tr w14:paraId="0324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C21920D">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21154F40">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34DC109B">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6D07F5F9">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469FE189">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3C109AAC">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3DC87CC0">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5E64148C">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1FF2EE32">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221984B7">
            <w:pPr>
              <w:spacing w:line="400" w:lineRule="exact"/>
              <w:jc w:val="center"/>
              <w:rPr>
                <w:rFonts w:ascii="宋体" w:hAnsi="宋体"/>
                <w:color w:val="000000" w:themeColor="text1"/>
                <w:szCs w:val="21"/>
                <w:highlight w:val="none"/>
                <w14:textFill>
                  <w14:solidFill>
                    <w14:schemeClr w14:val="tx1"/>
                  </w14:solidFill>
                </w14:textFill>
              </w:rPr>
            </w:pPr>
          </w:p>
        </w:tc>
      </w:tr>
      <w:tr w14:paraId="070E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0F64063">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5D945E37">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122F85A1">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15BD02D5">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64E4D728">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4496296A">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59DA4D80">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65571557">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154B14C6">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0D736C4D">
            <w:pPr>
              <w:spacing w:line="400" w:lineRule="exact"/>
              <w:jc w:val="center"/>
              <w:rPr>
                <w:rFonts w:ascii="宋体" w:hAnsi="宋体"/>
                <w:color w:val="000000" w:themeColor="text1"/>
                <w:szCs w:val="21"/>
                <w:highlight w:val="none"/>
                <w14:textFill>
                  <w14:solidFill>
                    <w14:schemeClr w14:val="tx1"/>
                  </w14:solidFill>
                </w14:textFill>
              </w:rPr>
            </w:pPr>
          </w:p>
        </w:tc>
      </w:tr>
      <w:tr w14:paraId="7932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6F3CDFD8">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2319583A">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4849B00B">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0C6AD2E5">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4C6E4418">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7E453123">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28528811">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7C5C87BB">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7CFDC3CC">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2C28CA5F">
            <w:pPr>
              <w:spacing w:line="400" w:lineRule="exact"/>
              <w:jc w:val="center"/>
              <w:rPr>
                <w:rFonts w:ascii="宋体" w:hAnsi="宋体"/>
                <w:color w:val="000000" w:themeColor="text1"/>
                <w:szCs w:val="21"/>
                <w:highlight w:val="none"/>
                <w14:textFill>
                  <w14:solidFill>
                    <w14:schemeClr w14:val="tx1"/>
                  </w14:solidFill>
                </w14:textFill>
              </w:rPr>
            </w:pPr>
          </w:p>
        </w:tc>
      </w:tr>
      <w:tr w14:paraId="42FC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2F308F98">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6077E0BC">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2E2A388F">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60052A09">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75BACF70">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68E730C3">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3935F4C3">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5C8EE8AC">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351A4781">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1D871378">
            <w:pPr>
              <w:spacing w:line="400" w:lineRule="exact"/>
              <w:jc w:val="center"/>
              <w:rPr>
                <w:rFonts w:ascii="宋体" w:hAnsi="宋体"/>
                <w:color w:val="000000" w:themeColor="text1"/>
                <w:szCs w:val="21"/>
                <w:highlight w:val="none"/>
                <w14:textFill>
                  <w14:solidFill>
                    <w14:schemeClr w14:val="tx1"/>
                  </w14:solidFill>
                </w14:textFill>
              </w:rPr>
            </w:pPr>
          </w:p>
        </w:tc>
      </w:tr>
      <w:tr w14:paraId="1EC3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7CA5CEE5">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112CF00C">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7B3A7B86">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065206EF">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3FB03082">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1FD76F9D">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21106440">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12E78F45">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72E0CB37">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10EF032E">
            <w:pPr>
              <w:spacing w:line="400" w:lineRule="exact"/>
              <w:jc w:val="center"/>
              <w:rPr>
                <w:rFonts w:ascii="宋体" w:hAnsi="宋体"/>
                <w:color w:val="000000" w:themeColor="text1"/>
                <w:szCs w:val="21"/>
                <w:highlight w:val="none"/>
                <w14:textFill>
                  <w14:solidFill>
                    <w14:schemeClr w14:val="tx1"/>
                  </w14:solidFill>
                </w14:textFill>
              </w:rPr>
            </w:pPr>
          </w:p>
        </w:tc>
      </w:tr>
      <w:tr w14:paraId="61BF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46A79822">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14112615">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3F77A08B">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6765B254">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3FB52C59">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4BB30B58">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5B6F8EC0">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4D481012">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1A83BA35">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7892E31E">
            <w:pPr>
              <w:spacing w:line="400" w:lineRule="exact"/>
              <w:jc w:val="center"/>
              <w:rPr>
                <w:rFonts w:ascii="宋体" w:hAnsi="宋体"/>
                <w:color w:val="000000" w:themeColor="text1"/>
                <w:szCs w:val="21"/>
                <w:highlight w:val="none"/>
                <w14:textFill>
                  <w14:solidFill>
                    <w14:schemeClr w14:val="tx1"/>
                  </w14:solidFill>
                </w14:textFill>
              </w:rPr>
            </w:pPr>
          </w:p>
        </w:tc>
      </w:tr>
      <w:tr w14:paraId="5501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4C2BC6C">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3AAA768F">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5B22173D">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6366BDEC">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071E3E25">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7E3E028F">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7559D257">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4B1B18A9">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0AFE5561">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1927BF95">
            <w:pPr>
              <w:spacing w:line="400" w:lineRule="exact"/>
              <w:jc w:val="center"/>
              <w:rPr>
                <w:rFonts w:ascii="宋体" w:hAnsi="宋体"/>
                <w:color w:val="000000" w:themeColor="text1"/>
                <w:szCs w:val="21"/>
                <w:highlight w:val="none"/>
                <w14:textFill>
                  <w14:solidFill>
                    <w14:schemeClr w14:val="tx1"/>
                  </w14:solidFill>
                </w14:textFill>
              </w:rPr>
            </w:pPr>
          </w:p>
        </w:tc>
      </w:tr>
      <w:tr w14:paraId="4775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74C07253">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23CD6411">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1478A0F0">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7A131FB7">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555B7A30">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6F32D4DB">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7CAEA966">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5063D327">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74E5F1C4">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21DF0398">
            <w:pPr>
              <w:spacing w:line="400" w:lineRule="exact"/>
              <w:jc w:val="center"/>
              <w:rPr>
                <w:rFonts w:ascii="宋体" w:hAnsi="宋体"/>
                <w:color w:val="000000" w:themeColor="text1"/>
                <w:szCs w:val="21"/>
                <w:highlight w:val="none"/>
                <w14:textFill>
                  <w14:solidFill>
                    <w14:schemeClr w14:val="tx1"/>
                  </w14:solidFill>
                </w14:textFill>
              </w:rPr>
            </w:pPr>
          </w:p>
        </w:tc>
      </w:tr>
      <w:tr w14:paraId="4FEB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4E71655">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0CCD811E">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4AD47CD5">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05340501">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358B43A9">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13688264">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58E4D325">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444B9792">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14FA34E5">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130AC9E7">
            <w:pPr>
              <w:spacing w:line="400" w:lineRule="exact"/>
              <w:jc w:val="center"/>
              <w:rPr>
                <w:rFonts w:ascii="宋体" w:hAnsi="宋体"/>
                <w:color w:val="000000" w:themeColor="text1"/>
                <w:szCs w:val="21"/>
                <w:highlight w:val="none"/>
                <w14:textFill>
                  <w14:solidFill>
                    <w14:schemeClr w14:val="tx1"/>
                  </w14:solidFill>
                </w14:textFill>
              </w:rPr>
            </w:pPr>
          </w:p>
        </w:tc>
      </w:tr>
      <w:tr w14:paraId="1C18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4F36169B">
            <w:pPr>
              <w:spacing w:line="400" w:lineRule="exact"/>
              <w:jc w:val="center"/>
              <w:rPr>
                <w:rFonts w:ascii="宋体" w:hAnsi="宋体"/>
                <w:color w:val="000000" w:themeColor="text1"/>
                <w:szCs w:val="21"/>
                <w:highlight w:val="none"/>
                <w14:textFill>
                  <w14:solidFill>
                    <w14:schemeClr w14:val="tx1"/>
                  </w14:solidFill>
                </w14:textFill>
              </w:rPr>
            </w:pPr>
          </w:p>
        </w:tc>
        <w:tc>
          <w:tcPr>
            <w:tcW w:w="1059" w:type="dxa"/>
            <w:noWrap w:val="0"/>
            <w:vAlign w:val="top"/>
          </w:tcPr>
          <w:p w14:paraId="4833BFFD">
            <w:pPr>
              <w:spacing w:line="400" w:lineRule="exact"/>
              <w:jc w:val="center"/>
              <w:rPr>
                <w:rFonts w:ascii="宋体" w:hAnsi="宋体"/>
                <w:color w:val="000000" w:themeColor="text1"/>
                <w:szCs w:val="21"/>
                <w:highlight w:val="none"/>
                <w14:textFill>
                  <w14:solidFill>
                    <w14:schemeClr w14:val="tx1"/>
                  </w14:solidFill>
                </w14:textFill>
              </w:rPr>
            </w:pPr>
          </w:p>
        </w:tc>
        <w:tc>
          <w:tcPr>
            <w:tcW w:w="742" w:type="dxa"/>
            <w:noWrap w:val="0"/>
            <w:vAlign w:val="top"/>
          </w:tcPr>
          <w:p w14:paraId="5FD3A331">
            <w:pPr>
              <w:spacing w:line="400" w:lineRule="exact"/>
              <w:jc w:val="center"/>
              <w:rPr>
                <w:rFonts w:ascii="宋体" w:hAnsi="宋体"/>
                <w:color w:val="000000" w:themeColor="text1"/>
                <w:szCs w:val="21"/>
                <w:highlight w:val="none"/>
                <w14:textFill>
                  <w14:solidFill>
                    <w14:schemeClr w14:val="tx1"/>
                  </w14:solidFill>
                </w14:textFill>
              </w:rPr>
            </w:pPr>
          </w:p>
        </w:tc>
        <w:tc>
          <w:tcPr>
            <w:tcW w:w="965" w:type="dxa"/>
            <w:noWrap w:val="0"/>
            <w:vAlign w:val="top"/>
          </w:tcPr>
          <w:p w14:paraId="20F7A67A">
            <w:pPr>
              <w:spacing w:line="400" w:lineRule="exact"/>
              <w:jc w:val="center"/>
              <w:rPr>
                <w:rFonts w:ascii="宋体" w:hAnsi="宋体"/>
                <w:color w:val="000000" w:themeColor="text1"/>
                <w:szCs w:val="21"/>
                <w:highlight w:val="none"/>
                <w14:textFill>
                  <w14:solidFill>
                    <w14:schemeClr w14:val="tx1"/>
                  </w14:solidFill>
                </w14:textFill>
              </w:rPr>
            </w:pPr>
          </w:p>
        </w:tc>
        <w:tc>
          <w:tcPr>
            <w:tcW w:w="655" w:type="dxa"/>
            <w:noWrap w:val="0"/>
            <w:vAlign w:val="top"/>
          </w:tcPr>
          <w:p w14:paraId="1B751E01">
            <w:pPr>
              <w:spacing w:line="400" w:lineRule="exact"/>
              <w:jc w:val="center"/>
              <w:rPr>
                <w:rFonts w:ascii="宋体" w:hAnsi="宋体"/>
                <w:color w:val="000000" w:themeColor="text1"/>
                <w:szCs w:val="21"/>
                <w:highlight w:val="none"/>
                <w14:textFill>
                  <w14:solidFill>
                    <w14:schemeClr w14:val="tx1"/>
                  </w14:solidFill>
                </w14:textFill>
              </w:rPr>
            </w:pPr>
          </w:p>
        </w:tc>
        <w:tc>
          <w:tcPr>
            <w:tcW w:w="720" w:type="dxa"/>
            <w:noWrap w:val="0"/>
            <w:vAlign w:val="top"/>
          </w:tcPr>
          <w:p w14:paraId="43E90BA1">
            <w:pPr>
              <w:spacing w:line="400" w:lineRule="exact"/>
              <w:jc w:val="center"/>
              <w:rPr>
                <w:rFonts w:ascii="宋体" w:hAnsi="宋体"/>
                <w:color w:val="000000" w:themeColor="text1"/>
                <w:szCs w:val="21"/>
                <w:highlight w:val="none"/>
                <w14:textFill>
                  <w14:solidFill>
                    <w14:schemeClr w14:val="tx1"/>
                  </w14:solidFill>
                </w14:textFill>
              </w:rPr>
            </w:pPr>
          </w:p>
        </w:tc>
        <w:tc>
          <w:tcPr>
            <w:tcW w:w="1182" w:type="dxa"/>
            <w:noWrap w:val="0"/>
            <w:vAlign w:val="top"/>
          </w:tcPr>
          <w:p w14:paraId="0A19774A">
            <w:pPr>
              <w:spacing w:line="400" w:lineRule="exact"/>
              <w:jc w:val="center"/>
              <w:rPr>
                <w:rFonts w:ascii="宋体" w:hAnsi="宋体"/>
                <w:color w:val="000000" w:themeColor="text1"/>
                <w:szCs w:val="21"/>
                <w:highlight w:val="none"/>
                <w14:textFill>
                  <w14:solidFill>
                    <w14:schemeClr w14:val="tx1"/>
                  </w14:solidFill>
                </w14:textFill>
              </w:rPr>
            </w:pPr>
          </w:p>
        </w:tc>
        <w:tc>
          <w:tcPr>
            <w:tcW w:w="853" w:type="dxa"/>
            <w:noWrap w:val="0"/>
            <w:vAlign w:val="top"/>
          </w:tcPr>
          <w:p w14:paraId="6C24A984">
            <w:pPr>
              <w:spacing w:line="400" w:lineRule="exact"/>
              <w:jc w:val="center"/>
              <w:rPr>
                <w:rFonts w:ascii="宋体" w:hAnsi="宋体"/>
                <w:color w:val="000000" w:themeColor="text1"/>
                <w:szCs w:val="21"/>
                <w:highlight w:val="none"/>
                <w14:textFill>
                  <w14:solidFill>
                    <w14:schemeClr w14:val="tx1"/>
                  </w14:solidFill>
                </w14:textFill>
              </w:rPr>
            </w:pPr>
          </w:p>
        </w:tc>
        <w:tc>
          <w:tcPr>
            <w:tcW w:w="1028" w:type="dxa"/>
            <w:noWrap w:val="0"/>
            <w:vAlign w:val="top"/>
          </w:tcPr>
          <w:p w14:paraId="3318DA4F">
            <w:pPr>
              <w:spacing w:line="400" w:lineRule="exact"/>
              <w:jc w:val="center"/>
              <w:rPr>
                <w:rFonts w:ascii="宋体" w:hAnsi="宋体"/>
                <w:color w:val="000000" w:themeColor="text1"/>
                <w:szCs w:val="21"/>
                <w:highlight w:val="none"/>
                <w14:textFill>
                  <w14:solidFill>
                    <w14:schemeClr w14:val="tx1"/>
                  </w14:solidFill>
                </w14:textFill>
              </w:rPr>
            </w:pPr>
          </w:p>
        </w:tc>
        <w:tc>
          <w:tcPr>
            <w:tcW w:w="674" w:type="dxa"/>
            <w:noWrap w:val="0"/>
            <w:vAlign w:val="top"/>
          </w:tcPr>
          <w:p w14:paraId="5E4DF47C">
            <w:pPr>
              <w:spacing w:line="400" w:lineRule="exact"/>
              <w:jc w:val="center"/>
              <w:rPr>
                <w:rFonts w:ascii="宋体" w:hAnsi="宋体"/>
                <w:color w:val="000000" w:themeColor="text1"/>
                <w:szCs w:val="21"/>
                <w:highlight w:val="none"/>
                <w14:textFill>
                  <w14:solidFill>
                    <w14:schemeClr w14:val="tx1"/>
                  </w14:solidFill>
                </w14:textFill>
              </w:rPr>
            </w:pPr>
          </w:p>
        </w:tc>
      </w:tr>
    </w:tbl>
    <w:p w14:paraId="2EA98381">
      <w:pPr>
        <w:spacing w:line="400" w:lineRule="exact"/>
        <w:rPr>
          <w:rFonts w:eastAsia="黑体"/>
          <w:color w:val="000000" w:themeColor="text1"/>
          <w:sz w:val="19"/>
          <w:szCs w:val="19"/>
          <w:highlight w:val="none"/>
          <w14:textFill>
            <w14:solidFill>
              <w14:schemeClr w14:val="tx1"/>
            </w14:solidFill>
          </w14:textFill>
        </w:rPr>
      </w:pPr>
    </w:p>
    <w:p w14:paraId="38354218">
      <w:pPr>
        <w:spacing w:line="400" w:lineRule="exact"/>
        <w:rPr>
          <w:rFonts w:eastAsia="黑体"/>
          <w:color w:val="000000" w:themeColor="text1"/>
          <w:sz w:val="19"/>
          <w:szCs w:val="19"/>
          <w:highlight w:val="none"/>
          <w14:textFill>
            <w14:solidFill>
              <w14:schemeClr w14:val="tx1"/>
            </w14:solidFill>
          </w14:textFill>
        </w:rPr>
      </w:pPr>
      <w:r>
        <w:rPr>
          <w:rFonts w:eastAsia="黑体"/>
          <w:color w:val="000000" w:themeColor="text1"/>
          <w:sz w:val="19"/>
          <w:szCs w:val="19"/>
          <w:highlight w:val="none"/>
          <w14:textFill>
            <w14:solidFill>
              <w14:schemeClr w14:val="tx1"/>
            </w14:solidFill>
          </w14:textFill>
        </w:rPr>
        <w:br w:type="page"/>
      </w:r>
    </w:p>
    <w:p w14:paraId="6CCB7ACB">
      <w:pPr>
        <w:spacing w:line="400" w:lineRule="exact"/>
        <w:jc w:val="center"/>
        <w:outlineLvl w:val="3"/>
        <w:rPr>
          <w:rFonts w:ascii="宋体" w:hAnsi="宋体"/>
          <w:b/>
          <w:color w:val="000000" w:themeColor="text1"/>
          <w:sz w:val="24"/>
          <w:szCs w:val="31"/>
          <w:highlight w:val="none"/>
          <w14:textFill>
            <w14:solidFill>
              <w14:schemeClr w14:val="tx1"/>
            </w14:solidFill>
          </w14:textFill>
        </w:rPr>
      </w:pPr>
      <w:bookmarkStart w:id="1034" w:name="_Toc221952088"/>
      <w:bookmarkStart w:id="1035" w:name="_Toc168476328"/>
      <w:bookmarkStart w:id="1036" w:name="_Toc168475925"/>
      <w:bookmarkStart w:id="1037" w:name="_Toc144974866"/>
      <w:r>
        <w:rPr>
          <w:rFonts w:ascii="宋体" w:hAnsi="宋体"/>
          <w:b/>
          <w:color w:val="000000" w:themeColor="text1"/>
          <w:sz w:val="24"/>
          <w:szCs w:val="31"/>
          <w:highlight w:val="none"/>
          <w14:textFill>
            <w14:solidFill>
              <w14:schemeClr w14:val="tx1"/>
            </w14:solidFill>
          </w14:textFill>
        </w:rPr>
        <w:t>附表二：拟</w:t>
      </w:r>
      <w:r>
        <w:rPr>
          <w:rFonts w:hint="eastAsia" w:ascii="宋体" w:hAnsi="宋体"/>
          <w:b/>
          <w:color w:val="000000" w:themeColor="text1"/>
          <w:sz w:val="24"/>
          <w:szCs w:val="31"/>
          <w:highlight w:val="none"/>
          <w14:textFill>
            <w14:solidFill>
              <w14:schemeClr w14:val="tx1"/>
            </w14:solidFill>
          </w14:textFill>
        </w:rPr>
        <w:t>投入</w:t>
      </w:r>
      <w:r>
        <w:rPr>
          <w:rFonts w:ascii="宋体" w:hAnsi="宋体"/>
          <w:b/>
          <w:color w:val="000000" w:themeColor="text1"/>
          <w:sz w:val="24"/>
          <w:szCs w:val="31"/>
          <w:highlight w:val="none"/>
          <w14:textFill>
            <w14:solidFill>
              <w14:schemeClr w14:val="tx1"/>
            </w14:solidFill>
          </w14:textFill>
        </w:rPr>
        <w:t>本标段的</w:t>
      </w:r>
      <w:r>
        <w:rPr>
          <w:rFonts w:hint="eastAsia" w:ascii="宋体" w:hAnsi="宋体"/>
          <w:b/>
          <w:color w:val="000000" w:themeColor="text1"/>
          <w:sz w:val="24"/>
          <w:szCs w:val="31"/>
          <w:highlight w:val="none"/>
          <w14:textFill>
            <w14:solidFill>
              <w14:schemeClr w14:val="tx1"/>
            </w14:solidFill>
          </w14:textFill>
        </w:rPr>
        <w:t>试</w:t>
      </w:r>
      <w:r>
        <w:rPr>
          <w:rFonts w:ascii="宋体" w:hAnsi="宋体"/>
          <w:b/>
          <w:color w:val="000000" w:themeColor="text1"/>
          <w:sz w:val="24"/>
          <w:szCs w:val="31"/>
          <w:highlight w:val="none"/>
          <w14:textFill>
            <w14:solidFill>
              <w14:schemeClr w14:val="tx1"/>
            </w14:solidFill>
          </w14:textFill>
        </w:rPr>
        <w:t>验和检测仪器设备表</w:t>
      </w:r>
      <w:bookmarkEnd w:id="1034"/>
      <w:bookmarkEnd w:id="1035"/>
      <w:bookmarkEnd w:id="1036"/>
      <w:bookmarkEnd w:id="1037"/>
    </w:p>
    <w:p w14:paraId="2631183D">
      <w:pPr>
        <w:spacing w:line="400" w:lineRule="exact"/>
        <w:rPr>
          <w:color w:val="000000" w:themeColor="text1"/>
          <w:sz w:val="19"/>
          <w:szCs w:val="19"/>
          <w:highlight w:val="none"/>
          <w14:textFill>
            <w14:solidFill>
              <w14:schemeClr w14:val="tx1"/>
            </w14:solidFill>
          </w14:textFill>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95"/>
        <w:gridCol w:w="882"/>
        <w:gridCol w:w="882"/>
        <w:gridCol w:w="677"/>
        <w:gridCol w:w="744"/>
        <w:gridCol w:w="1221"/>
        <w:gridCol w:w="1665"/>
        <w:gridCol w:w="691"/>
      </w:tblGrid>
      <w:tr w14:paraId="2C0D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5BDE299B">
            <w:pPr>
              <w:spacing w:line="400" w:lineRule="exact"/>
              <w:jc w:val="center"/>
              <w:rPr>
                <w:rFonts w:ascii="宋体" w:hAnsi="宋体"/>
                <w:color w:val="000000" w:themeColor="text1"/>
                <w:szCs w:val="21"/>
                <w:highlight w:val="none"/>
                <w14:textFill>
                  <w14:solidFill>
                    <w14:schemeClr w14:val="tx1"/>
                  </w14:solidFill>
                </w14:textFill>
              </w:rPr>
            </w:pPr>
            <w:bookmarkStart w:id="1038" w:name="_Toc221952089"/>
            <w:r>
              <w:rPr>
                <w:rFonts w:ascii="宋体" w:hAnsi="宋体"/>
                <w:color w:val="000000" w:themeColor="text1"/>
                <w:szCs w:val="21"/>
                <w:highlight w:val="none"/>
                <w14:textFill>
                  <w14:solidFill>
                    <w14:schemeClr w14:val="tx1"/>
                  </w14:solidFill>
                </w14:textFill>
              </w:rPr>
              <w:t>序号</w:t>
            </w:r>
            <w:bookmarkEnd w:id="1038"/>
          </w:p>
        </w:tc>
        <w:tc>
          <w:tcPr>
            <w:tcW w:w="1095" w:type="dxa"/>
            <w:noWrap w:val="0"/>
            <w:vAlign w:val="top"/>
          </w:tcPr>
          <w:p w14:paraId="2C8DB3E0">
            <w:pPr>
              <w:spacing w:line="400" w:lineRule="exact"/>
              <w:jc w:val="center"/>
              <w:rPr>
                <w:rFonts w:ascii="宋体" w:hAnsi="宋体"/>
                <w:color w:val="000000" w:themeColor="text1"/>
                <w:szCs w:val="21"/>
                <w:highlight w:val="none"/>
                <w14:textFill>
                  <w14:solidFill>
                    <w14:schemeClr w14:val="tx1"/>
                  </w14:solidFill>
                </w14:textFill>
              </w:rPr>
            </w:pPr>
            <w:bookmarkStart w:id="1039" w:name="_Toc221952090"/>
            <w:r>
              <w:rPr>
                <w:rFonts w:ascii="宋体" w:hAnsi="宋体"/>
                <w:color w:val="000000" w:themeColor="text1"/>
                <w:szCs w:val="21"/>
                <w:highlight w:val="none"/>
                <w14:textFill>
                  <w14:solidFill>
                    <w14:schemeClr w14:val="tx1"/>
                  </w14:solidFill>
                </w14:textFill>
              </w:rPr>
              <w:t>仪器设备名称</w:t>
            </w:r>
            <w:bookmarkEnd w:id="1039"/>
          </w:p>
        </w:tc>
        <w:tc>
          <w:tcPr>
            <w:tcW w:w="882" w:type="dxa"/>
            <w:noWrap w:val="0"/>
            <w:vAlign w:val="top"/>
          </w:tcPr>
          <w:p w14:paraId="23EC0C94">
            <w:pPr>
              <w:spacing w:line="400" w:lineRule="exact"/>
              <w:jc w:val="center"/>
              <w:rPr>
                <w:rFonts w:ascii="宋体" w:hAnsi="宋体"/>
                <w:color w:val="000000" w:themeColor="text1"/>
                <w:szCs w:val="21"/>
                <w:highlight w:val="none"/>
                <w14:textFill>
                  <w14:solidFill>
                    <w14:schemeClr w14:val="tx1"/>
                  </w14:solidFill>
                </w14:textFill>
              </w:rPr>
            </w:pPr>
            <w:bookmarkStart w:id="1040" w:name="_Toc221952091"/>
            <w:r>
              <w:rPr>
                <w:rFonts w:ascii="宋体" w:hAnsi="宋体"/>
                <w:color w:val="000000" w:themeColor="text1"/>
                <w:szCs w:val="21"/>
                <w:highlight w:val="none"/>
                <w14:textFill>
                  <w14:solidFill>
                    <w14:schemeClr w14:val="tx1"/>
                  </w14:solidFill>
                </w14:textFill>
              </w:rPr>
              <w:t>型号</w:t>
            </w:r>
            <w:bookmarkEnd w:id="1040"/>
          </w:p>
          <w:p w14:paraId="2CD21CB0">
            <w:pPr>
              <w:spacing w:line="400" w:lineRule="exact"/>
              <w:jc w:val="center"/>
              <w:rPr>
                <w:rFonts w:ascii="宋体" w:hAnsi="宋体"/>
                <w:color w:val="000000" w:themeColor="text1"/>
                <w:szCs w:val="21"/>
                <w:highlight w:val="none"/>
                <w14:textFill>
                  <w14:solidFill>
                    <w14:schemeClr w14:val="tx1"/>
                  </w14:solidFill>
                </w14:textFill>
              </w:rPr>
            </w:pPr>
            <w:bookmarkStart w:id="1041" w:name="_Toc221952092"/>
            <w:r>
              <w:rPr>
                <w:rFonts w:ascii="宋体" w:hAnsi="宋体"/>
                <w:color w:val="000000" w:themeColor="text1"/>
                <w:szCs w:val="21"/>
                <w:highlight w:val="none"/>
                <w14:textFill>
                  <w14:solidFill>
                    <w14:schemeClr w14:val="tx1"/>
                  </w14:solidFill>
                </w14:textFill>
              </w:rPr>
              <w:t>规格</w:t>
            </w:r>
            <w:bookmarkEnd w:id="1041"/>
          </w:p>
        </w:tc>
        <w:tc>
          <w:tcPr>
            <w:tcW w:w="882" w:type="dxa"/>
            <w:noWrap w:val="0"/>
            <w:vAlign w:val="top"/>
          </w:tcPr>
          <w:p w14:paraId="2683F763">
            <w:pPr>
              <w:spacing w:line="400" w:lineRule="exact"/>
              <w:jc w:val="center"/>
              <w:rPr>
                <w:rFonts w:ascii="宋体" w:hAnsi="宋体"/>
                <w:color w:val="000000" w:themeColor="text1"/>
                <w:szCs w:val="21"/>
                <w:highlight w:val="none"/>
                <w14:textFill>
                  <w14:solidFill>
                    <w14:schemeClr w14:val="tx1"/>
                  </w14:solidFill>
                </w14:textFill>
              </w:rPr>
            </w:pPr>
            <w:bookmarkStart w:id="1042" w:name="_Toc221952093"/>
            <w:r>
              <w:rPr>
                <w:rFonts w:ascii="宋体" w:hAnsi="宋体"/>
                <w:color w:val="000000" w:themeColor="text1"/>
                <w:szCs w:val="21"/>
                <w:highlight w:val="none"/>
                <w14:textFill>
                  <w14:solidFill>
                    <w14:schemeClr w14:val="tx1"/>
                  </w14:solidFill>
                </w14:textFill>
              </w:rPr>
              <w:t>数量</w:t>
            </w:r>
            <w:bookmarkEnd w:id="1042"/>
          </w:p>
        </w:tc>
        <w:tc>
          <w:tcPr>
            <w:tcW w:w="677" w:type="dxa"/>
            <w:noWrap w:val="0"/>
            <w:vAlign w:val="top"/>
          </w:tcPr>
          <w:p w14:paraId="26E81EF2">
            <w:pPr>
              <w:spacing w:line="400" w:lineRule="exact"/>
              <w:jc w:val="center"/>
              <w:rPr>
                <w:rFonts w:ascii="宋体" w:hAnsi="宋体"/>
                <w:color w:val="000000" w:themeColor="text1"/>
                <w:szCs w:val="21"/>
                <w:highlight w:val="none"/>
                <w14:textFill>
                  <w14:solidFill>
                    <w14:schemeClr w14:val="tx1"/>
                  </w14:solidFill>
                </w14:textFill>
              </w:rPr>
            </w:pPr>
            <w:bookmarkStart w:id="1043" w:name="_Toc221952094"/>
            <w:r>
              <w:rPr>
                <w:rFonts w:ascii="宋体" w:hAnsi="宋体"/>
                <w:color w:val="000000" w:themeColor="text1"/>
                <w:szCs w:val="21"/>
                <w:highlight w:val="none"/>
                <w14:textFill>
                  <w14:solidFill>
                    <w14:schemeClr w14:val="tx1"/>
                  </w14:solidFill>
                </w14:textFill>
              </w:rPr>
              <w:t>国别</w:t>
            </w:r>
            <w:bookmarkEnd w:id="1043"/>
          </w:p>
          <w:p w14:paraId="58A28681">
            <w:pPr>
              <w:spacing w:line="400" w:lineRule="exact"/>
              <w:jc w:val="center"/>
              <w:rPr>
                <w:rFonts w:ascii="宋体" w:hAnsi="宋体"/>
                <w:color w:val="000000" w:themeColor="text1"/>
                <w:szCs w:val="21"/>
                <w:highlight w:val="none"/>
                <w14:textFill>
                  <w14:solidFill>
                    <w14:schemeClr w14:val="tx1"/>
                  </w14:solidFill>
                </w14:textFill>
              </w:rPr>
            </w:pPr>
            <w:bookmarkStart w:id="1044" w:name="_Toc221952095"/>
            <w:r>
              <w:rPr>
                <w:rFonts w:ascii="宋体" w:hAnsi="宋体"/>
                <w:color w:val="000000" w:themeColor="text1"/>
                <w:szCs w:val="21"/>
                <w:highlight w:val="none"/>
                <w14:textFill>
                  <w14:solidFill>
                    <w14:schemeClr w14:val="tx1"/>
                  </w14:solidFill>
                </w14:textFill>
              </w:rPr>
              <w:t>产地</w:t>
            </w:r>
            <w:bookmarkEnd w:id="1044"/>
          </w:p>
        </w:tc>
        <w:tc>
          <w:tcPr>
            <w:tcW w:w="744" w:type="dxa"/>
            <w:noWrap w:val="0"/>
            <w:vAlign w:val="top"/>
          </w:tcPr>
          <w:p w14:paraId="20BFFE19">
            <w:pPr>
              <w:spacing w:line="400" w:lineRule="exact"/>
              <w:jc w:val="center"/>
              <w:rPr>
                <w:rFonts w:ascii="宋体" w:hAnsi="宋体"/>
                <w:color w:val="000000" w:themeColor="text1"/>
                <w:szCs w:val="21"/>
                <w:highlight w:val="none"/>
                <w14:textFill>
                  <w14:solidFill>
                    <w14:schemeClr w14:val="tx1"/>
                  </w14:solidFill>
                </w14:textFill>
              </w:rPr>
            </w:pPr>
            <w:bookmarkStart w:id="1045" w:name="_Toc221952096"/>
            <w:r>
              <w:rPr>
                <w:rFonts w:ascii="宋体" w:hAnsi="宋体"/>
                <w:color w:val="000000" w:themeColor="text1"/>
                <w:szCs w:val="21"/>
                <w:highlight w:val="none"/>
                <w14:textFill>
                  <w14:solidFill>
                    <w14:schemeClr w14:val="tx1"/>
                  </w14:solidFill>
                </w14:textFill>
              </w:rPr>
              <w:t>制造</w:t>
            </w:r>
            <w:bookmarkEnd w:id="1045"/>
          </w:p>
          <w:p w14:paraId="3920B8BC">
            <w:pPr>
              <w:spacing w:line="400" w:lineRule="exact"/>
              <w:jc w:val="center"/>
              <w:rPr>
                <w:rFonts w:ascii="宋体" w:hAnsi="宋体"/>
                <w:color w:val="000000" w:themeColor="text1"/>
                <w:szCs w:val="21"/>
                <w:highlight w:val="none"/>
                <w14:textFill>
                  <w14:solidFill>
                    <w14:schemeClr w14:val="tx1"/>
                  </w14:solidFill>
                </w14:textFill>
              </w:rPr>
            </w:pPr>
            <w:bookmarkStart w:id="1046" w:name="_Toc221952097"/>
            <w:r>
              <w:rPr>
                <w:rFonts w:ascii="宋体" w:hAnsi="宋体"/>
                <w:color w:val="000000" w:themeColor="text1"/>
                <w:szCs w:val="21"/>
                <w:highlight w:val="none"/>
                <w14:textFill>
                  <w14:solidFill>
                    <w14:schemeClr w14:val="tx1"/>
                  </w14:solidFill>
                </w14:textFill>
              </w:rPr>
              <w:t>年份</w:t>
            </w:r>
            <w:bookmarkEnd w:id="1046"/>
          </w:p>
        </w:tc>
        <w:tc>
          <w:tcPr>
            <w:tcW w:w="1221" w:type="dxa"/>
            <w:noWrap w:val="0"/>
            <w:vAlign w:val="top"/>
          </w:tcPr>
          <w:p w14:paraId="3FD47978">
            <w:pPr>
              <w:spacing w:line="400" w:lineRule="exact"/>
              <w:jc w:val="center"/>
              <w:rPr>
                <w:rFonts w:ascii="宋体" w:hAnsi="宋体"/>
                <w:color w:val="000000" w:themeColor="text1"/>
                <w:szCs w:val="21"/>
                <w:highlight w:val="none"/>
                <w14:textFill>
                  <w14:solidFill>
                    <w14:schemeClr w14:val="tx1"/>
                  </w14:solidFill>
                </w14:textFill>
              </w:rPr>
            </w:pPr>
            <w:bookmarkStart w:id="1047" w:name="_Toc221952098"/>
            <w:r>
              <w:rPr>
                <w:rFonts w:ascii="宋体" w:hAnsi="宋体"/>
                <w:color w:val="000000" w:themeColor="text1"/>
                <w:szCs w:val="21"/>
                <w:highlight w:val="none"/>
                <w14:textFill>
                  <w14:solidFill>
                    <w14:schemeClr w14:val="tx1"/>
                  </w14:solidFill>
                </w14:textFill>
              </w:rPr>
              <w:t>已使用台时数</w:t>
            </w:r>
            <w:bookmarkEnd w:id="1047"/>
          </w:p>
        </w:tc>
        <w:tc>
          <w:tcPr>
            <w:tcW w:w="1665" w:type="dxa"/>
            <w:noWrap w:val="0"/>
            <w:vAlign w:val="top"/>
          </w:tcPr>
          <w:p w14:paraId="7D17A189">
            <w:pPr>
              <w:spacing w:line="400" w:lineRule="exact"/>
              <w:jc w:val="center"/>
              <w:rPr>
                <w:rFonts w:ascii="宋体" w:hAnsi="宋体"/>
                <w:color w:val="000000" w:themeColor="text1"/>
                <w:szCs w:val="21"/>
                <w:highlight w:val="none"/>
                <w14:textFill>
                  <w14:solidFill>
                    <w14:schemeClr w14:val="tx1"/>
                  </w14:solidFill>
                </w14:textFill>
              </w:rPr>
            </w:pPr>
            <w:bookmarkStart w:id="1048" w:name="_Toc221952099"/>
            <w:r>
              <w:rPr>
                <w:rFonts w:ascii="宋体" w:hAnsi="宋体"/>
                <w:color w:val="000000" w:themeColor="text1"/>
                <w:szCs w:val="21"/>
                <w:highlight w:val="none"/>
                <w14:textFill>
                  <w14:solidFill>
                    <w14:schemeClr w14:val="tx1"/>
                  </w14:solidFill>
                </w14:textFill>
              </w:rPr>
              <w:t>用途</w:t>
            </w:r>
            <w:bookmarkEnd w:id="1048"/>
          </w:p>
        </w:tc>
        <w:tc>
          <w:tcPr>
            <w:tcW w:w="691" w:type="dxa"/>
            <w:noWrap w:val="0"/>
            <w:vAlign w:val="top"/>
          </w:tcPr>
          <w:p w14:paraId="2C9269D9">
            <w:pPr>
              <w:spacing w:line="400" w:lineRule="exact"/>
              <w:jc w:val="center"/>
              <w:rPr>
                <w:rFonts w:ascii="宋体" w:hAnsi="宋体"/>
                <w:color w:val="000000" w:themeColor="text1"/>
                <w:szCs w:val="21"/>
                <w:highlight w:val="none"/>
                <w14:textFill>
                  <w14:solidFill>
                    <w14:schemeClr w14:val="tx1"/>
                  </w14:solidFill>
                </w14:textFill>
              </w:rPr>
            </w:pPr>
            <w:bookmarkStart w:id="1049" w:name="_Toc221952100"/>
            <w:r>
              <w:rPr>
                <w:rFonts w:ascii="宋体" w:hAnsi="宋体"/>
                <w:color w:val="000000" w:themeColor="text1"/>
                <w:szCs w:val="21"/>
                <w:highlight w:val="none"/>
                <w14:textFill>
                  <w14:solidFill>
                    <w14:schemeClr w14:val="tx1"/>
                  </w14:solidFill>
                </w14:textFill>
              </w:rPr>
              <w:t>备注</w:t>
            </w:r>
            <w:bookmarkEnd w:id="1049"/>
          </w:p>
        </w:tc>
      </w:tr>
      <w:tr w14:paraId="5EDF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2C51D983">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0F472DD2">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78EAB1D0">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277AB659">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5619C263">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52420B4C">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2199FE4E">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242CE9CA">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2357E267">
            <w:pPr>
              <w:spacing w:line="400" w:lineRule="exact"/>
              <w:jc w:val="center"/>
              <w:rPr>
                <w:rFonts w:ascii="宋体" w:hAnsi="宋体"/>
                <w:color w:val="000000" w:themeColor="text1"/>
                <w:szCs w:val="21"/>
                <w:highlight w:val="none"/>
                <w14:textFill>
                  <w14:solidFill>
                    <w14:schemeClr w14:val="tx1"/>
                  </w14:solidFill>
                </w14:textFill>
              </w:rPr>
            </w:pPr>
          </w:p>
        </w:tc>
      </w:tr>
      <w:tr w14:paraId="66D2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120F8B01">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2ADD08E9">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13BADE45">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28093B61">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3A1E040B">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709F8CE6">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4F5779A7">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3FF8C1A6">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5A1F628F">
            <w:pPr>
              <w:spacing w:line="400" w:lineRule="exact"/>
              <w:jc w:val="center"/>
              <w:rPr>
                <w:rFonts w:ascii="宋体" w:hAnsi="宋体"/>
                <w:color w:val="000000" w:themeColor="text1"/>
                <w:szCs w:val="21"/>
                <w:highlight w:val="none"/>
                <w14:textFill>
                  <w14:solidFill>
                    <w14:schemeClr w14:val="tx1"/>
                  </w14:solidFill>
                </w14:textFill>
              </w:rPr>
            </w:pPr>
          </w:p>
        </w:tc>
      </w:tr>
      <w:tr w14:paraId="7E26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12372080">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53FE7DA9">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35E9C2DD">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10B08B27">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0BBF2166">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2DF7A981">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4ADDE105">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1DD513FA">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1A7458C8">
            <w:pPr>
              <w:spacing w:line="400" w:lineRule="exact"/>
              <w:jc w:val="center"/>
              <w:rPr>
                <w:rFonts w:ascii="宋体" w:hAnsi="宋体"/>
                <w:color w:val="000000" w:themeColor="text1"/>
                <w:szCs w:val="21"/>
                <w:highlight w:val="none"/>
                <w14:textFill>
                  <w14:solidFill>
                    <w14:schemeClr w14:val="tx1"/>
                  </w14:solidFill>
                </w14:textFill>
              </w:rPr>
            </w:pPr>
          </w:p>
        </w:tc>
      </w:tr>
      <w:tr w14:paraId="1B8E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17B47109">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4FF3B01E">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1A4CC856">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08179C75">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5A409972">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21702C27">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45BA3DEB">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25C0AF4B">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022E0BD4">
            <w:pPr>
              <w:spacing w:line="400" w:lineRule="exact"/>
              <w:jc w:val="center"/>
              <w:rPr>
                <w:rFonts w:ascii="宋体" w:hAnsi="宋体"/>
                <w:color w:val="000000" w:themeColor="text1"/>
                <w:szCs w:val="21"/>
                <w:highlight w:val="none"/>
                <w14:textFill>
                  <w14:solidFill>
                    <w14:schemeClr w14:val="tx1"/>
                  </w14:solidFill>
                </w14:textFill>
              </w:rPr>
            </w:pPr>
          </w:p>
        </w:tc>
      </w:tr>
      <w:tr w14:paraId="2432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3FE8785E">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3F78D93C">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7752CBE3">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046635F0">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6CC51917">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751F9CE9">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27749D0C">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46F271A1">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1B02C8F9">
            <w:pPr>
              <w:spacing w:line="400" w:lineRule="exact"/>
              <w:jc w:val="center"/>
              <w:rPr>
                <w:rFonts w:ascii="宋体" w:hAnsi="宋体"/>
                <w:color w:val="000000" w:themeColor="text1"/>
                <w:szCs w:val="21"/>
                <w:highlight w:val="none"/>
                <w14:textFill>
                  <w14:solidFill>
                    <w14:schemeClr w14:val="tx1"/>
                  </w14:solidFill>
                </w14:textFill>
              </w:rPr>
            </w:pPr>
          </w:p>
        </w:tc>
      </w:tr>
      <w:tr w14:paraId="63C5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2B68BC95">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5AC55530">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2DAD2C20">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50B52F48">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6CAD2202">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1ECAD57F">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592F407D">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183E4742">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1A5FDAE5">
            <w:pPr>
              <w:spacing w:line="400" w:lineRule="exact"/>
              <w:jc w:val="center"/>
              <w:rPr>
                <w:rFonts w:ascii="宋体" w:hAnsi="宋体"/>
                <w:color w:val="000000" w:themeColor="text1"/>
                <w:szCs w:val="21"/>
                <w:highlight w:val="none"/>
                <w14:textFill>
                  <w14:solidFill>
                    <w14:schemeClr w14:val="tx1"/>
                  </w14:solidFill>
                </w14:textFill>
              </w:rPr>
            </w:pPr>
          </w:p>
        </w:tc>
      </w:tr>
      <w:tr w14:paraId="3282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63661E3E">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4DABDE35">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6BCE468C">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39866CE3">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230EB8AE">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701167D4">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6F7ADE97">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31139A8B">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0EC9B9E8">
            <w:pPr>
              <w:spacing w:line="400" w:lineRule="exact"/>
              <w:jc w:val="center"/>
              <w:rPr>
                <w:rFonts w:ascii="宋体" w:hAnsi="宋体"/>
                <w:color w:val="000000" w:themeColor="text1"/>
                <w:szCs w:val="21"/>
                <w:highlight w:val="none"/>
                <w14:textFill>
                  <w14:solidFill>
                    <w14:schemeClr w14:val="tx1"/>
                  </w14:solidFill>
                </w14:textFill>
              </w:rPr>
            </w:pPr>
          </w:p>
        </w:tc>
      </w:tr>
      <w:tr w14:paraId="57C7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05FEB23A">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356935AB">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752105CC">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7F9285E1">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5E3E0684">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6A96EC7C">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35DBEB9F">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2786BF2C">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0FC51F21">
            <w:pPr>
              <w:spacing w:line="400" w:lineRule="exact"/>
              <w:jc w:val="center"/>
              <w:rPr>
                <w:rFonts w:ascii="宋体" w:hAnsi="宋体"/>
                <w:color w:val="000000" w:themeColor="text1"/>
                <w:szCs w:val="21"/>
                <w:highlight w:val="none"/>
                <w14:textFill>
                  <w14:solidFill>
                    <w14:schemeClr w14:val="tx1"/>
                  </w14:solidFill>
                </w14:textFill>
              </w:rPr>
            </w:pPr>
          </w:p>
        </w:tc>
      </w:tr>
      <w:tr w14:paraId="14FB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74E11B3D">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21D24A11">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17382444">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29C62D1C">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2876D36C">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0065AC71">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20520DC7">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19862353">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7133AD42">
            <w:pPr>
              <w:spacing w:line="400" w:lineRule="exact"/>
              <w:jc w:val="center"/>
              <w:rPr>
                <w:rFonts w:ascii="宋体" w:hAnsi="宋体"/>
                <w:color w:val="000000" w:themeColor="text1"/>
                <w:szCs w:val="21"/>
                <w:highlight w:val="none"/>
                <w14:textFill>
                  <w14:solidFill>
                    <w14:schemeClr w14:val="tx1"/>
                  </w14:solidFill>
                </w14:textFill>
              </w:rPr>
            </w:pPr>
          </w:p>
        </w:tc>
      </w:tr>
      <w:tr w14:paraId="489C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620547C3">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1461CD14">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115C0983">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19194BCD">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1C56BDEA">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41D2E8B9">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0CA91A88">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245E90C4">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6BE6669A">
            <w:pPr>
              <w:spacing w:line="400" w:lineRule="exact"/>
              <w:jc w:val="center"/>
              <w:rPr>
                <w:rFonts w:ascii="宋体" w:hAnsi="宋体"/>
                <w:color w:val="000000" w:themeColor="text1"/>
                <w:szCs w:val="21"/>
                <w:highlight w:val="none"/>
                <w14:textFill>
                  <w14:solidFill>
                    <w14:schemeClr w14:val="tx1"/>
                  </w14:solidFill>
                </w14:textFill>
              </w:rPr>
            </w:pPr>
          </w:p>
        </w:tc>
      </w:tr>
      <w:tr w14:paraId="0AFC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356F4250">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4F5DDF10">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3F5AC644">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27A9E2F6">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18085658">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2E413326">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2A820A9B">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116BF60A">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2C991339">
            <w:pPr>
              <w:spacing w:line="400" w:lineRule="exact"/>
              <w:jc w:val="center"/>
              <w:rPr>
                <w:rFonts w:ascii="宋体" w:hAnsi="宋体"/>
                <w:color w:val="000000" w:themeColor="text1"/>
                <w:szCs w:val="21"/>
                <w:highlight w:val="none"/>
                <w14:textFill>
                  <w14:solidFill>
                    <w14:schemeClr w14:val="tx1"/>
                  </w14:solidFill>
                </w14:textFill>
              </w:rPr>
            </w:pPr>
          </w:p>
        </w:tc>
      </w:tr>
      <w:tr w14:paraId="5973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65767593">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5DF42B09">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63A064E9">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4E1ABF5D">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5B6849B9">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0E29044A">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06C59BC3">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7A50F95D">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273BAD70">
            <w:pPr>
              <w:spacing w:line="400" w:lineRule="exact"/>
              <w:jc w:val="center"/>
              <w:rPr>
                <w:rFonts w:ascii="宋体" w:hAnsi="宋体"/>
                <w:color w:val="000000" w:themeColor="text1"/>
                <w:szCs w:val="21"/>
                <w:highlight w:val="none"/>
                <w14:textFill>
                  <w14:solidFill>
                    <w14:schemeClr w14:val="tx1"/>
                  </w14:solidFill>
                </w14:textFill>
              </w:rPr>
            </w:pPr>
          </w:p>
        </w:tc>
      </w:tr>
      <w:tr w14:paraId="6C0C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0E6C3D98">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6C885F48">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473280EE">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5E9F0E3F">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06260670">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0F4F84A1">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379F4142">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52DE1BC7">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7F232DB8">
            <w:pPr>
              <w:spacing w:line="400" w:lineRule="exact"/>
              <w:jc w:val="center"/>
              <w:rPr>
                <w:rFonts w:ascii="宋体" w:hAnsi="宋体"/>
                <w:color w:val="000000" w:themeColor="text1"/>
                <w:szCs w:val="21"/>
                <w:highlight w:val="none"/>
                <w14:textFill>
                  <w14:solidFill>
                    <w14:schemeClr w14:val="tx1"/>
                  </w14:solidFill>
                </w14:textFill>
              </w:rPr>
            </w:pPr>
          </w:p>
        </w:tc>
      </w:tr>
      <w:tr w14:paraId="511A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466E38A3">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1959E281">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66142644">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41930296">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0A00C971">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540C950D">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743805D1">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76E1E683">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32B6EBCE">
            <w:pPr>
              <w:spacing w:line="400" w:lineRule="exact"/>
              <w:jc w:val="center"/>
              <w:rPr>
                <w:rFonts w:ascii="宋体" w:hAnsi="宋体"/>
                <w:color w:val="000000" w:themeColor="text1"/>
                <w:szCs w:val="21"/>
                <w:highlight w:val="none"/>
                <w14:textFill>
                  <w14:solidFill>
                    <w14:schemeClr w14:val="tx1"/>
                  </w14:solidFill>
                </w14:textFill>
              </w:rPr>
            </w:pPr>
          </w:p>
        </w:tc>
      </w:tr>
      <w:tr w14:paraId="2458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62EB0CBB">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0F978E1B">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6EA28A7D">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28E73829">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41964169">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0109DEF1">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5D4AA6B4">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5C23AC2C">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3F7D4A34">
            <w:pPr>
              <w:spacing w:line="400" w:lineRule="exact"/>
              <w:jc w:val="center"/>
              <w:rPr>
                <w:rFonts w:ascii="宋体" w:hAnsi="宋体"/>
                <w:color w:val="000000" w:themeColor="text1"/>
                <w:szCs w:val="21"/>
                <w:highlight w:val="none"/>
                <w14:textFill>
                  <w14:solidFill>
                    <w14:schemeClr w14:val="tx1"/>
                  </w14:solidFill>
                </w14:textFill>
              </w:rPr>
            </w:pPr>
          </w:p>
        </w:tc>
      </w:tr>
      <w:tr w14:paraId="04CB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79E251CB">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725F5966">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2A473C9A">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2D622EB9">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4328D0A5">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0A3D5817">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407F1023">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060EF0E7">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50E0492F">
            <w:pPr>
              <w:spacing w:line="400" w:lineRule="exact"/>
              <w:jc w:val="center"/>
              <w:rPr>
                <w:rFonts w:ascii="宋体" w:hAnsi="宋体"/>
                <w:color w:val="000000" w:themeColor="text1"/>
                <w:szCs w:val="21"/>
                <w:highlight w:val="none"/>
                <w14:textFill>
                  <w14:solidFill>
                    <w14:schemeClr w14:val="tx1"/>
                  </w14:solidFill>
                </w14:textFill>
              </w:rPr>
            </w:pPr>
          </w:p>
        </w:tc>
      </w:tr>
      <w:tr w14:paraId="459A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26BB2062">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15166FC5">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333C8FCD">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7A4B382B">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186828CA">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21A513DE">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67CDD7DB">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3FB49F9E">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02EF84D8">
            <w:pPr>
              <w:spacing w:line="400" w:lineRule="exact"/>
              <w:jc w:val="center"/>
              <w:rPr>
                <w:rFonts w:ascii="宋体" w:hAnsi="宋体"/>
                <w:color w:val="000000" w:themeColor="text1"/>
                <w:szCs w:val="21"/>
                <w:highlight w:val="none"/>
                <w14:textFill>
                  <w14:solidFill>
                    <w14:schemeClr w14:val="tx1"/>
                  </w14:solidFill>
                </w14:textFill>
              </w:rPr>
            </w:pPr>
          </w:p>
        </w:tc>
      </w:tr>
      <w:tr w14:paraId="714F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5B14866E">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1943852D">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4A493D45">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574AE511">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490F6517">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045872E6">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5225F036">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2F6C15B7">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1A706F2C">
            <w:pPr>
              <w:spacing w:line="400" w:lineRule="exact"/>
              <w:jc w:val="center"/>
              <w:rPr>
                <w:rFonts w:ascii="宋体" w:hAnsi="宋体"/>
                <w:color w:val="000000" w:themeColor="text1"/>
                <w:szCs w:val="21"/>
                <w:highlight w:val="none"/>
                <w14:textFill>
                  <w14:solidFill>
                    <w14:schemeClr w14:val="tx1"/>
                  </w14:solidFill>
                </w14:textFill>
              </w:rPr>
            </w:pPr>
          </w:p>
        </w:tc>
      </w:tr>
      <w:tr w14:paraId="1E19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73A2BA97">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7D3498BA">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082469A7">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46202FEA">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1DC20F57">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7FE40C1C">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184E743F">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2272B99A">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23DB4C79">
            <w:pPr>
              <w:spacing w:line="400" w:lineRule="exact"/>
              <w:jc w:val="center"/>
              <w:rPr>
                <w:rFonts w:ascii="宋体" w:hAnsi="宋体"/>
                <w:color w:val="000000" w:themeColor="text1"/>
                <w:szCs w:val="21"/>
                <w:highlight w:val="none"/>
                <w14:textFill>
                  <w14:solidFill>
                    <w14:schemeClr w14:val="tx1"/>
                  </w14:solidFill>
                </w14:textFill>
              </w:rPr>
            </w:pPr>
          </w:p>
        </w:tc>
      </w:tr>
      <w:tr w14:paraId="1A63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51C8CC96">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25724C53">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2216C361">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6A920C24">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3EFD7C2C">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00ED3654">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21FB217A">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59E158D9">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4F696681">
            <w:pPr>
              <w:spacing w:line="400" w:lineRule="exact"/>
              <w:jc w:val="center"/>
              <w:rPr>
                <w:rFonts w:ascii="宋体" w:hAnsi="宋体"/>
                <w:color w:val="000000" w:themeColor="text1"/>
                <w:szCs w:val="21"/>
                <w:highlight w:val="none"/>
                <w14:textFill>
                  <w14:solidFill>
                    <w14:schemeClr w14:val="tx1"/>
                  </w14:solidFill>
                </w14:textFill>
              </w:rPr>
            </w:pPr>
          </w:p>
        </w:tc>
      </w:tr>
      <w:tr w14:paraId="55E6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7195F4FC">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60DB93FA">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12749F74">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0ED4774C">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6D17534F">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43574A94">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5DEC1737">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2E95798B">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11BB0D74">
            <w:pPr>
              <w:spacing w:line="400" w:lineRule="exact"/>
              <w:jc w:val="center"/>
              <w:rPr>
                <w:rFonts w:ascii="宋体" w:hAnsi="宋体"/>
                <w:color w:val="000000" w:themeColor="text1"/>
                <w:szCs w:val="21"/>
                <w:highlight w:val="none"/>
                <w14:textFill>
                  <w14:solidFill>
                    <w14:schemeClr w14:val="tx1"/>
                  </w14:solidFill>
                </w14:textFill>
              </w:rPr>
            </w:pPr>
          </w:p>
        </w:tc>
      </w:tr>
      <w:tr w14:paraId="1127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15D6F0EE">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04EFA010">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39CEA490">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37B8D9D3">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6993546B">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42A3CBA4">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25D5C04E">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61E62CB5">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50D2376C">
            <w:pPr>
              <w:spacing w:line="400" w:lineRule="exact"/>
              <w:jc w:val="center"/>
              <w:rPr>
                <w:rFonts w:ascii="宋体" w:hAnsi="宋体"/>
                <w:color w:val="000000" w:themeColor="text1"/>
                <w:szCs w:val="21"/>
                <w:highlight w:val="none"/>
                <w14:textFill>
                  <w14:solidFill>
                    <w14:schemeClr w14:val="tx1"/>
                  </w14:solidFill>
                </w14:textFill>
              </w:rPr>
            </w:pPr>
          </w:p>
        </w:tc>
      </w:tr>
      <w:tr w14:paraId="6FDB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658D195B">
            <w:pPr>
              <w:spacing w:line="400" w:lineRule="exact"/>
              <w:jc w:val="center"/>
              <w:rPr>
                <w:rFonts w:ascii="宋体" w:hAnsi="宋体"/>
                <w:color w:val="000000" w:themeColor="text1"/>
                <w:szCs w:val="21"/>
                <w:highlight w:val="none"/>
                <w14:textFill>
                  <w14:solidFill>
                    <w14:schemeClr w14:val="tx1"/>
                  </w14:solidFill>
                </w14:textFill>
              </w:rPr>
            </w:pPr>
          </w:p>
        </w:tc>
        <w:tc>
          <w:tcPr>
            <w:tcW w:w="1095" w:type="dxa"/>
            <w:noWrap w:val="0"/>
            <w:vAlign w:val="top"/>
          </w:tcPr>
          <w:p w14:paraId="417CD2FC">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4D1534F0">
            <w:pPr>
              <w:spacing w:line="400" w:lineRule="exact"/>
              <w:jc w:val="center"/>
              <w:rPr>
                <w:rFonts w:ascii="宋体" w:hAnsi="宋体"/>
                <w:color w:val="000000" w:themeColor="text1"/>
                <w:szCs w:val="21"/>
                <w:highlight w:val="none"/>
                <w14:textFill>
                  <w14:solidFill>
                    <w14:schemeClr w14:val="tx1"/>
                  </w14:solidFill>
                </w14:textFill>
              </w:rPr>
            </w:pPr>
          </w:p>
        </w:tc>
        <w:tc>
          <w:tcPr>
            <w:tcW w:w="882" w:type="dxa"/>
            <w:noWrap w:val="0"/>
            <w:vAlign w:val="top"/>
          </w:tcPr>
          <w:p w14:paraId="245E2851">
            <w:pPr>
              <w:spacing w:line="400" w:lineRule="exact"/>
              <w:jc w:val="center"/>
              <w:rPr>
                <w:rFonts w:ascii="宋体" w:hAnsi="宋体"/>
                <w:color w:val="000000" w:themeColor="text1"/>
                <w:szCs w:val="21"/>
                <w:highlight w:val="none"/>
                <w14:textFill>
                  <w14:solidFill>
                    <w14:schemeClr w14:val="tx1"/>
                  </w14:solidFill>
                </w14:textFill>
              </w:rPr>
            </w:pPr>
          </w:p>
        </w:tc>
        <w:tc>
          <w:tcPr>
            <w:tcW w:w="677" w:type="dxa"/>
            <w:noWrap w:val="0"/>
            <w:vAlign w:val="top"/>
          </w:tcPr>
          <w:p w14:paraId="4C508921">
            <w:pPr>
              <w:spacing w:line="400" w:lineRule="exact"/>
              <w:jc w:val="center"/>
              <w:rPr>
                <w:rFonts w:ascii="宋体" w:hAnsi="宋体"/>
                <w:color w:val="000000" w:themeColor="text1"/>
                <w:szCs w:val="21"/>
                <w:highlight w:val="none"/>
                <w14:textFill>
                  <w14:solidFill>
                    <w14:schemeClr w14:val="tx1"/>
                  </w14:solidFill>
                </w14:textFill>
              </w:rPr>
            </w:pPr>
          </w:p>
        </w:tc>
        <w:tc>
          <w:tcPr>
            <w:tcW w:w="744" w:type="dxa"/>
            <w:noWrap w:val="0"/>
            <w:vAlign w:val="top"/>
          </w:tcPr>
          <w:p w14:paraId="08E1A17B">
            <w:pPr>
              <w:spacing w:line="400" w:lineRule="exact"/>
              <w:jc w:val="center"/>
              <w:rPr>
                <w:rFonts w:ascii="宋体" w:hAnsi="宋体"/>
                <w:color w:val="000000" w:themeColor="text1"/>
                <w:szCs w:val="21"/>
                <w:highlight w:val="none"/>
                <w14:textFill>
                  <w14:solidFill>
                    <w14:schemeClr w14:val="tx1"/>
                  </w14:solidFill>
                </w14:textFill>
              </w:rPr>
            </w:pPr>
          </w:p>
        </w:tc>
        <w:tc>
          <w:tcPr>
            <w:tcW w:w="1221" w:type="dxa"/>
            <w:noWrap w:val="0"/>
            <w:vAlign w:val="top"/>
          </w:tcPr>
          <w:p w14:paraId="4C1B5683">
            <w:pPr>
              <w:spacing w:line="400" w:lineRule="exact"/>
              <w:jc w:val="center"/>
              <w:rPr>
                <w:rFonts w:ascii="宋体" w:hAnsi="宋体"/>
                <w:color w:val="000000" w:themeColor="text1"/>
                <w:szCs w:val="21"/>
                <w:highlight w:val="none"/>
                <w14:textFill>
                  <w14:solidFill>
                    <w14:schemeClr w14:val="tx1"/>
                  </w14:solidFill>
                </w14:textFill>
              </w:rPr>
            </w:pPr>
          </w:p>
        </w:tc>
        <w:tc>
          <w:tcPr>
            <w:tcW w:w="1665" w:type="dxa"/>
            <w:noWrap w:val="0"/>
            <w:vAlign w:val="top"/>
          </w:tcPr>
          <w:p w14:paraId="01638E75">
            <w:pPr>
              <w:spacing w:line="400" w:lineRule="exact"/>
              <w:jc w:val="center"/>
              <w:rPr>
                <w:rFonts w:ascii="宋体" w:hAnsi="宋体"/>
                <w:color w:val="000000" w:themeColor="text1"/>
                <w:szCs w:val="21"/>
                <w:highlight w:val="none"/>
                <w14:textFill>
                  <w14:solidFill>
                    <w14:schemeClr w14:val="tx1"/>
                  </w14:solidFill>
                </w14:textFill>
              </w:rPr>
            </w:pPr>
          </w:p>
        </w:tc>
        <w:tc>
          <w:tcPr>
            <w:tcW w:w="691" w:type="dxa"/>
            <w:noWrap w:val="0"/>
            <w:vAlign w:val="top"/>
          </w:tcPr>
          <w:p w14:paraId="1B841CBA">
            <w:pPr>
              <w:spacing w:line="400" w:lineRule="exact"/>
              <w:jc w:val="center"/>
              <w:rPr>
                <w:rFonts w:ascii="宋体" w:hAnsi="宋体"/>
                <w:color w:val="000000" w:themeColor="text1"/>
                <w:szCs w:val="21"/>
                <w:highlight w:val="none"/>
                <w14:textFill>
                  <w14:solidFill>
                    <w14:schemeClr w14:val="tx1"/>
                  </w14:solidFill>
                </w14:textFill>
              </w:rPr>
            </w:pPr>
          </w:p>
        </w:tc>
      </w:tr>
    </w:tbl>
    <w:p w14:paraId="1A106F2A">
      <w:pPr>
        <w:spacing w:line="400" w:lineRule="exact"/>
        <w:rPr>
          <w:rFonts w:eastAsia="黑体"/>
          <w:color w:val="000000" w:themeColor="text1"/>
          <w:sz w:val="19"/>
          <w:szCs w:val="19"/>
          <w:highlight w:val="none"/>
          <w14:textFill>
            <w14:solidFill>
              <w14:schemeClr w14:val="tx1"/>
            </w14:solidFill>
          </w14:textFill>
        </w:rPr>
      </w:pPr>
      <w:r>
        <w:rPr>
          <w:rFonts w:eastAsia="黑体"/>
          <w:color w:val="000000" w:themeColor="text1"/>
          <w:sz w:val="19"/>
          <w:szCs w:val="19"/>
          <w:highlight w:val="none"/>
          <w14:textFill>
            <w14:solidFill>
              <w14:schemeClr w14:val="tx1"/>
            </w14:solidFill>
          </w14:textFill>
        </w:rPr>
        <w:br w:type="page"/>
      </w:r>
    </w:p>
    <w:p w14:paraId="7DA58E08">
      <w:pPr>
        <w:spacing w:line="400" w:lineRule="exact"/>
        <w:jc w:val="center"/>
        <w:outlineLvl w:val="3"/>
        <w:rPr>
          <w:rFonts w:ascii="宋体" w:hAnsi="宋体"/>
          <w:b/>
          <w:color w:val="000000" w:themeColor="text1"/>
          <w:sz w:val="24"/>
          <w:szCs w:val="31"/>
          <w:highlight w:val="none"/>
          <w14:textFill>
            <w14:solidFill>
              <w14:schemeClr w14:val="tx1"/>
            </w14:solidFill>
          </w14:textFill>
        </w:rPr>
      </w:pPr>
      <w:bookmarkStart w:id="1050" w:name="_Toc168475926"/>
      <w:bookmarkStart w:id="1051" w:name="_Toc168476329"/>
      <w:bookmarkStart w:id="1052" w:name="_Toc221952101"/>
      <w:bookmarkStart w:id="1053" w:name="_Toc144974867"/>
      <w:r>
        <w:rPr>
          <w:rFonts w:ascii="宋体" w:hAnsi="宋体"/>
          <w:b/>
          <w:color w:val="000000" w:themeColor="text1"/>
          <w:sz w:val="24"/>
          <w:szCs w:val="31"/>
          <w:highlight w:val="none"/>
          <w14:textFill>
            <w14:solidFill>
              <w14:schemeClr w14:val="tx1"/>
            </w14:solidFill>
          </w14:textFill>
        </w:rPr>
        <w:t>附表三：</w:t>
      </w:r>
      <w:r>
        <w:rPr>
          <w:rFonts w:hint="eastAsia" w:ascii="宋体" w:hAnsi="宋体"/>
          <w:b/>
          <w:color w:val="000000" w:themeColor="text1"/>
          <w:sz w:val="24"/>
          <w:szCs w:val="31"/>
          <w:highlight w:val="none"/>
          <w14:textFill>
            <w14:solidFill>
              <w14:schemeClr w14:val="tx1"/>
            </w14:solidFill>
          </w14:textFill>
        </w:rPr>
        <w:t>拟投入本标段的</w:t>
      </w:r>
      <w:r>
        <w:rPr>
          <w:rFonts w:ascii="宋体" w:hAnsi="宋体"/>
          <w:b/>
          <w:color w:val="000000" w:themeColor="text1"/>
          <w:sz w:val="24"/>
          <w:szCs w:val="31"/>
          <w:highlight w:val="none"/>
          <w14:textFill>
            <w14:solidFill>
              <w14:schemeClr w14:val="tx1"/>
            </w14:solidFill>
          </w14:textFill>
        </w:rPr>
        <w:t>劳动力计划表</w:t>
      </w:r>
      <w:bookmarkEnd w:id="1050"/>
      <w:bookmarkEnd w:id="1051"/>
      <w:bookmarkEnd w:id="1052"/>
      <w:bookmarkEnd w:id="1053"/>
    </w:p>
    <w:p w14:paraId="03B824BB">
      <w:pPr>
        <w:spacing w:line="400" w:lineRule="exact"/>
        <w:ind w:right="200"/>
        <w:jc w:val="right"/>
        <w:rPr>
          <w:rFonts w:ascii="宋体" w:hAnsi="宋体"/>
          <w:color w:val="000000" w:themeColor="text1"/>
          <w:szCs w:val="21"/>
          <w:highlight w:val="none"/>
          <w14:textFill>
            <w14:solidFill>
              <w14:schemeClr w14:val="tx1"/>
            </w14:solidFill>
          </w14:textFill>
        </w:rPr>
      </w:pPr>
      <w:bookmarkStart w:id="1054" w:name="_Toc221952102"/>
      <w:r>
        <w:rPr>
          <w:rFonts w:ascii="宋体" w:hAnsi="宋体"/>
          <w:color w:val="000000" w:themeColor="text1"/>
          <w:szCs w:val="21"/>
          <w:highlight w:val="none"/>
          <w14:textFill>
            <w14:solidFill>
              <w14:schemeClr w14:val="tx1"/>
            </w14:solidFill>
          </w14:textFill>
        </w:rPr>
        <w:t>单位：人</w:t>
      </w:r>
      <w:bookmarkEnd w:id="1054"/>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5"/>
        <w:gridCol w:w="1066"/>
        <w:gridCol w:w="1066"/>
        <w:gridCol w:w="1066"/>
        <w:gridCol w:w="1066"/>
        <w:gridCol w:w="1066"/>
        <w:gridCol w:w="1064"/>
      </w:tblGrid>
      <w:tr w14:paraId="2093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222DCB9">
            <w:pPr>
              <w:spacing w:line="400" w:lineRule="exact"/>
              <w:jc w:val="center"/>
              <w:rPr>
                <w:rFonts w:ascii="宋体" w:hAnsi="宋体"/>
                <w:color w:val="000000" w:themeColor="text1"/>
                <w:szCs w:val="21"/>
                <w:highlight w:val="none"/>
                <w14:textFill>
                  <w14:solidFill>
                    <w14:schemeClr w14:val="tx1"/>
                  </w14:solidFill>
                </w14:textFill>
              </w:rPr>
            </w:pPr>
            <w:bookmarkStart w:id="1055" w:name="_Toc221952103"/>
            <w:r>
              <w:rPr>
                <w:rFonts w:ascii="宋体" w:hAnsi="宋体"/>
                <w:color w:val="000000" w:themeColor="text1"/>
                <w:szCs w:val="21"/>
                <w:highlight w:val="none"/>
                <w14:textFill>
                  <w14:solidFill>
                    <w14:schemeClr w14:val="tx1"/>
                  </w14:solidFill>
                </w14:textFill>
              </w:rPr>
              <w:t>工种</w:t>
            </w:r>
            <w:bookmarkEnd w:id="1055"/>
          </w:p>
        </w:tc>
        <w:tc>
          <w:tcPr>
            <w:tcW w:w="7699" w:type="dxa"/>
            <w:gridSpan w:val="7"/>
            <w:noWrap w:val="0"/>
            <w:vAlign w:val="top"/>
          </w:tcPr>
          <w:p w14:paraId="3C99DF76">
            <w:pPr>
              <w:spacing w:line="400" w:lineRule="exact"/>
              <w:jc w:val="center"/>
              <w:rPr>
                <w:rFonts w:ascii="宋体" w:hAnsi="宋体"/>
                <w:color w:val="000000" w:themeColor="text1"/>
                <w:szCs w:val="21"/>
                <w:highlight w:val="none"/>
                <w14:textFill>
                  <w14:solidFill>
                    <w14:schemeClr w14:val="tx1"/>
                  </w14:solidFill>
                </w14:textFill>
              </w:rPr>
            </w:pPr>
            <w:bookmarkStart w:id="1056" w:name="_Toc221952104"/>
            <w:r>
              <w:rPr>
                <w:rFonts w:ascii="宋体" w:hAnsi="宋体"/>
                <w:color w:val="000000" w:themeColor="text1"/>
                <w:szCs w:val="21"/>
                <w:highlight w:val="none"/>
                <w14:textFill>
                  <w14:solidFill>
                    <w14:schemeClr w14:val="tx1"/>
                  </w14:solidFill>
                </w14:textFill>
              </w:rPr>
              <w:t>按工程施工阶段投入劳动力情况</w:t>
            </w:r>
            <w:bookmarkEnd w:id="1056"/>
          </w:p>
        </w:tc>
      </w:tr>
      <w:tr w14:paraId="01FA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76EF689">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3F800836">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F07943B">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BFF9DA3">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A3BBBEE">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6D09EEC">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5F2EDF43">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0A069E54">
            <w:pPr>
              <w:spacing w:line="400" w:lineRule="exact"/>
              <w:jc w:val="center"/>
              <w:rPr>
                <w:rFonts w:ascii="宋体" w:hAnsi="宋体"/>
                <w:color w:val="000000" w:themeColor="text1"/>
                <w:szCs w:val="21"/>
                <w:highlight w:val="none"/>
                <w14:textFill>
                  <w14:solidFill>
                    <w14:schemeClr w14:val="tx1"/>
                  </w14:solidFill>
                </w14:textFill>
              </w:rPr>
            </w:pPr>
          </w:p>
        </w:tc>
      </w:tr>
      <w:tr w14:paraId="09E2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5F9D1998">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49A58449">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4BD52BE8">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187B036">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3B31224">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E4463F0">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522EAE31">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6AE6191D">
            <w:pPr>
              <w:spacing w:line="400" w:lineRule="exact"/>
              <w:jc w:val="center"/>
              <w:rPr>
                <w:rFonts w:ascii="宋体" w:hAnsi="宋体"/>
                <w:color w:val="000000" w:themeColor="text1"/>
                <w:szCs w:val="21"/>
                <w:highlight w:val="none"/>
                <w14:textFill>
                  <w14:solidFill>
                    <w14:schemeClr w14:val="tx1"/>
                  </w14:solidFill>
                </w14:textFill>
              </w:rPr>
            </w:pPr>
          </w:p>
        </w:tc>
      </w:tr>
      <w:tr w14:paraId="623C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0CA6509">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109FA37B">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4257551A">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447BBBB">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C6B2C87">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0C97E02">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B2DC4C1">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354CE4DC">
            <w:pPr>
              <w:spacing w:line="400" w:lineRule="exact"/>
              <w:jc w:val="center"/>
              <w:rPr>
                <w:rFonts w:ascii="宋体" w:hAnsi="宋体"/>
                <w:color w:val="000000" w:themeColor="text1"/>
                <w:szCs w:val="21"/>
                <w:highlight w:val="none"/>
                <w14:textFill>
                  <w14:solidFill>
                    <w14:schemeClr w14:val="tx1"/>
                  </w14:solidFill>
                </w14:textFill>
              </w:rPr>
            </w:pPr>
          </w:p>
        </w:tc>
      </w:tr>
      <w:tr w14:paraId="0C91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63209DB">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099A5915">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4C419BE">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720BEEE">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57024074">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4BDE4F9">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56544391">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06159C0A">
            <w:pPr>
              <w:spacing w:line="400" w:lineRule="exact"/>
              <w:jc w:val="center"/>
              <w:rPr>
                <w:rFonts w:ascii="宋体" w:hAnsi="宋体"/>
                <w:color w:val="000000" w:themeColor="text1"/>
                <w:szCs w:val="21"/>
                <w:highlight w:val="none"/>
                <w14:textFill>
                  <w14:solidFill>
                    <w14:schemeClr w14:val="tx1"/>
                  </w14:solidFill>
                </w14:textFill>
              </w:rPr>
            </w:pPr>
          </w:p>
        </w:tc>
      </w:tr>
      <w:tr w14:paraId="0C81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494853B">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66C8BEFC">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C65B900">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2A9D1F9">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9C58868">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59D9A3C2">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4394DD68">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6A1AD80D">
            <w:pPr>
              <w:spacing w:line="400" w:lineRule="exact"/>
              <w:jc w:val="center"/>
              <w:rPr>
                <w:rFonts w:ascii="宋体" w:hAnsi="宋体"/>
                <w:color w:val="000000" w:themeColor="text1"/>
                <w:szCs w:val="21"/>
                <w:highlight w:val="none"/>
                <w14:textFill>
                  <w14:solidFill>
                    <w14:schemeClr w14:val="tx1"/>
                  </w14:solidFill>
                </w14:textFill>
              </w:rPr>
            </w:pPr>
          </w:p>
        </w:tc>
      </w:tr>
      <w:tr w14:paraId="5FA4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5CC64C3C">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606736C6">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D954B10">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38CF1F5">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496925D">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0BB1B5C">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337427A">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08CA4524">
            <w:pPr>
              <w:spacing w:line="400" w:lineRule="exact"/>
              <w:jc w:val="center"/>
              <w:rPr>
                <w:rFonts w:ascii="宋体" w:hAnsi="宋体"/>
                <w:color w:val="000000" w:themeColor="text1"/>
                <w:szCs w:val="21"/>
                <w:highlight w:val="none"/>
                <w14:textFill>
                  <w14:solidFill>
                    <w14:schemeClr w14:val="tx1"/>
                  </w14:solidFill>
                </w14:textFill>
              </w:rPr>
            </w:pPr>
          </w:p>
        </w:tc>
      </w:tr>
      <w:tr w14:paraId="38BF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BC02E88">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684D83A6">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D884631">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06CEBBB">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4760423">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93D1D62">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F9B8044">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2C4C7F1A">
            <w:pPr>
              <w:spacing w:line="400" w:lineRule="exact"/>
              <w:jc w:val="center"/>
              <w:rPr>
                <w:rFonts w:ascii="宋体" w:hAnsi="宋体"/>
                <w:color w:val="000000" w:themeColor="text1"/>
                <w:szCs w:val="21"/>
                <w:highlight w:val="none"/>
                <w14:textFill>
                  <w14:solidFill>
                    <w14:schemeClr w14:val="tx1"/>
                  </w14:solidFill>
                </w14:textFill>
              </w:rPr>
            </w:pPr>
          </w:p>
        </w:tc>
      </w:tr>
      <w:tr w14:paraId="5543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36C6B99">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477AD90F">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7FA5B4E">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818AAF1">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5506575">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11DF465">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24ABBEB">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5A2E0C10">
            <w:pPr>
              <w:spacing w:line="400" w:lineRule="exact"/>
              <w:jc w:val="center"/>
              <w:rPr>
                <w:rFonts w:ascii="宋体" w:hAnsi="宋体"/>
                <w:color w:val="000000" w:themeColor="text1"/>
                <w:szCs w:val="21"/>
                <w:highlight w:val="none"/>
                <w14:textFill>
                  <w14:solidFill>
                    <w14:schemeClr w14:val="tx1"/>
                  </w14:solidFill>
                </w14:textFill>
              </w:rPr>
            </w:pPr>
          </w:p>
        </w:tc>
      </w:tr>
      <w:tr w14:paraId="24D2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2683030">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4E990FD9">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3D3A591">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EB3CDC3">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43D4CCF">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DE01BB6">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2B5BC9C">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6CB9D4B5">
            <w:pPr>
              <w:spacing w:line="400" w:lineRule="exact"/>
              <w:jc w:val="center"/>
              <w:rPr>
                <w:rFonts w:ascii="宋体" w:hAnsi="宋体"/>
                <w:color w:val="000000" w:themeColor="text1"/>
                <w:szCs w:val="21"/>
                <w:highlight w:val="none"/>
                <w14:textFill>
                  <w14:solidFill>
                    <w14:schemeClr w14:val="tx1"/>
                  </w14:solidFill>
                </w14:textFill>
              </w:rPr>
            </w:pPr>
          </w:p>
        </w:tc>
      </w:tr>
      <w:tr w14:paraId="5BCE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F116036">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08FC0680">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83759CF">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C946FB0">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5CCBFBF">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60D6B9C">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47B2383">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25BB73AF">
            <w:pPr>
              <w:spacing w:line="400" w:lineRule="exact"/>
              <w:jc w:val="center"/>
              <w:rPr>
                <w:rFonts w:ascii="宋体" w:hAnsi="宋体"/>
                <w:color w:val="000000" w:themeColor="text1"/>
                <w:szCs w:val="21"/>
                <w:highlight w:val="none"/>
                <w14:textFill>
                  <w14:solidFill>
                    <w14:schemeClr w14:val="tx1"/>
                  </w14:solidFill>
                </w14:textFill>
              </w:rPr>
            </w:pPr>
          </w:p>
        </w:tc>
      </w:tr>
      <w:tr w14:paraId="3C34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D6E5B6F">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4EF6CAFD">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1C82720">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44E58BB5">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52D3D89">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6A14E67">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75E027E">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0CBB79C5">
            <w:pPr>
              <w:spacing w:line="400" w:lineRule="exact"/>
              <w:jc w:val="center"/>
              <w:rPr>
                <w:rFonts w:ascii="宋体" w:hAnsi="宋体"/>
                <w:color w:val="000000" w:themeColor="text1"/>
                <w:szCs w:val="21"/>
                <w:highlight w:val="none"/>
                <w14:textFill>
                  <w14:solidFill>
                    <w14:schemeClr w14:val="tx1"/>
                  </w14:solidFill>
                </w14:textFill>
              </w:rPr>
            </w:pPr>
          </w:p>
        </w:tc>
      </w:tr>
      <w:tr w14:paraId="38EE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A1E1962">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1A67864F">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13B2893">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4E462F60">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43A5037A">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75F9380">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5D34B9DC">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64C13BD7">
            <w:pPr>
              <w:spacing w:line="400" w:lineRule="exact"/>
              <w:jc w:val="center"/>
              <w:rPr>
                <w:rFonts w:ascii="宋体" w:hAnsi="宋体"/>
                <w:color w:val="000000" w:themeColor="text1"/>
                <w:szCs w:val="21"/>
                <w:highlight w:val="none"/>
                <w14:textFill>
                  <w14:solidFill>
                    <w14:schemeClr w14:val="tx1"/>
                  </w14:solidFill>
                </w14:textFill>
              </w:rPr>
            </w:pPr>
          </w:p>
        </w:tc>
      </w:tr>
      <w:tr w14:paraId="13D0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59E48DAB">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290B493C">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512AEEF">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9EF11D3">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90C7C5F">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4E2C7967">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56F4CD0">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28E132EC">
            <w:pPr>
              <w:spacing w:line="400" w:lineRule="exact"/>
              <w:jc w:val="center"/>
              <w:rPr>
                <w:rFonts w:ascii="宋体" w:hAnsi="宋体"/>
                <w:color w:val="000000" w:themeColor="text1"/>
                <w:szCs w:val="21"/>
                <w:highlight w:val="none"/>
                <w14:textFill>
                  <w14:solidFill>
                    <w14:schemeClr w14:val="tx1"/>
                  </w14:solidFill>
                </w14:textFill>
              </w:rPr>
            </w:pPr>
          </w:p>
        </w:tc>
      </w:tr>
      <w:tr w14:paraId="30E8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7635361">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607962D2">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27FCB93">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8F23BEE">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4E574C98">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9984D75">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CD999D6">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42CE7234">
            <w:pPr>
              <w:spacing w:line="400" w:lineRule="exact"/>
              <w:jc w:val="center"/>
              <w:rPr>
                <w:rFonts w:ascii="宋体" w:hAnsi="宋体"/>
                <w:color w:val="000000" w:themeColor="text1"/>
                <w:szCs w:val="21"/>
                <w:highlight w:val="none"/>
                <w14:textFill>
                  <w14:solidFill>
                    <w14:schemeClr w14:val="tx1"/>
                  </w14:solidFill>
                </w14:textFill>
              </w:rPr>
            </w:pPr>
          </w:p>
        </w:tc>
      </w:tr>
      <w:tr w14:paraId="36D5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861904D">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56042169">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5AA57839">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2875860">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268B156">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55C458D">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3D7DD57">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5333ECB4">
            <w:pPr>
              <w:spacing w:line="400" w:lineRule="exact"/>
              <w:jc w:val="center"/>
              <w:rPr>
                <w:rFonts w:ascii="宋体" w:hAnsi="宋体"/>
                <w:color w:val="000000" w:themeColor="text1"/>
                <w:szCs w:val="21"/>
                <w:highlight w:val="none"/>
                <w14:textFill>
                  <w14:solidFill>
                    <w14:schemeClr w14:val="tx1"/>
                  </w14:solidFill>
                </w14:textFill>
              </w:rPr>
            </w:pPr>
          </w:p>
        </w:tc>
      </w:tr>
      <w:tr w14:paraId="4288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160499C">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77D5C9BF">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5E9AB5BF">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630C7C4">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CD77415">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1AD41BF">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209A200">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4D16FEE6">
            <w:pPr>
              <w:spacing w:line="400" w:lineRule="exact"/>
              <w:jc w:val="center"/>
              <w:rPr>
                <w:rFonts w:ascii="宋体" w:hAnsi="宋体"/>
                <w:color w:val="000000" w:themeColor="text1"/>
                <w:szCs w:val="21"/>
                <w:highlight w:val="none"/>
                <w14:textFill>
                  <w14:solidFill>
                    <w14:schemeClr w14:val="tx1"/>
                  </w14:solidFill>
                </w14:textFill>
              </w:rPr>
            </w:pPr>
          </w:p>
        </w:tc>
      </w:tr>
      <w:tr w14:paraId="05B7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3C5CA98">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6E0F4F36">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478A7ED">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CE94FF4">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DEF8F59">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F0EACA3">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0102544">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5B2CCE99">
            <w:pPr>
              <w:spacing w:line="400" w:lineRule="exact"/>
              <w:jc w:val="center"/>
              <w:rPr>
                <w:rFonts w:ascii="宋体" w:hAnsi="宋体"/>
                <w:color w:val="000000" w:themeColor="text1"/>
                <w:szCs w:val="21"/>
                <w:highlight w:val="none"/>
                <w14:textFill>
                  <w14:solidFill>
                    <w14:schemeClr w14:val="tx1"/>
                  </w14:solidFill>
                </w14:textFill>
              </w:rPr>
            </w:pPr>
          </w:p>
        </w:tc>
      </w:tr>
      <w:tr w14:paraId="7567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4159CC2">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0C2A0471">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7132687">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C6B4B6A">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503035F">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50BD9C8F">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2136BC1">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430042FF">
            <w:pPr>
              <w:spacing w:line="400" w:lineRule="exact"/>
              <w:jc w:val="center"/>
              <w:rPr>
                <w:rFonts w:ascii="宋体" w:hAnsi="宋体"/>
                <w:color w:val="000000" w:themeColor="text1"/>
                <w:szCs w:val="21"/>
                <w:highlight w:val="none"/>
                <w14:textFill>
                  <w14:solidFill>
                    <w14:schemeClr w14:val="tx1"/>
                  </w14:solidFill>
                </w14:textFill>
              </w:rPr>
            </w:pPr>
          </w:p>
        </w:tc>
      </w:tr>
      <w:tr w14:paraId="4D67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0E4FD4E">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245DA8DC">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105E490">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573CD05">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013FD2F">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42730640">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638CD12">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13B45B58">
            <w:pPr>
              <w:spacing w:line="400" w:lineRule="exact"/>
              <w:jc w:val="center"/>
              <w:rPr>
                <w:rFonts w:ascii="宋体" w:hAnsi="宋体"/>
                <w:color w:val="000000" w:themeColor="text1"/>
                <w:szCs w:val="21"/>
                <w:highlight w:val="none"/>
                <w14:textFill>
                  <w14:solidFill>
                    <w14:schemeClr w14:val="tx1"/>
                  </w14:solidFill>
                </w14:textFill>
              </w:rPr>
            </w:pPr>
          </w:p>
        </w:tc>
      </w:tr>
      <w:tr w14:paraId="0D57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5238FB1">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0BD87487">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CDF10DE">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77B725E">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096D810">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540B6797">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9AACD24">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7798D92C">
            <w:pPr>
              <w:spacing w:line="400" w:lineRule="exact"/>
              <w:jc w:val="center"/>
              <w:rPr>
                <w:rFonts w:ascii="宋体" w:hAnsi="宋体"/>
                <w:color w:val="000000" w:themeColor="text1"/>
                <w:szCs w:val="21"/>
                <w:highlight w:val="none"/>
                <w14:textFill>
                  <w14:solidFill>
                    <w14:schemeClr w14:val="tx1"/>
                  </w14:solidFill>
                </w14:textFill>
              </w:rPr>
            </w:pPr>
          </w:p>
        </w:tc>
      </w:tr>
      <w:tr w14:paraId="2AF9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7A0F00D">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1D30A9AB">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E7F9DE8">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693BE2D9">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6E82C37">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0BED272">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A4F4971">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5C2418AE">
            <w:pPr>
              <w:spacing w:line="400" w:lineRule="exact"/>
              <w:jc w:val="center"/>
              <w:rPr>
                <w:rFonts w:ascii="宋体" w:hAnsi="宋体"/>
                <w:color w:val="000000" w:themeColor="text1"/>
                <w:szCs w:val="21"/>
                <w:highlight w:val="none"/>
                <w14:textFill>
                  <w14:solidFill>
                    <w14:schemeClr w14:val="tx1"/>
                  </w14:solidFill>
                </w14:textFill>
              </w:rPr>
            </w:pPr>
          </w:p>
        </w:tc>
      </w:tr>
      <w:tr w14:paraId="03BB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5C6AB43">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39B564D5">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D2FF1AB">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02CD9A5">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41092388">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8A2DDF9">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0605794D">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786A4842">
            <w:pPr>
              <w:spacing w:line="400" w:lineRule="exact"/>
              <w:jc w:val="center"/>
              <w:rPr>
                <w:rFonts w:ascii="宋体" w:hAnsi="宋体"/>
                <w:color w:val="000000" w:themeColor="text1"/>
                <w:szCs w:val="21"/>
                <w:highlight w:val="none"/>
                <w14:textFill>
                  <w14:solidFill>
                    <w14:schemeClr w14:val="tx1"/>
                  </w14:solidFill>
                </w14:textFill>
              </w:rPr>
            </w:pPr>
          </w:p>
        </w:tc>
      </w:tr>
      <w:tr w14:paraId="23BA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7BC3E6C">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1E32F4DC">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A4FD1D2">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377F297">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09807C3">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CBD97A6">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4B994305">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59C96AA1">
            <w:pPr>
              <w:spacing w:line="400" w:lineRule="exact"/>
              <w:jc w:val="center"/>
              <w:rPr>
                <w:rFonts w:ascii="宋体" w:hAnsi="宋体"/>
                <w:color w:val="000000" w:themeColor="text1"/>
                <w:szCs w:val="21"/>
                <w:highlight w:val="none"/>
                <w14:textFill>
                  <w14:solidFill>
                    <w14:schemeClr w14:val="tx1"/>
                  </w14:solidFill>
                </w14:textFill>
              </w:rPr>
            </w:pPr>
          </w:p>
        </w:tc>
      </w:tr>
      <w:tr w14:paraId="1BC9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4E5A441">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33BCF784">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58DCCA58">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5EDF3EB7">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1969B431">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CEBE829">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0180A0A">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4BF4ACA9">
            <w:pPr>
              <w:spacing w:line="400" w:lineRule="exact"/>
              <w:jc w:val="center"/>
              <w:rPr>
                <w:rFonts w:ascii="宋体" w:hAnsi="宋体"/>
                <w:color w:val="000000" w:themeColor="text1"/>
                <w:szCs w:val="21"/>
                <w:highlight w:val="none"/>
                <w14:textFill>
                  <w14:solidFill>
                    <w14:schemeClr w14:val="tx1"/>
                  </w14:solidFill>
                </w14:textFill>
              </w:rPr>
            </w:pPr>
          </w:p>
        </w:tc>
      </w:tr>
      <w:tr w14:paraId="5B67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6A45544">
            <w:pPr>
              <w:spacing w:line="400" w:lineRule="exact"/>
              <w:jc w:val="center"/>
              <w:rPr>
                <w:rFonts w:ascii="宋体" w:hAnsi="宋体"/>
                <w:color w:val="000000" w:themeColor="text1"/>
                <w:szCs w:val="21"/>
                <w:highlight w:val="none"/>
                <w14:textFill>
                  <w14:solidFill>
                    <w14:schemeClr w14:val="tx1"/>
                  </w14:solidFill>
                </w14:textFill>
              </w:rPr>
            </w:pPr>
          </w:p>
        </w:tc>
        <w:tc>
          <w:tcPr>
            <w:tcW w:w="1305" w:type="dxa"/>
            <w:noWrap w:val="0"/>
            <w:vAlign w:val="top"/>
          </w:tcPr>
          <w:p w14:paraId="403E09C7">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4391041">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314162D7">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168AF36">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2BB805B7">
            <w:pPr>
              <w:spacing w:line="400" w:lineRule="exact"/>
              <w:jc w:val="center"/>
              <w:rPr>
                <w:rFonts w:ascii="宋体" w:hAnsi="宋体"/>
                <w:color w:val="000000" w:themeColor="text1"/>
                <w:szCs w:val="21"/>
                <w:highlight w:val="none"/>
                <w14:textFill>
                  <w14:solidFill>
                    <w14:schemeClr w14:val="tx1"/>
                  </w14:solidFill>
                </w14:textFill>
              </w:rPr>
            </w:pPr>
          </w:p>
        </w:tc>
        <w:tc>
          <w:tcPr>
            <w:tcW w:w="1066" w:type="dxa"/>
            <w:noWrap w:val="0"/>
            <w:vAlign w:val="top"/>
          </w:tcPr>
          <w:p w14:paraId="76112113">
            <w:pPr>
              <w:spacing w:line="400" w:lineRule="exact"/>
              <w:jc w:val="center"/>
              <w:rPr>
                <w:rFonts w:ascii="宋体" w:hAnsi="宋体"/>
                <w:color w:val="000000" w:themeColor="text1"/>
                <w:szCs w:val="21"/>
                <w:highlight w:val="none"/>
                <w14:textFill>
                  <w14:solidFill>
                    <w14:schemeClr w14:val="tx1"/>
                  </w14:solidFill>
                </w14:textFill>
              </w:rPr>
            </w:pPr>
          </w:p>
        </w:tc>
        <w:tc>
          <w:tcPr>
            <w:tcW w:w="1064" w:type="dxa"/>
            <w:noWrap w:val="0"/>
            <w:vAlign w:val="top"/>
          </w:tcPr>
          <w:p w14:paraId="688E5488">
            <w:pPr>
              <w:spacing w:line="400" w:lineRule="exact"/>
              <w:jc w:val="center"/>
              <w:rPr>
                <w:rFonts w:ascii="宋体" w:hAnsi="宋体"/>
                <w:color w:val="000000" w:themeColor="text1"/>
                <w:szCs w:val="21"/>
                <w:highlight w:val="none"/>
                <w14:textFill>
                  <w14:solidFill>
                    <w14:schemeClr w14:val="tx1"/>
                  </w14:solidFill>
                </w14:textFill>
              </w:rPr>
            </w:pPr>
          </w:p>
        </w:tc>
      </w:tr>
    </w:tbl>
    <w:p w14:paraId="7CE72470">
      <w:pPr>
        <w:topLinePunct/>
        <w:spacing w:line="400" w:lineRule="exact"/>
        <w:rPr>
          <w:color w:val="000000" w:themeColor="text1"/>
          <w:sz w:val="20"/>
          <w:szCs w:val="20"/>
          <w:highlight w:val="none"/>
          <w14:textFill>
            <w14:solidFill>
              <w14:schemeClr w14:val="tx1"/>
            </w14:solidFill>
          </w14:textFill>
        </w:rPr>
      </w:pPr>
    </w:p>
    <w:p w14:paraId="082ADFA0">
      <w:pPr>
        <w:widowControl/>
        <w:jc w:val="left"/>
        <w:rPr>
          <w:rFonts w:ascii="宋体" w:hAnsi="宋体"/>
          <w:b/>
          <w:color w:val="000000" w:themeColor="text1"/>
          <w:sz w:val="24"/>
          <w:szCs w:val="31"/>
          <w:highlight w:val="none"/>
          <w14:textFill>
            <w14:solidFill>
              <w14:schemeClr w14:val="tx1"/>
            </w14:solidFill>
          </w14:textFill>
        </w:rPr>
      </w:pPr>
      <w:bookmarkStart w:id="1057" w:name="_Toc144974868"/>
      <w:bookmarkStart w:id="1058" w:name="_Toc168475927"/>
      <w:bookmarkStart w:id="1059" w:name="_Toc221952105"/>
      <w:bookmarkStart w:id="1060" w:name="_Toc168476330"/>
      <w:r>
        <w:rPr>
          <w:rFonts w:ascii="宋体" w:hAnsi="宋体"/>
          <w:b/>
          <w:color w:val="000000" w:themeColor="text1"/>
          <w:sz w:val="24"/>
          <w:szCs w:val="31"/>
          <w:highlight w:val="none"/>
          <w14:textFill>
            <w14:solidFill>
              <w14:schemeClr w14:val="tx1"/>
            </w14:solidFill>
          </w14:textFill>
        </w:rPr>
        <w:br w:type="page"/>
      </w:r>
    </w:p>
    <w:p w14:paraId="16B88AB9">
      <w:pPr>
        <w:spacing w:line="400" w:lineRule="exact"/>
        <w:jc w:val="center"/>
        <w:outlineLvl w:val="3"/>
        <w:rPr>
          <w:rFonts w:ascii="宋体" w:hAnsi="宋体"/>
          <w:b/>
          <w:color w:val="000000" w:themeColor="text1"/>
          <w:sz w:val="24"/>
          <w:szCs w:val="31"/>
          <w:highlight w:val="none"/>
          <w14:textFill>
            <w14:solidFill>
              <w14:schemeClr w14:val="tx1"/>
            </w14:solidFill>
          </w14:textFill>
        </w:rPr>
      </w:pPr>
      <w:r>
        <w:rPr>
          <w:rFonts w:ascii="宋体" w:hAnsi="宋体"/>
          <w:b/>
          <w:color w:val="000000" w:themeColor="text1"/>
          <w:sz w:val="24"/>
          <w:szCs w:val="31"/>
          <w:highlight w:val="none"/>
          <w14:textFill>
            <w14:solidFill>
              <w14:schemeClr w14:val="tx1"/>
            </w14:solidFill>
          </w14:textFill>
        </w:rPr>
        <w:t>附表四：计划开</w:t>
      </w:r>
      <w:r>
        <w:rPr>
          <w:rFonts w:hint="eastAsia" w:ascii="宋体" w:hAnsi="宋体"/>
          <w:b/>
          <w:color w:val="000000" w:themeColor="text1"/>
          <w:sz w:val="24"/>
          <w:szCs w:val="31"/>
          <w:highlight w:val="none"/>
          <w14:textFill>
            <w14:solidFill>
              <w14:schemeClr w14:val="tx1"/>
            </w14:solidFill>
          </w14:textFill>
        </w:rPr>
        <w:t>工日期</w:t>
      </w:r>
      <w:r>
        <w:rPr>
          <w:rFonts w:ascii="宋体" w:hAnsi="宋体"/>
          <w:b/>
          <w:color w:val="000000" w:themeColor="text1"/>
          <w:sz w:val="24"/>
          <w:szCs w:val="31"/>
          <w:highlight w:val="none"/>
          <w14:textFill>
            <w14:solidFill>
              <w14:schemeClr w14:val="tx1"/>
            </w14:solidFill>
          </w14:textFill>
        </w:rPr>
        <w:t>、</w:t>
      </w:r>
      <w:r>
        <w:rPr>
          <w:rFonts w:hint="eastAsia" w:ascii="宋体" w:hAnsi="宋体"/>
          <w:b/>
          <w:color w:val="000000" w:themeColor="text1"/>
          <w:sz w:val="24"/>
          <w:szCs w:val="31"/>
          <w:highlight w:val="none"/>
          <w14:textFill>
            <w14:solidFill>
              <w14:schemeClr w14:val="tx1"/>
            </w14:solidFill>
          </w14:textFill>
        </w:rPr>
        <w:t>完工</w:t>
      </w:r>
      <w:r>
        <w:rPr>
          <w:rFonts w:ascii="宋体" w:hAnsi="宋体"/>
          <w:b/>
          <w:color w:val="000000" w:themeColor="text1"/>
          <w:sz w:val="24"/>
          <w:szCs w:val="31"/>
          <w:highlight w:val="none"/>
          <w14:textFill>
            <w14:solidFill>
              <w14:schemeClr w14:val="tx1"/>
            </w14:solidFill>
          </w14:textFill>
        </w:rPr>
        <w:t>日期和施工进度网络图</w:t>
      </w:r>
      <w:bookmarkEnd w:id="1057"/>
      <w:bookmarkEnd w:id="1058"/>
      <w:bookmarkEnd w:id="1059"/>
      <w:bookmarkEnd w:id="1060"/>
    </w:p>
    <w:p w14:paraId="3D919E90">
      <w:pPr>
        <w:spacing w:line="400" w:lineRule="exact"/>
        <w:rPr>
          <w:rFonts w:eastAsia="黑体"/>
          <w:color w:val="000000" w:themeColor="text1"/>
          <w:sz w:val="19"/>
          <w:szCs w:val="19"/>
          <w:highlight w:val="none"/>
          <w14:textFill>
            <w14:solidFill>
              <w14:schemeClr w14:val="tx1"/>
            </w14:solidFill>
          </w14:textFill>
        </w:rPr>
      </w:pPr>
    </w:p>
    <w:p w14:paraId="437D68AA">
      <w:pPr>
        <w:spacing w:line="400" w:lineRule="exact"/>
        <w:ind w:firstLine="420" w:firstLineChars="200"/>
        <w:rPr>
          <w:rFonts w:ascii="宋体" w:hAnsi="宋体"/>
          <w:color w:val="000000" w:themeColor="text1"/>
          <w:szCs w:val="21"/>
          <w:highlight w:val="none"/>
          <w14:textFill>
            <w14:solidFill>
              <w14:schemeClr w14:val="tx1"/>
            </w14:solidFill>
          </w14:textFill>
        </w:rPr>
      </w:pPr>
      <w:bookmarkStart w:id="1061" w:name="_Toc221952106"/>
      <w:r>
        <w:rPr>
          <w:rFonts w:ascii="宋体" w:hAnsi="宋体"/>
          <w:color w:val="000000" w:themeColor="text1"/>
          <w:szCs w:val="21"/>
          <w:highlight w:val="none"/>
          <w14:textFill>
            <w14:solidFill>
              <w14:schemeClr w14:val="tx1"/>
            </w14:solidFill>
          </w14:textFill>
        </w:rPr>
        <w:t>1. 投标人应递交施工进度网络图或施工进度表，说明按招标文件要求的计划工期进行施工的各个关键日期。</w:t>
      </w:r>
      <w:bookmarkEnd w:id="1061"/>
    </w:p>
    <w:p w14:paraId="7C96264E">
      <w:pPr>
        <w:spacing w:line="400" w:lineRule="exact"/>
        <w:ind w:firstLine="420" w:firstLineChars="200"/>
        <w:rPr>
          <w:rFonts w:ascii="宋体" w:hAnsi="宋体"/>
          <w:color w:val="000000" w:themeColor="text1"/>
          <w:szCs w:val="21"/>
          <w:highlight w:val="none"/>
          <w14:textFill>
            <w14:solidFill>
              <w14:schemeClr w14:val="tx1"/>
            </w14:solidFill>
          </w14:textFill>
        </w:rPr>
      </w:pPr>
      <w:bookmarkStart w:id="1062" w:name="_Toc221952107"/>
      <w:r>
        <w:rPr>
          <w:rFonts w:ascii="宋体" w:hAnsi="宋体"/>
          <w:color w:val="000000" w:themeColor="text1"/>
          <w:szCs w:val="21"/>
          <w:highlight w:val="none"/>
          <w14:textFill>
            <w14:solidFill>
              <w14:schemeClr w14:val="tx1"/>
            </w14:solidFill>
          </w14:textFill>
        </w:rPr>
        <w:t>2. 施工进度表可采用</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网络图（或横道图）表示。</w:t>
      </w:r>
      <w:bookmarkEnd w:id="1062"/>
    </w:p>
    <w:p w14:paraId="6D979431">
      <w:pPr>
        <w:spacing w:line="400" w:lineRule="exact"/>
        <w:rPr>
          <w:color w:val="000000" w:themeColor="text1"/>
          <w:sz w:val="19"/>
          <w:szCs w:val="19"/>
          <w:highlight w:val="none"/>
          <w14:textFill>
            <w14:solidFill>
              <w14:schemeClr w14:val="tx1"/>
            </w14:solidFill>
          </w14:textFill>
        </w:rPr>
      </w:pPr>
    </w:p>
    <w:p w14:paraId="7580DC82">
      <w:pPr>
        <w:spacing w:line="400" w:lineRule="exact"/>
        <w:rPr>
          <w:rFonts w:eastAsia="黑体"/>
          <w:color w:val="000000" w:themeColor="text1"/>
          <w:sz w:val="19"/>
          <w:szCs w:val="19"/>
          <w:highlight w:val="none"/>
          <w14:textFill>
            <w14:solidFill>
              <w14:schemeClr w14:val="tx1"/>
            </w14:solidFill>
          </w14:textFill>
        </w:rPr>
      </w:pPr>
    </w:p>
    <w:p w14:paraId="7A5DC691">
      <w:pPr>
        <w:spacing w:line="400" w:lineRule="exact"/>
        <w:rPr>
          <w:rFonts w:eastAsia="黑体"/>
          <w:color w:val="000000" w:themeColor="text1"/>
          <w:sz w:val="19"/>
          <w:szCs w:val="19"/>
          <w:highlight w:val="none"/>
          <w14:textFill>
            <w14:solidFill>
              <w14:schemeClr w14:val="tx1"/>
            </w14:solidFill>
          </w14:textFill>
        </w:rPr>
      </w:pPr>
      <w:r>
        <w:rPr>
          <w:rFonts w:eastAsia="黑体"/>
          <w:color w:val="000000" w:themeColor="text1"/>
          <w:sz w:val="19"/>
          <w:szCs w:val="19"/>
          <w:highlight w:val="none"/>
          <w14:textFill>
            <w14:solidFill>
              <w14:schemeClr w14:val="tx1"/>
            </w14:solidFill>
          </w14:textFill>
        </w:rPr>
        <w:br w:type="page"/>
      </w:r>
    </w:p>
    <w:p w14:paraId="58A1F898">
      <w:pPr>
        <w:spacing w:line="400" w:lineRule="exact"/>
        <w:jc w:val="center"/>
        <w:outlineLvl w:val="3"/>
        <w:rPr>
          <w:rFonts w:ascii="宋体" w:hAnsi="宋体"/>
          <w:b/>
          <w:color w:val="000000" w:themeColor="text1"/>
          <w:sz w:val="24"/>
          <w:szCs w:val="31"/>
          <w:highlight w:val="none"/>
          <w14:textFill>
            <w14:solidFill>
              <w14:schemeClr w14:val="tx1"/>
            </w14:solidFill>
          </w14:textFill>
        </w:rPr>
      </w:pPr>
      <w:bookmarkStart w:id="1063" w:name="_Toc221952108"/>
      <w:bookmarkStart w:id="1064" w:name="_Toc168475928"/>
      <w:bookmarkStart w:id="1065" w:name="_Toc168476331"/>
      <w:bookmarkStart w:id="1066" w:name="_Toc144974869"/>
      <w:r>
        <w:rPr>
          <w:rFonts w:ascii="宋体" w:hAnsi="宋体"/>
          <w:b/>
          <w:color w:val="000000" w:themeColor="text1"/>
          <w:sz w:val="24"/>
          <w:szCs w:val="31"/>
          <w:highlight w:val="none"/>
          <w14:textFill>
            <w14:solidFill>
              <w14:schemeClr w14:val="tx1"/>
            </w14:solidFill>
          </w14:textFill>
        </w:rPr>
        <w:t>附表五：施工总平面图</w:t>
      </w:r>
      <w:bookmarkEnd w:id="1063"/>
      <w:bookmarkEnd w:id="1064"/>
      <w:bookmarkEnd w:id="1065"/>
      <w:bookmarkEnd w:id="1066"/>
    </w:p>
    <w:p w14:paraId="6D94A24E">
      <w:pPr>
        <w:spacing w:line="400" w:lineRule="exact"/>
        <w:rPr>
          <w:rFonts w:eastAsia="黑体"/>
          <w:color w:val="000000" w:themeColor="text1"/>
          <w:sz w:val="19"/>
          <w:szCs w:val="19"/>
          <w:highlight w:val="none"/>
          <w14:textFill>
            <w14:solidFill>
              <w14:schemeClr w14:val="tx1"/>
            </w14:solidFill>
          </w14:textFill>
        </w:rPr>
      </w:pPr>
      <w:r>
        <w:rPr>
          <w:rFonts w:eastAsia="黑体"/>
          <w:color w:val="000000" w:themeColor="text1"/>
          <w:sz w:val="19"/>
          <w:szCs w:val="19"/>
          <w:highlight w:val="none"/>
          <w14:textFill>
            <w14:solidFill>
              <w14:schemeClr w14:val="tx1"/>
            </w14:solidFill>
          </w14:textFill>
        </w:rPr>
        <w:tab/>
      </w:r>
    </w:p>
    <w:p w14:paraId="3C0D13F5">
      <w:pPr>
        <w:spacing w:line="400" w:lineRule="exact"/>
        <w:ind w:firstLine="420" w:firstLineChars="200"/>
        <w:rPr>
          <w:color w:val="000000" w:themeColor="text1"/>
          <w:szCs w:val="21"/>
          <w:highlight w:val="none"/>
          <w14:textFill>
            <w14:solidFill>
              <w14:schemeClr w14:val="tx1"/>
            </w14:solidFill>
          </w14:textFill>
        </w:rPr>
      </w:pPr>
      <w:bookmarkStart w:id="1067" w:name="_Toc221952109"/>
      <w:r>
        <w:rPr>
          <w:color w:val="000000" w:themeColor="text1"/>
          <w:szCs w:val="21"/>
          <w:highlight w:val="none"/>
          <w14:textFill>
            <w14:solidFill>
              <w14:schemeClr w14:val="tx1"/>
            </w14:solidFill>
          </w14:textFill>
        </w:rPr>
        <w:t>投标人应递交一份施工总平面图，绘出现场临时设施布置图表并附文字说明，说明临时设施、加工车间、现场办公、设备及仓储、供电、供水、卫生、生活、道路、消防等设施的情况和布置。</w:t>
      </w:r>
      <w:bookmarkEnd w:id="1067"/>
    </w:p>
    <w:p w14:paraId="528215F9">
      <w:pPr>
        <w:spacing w:line="400" w:lineRule="exact"/>
        <w:rPr>
          <w:rFonts w:eastAsia="黑体"/>
          <w:color w:val="000000" w:themeColor="text1"/>
          <w:sz w:val="19"/>
          <w:szCs w:val="19"/>
          <w:highlight w:val="none"/>
          <w14:textFill>
            <w14:solidFill>
              <w14:schemeClr w14:val="tx1"/>
            </w14:solidFill>
          </w14:textFill>
        </w:rPr>
      </w:pPr>
    </w:p>
    <w:p w14:paraId="3741DDB3">
      <w:pPr>
        <w:spacing w:line="400" w:lineRule="exact"/>
        <w:rPr>
          <w:rFonts w:eastAsia="黑体"/>
          <w:color w:val="000000" w:themeColor="text1"/>
          <w:sz w:val="19"/>
          <w:szCs w:val="19"/>
          <w:highlight w:val="none"/>
          <w14:textFill>
            <w14:solidFill>
              <w14:schemeClr w14:val="tx1"/>
            </w14:solidFill>
          </w14:textFill>
        </w:rPr>
      </w:pPr>
      <w:r>
        <w:rPr>
          <w:rFonts w:eastAsia="黑体"/>
          <w:color w:val="000000" w:themeColor="text1"/>
          <w:sz w:val="19"/>
          <w:szCs w:val="19"/>
          <w:highlight w:val="none"/>
          <w14:textFill>
            <w14:solidFill>
              <w14:schemeClr w14:val="tx1"/>
            </w14:solidFill>
          </w14:textFill>
        </w:rPr>
        <w:br w:type="page"/>
      </w:r>
    </w:p>
    <w:p w14:paraId="0A0837A5">
      <w:pPr>
        <w:spacing w:line="400" w:lineRule="exact"/>
        <w:jc w:val="center"/>
        <w:outlineLvl w:val="3"/>
        <w:rPr>
          <w:rFonts w:ascii="宋体" w:hAnsi="宋体"/>
          <w:b/>
          <w:color w:val="000000" w:themeColor="text1"/>
          <w:sz w:val="24"/>
          <w:szCs w:val="31"/>
          <w:highlight w:val="none"/>
          <w14:textFill>
            <w14:solidFill>
              <w14:schemeClr w14:val="tx1"/>
            </w14:solidFill>
          </w14:textFill>
        </w:rPr>
      </w:pPr>
      <w:bookmarkStart w:id="1068" w:name="_Toc168475929"/>
      <w:bookmarkStart w:id="1069" w:name="_Toc168476332"/>
      <w:bookmarkStart w:id="1070" w:name="_Toc144974870"/>
      <w:bookmarkStart w:id="1071" w:name="_Toc221952110"/>
      <w:r>
        <w:rPr>
          <w:rFonts w:ascii="宋体" w:hAnsi="宋体"/>
          <w:b/>
          <w:color w:val="000000" w:themeColor="text1"/>
          <w:sz w:val="24"/>
          <w:szCs w:val="31"/>
          <w:highlight w:val="none"/>
          <w14:textFill>
            <w14:solidFill>
              <w14:schemeClr w14:val="tx1"/>
            </w14:solidFill>
          </w14:textFill>
        </w:rPr>
        <w:t>附表六</w:t>
      </w:r>
      <w:r>
        <w:rPr>
          <w:rFonts w:hint="eastAsia" w:ascii="宋体" w:hAnsi="宋体"/>
          <w:b/>
          <w:color w:val="000000" w:themeColor="text1"/>
          <w:sz w:val="24"/>
          <w:szCs w:val="31"/>
          <w:highlight w:val="none"/>
          <w14:textFill>
            <w14:solidFill>
              <w14:schemeClr w14:val="tx1"/>
            </w14:solidFill>
          </w14:textFill>
        </w:rPr>
        <w:t>：</w:t>
      </w:r>
      <w:r>
        <w:rPr>
          <w:rFonts w:ascii="宋体" w:hAnsi="宋体"/>
          <w:b/>
          <w:color w:val="000000" w:themeColor="text1"/>
          <w:sz w:val="24"/>
          <w:szCs w:val="31"/>
          <w:highlight w:val="none"/>
          <w14:textFill>
            <w14:solidFill>
              <w14:schemeClr w14:val="tx1"/>
            </w14:solidFill>
          </w14:textFill>
        </w:rPr>
        <w:t>临时用地表</w:t>
      </w:r>
      <w:bookmarkEnd w:id="1068"/>
      <w:bookmarkEnd w:id="1069"/>
      <w:bookmarkEnd w:id="1070"/>
      <w:bookmarkEnd w:id="1071"/>
    </w:p>
    <w:p w14:paraId="57AB7B8C">
      <w:pPr>
        <w:spacing w:line="400" w:lineRule="exact"/>
        <w:jc w:val="left"/>
        <w:rPr>
          <w:color w:val="000000" w:themeColor="text1"/>
          <w:sz w:val="22"/>
          <w:highlight w:val="none"/>
          <w14:textFill>
            <w14:solidFill>
              <w14:schemeClr w14:val="tx1"/>
            </w14:solidFill>
          </w14:textFill>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2132"/>
        <w:gridCol w:w="2132"/>
      </w:tblGrid>
      <w:tr w14:paraId="7F98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6F6D5355">
            <w:pPr>
              <w:spacing w:line="400" w:lineRule="exact"/>
              <w:jc w:val="center"/>
              <w:rPr>
                <w:rFonts w:ascii="宋体" w:hAnsi="宋体"/>
                <w:color w:val="000000" w:themeColor="text1"/>
                <w:szCs w:val="21"/>
                <w:highlight w:val="none"/>
                <w14:textFill>
                  <w14:solidFill>
                    <w14:schemeClr w14:val="tx1"/>
                  </w14:solidFill>
                </w14:textFill>
              </w:rPr>
            </w:pPr>
            <w:bookmarkStart w:id="1072" w:name="_Toc221952111"/>
            <w:r>
              <w:rPr>
                <w:rFonts w:ascii="宋体" w:hAnsi="宋体"/>
                <w:color w:val="000000" w:themeColor="text1"/>
                <w:szCs w:val="21"/>
                <w:highlight w:val="none"/>
                <w14:textFill>
                  <w14:solidFill>
                    <w14:schemeClr w14:val="tx1"/>
                  </w14:solidFill>
                </w14:textFill>
              </w:rPr>
              <w:t>用 途</w:t>
            </w:r>
            <w:bookmarkEnd w:id="1072"/>
          </w:p>
        </w:tc>
        <w:tc>
          <w:tcPr>
            <w:tcW w:w="2132" w:type="dxa"/>
            <w:noWrap w:val="0"/>
            <w:vAlign w:val="top"/>
          </w:tcPr>
          <w:p w14:paraId="05578F73">
            <w:pPr>
              <w:spacing w:line="400" w:lineRule="exact"/>
              <w:jc w:val="center"/>
              <w:rPr>
                <w:rFonts w:ascii="宋体" w:hAnsi="宋体"/>
                <w:color w:val="000000" w:themeColor="text1"/>
                <w:szCs w:val="21"/>
                <w:highlight w:val="none"/>
                <w14:textFill>
                  <w14:solidFill>
                    <w14:schemeClr w14:val="tx1"/>
                  </w14:solidFill>
                </w14:textFill>
              </w:rPr>
            </w:pPr>
            <w:bookmarkStart w:id="1073" w:name="_Toc221952112"/>
            <w:r>
              <w:rPr>
                <w:rFonts w:ascii="宋体" w:hAnsi="宋体"/>
                <w:color w:val="000000" w:themeColor="text1"/>
                <w:szCs w:val="21"/>
                <w:highlight w:val="none"/>
                <w14:textFill>
                  <w14:solidFill>
                    <w14:schemeClr w14:val="tx1"/>
                  </w14:solidFill>
                </w14:textFill>
              </w:rPr>
              <w:t>面 积（</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w:t>
            </w:r>
            <w:bookmarkEnd w:id="1073"/>
          </w:p>
        </w:tc>
        <w:tc>
          <w:tcPr>
            <w:tcW w:w="2132" w:type="dxa"/>
            <w:noWrap w:val="0"/>
            <w:vAlign w:val="top"/>
          </w:tcPr>
          <w:p w14:paraId="711F9461">
            <w:pPr>
              <w:spacing w:line="400" w:lineRule="exact"/>
              <w:jc w:val="center"/>
              <w:rPr>
                <w:rFonts w:ascii="宋体" w:hAnsi="宋体"/>
                <w:color w:val="000000" w:themeColor="text1"/>
                <w:szCs w:val="21"/>
                <w:highlight w:val="none"/>
                <w14:textFill>
                  <w14:solidFill>
                    <w14:schemeClr w14:val="tx1"/>
                  </w14:solidFill>
                </w14:textFill>
              </w:rPr>
            </w:pPr>
            <w:bookmarkStart w:id="1074" w:name="_Toc221952113"/>
            <w:r>
              <w:rPr>
                <w:rFonts w:ascii="宋体" w:hAnsi="宋体"/>
                <w:color w:val="000000" w:themeColor="text1"/>
                <w:szCs w:val="21"/>
                <w:highlight w:val="none"/>
                <w14:textFill>
                  <w14:solidFill>
                    <w14:schemeClr w14:val="tx1"/>
                  </w14:solidFill>
                </w14:textFill>
              </w:rPr>
              <w:t>位 置</w:t>
            </w:r>
            <w:bookmarkEnd w:id="1074"/>
          </w:p>
        </w:tc>
        <w:tc>
          <w:tcPr>
            <w:tcW w:w="2132" w:type="dxa"/>
            <w:noWrap w:val="0"/>
            <w:vAlign w:val="top"/>
          </w:tcPr>
          <w:p w14:paraId="15D7D0F5">
            <w:pPr>
              <w:spacing w:line="400" w:lineRule="exact"/>
              <w:jc w:val="center"/>
              <w:rPr>
                <w:rFonts w:ascii="宋体" w:hAnsi="宋体"/>
                <w:color w:val="000000" w:themeColor="text1"/>
                <w:szCs w:val="21"/>
                <w:highlight w:val="none"/>
                <w14:textFill>
                  <w14:solidFill>
                    <w14:schemeClr w14:val="tx1"/>
                  </w14:solidFill>
                </w14:textFill>
              </w:rPr>
            </w:pPr>
            <w:bookmarkStart w:id="1075" w:name="_Toc221952114"/>
            <w:r>
              <w:rPr>
                <w:rFonts w:ascii="宋体" w:hAnsi="宋体"/>
                <w:color w:val="000000" w:themeColor="text1"/>
                <w:szCs w:val="21"/>
                <w:highlight w:val="none"/>
                <w14:textFill>
                  <w14:solidFill>
                    <w14:schemeClr w14:val="tx1"/>
                  </w14:solidFill>
                </w14:textFill>
              </w:rPr>
              <w:t>需用时间</w:t>
            </w:r>
            <w:bookmarkEnd w:id="1075"/>
          </w:p>
        </w:tc>
      </w:tr>
      <w:tr w14:paraId="7EE4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6D6B215F">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137CFA10">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24E3F2E3">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113BC3AE">
            <w:pPr>
              <w:spacing w:line="400" w:lineRule="exact"/>
              <w:jc w:val="center"/>
              <w:rPr>
                <w:rFonts w:ascii="宋体" w:hAnsi="宋体"/>
                <w:color w:val="000000" w:themeColor="text1"/>
                <w:szCs w:val="21"/>
                <w:highlight w:val="none"/>
                <w14:textFill>
                  <w14:solidFill>
                    <w14:schemeClr w14:val="tx1"/>
                  </w14:solidFill>
                </w14:textFill>
              </w:rPr>
            </w:pPr>
          </w:p>
        </w:tc>
      </w:tr>
      <w:tr w14:paraId="6DB6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67DF5E3F">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2AA21019">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68FDFBD2">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6AF9270C">
            <w:pPr>
              <w:spacing w:line="400" w:lineRule="exact"/>
              <w:jc w:val="center"/>
              <w:rPr>
                <w:rFonts w:ascii="宋体" w:hAnsi="宋体"/>
                <w:color w:val="000000" w:themeColor="text1"/>
                <w:szCs w:val="21"/>
                <w:highlight w:val="none"/>
                <w14:textFill>
                  <w14:solidFill>
                    <w14:schemeClr w14:val="tx1"/>
                  </w14:solidFill>
                </w14:textFill>
              </w:rPr>
            </w:pPr>
          </w:p>
        </w:tc>
      </w:tr>
      <w:tr w14:paraId="10F8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113C2196">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347F0637">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6533DEEF">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2EB41D6E">
            <w:pPr>
              <w:spacing w:line="400" w:lineRule="exact"/>
              <w:jc w:val="center"/>
              <w:rPr>
                <w:rFonts w:ascii="宋体" w:hAnsi="宋体"/>
                <w:color w:val="000000" w:themeColor="text1"/>
                <w:szCs w:val="21"/>
                <w:highlight w:val="none"/>
                <w14:textFill>
                  <w14:solidFill>
                    <w14:schemeClr w14:val="tx1"/>
                  </w14:solidFill>
                </w14:textFill>
              </w:rPr>
            </w:pPr>
          </w:p>
        </w:tc>
      </w:tr>
      <w:tr w14:paraId="0FA0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092BCDB7">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0B37E228">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1C59A893">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067E9338">
            <w:pPr>
              <w:spacing w:line="400" w:lineRule="exact"/>
              <w:jc w:val="center"/>
              <w:rPr>
                <w:rFonts w:ascii="宋体" w:hAnsi="宋体"/>
                <w:color w:val="000000" w:themeColor="text1"/>
                <w:szCs w:val="21"/>
                <w:highlight w:val="none"/>
                <w14:textFill>
                  <w14:solidFill>
                    <w14:schemeClr w14:val="tx1"/>
                  </w14:solidFill>
                </w14:textFill>
              </w:rPr>
            </w:pPr>
          </w:p>
        </w:tc>
      </w:tr>
      <w:tr w14:paraId="795B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635CDD51">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55200A80">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72D7F2A1">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5057BED0">
            <w:pPr>
              <w:spacing w:line="400" w:lineRule="exact"/>
              <w:jc w:val="center"/>
              <w:rPr>
                <w:rFonts w:ascii="宋体" w:hAnsi="宋体"/>
                <w:color w:val="000000" w:themeColor="text1"/>
                <w:szCs w:val="21"/>
                <w:highlight w:val="none"/>
                <w14:textFill>
                  <w14:solidFill>
                    <w14:schemeClr w14:val="tx1"/>
                  </w14:solidFill>
                </w14:textFill>
              </w:rPr>
            </w:pPr>
          </w:p>
        </w:tc>
      </w:tr>
      <w:tr w14:paraId="5821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4A17C215">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17A21E79">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F3F0797">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0128D8AF">
            <w:pPr>
              <w:spacing w:line="400" w:lineRule="exact"/>
              <w:jc w:val="center"/>
              <w:rPr>
                <w:rFonts w:ascii="宋体" w:hAnsi="宋体"/>
                <w:color w:val="000000" w:themeColor="text1"/>
                <w:szCs w:val="21"/>
                <w:highlight w:val="none"/>
                <w14:textFill>
                  <w14:solidFill>
                    <w14:schemeClr w14:val="tx1"/>
                  </w14:solidFill>
                </w14:textFill>
              </w:rPr>
            </w:pPr>
          </w:p>
        </w:tc>
      </w:tr>
      <w:tr w14:paraId="6825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7162B9A0">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732F32F6">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FB91DCE">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62BA9E43">
            <w:pPr>
              <w:spacing w:line="400" w:lineRule="exact"/>
              <w:jc w:val="center"/>
              <w:rPr>
                <w:rFonts w:ascii="宋体" w:hAnsi="宋体"/>
                <w:color w:val="000000" w:themeColor="text1"/>
                <w:szCs w:val="21"/>
                <w:highlight w:val="none"/>
                <w14:textFill>
                  <w14:solidFill>
                    <w14:schemeClr w14:val="tx1"/>
                  </w14:solidFill>
                </w14:textFill>
              </w:rPr>
            </w:pPr>
          </w:p>
        </w:tc>
      </w:tr>
      <w:tr w14:paraId="3C0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552A3EF5">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2FF43188">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0E0B37D4">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66CDAEBB">
            <w:pPr>
              <w:spacing w:line="400" w:lineRule="exact"/>
              <w:jc w:val="center"/>
              <w:rPr>
                <w:rFonts w:ascii="宋体" w:hAnsi="宋体"/>
                <w:color w:val="000000" w:themeColor="text1"/>
                <w:szCs w:val="21"/>
                <w:highlight w:val="none"/>
                <w14:textFill>
                  <w14:solidFill>
                    <w14:schemeClr w14:val="tx1"/>
                  </w14:solidFill>
                </w14:textFill>
              </w:rPr>
            </w:pPr>
          </w:p>
        </w:tc>
      </w:tr>
      <w:tr w14:paraId="4ADC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559BC39B">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275E2760">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13863E41">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55303592">
            <w:pPr>
              <w:spacing w:line="400" w:lineRule="exact"/>
              <w:jc w:val="center"/>
              <w:rPr>
                <w:rFonts w:ascii="宋体" w:hAnsi="宋体"/>
                <w:color w:val="000000" w:themeColor="text1"/>
                <w:szCs w:val="21"/>
                <w:highlight w:val="none"/>
                <w14:textFill>
                  <w14:solidFill>
                    <w14:schemeClr w14:val="tx1"/>
                  </w14:solidFill>
                </w14:textFill>
              </w:rPr>
            </w:pPr>
          </w:p>
        </w:tc>
      </w:tr>
      <w:tr w14:paraId="1F79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77779E68">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978D2FF">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4A4845A">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71D12F82">
            <w:pPr>
              <w:spacing w:line="400" w:lineRule="exact"/>
              <w:jc w:val="center"/>
              <w:rPr>
                <w:rFonts w:ascii="宋体" w:hAnsi="宋体"/>
                <w:color w:val="000000" w:themeColor="text1"/>
                <w:szCs w:val="21"/>
                <w:highlight w:val="none"/>
                <w14:textFill>
                  <w14:solidFill>
                    <w14:schemeClr w14:val="tx1"/>
                  </w14:solidFill>
                </w14:textFill>
              </w:rPr>
            </w:pPr>
          </w:p>
        </w:tc>
      </w:tr>
      <w:tr w14:paraId="0AD2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7BB69119">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0202EF0B">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6DD08F8C">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39E4B780">
            <w:pPr>
              <w:spacing w:line="400" w:lineRule="exact"/>
              <w:jc w:val="center"/>
              <w:rPr>
                <w:rFonts w:ascii="宋体" w:hAnsi="宋体"/>
                <w:color w:val="000000" w:themeColor="text1"/>
                <w:szCs w:val="21"/>
                <w:highlight w:val="none"/>
                <w14:textFill>
                  <w14:solidFill>
                    <w14:schemeClr w14:val="tx1"/>
                  </w14:solidFill>
                </w14:textFill>
              </w:rPr>
            </w:pPr>
          </w:p>
        </w:tc>
      </w:tr>
      <w:tr w14:paraId="6CEE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5A78930E">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63411B50">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CCEC034">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18E15F2B">
            <w:pPr>
              <w:spacing w:line="400" w:lineRule="exact"/>
              <w:jc w:val="center"/>
              <w:rPr>
                <w:rFonts w:ascii="宋体" w:hAnsi="宋体"/>
                <w:color w:val="000000" w:themeColor="text1"/>
                <w:szCs w:val="21"/>
                <w:highlight w:val="none"/>
                <w14:textFill>
                  <w14:solidFill>
                    <w14:schemeClr w14:val="tx1"/>
                  </w14:solidFill>
                </w14:textFill>
              </w:rPr>
            </w:pPr>
          </w:p>
        </w:tc>
      </w:tr>
      <w:tr w14:paraId="6CC3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2EAFA3FE">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7B821CB">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7022C2BD">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322355EB">
            <w:pPr>
              <w:spacing w:line="400" w:lineRule="exact"/>
              <w:jc w:val="center"/>
              <w:rPr>
                <w:rFonts w:ascii="宋体" w:hAnsi="宋体"/>
                <w:color w:val="000000" w:themeColor="text1"/>
                <w:szCs w:val="21"/>
                <w:highlight w:val="none"/>
                <w14:textFill>
                  <w14:solidFill>
                    <w14:schemeClr w14:val="tx1"/>
                  </w14:solidFill>
                </w14:textFill>
              </w:rPr>
            </w:pPr>
          </w:p>
        </w:tc>
      </w:tr>
      <w:tr w14:paraId="6D18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2ABAFA06">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6720FA11">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57E45E68">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7B99FFA8">
            <w:pPr>
              <w:spacing w:line="400" w:lineRule="exact"/>
              <w:jc w:val="center"/>
              <w:rPr>
                <w:rFonts w:ascii="宋体" w:hAnsi="宋体"/>
                <w:color w:val="000000" w:themeColor="text1"/>
                <w:szCs w:val="21"/>
                <w:highlight w:val="none"/>
                <w14:textFill>
                  <w14:solidFill>
                    <w14:schemeClr w14:val="tx1"/>
                  </w14:solidFill>
                </w14:textFill>
              </w:rPr>
            </w:pPr>
          </w:p>
        </w:tc>
      </w:tr>
      <w:tr w14:paraId="5553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455F9497">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11B5557E">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06C82790">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0D467E1D">
            <w:pPr>
              <w:spacing w:line="400" w:lineRule="exact"/>
              <w:jc w:val="center"/>
              <w:rPr>
                <w:rFonts w:ascii="宋体" w:hAnsi="宋体"/>
                <w:color w:val="000000" w:themeColor="text1"/>
                <w:szCs w:val="21"/>
                <w:highlight w:val="none"/>
                <w14:textFill>
                  <w14:solidFill>
                    <w14:schemeClr w14:val="tx1"/>
                  </w14:solidFill>
                </w14:textFill>
              </w:rPr>
            </w:pPr>
          </w:p>
        </w:tc>
      </w:tr>
      <w:tr w14:paraId="2601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0647D42B">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763F5FA3">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A43413A">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C1F40D0">
            <w:pPr>
              <w:spacing w:line="400" w:lineRule="exact"/>
              <w:jc w:val="center"/>
              <w:rPr>
                <w:rFonts w:ascii="宋体" w:hAnsi="宋体"/>
                <w:color w:val="000000" w:themeColor="text1"/>
                <w:szCs w:val="21"/>
                <w:highlight w:val="none"/>
                <w14:textFill>
                  <w14:solidFill>
                    <w14:schemeClr w14:val="tx1"/>
                  </w14:solidFill>
                </w14:textFill>
              </w:rPr>
            </w:pPr>
          </w:p>
        </w:tc>
      </w:tr>
      <w:tr w14:paraId="735E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504A95E1">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542BA29F">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14845285">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D831616">
            <w:pPr>
              <w:spacing w:line="400" w:lineRule="exact"/>
              <w:jc w:val="center"/>
              <w:rPr>
                <w:rFonts w:ascii="宋体" w:hAnsi="宋体"/>
                <w:color w:val="000000" w:themeColor="text1"/>
                <w:szCs w:val="21"/>
                <w:highlight w:val="none"/>
                <w14:textFill>
                  <w14:solidFill>
                    <w14:schemeClr w14:val="tx1"/>
                  </w14:solidFill>
                </w14:textFill>
              </w:rPr>
            </w:pPr>
          </w:p>
        </w:tc>
      </w:tr>
      <w:tr w14:paraId="2548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524CBFB6">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1BF91203">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1F5820CF">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143BEB48">
            <w:pPr>
              <w:spacing w:line="400" w:lineRule="exact"/>
              <w:jc w:val="center"/>
              <w:rPr>
                <w:rFonts w:ascii="宋体" w:hAnsi="宋体"/>
                <w:color w:val="000000" w:themeColor="text1"/>
                <w:szCs w:val="21"/>
                <w:highlight w:val="none"/>
                <w14:textFill>
                  <w14:solidFill>
                    <w14:schemeClr w14:val="tx1"/>
                  </w14:solidFill>
                </w14:textFill>
              </w:rPr>
            </w:pPr>
          </w:p>
        </w:tc>
      </w:tr>
      <w:tr w14:paraId="5C25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10054F31">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0757016E">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4393DA9">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3B867AC8">
            <w:pPr>
              <w:spacing w:line="400" w:lineRule="exact"/>
              <w:jc w:val="center"/>
              <w:rPr>
                <w:rFonts w:ascii="宋体" w:hAnsi="宋体"/>
                <w:color w:val="000000" w:themeColor="text1"/>
                <w:szCs w:val="21"/>
                <w:highlight w:val="none"/>
                <w14:textFill>
                  <w14:solidFill>
                    <w14:schemeClr w14:val="tx1"/>
                  </w14:solidFill>
                </w14:textFill>
              </w:rPr>
            </w:pPr>
          </w:p>
        </w:tc>
      </w:tr>
      <w:tr w14:paraId="4430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38E33903">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8FEFF59">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75BECDDC">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0ACF0FBF">
            <w:pPr>
              <w:spacing w:line="400" w:lineRule="exact"/>
              <w:jc w:val="center"/>
              <w:rPr>
                <w:rFonts w:ascii="宋体" w:hAnsi="宋体"/>
                <w:color w:val="000000" w:themeColor="text1"/>
                <w:szCs w:val="21"/>
                <w:highlight w:val="none"/>
                <w14:textFill>
                  <w14:solidFill>
                    <w14:schemeClr w14:val="tx1"/>
                  </w14:solidFill>
                </w14:textFill>
              </w:rPr>
            </w:pPr>
          </w:p>
        </w:tc>
      </w:tr>
      <w:tr w14:paraId="4009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71992CE8">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5B8F2A7A">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B0A7D3F">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364D4633">
            <w:pPr>
              <w:spacing w:line="400" w:lineRule="exact"/>
              <w:jc w:val="center"/>
              <w:rPr>
                <w:rFonts w:ascii="宋体" w:hAnsi="宋体"/>
                <w:color w:val="000000" w:themeColor="text1"/>
                <w:szCs w:val="21"/>
                <w:highlight w:val="none"/>
                <w14:textFill>
                  <w14:solidFill>
                    <w14:schemeClr w14:val="tx1"/>
                  </w14:solidFill>
                </w14:textFill>
              </w:rPr>
            </w:pPr>
          </w:p>
        </w:tc>
      </w:tr>
      <w:tr w14:paraId="1A79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62F41118">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5CB3D5D0">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734D553">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555D3C31">
            <w:pPr>
              <w:spacing w:line="400" w:lineRule="exact"/>
              <w:jc w:val="center"/>
              <w:rPr>
                <w:rFonts w:ascii="宋体" w:hAnsi="宋体"/>
                <w:color w:val="000000" w:themeColor="text1"/>
                <w:szCs w:val="21"/>
                <w:highlight w:val="none"/>
                <w14:textFill>
                  <w14:solidFill>
                    <w14:schemeClr w14:val="tx1"/>
                  </w14:solidFill>
                </w14:textFill>
              </w:rPr>
            </w:pPr>
          </w:p>
        </w:tc>
      </w:tr>
      <w:tr w14:paraId="0588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49ACE199">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2CCEDDD9">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15862121">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753FC9C5">
            <w:pPr>
              <w:spacing w:line="400" w:lineRule="exact"/>
              <w:jc w:val="center"/>
              <w:rPr>
                <w:rFonts w:ascii="宋体" w:hAnsi="宋体"/>
                <w:color w:val="000000" w:themeColor="text1"/>
                <w:szCs w:val="21"/>
                <w:highlight w:val="none"/>
                <w14:textFill>
                  <w14:solidFill>
                    <w14:schemeClr w14:val="tx1"/>
                  </w14:solidFill>
                </w14:textFill>
              </w:rPr>
            </w:pPr>
          </w:p>
        </w:tc>
      </w:tr>
      <w:tr w14:paraId="4083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1E3D0ED4">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1D8773EE">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C3F79D4">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74B045D1">
            <w:pPr>
              <w:spacing w:line="400" w:lineRule="exact"/>
              <w:jc w:val="center"/>
              <w:rPr>
                <w:rFonts w:ascii="宋体" w:hAnsi="宋体"/>
                <w:color w:val="000000" w:themeColor="text1"/>
                <w:szCs w:val="21"/>
                <w:highlight w:val="none"/>
                <w14:textFill>
                  <w14:solidFill>
                    <w14:schemeClr w14:val="tx1"/>
                  </w14:solidFill>
                </w14:textFill>
              </w:rPr>
            </w:pPr>
          </w:p>
        </w:tc>
      </w:tr>
      <w:tr w14:paraId="6A03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5E33E7CC">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722826B8">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4EF1E73B">
            <w:pPr>
              <w:spacing w:line="400" w:lineRule="exact"/>
              <w:jc w:val="center"/>
              <w:rPr>
                <w:rFonts w:ascii="宋体" w:hAnsi="宋体"/>
                <w:color w:val="000000" w:themeColor="text1"/>
                <w:szCs w:val="21"/>
                <w:highlight w:val="none"/>
                <w14:textFill>
                  <w14:solidFill>
                    <w14:schemeClr w14:val="tx1"/>
                  </w14:solidFill>
                </w14:textFill>
              </w:rPr>
            </w:pPr>
          </w:p>
        </w:tc>
        <w:tc>
          <w:tcPr>
            <w:tcW w:w="2132" w:type="dxa"/>
            <w:noWrap w:val="0"/>
            <w:vAlign w:val="top"/>
          </w:tcPr>
          <w:p w14:paraId="355E715C">
            <w:pPr>
              <w:spacing w:line="400" w:lineRule="exact"/>
              <w:jc w:val="center"/>
              <w:rPr>
                <w:rFonts w:ascii="宋体" w:hAnsi="宋体"/>
                <w:color w:val="000000" w:themeColor="text1"/>
                <w:szCs w:val="21"/>
                <w:highlight w:val="none"/>
                <w14:textFill>
                  <w14:solidFill>
                    <w14:schemeClr w14:val="tx1"/>
                  </w14:solidFill>
                </w14:textFill>
              </w:rPr>
            </w:pPr>
          </w:p>
        </w:tc>
      </w:tr>
    </w:tbl>
    <w:p w14:paraId="6177E5D7">
      <w:pPr>
        <w:topLinePunct/>
        <w:spacing w:line="400" w:lineRule="exact"/>
        <w:rPr>
          <w:rFonts w:hint="eastAsia"/>
          <w:color w:val="000000" w:themeColor="text1"/>
          <w:sz w:val="20"/>
          <w:szCs w:val="20"/>
          <w:highlight w:val="none"/>
          <w14:textFill>
            <w14:solidFill>
              <w14:schemeClr w14:val="tx1"/>
            </w14:solidFill>
          </w14:textFill>
        </w:rPr>
      </w:pPr>
    </w:p>
    <w:p w14:paraId="70C57754">
      <w:pPr>
        <w:topLinePunct/>
        <w:spacing w:line="400" w:lineRule="exact"/>
        <w:rPr>
          <w:rFonts w:hint="eastAsia"/>
          <w:color w:val="000000" w:themeColor="text1"/>
          <w:sz w:val="20"/>
          <w:szCs w:val="20"/>
          <w:highlight w:val="none"/>
          <w14:textFill>
            <w14:solidFill>
              <w14:schemeClr w14:val="tx1"/>
            </w14:solidFill>
          </w14:textFill>
        </w:rPr>
      </w:pPr>
    </w:p>
    <w:p w14:paraId="69EE1DD8">
      <w:pPr>
        <w:topLinePunct/>
        <w:spacing w:line="400" w:lineRule="exact"/>
        <w:rPr>
          <w:rFonts w:hint="eastAsia"/>
          <w:color w:val="000000" w:themeColor="text1"/>
          <w:sz w:val="20"/>
          <w:szCs w:val="20"/>
          <w:highlight w:val="none"/>
          <w14:textFill>
            <w14:solidFill>
              <w14:schemeClr w14:val="tx1"/>
            </w14:solidFill>
          </w14:textFill>
        </w:rPr>
      </w:pPr>
    </w:p>
    <w:p w14:paraId="6FF13130">
      <w:pPr>
        <w:topLinePunct/>
        <w:spacing w:line="400" w:lineRule="exact"/>
        <w:rPr>
          <w:rFonts w:hint="eastAsia"/>
          <w:color w:val="000000" w:themeColor="text1"/>
          <w:sz w:val="20"/>
          <w:szCs w:val="20"/>
          <w:highlight w:val="none"/>
          <w14:textFill>
            <w14:solidFill>
              <w14:schemeClr w14:val="tx1"/>
            </w14:solidFill>
          </w14:textFill>
        </w:rPr>
      </w:pPr>
    </w:p>
    <w:p w14:paraId="595FC175">
      <w:pPr>
        <w:topLinePunct/>
        <w:spacing w:line="400" w:lineRule="exact"/>
        <w:rPr>
          <w:rFonts w:hint="eastAsia"/>
          <w:color w:val="000000" w:themeColor="text1"/>
          <w:sz w:val="20"/>
          <w:szCs w:val="20"/>
          <w:highlight w:val="none"/>
          <w14:textFill>
            <w14:solidFill>
              <w14:schemeClr w14:val="tx1"/>
            </w14:solidFill>
          </w14:textFill>
        </w:rPr>
      </w:pPr>
    </w:p>
    <w:p w14:paraId="1AE64F2F">
      <w:pPr>
        <w:jc w:val="center"/>
        <w:rPr>
          <w:rFonts w:hint="eastAsia" w:ascii="宋体" w:hAnsi="宋体"/>
          <w:b/>
          <w:color w:val="000000" w:themeColor="text1"/>
          <w:sz w:val="30"/>
          <w:szCs w:val="30"/>
          <w:highlight w:val="none"/>
          <w14:textFill>
            <w14:solidFill>
              <w14:schemeClr w14:val="tx1"/>
            </w14:solidFill>
          </w14:textFill>
        </w:rPr>
      </w:pPr>
      <w:bookmarkStart w:id="1076" w:name="_Toc221952115"/>
      <w:bookmarkStart w:id="1077" w:name="_Toc222033918"/>
      <w:bookmarkStart w:id="1078" w:name="_Toc229305427"/>
      <w:bookmarkStart w:id="1079" w:name="_Toc259524421"/>
      <w:bookmarkStart w:id="1080" w:name="_Toc222029567"/>
      <w:bookmarkStart w:id="1081" w:name="_Toc168475930"/>
      <w:bookmarkStart w:id="1082" w:name="_Toc222032736"/>
      <w:bookmarkStart w:id="1083" w:name="_Toc222031069"/>
      <w:bookmarkStart w:id="1084" w:name="_Toc144974871"/>
      <w:bookmarkStart w:id="1085" w:name="_Toc168476333"/>
      <w:r>
        <w:rPr>
          <w:rFonts w:ascii="黑体" w:hAnsi="黑体" w:eastAsia="黑体"/>
          <w:color w:val="000000" w:themeColor="text1"/>
          <w:sz w:val="28"/>
          <w:szCs w:val="27"/>
          <w:highlight w:val="none"/>
          <w14:textFill>
            <w14:solidFill>
              <w14:schemeClr w14:val="tx1"/>
            </w14:solidFill>
          </w14:textFill>
        </w:rPr>
        <w:br w:type="page"/>
      </w:r>
      <w:r>
        <w:rPr>
          <w:rFonts w:hint="eastAsia" w:ascii="宋体" w:hAnsi="宋体"/>
          <w:b/>
          <w:color w:val="000000" w:themeColor="text1"/>
          <w:sz w:val="30"/>
          <w:szCs w:val="30"/>
          <w:highlight w:val="none"/>
          <w14:textFill>
            <w14:solidFill>
              <w14:schemeClr w14:val="tx1"/>
            </w14:solidFill>
          </w14:textFill>
        </w:rPr>
        <w:t>施工组织设计要点</w:t>
      </w:r>
    </w:p>
    <w:p w14:paraId="0216740D">
      <w:pPr>
        <w:jc w:val="left"/>
        <w:rPr>
          <w:rFonts w:ascii="宋体" w:hAnsi="宋体"/>
          <w:i/>
          <w:color w:val="000000" w:themeColor="text1"/>
          <w:szCs w:val="21"/>
          <w:highlight w:val="none"/>
          <w14:textFill>
            <w14:solidFill>
              <w14:schemeClr w14:val="tx1"/>
            </w14:solidFill>
          </w14:textFill>
        </w:rPr>
      </w:pPr>
      <w:r>
        <w:rPr>
          <w:rFonts w:hint="eastAsia" w:ascii="宋体" w:hAnsi="宋体"/>
          <w:i/>
          <w:color w:val="000000" w:themeColor="text1"/>
          <w:szCs w:val="21"/>
          <w:highlight w:val="none"/>
          <w14:textFill>
            <w14:solidFill>
              <w14:schemeClr w14:val="tx1"/>
            </w14:solidFill>
          </w14:textFill>
        </w:rPr>
        <w:t>(说明：投标人在投标时不需要编制施工组织设计的，中标后需按本施工组织设计要点的内容编制施工组织设计)</w:t>
      </w:r>
    </w:p>
    <w:p w14:paraId="51AC400D">
      <w:pPr>
        <w:spacing w:line="400" w:lineRule="exact"/>
        <w:ind w:firstLine="480" w:firstLineChars="200"/>
        <w:rPr>
          <w:rFonts w:ascii="宋体" w:hAnsi="宋体"/>
          <w:color w:val="000000" w:themeColor="text1"/>
          <w:sz w:val="24"/>
          <w:highlight w:val="none"/>
          <w14:textFill>
            <w14:solidFill>
              <w14:schemeClr w14:val="tx1"/>
            </w14:solidFill>
          </w14:textFill>
        </w:rPr>
      </w:pPr>
    </w:p>
    <w:p w14:paraId="210B3162">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充分理解本项目的重点、难点，进行有针对性的描述，各部分文字直接简炼，不得出现大量宣传性及无实质性意义或直接引用范本照搬照套的文字，并结合图表说明及表示。施工组织设计应至少包括（但不限于）以下内容：</w:t>
      </w:r>
    </w:p>
    <w:p w14:paraId="53C362FA">
      <w:pPr>
        <w:spacing w:line="400" w:lineRule="exact"/>
        <w:ind w:firstLine="480" w:firstLineChars="200"/>
        <w:rPr>
          <w:rFonts w:ascii="宋体" w:hAnsi="宋体"/>
          <w:b/>
          <w:color w:val="000000" w:themeColor="text1"/>
          <w:sz w:val="30"/>
          <w:szCs w:val="3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一、文字部分：</w:t>
      </w:r>
    </w:p>
    <w:p w14:paraId="5D95A075">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1.工程概况及工程重点、难点</w:t>
      </w:r>
    </w:p>
    <w:p w14:paraId="29995591">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 项目组织机构</w:t>
      </w:r>
    </w:p>
    <w:p w14:paraId="0C4C548E">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要求项目负责人、总工程师、施工计划及财务负责人、质检、地质、实验、测量和机械、土建、机电工程师等组织结构配置合理，满足施工要求。</w:t>
      </w:r>
    </w:p>
    <w:p w14:paraId="6CF5E552">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3.施工总平面布置</w:t>
      </w:r>
    </w:p>
    <w:p w14:paraId="7D8363ED">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应针对本工程项目场地布置图和现场踏勘的情况进行本工程的施工总平面布置，并结合招标人提供的临时用地位置，合理安排其生活、福利、办公等临时生活设施和材料堆场、仓库、预制场、拌和场及加工场等生产设施的位置，设置完善、高效的临时排水、排污等设施，合理布置场内外交通运输路线。施工现场必须按广州市有关规定设置围蔽结构。</w:t>
      </w:r>
    </w:p>
    <w:p w14:paraId="664ECA0D">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3.1临设平面布置图；</w:t>
      </w:r>
    </w:p>
    <w:p w14:paraId="6EF90B12">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3.2临时供水、临时供电；</w:t>
      </w:r>
    </w:p>
    <w:p w14:paraId="75BE917F">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3.3临时排水、排污；</w:t>
      </w:r>
    </w:p>
    <w:p w14:paraId="78E1BE4F">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3.4围蔽结构；</w:t>
      </w:r>
    </w:p>
    <w:p w14:paraId="59C20965">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3.5施工通道布置；</w:t>
      </w:r>
    </w:p>
    <w:p w14:paraId="48D48D5F">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3.6投标人认为需补充的要点。</w:t>
      </w:r>
    </w:p>
    <w:p w14:paraId="20234D91">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4.主要分项工程的施工方案、施工方法、施工工艺</w:t>
      </w:r>
    </w:p>
    <w:p w14:paraId="55F8F93B">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根据本工程施工特点，制定各关键工序的施工方案、施工方法和工艺，要求所采用的施工方案、施工方法和工艺具有针对性、先进性和独创性。并对进场施工后保证实施上述施工方案、施工方法和工艺进行承诺；</w:t>
      </w:r>
    </w:p>
    <w:p w14:paraId="2F1A735F">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5.施工计划</w:t>
      </w:r>
    </w:p>
    <w:p w14:paraId="3999013A">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5.1总体施工进度计划</w:t>
      </w:r>
    </w:p>
    <w:p w14:paraId="20DCDA89">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5.2各阶段施工进度计划及控制措施</w:t>
      </w:r>
    </w:p>
    <w:p w14:paraId="14C068E1">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5.3工、料、机、资金等的使用计划</w:t>
      </w:r>
    </w:p>
    <w:p w14:paraId="5C58D814">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5.4主要的工艺流程</w:t>
      </w:r>
    </w:p>
    <w:p w14:paraId="29FBFFBC">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6.环保与文明施工（包括空气污染、水质污染、噪音控制、施工场地和驻地卫生，以及文明施工等方面控制措施）</w:t>
      </w:r>
    </w:p>
    <w:p w14:paraId="43B2FBA8">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7.质量、安全生产目标及保证体系和保证措施</w:t>
      </w:r>
    </w:p>
    <w:p w14:paraId="11F68054">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8.制订完善的成品保护措施。</w:t>
      </w:r>
    </w:p>
    <w:p w14:paraId="70590635">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9.民工工资支付方案及措施</w:t>
      </w:r>
    </w:p>
    <w:p w14:paraId="72957F09">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二、图表部分</w:t>
      </w:r>
    </w:p>
    <w:p w14:paraId="6405C92A">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 项目组织机构图</w:t>
      </w:r>
    </w:p>
    <w:p w14:paraId="186E72DD">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 施工平面布置图</w:t>
      </w:r>
    </w:p>
    <w:p w14:paraId="1B57F7BE">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3.施工进度计划网络图及横道图</w:t>
      </w:r>
    </w:p>
    <w:p w14:paraId="36EA3B68">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4.劳动力使用计划图（或表）</w:t>
      </w:r>
    </w:p>
    <w:p w14:paraId="16ED9690">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5.拟投入的主要材料、半成品、设备及品牌计划表</w:t>
      </w:r>
    </w:p>
    <w:p w14:paraId="1BFFF5BC">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6.拟投入的主要施工机械设备计划表</w:t>
      </w:r>
    </w:p>
    <w:p w14:paraId="524ABA82">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7.资金使用计划表</w:t>
      </w:r>
    </w:p>
    <w:p w14:paraId="778C8AC0">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8.主要施工工艺的工艺流程图</w:t>
      </w:r>
    </w:p>
    <w:p w14:paraId="5E77E8AE">
      <w:pPr>
        <w:spacing w:line="400" w:lineRule="exact"/>
        <w:ind w:firstLine="360" w:firstLineChars="150"/>
        <w:rPr>
          <w:color w:val="000000" w:themeColor="text1"/>
          <w:sz w:val="24"/>
          <w:highlight w:val="none"/>
          <w14:textFill>
            <w14:solidFill>
              <w14:schemeClr w14:val="tx1"/>
            </w14:solidFill>
          </w14:textFill>
        </w:rPr>
      </w:pPr>
    </w:p>
    <w:p w14:paraId="37889A3C">
      <w:pPr>
        <w:widowControl/>
        <w:jc w:val="left"/>
        <w:rPr>
          <w:rFonts w:hint="eastAsia" w:ascii="黑体" w:hAnsi="黑体" w:eastAsia="黑体"/>
          <w:color w:val="000000" w:themeColor="text1"/>
          <w:sz w:val="28"/>
          <w:szCs w:val="27"/>
          <w:highlight w:val="none"/>
          <w14:textFill>
            <w14:solidFill>
              <w14:schemeClr w14:val="tx1"/>
            </w14:solidFill>
          </w14:textFill>
        </w:rPr>
      </w:pPr>
    </w:p>
    <w:p w14:paraId="12D429D6">
      <w:pPr>
        <w:pageBreakBefore/>
        <w:widowControl/>
        <w:jc w:val="left"/>
        <w:rPr>
          <w:rFonts w:hint="eastAsia" w:ascii="黑体" w:hAnsi="黑体" w:eastAsia="黑体"/>
          <w:color w:val="000000" w:themeColor="text1"/>
          <w:sz w:val="28"/>
          <w:szCs w:val="27"/>
          <w:highlight w:val="none"/>
          <w14:textFill>
            <w14:solidFill>
              <w14:schemeClr w14:val="tx1"/>
            </w14:solidFill>
          </w14:textFill>
        </w:rPr>
      </w:pPr>
    </w:p>
    <w:p w14:paraId="2C168624">
      <w:pPr>
        <w:spacing w:line="360" w:lineRule="auto"/>
        <w:jc w:val="center"/>
        <w:outlineLvl w:val="2"/>
        <w:rPr>
          <w:rFonts w:hint="eastAsia" w:ascii="黑体" w:hAnsi="黑体" w:eastAsia="黑体"/>
          <w:color w:val="000000" w:themeColor="text1"/>
          <w:sz w:val="28"/>
          <w:szCs w:val="27"/>
          <w:highlight w:val="none"/>
          <w:lang w:eastAsia="zh-CN"/>
          <w14:textFill>
            <w14:solidFill>
              <w14:schemeClr w14:val="tx1"/>
            </w14:solidFill>
          </w14:textFill>
        </w:rPr>
      </w:pPr>
      <w:bookmarkStart w:id="1086" w:name="_Toc17452701"/>
      <w:bookmarkStart w:id="1087" w:name="_Toc17451660"/>
      <w:bookmarkStart w:id="1088" w:name="_Toc17556913"/>
      <w:bookmarkStart w:id="1089" w:name="_Toc17451615"/>
      <w:bookmarkStart w:id="1090" w:name="_Toc23767"/>
      <w:bookmarkStart w:id="1091" w:name="_Toc27615"/>
      <w:bookmarkStart w:id="1092" w:name="_Toc17454908"/>
      <w:bookmarkStart w:id="1093" w:name="_Toc444"/>
      <w:bookmarkStart w:id="1094" w:name="_Toc17454959"/>
      <w:bookmarkStart w:id="1095" w:name="_Toc7666"/>
      <w:bookmarkStart w:id="1096" w:name="_Toc17451138"/>
      <w:r>
        <w:rPr>
          <w:rFonts w:hint="eastAsia" w:ascii="黑体" w:hAnsi="黑体" w:eastAsia="黑体"/>
          <w:color w:val="000000" w:themeColor="text1"/>
          <w:sz w:val="28"/>
          <w:szCs w:val="27"/>
          <w:highlight w:val="none"/>
          <w:lang w:val="en-US" w:eastAsia="zh-CN"/>
          <w14:textFill>
            <w14:solidFill>
              <w14:schemeClr w14:val="tx1"/>
            </w14:solidFill>
          </w14:textFill>
        </w:rPr>
        <w:t>七</w:t>
      </w:r>
      <w:r>
        <w:rPr>
          <w:rFonts w:ascii="黑体" w:hAnsi="黑体" w:eastAsia="黑体"/>
          <w:color w:val="000000" w:themeColor="text1"/>
          <w:sz w:val="28"/>
          <w:szCs w:val="27"/>
          <w:highlight w:val="none"/>
          <w14:textFill>
            <w14:solidFill>
              <w14:schemeClr w14:val="tx1"/>
            </w14:solidFill>
          </w14:textFill>
        </w:rPr>
        <w:t>、项目管理机构</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7B119500">
      <w:pPr>
        <w:pageBreakBefore w:val="0"/>
        <w:snapToGrid w:val="0"/>
        <w:spacing w:before="0" w:line="400" w:lineRule="exact"/>
        <w:ind w:left="0" w:firstLine="0"/>
        <w:jc w:val="left"/>
        <w:outlineLvl w:val="3"/>
        <w:rPr>
          <w:rFonts w:hint="default" w:ascii="宋体" w:hAnsi="宋体" w:eastAsia="宋体" w:cs="Times New Roman"/>
          <w:b/>
          <w:color w:val="000000" w:themeColor="text1"/>
          <w:sz w:val="24"/>
          <w:szCs w:val="31"/>
          <w:highlight w:val="none"/>
          <w:lang w:val="en-US"/>
          <w14:textFill>
            <w14:solidFill>
              <w14:schemeClr w14:val="tx1"/>
            </w14:solidFill>
          </w14:textFill>
        </w:rPr>
      </w:pPr>
      <w:r>
        <w:rPr>
          <w:rFonts w:ascii="宋体" w:hAnsi="宋体"/>
          <w:b/>
          <w:color w:val="000000" w:themeColor="text1"/>
          <w:sz w:val="24"/>
          <w:szCs w:val="31"/>
          <w:highlight w:val="none"/>
          <w14:textFill>
            <w14:solidFill>
              <w14:schemeClr w14:val="tx1"/>
            </w14:solidFill>
          </w14:textFill>
        </w:rPr>
        <w:t>（</w:t>
      </w:r>
      <w:r>
        <w:rPr>
          <w:rFonts w:hint="eastAsia" w:ascii="宋体" w:hAnsi="宋体"/>
          <w:b/>
          <w:color w:val="000000" w:themeColor="text1"/>
          <w:sz w:val="24"/>
          <w:szCs w:val="31"/>
          <w:highlight w:val="none"/>
          <w:lang w:val="en-US" w:eastAsia="zh-CN"/>
          <w14:textFill>
            <w14:solidFill>
              <w14:schemeClr w14:val="tx1"/>
            </w14:solidFill>
          </w14:textFill>
        </w:rPr>
        <w:t>一</w:t>
      </w:r>
      <w:r>
        <w:rPr>
          <w:rFonts w:hint="eastAsia" w:ascii="宋体" w:hAnsi="宋体"/>
          <w:b/>
          <w:color w:val="000000" w:themeColor="text1"/>
          <w:sz w:val="24"/>
          <w:szCs w:val="31"/>
          <w:highlight w:val="none"/>
          <w14:textFill>
            <w14:solidFill>
              <w14:schemeClr w14:val="tx1"/>
            </w14:solidFill>
          </w14:textFill>
        </w:rPr>
        <w:t>）</w:t>
      </w:r>
      <w:r>
        <w:rPr>
          <w:rFonts w:hint="eastAsia" w:ascii="宋体" w:hAnsi="宋体" w:eastAsia="宋体" w:cs="Times New Roman"/>
          <w:b/>
          <w:color w:val="000000" w:themeColor="text1"/>
          <w:sz w:val="24"/>
          <w:szCs w:val="31"/>
          <w:highlight w:val="none"/>
          <w14:textFill>
            <w14:solidFill>
              <w14:schemeClr w14:val="tx1"/>
            </w14:solidFill>
          </w14:textFill>
        </w:rPr>
        <w:t>项目管理架构组成表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721"/>
        <w:gridCol w:w="720"/>
        <w:gridCol w:w="1081"/>
        <w:gridCol w:w="720"/>
        <w:gridCol w:w="721"/>
        <w:gridCol w:w="720"/>
        <w:gridCol w:w="2524"/>
        <w:gridCol w:w="671"/>
      </w:tblGrid>
      <w:tr w14:paraId="4370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restart"/>
            <w:tcBorders>
              <w:top w:val="single" w:color="auto" w:sz="4" w:space="0"/>
              <w:left w:val="single" w:color="auto" w:sz="4" w:space="0"/>
              <w:bottom w:val="single" w:color="auto" w:sz="4" w:space="0"/>
              <w:right w:val="single" w:color="auto" w:sz="4" w:space="0"/>
            </w:tcBorders>
            <w:noWrap w:val="0"/>
            <w:vAlign w:val="center"/>
          </w:tcPr>
          <w:p w14:paraId="72F0C7D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bookmarkStart w:id="1097" w:name="_Toc221952117"/>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职务</w:t>
            </w:r>
            <w:bookmarkEnd w:id="1097"/>
          </w:p>
        </w:tc>
        <w:tc>
          <w:tcPr>
            <w:tcW w:w="721" w:type="dxa"/>
            <w:vMerge w:val="restart"/>
            <w:tcBorders>
              <w:top w:val="single" w:color="auto" w:sz="4" w:space="0"/>
              <w:left w:val="single" w:color="auto" w:sz="4" w:space="0"/>
              <w:bottom w:val="single" w:color="auto" w:sz="4" w:space="0"/>
              <w:right w:val="single" w:color="auto" w:sz="4" w:space="0"/>
            </w:tcBorders>
            <w:noWrap w:val="0"/>
            <w:vAlign w:val="center"/>
          </w:tcPr>
          <w:p w14:paraId="52681C9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bookmarkStart w:id="1098" w:name="_Toc221952118"/>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姓名</w:t>
            </w:r>
            <w:bookmarkEnd w:id="1098"/>
          </w:p>
        </w:tc>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14:paraId="0D3A02B3">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bookmarkStart w:id="1099" w:name="_Toc221952119"/>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职称</w:t>
            </w:r>
            <w:bookmarkEnd w:id="1099"/>
          </w:p>
        </w:tc>
        <w:tc>
          <w:tcPr>
            <w:tcW w:w="5766" w:type="dxa"/>
            <w:gridSpan w:val="5"/>
            <w:tcBorders>
              <w:top w:val="single" w:color="auto" w:sz="4" w:space="0"/>
              <w:left w:val="single" w:color="auto" w:sz="4" w:space="0"/>
              <w:bottom w:val="single" w:color="auto" w:sz="4" w:space="0"/>
              <w:right w:val="single" w:color="auto" w:sz="4" w:space="0"/>
            </w:tcBorders>
            <w:noWrap w:val="0"/>
            <w:vAlign w:val="center"/>
          </w:tcPr>
          <w:p w14:paraId="04D3E4F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bookmarkStart w:id="1100" w:name="_Toc221952120"/>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执业或职业资格证明</w:t>
            </w:r>
            <w:bookmarkEnd w:id="1100"/>
          </w:p>
        </w:tc>
        <w:tc>
          <w:tcPr>
            <w:tcW w:w="671" w:type="dxa"/>
            <w:tcBorders>
              <w:top w:val="single" w:color="auto" w:sz="4" w:space="0"/>
              <w:left w:val="single" w:color="auto" w:sz="4" w:space="0"/>
              <w:bottom w:val="single" w:color="auto" w:sz="4" w:space="0"/>
              <w:right w:val="single" w:color="auto" w:sz="4" w:space="0"/>
            </w:tcBorders>
            <w:noWrap w:val="0"/>
            <w:vAlign w:val="center"/>
          </w:tcPr>
          <w:p w14:paraId="3BF83C7B">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bookmarkStart w:id="1101" w:name="_Toc221952121"/>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备注</w:t>
            </w:r>
            <w:bookmarkEnd w:id="1101"/>
          </w:p>
        </w:tc>
      </w:tr>
      <w:tr w14:paraId="0427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14:paraId="61123E20">
            <w:pP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21" w:type="dxa"/>
            <w:vMerge w:val="continue"/>
            <w:tcBorders>
              <w:top w:val="single" w:color="auto" w:sz="4" w:space="0"/>
              <w:left w:val="single" w:color="auto" w:sz="4" w:space="0"/>
              <w:bottom w:val="single" w:color="auto" w:sz="4" w:space="0"/>
              <w:right w:val="single" w:color="auto" w:sz="4" w:space="0"/>
            </w:tcBorders>
            <w:noWrap w:val="0"/>
            <w:vAlign w:val="center"/>
          </w:tcPr>
          <w:p w14:paraId="241CEB2F">
            <w:pP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14:paraId="1C0E9B37">
            <w:pP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3FCC694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bookmarkStart w:id="1102" w:name="_Toc221952122"/>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证书名称</w:t>
            </w:r>
            <w:bookmarkEnd w:id="1102"/>
          </w:p>
        </w:tc>
        <w:tc>
          <w:tcPr>
            <w:tcW w:w="720" w:type="dxa"/>
            <w:tcBorders>
              <w:top w:val="single" w:color="auto" w:sz="4" w:space="0"/>
              <w:left w:val="single" w:color="auto" w:sz="4" w:space="0"/>
              <w:bottom w:val="single" w:color="auto" w:sz="4" w:space="0"/>
              <w:right w:val="single" w:color="auto" w:sz="4" w:space="0"/>
            </w:tcBorders>
            <w:noWrap w:val="0"/>
            <w:vAlign w:val="center"/>
          </w:tcPr>
          <w:p w14:paraId="78E98768">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bookmarkStart w:id="1103" w:name="_Toc221952123"/>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级别</w:t>
            </w:r>
            <w:bookmarkEnd w:id="1103"/>
          </w:p>
        </w:tc>
        <w:tc>
          <w:tcPr>
            <w:tcW w:w="721" w:type="dxa"/>
            <w:tcBorders>
              <w:top w:val="single" w:color="auto" w:sz="4" w:space="0"/>
              <w:left w:val="single" w:color="auto" w:sz="4" w:space="0"/>
              <w:bottom w:val="single" w:color="auto" w:sz="4" w:space="0"/>
              <w:right w:val="single" w:color="auto" w:sz="4" w:space="0"/>
            </w:tcBorders>
            <w:noWrap w:val="0"/>
            <w:vAlign w:val="center"/>
          </w:tcPr>
          <w:p w14:paraId="575EDAE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bookmarkStart w:id="1104" w:name="_Toc221952124"/>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证号</w:t>
            </w:r>
            <w:bookmarkEnd w:id="1104"/>
          </w:p>
        </w:tc>
        <w:tc>
          <w:tcPr>
            <w:tcW w:w="720" w:type="dxa"/>
            <w:tcBorders>
              <w:top w:val="single" w:color="auto" w:sz="4" w:space="0"/>
              <w:left w:val="single" w:color="auto" w:sz="4" w:space="0"/>
              <w:bottom w:val="single" w:color="auto" w:sz="4" w:space="0"/>
              <w:right w:val="single" w:color="auto" w:sz="4" w:space="0"/>
            </w:tcBorders>
            <w:noWrap w:val="0"/>
            <w:vAlign w:val="center"/>
          </w:tcPr>
          <w:p w14:paraId="05D170AE">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bookmarkStart w:id="1105" w:name="_Toc221952125"/>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专业</w:t>
            </w:r>
            <w:bookmarkEnd w:id="1105"/>
          </w:p>
        </w:tc>
        <w:tc>
          <w:tcPr>
            <w:tcW w:w="2524" w:type="dxa"/>
            <w:tcBorders>
              <w:top w:val="single" w:color="auto" w:sz="4" w:space="0"/>
              <w:left w:val="single" w:color="auto" w:sz="4" w:space="0"/>
              <w:bottom w:val="single" w:color="auto" w:sz="4" w:space="0"/>
              <w:right w:val="single" w:color="auto" w:sz="4" w:space="0"/>
            </w:tcBorders>
            <w:noWrap w:val="0"/>
            <w:vAlign w:val="center"/>
          </w:tcPr>
          <w:p w14:paraId="72DB136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bookmarkStart w:id="1106" w:name="_Toc221952126"/>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社会</w:t>
            </w:r>
            <w:bookmarkEnd w:id="1106"/>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保险</w:t>
            </w:r>
          </w:p>
        </w:tc>
        <w:tc>
          <w:tcPr>
            <w:tcW w:w="671" w:type="dxa"/>
            <w:tcBorders>
              <w:top w:val="single" w:color="auto" w:sz="4" w:space="0"/>
              <w:left w:val="single" w:color="auto" w:sz="4" w:space="0"/>
              <w:bottom w:val="single" w:color="auto" w:sz="4" w:space="0"/>
              <w:right w:val="single" w:color="auto" w:sz="4" w:space="0"/>
            </w:tcBorders>
            <w:noWrap w:val="0"/>
            <w:vAlign w:val="center"/>
          </w:tcPr>
          <w:p w14:paraId="75401E0E">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54A1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3297FEB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70C6D00B">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6C230D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6CFAA8CA">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2C71409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2B4FA5F0">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E02D57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2322AB18">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083276C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3332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6F10FCD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354D4AB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3A69459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70D97C8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6EA598D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6D6790A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7BC4CCB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04555BC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4366D2B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753C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02BBCA5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699235B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1E01025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3ABE5F5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BDD6A1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51337BE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99F12A8">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5A6B7563">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2FBFC37B">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277C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2F8B9A6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308C8B3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128CB1B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7E5E22E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1D0BC86">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5759E87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2734FBEA">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2931326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670C7C7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3CD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4506558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490F11A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11439358">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1465D07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6166206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00B499C0">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45EFAFA0">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7BE0388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0132578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1825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5352127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2D86816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6FD67AB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6E1589FE">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FE279F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211F4D5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C454A23">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7300F56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0510806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1DE0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7E220C6A">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7F0AB97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8CFEE6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6CF0D5A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F8FB52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35BA5F2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675656E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5149C3D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76E3CB2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6AA9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165E010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11EAAC3A">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70A049D8">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696F7F8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48D695F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76FAADF0">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2925D1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22CB92C6">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07000403">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3543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50" w:type="dxa"/>
            <w:tcBorders>
              <w:top w:val="single" w:color="auto" w:sz="4" w:space="0"/>
              <w:left w:val="single" w:color="auto" w:sz="4" w:space="0"/>
              <w:bottom w:val="single" w:color="auto" w:sz="4" w:space="0"/>
              <w:right w:val="single" w:color="auto" w:sz="4" w:space="0"/>
            </w:tcBorders>
            <w:noWrap w:val="0"/>
            <w:vAlign w:val="center"/>
          </w:tcPr>
          <w:p w14:paraId="362BEE1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7581D31E">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B5DB27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4CA4A8B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11B6F60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0DBB707B">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2B8F02A3">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4C78658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02F7F5A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6592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23C659B6">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2911A4FB">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3C321E0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7335E9B0">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8F328CB">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300FE778">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B140A2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420800E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61C3665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5F4D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7AA74E8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49F3F713">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9C86D4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4C64C31A">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4A58FD3E">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1C8E9CFA">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E03F9B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5B415EE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2188E166">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6412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0FF0E170">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760017A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686715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7BCA6DFB">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3A5765C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5A269FA8">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3E3362C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480B8B5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71248DB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5FDE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5BA0D25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2B357C23">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3B2C9826">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41BF3DE8">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005141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3BA8CA96">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6C1D8FE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0BAA078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30A13B6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49FE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233A2B6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092B61A8">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99015E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78ED9D76">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7A06D97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2FE86DC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899FE1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6D9A143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32C7DD50">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07AC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179163E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76D50576">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365E630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2D11390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292CAF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2331B246">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A5C0AC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6C70489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694D651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39C9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54A76F9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0DB51FF8">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49A68915">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6605A38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F647C53">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0A20497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7D2042EB">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4BABF740">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0BF5FB33">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279B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3F7A704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15D26C0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61B07AF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1C2F7FE4">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1A531A3B">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37D6A43A">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2868DB4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76DCBC2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5EC1461C">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7531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2AA0992B">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6E5B6E08">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0A2456B6">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5BD917F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744ED5B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02315FBF">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FCE9D31">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10F661D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0144911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r w14:paraId="5040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single" w:color="auto" w:sz="4" w:space="0"/>
              <w:right w:val="single" w:color="auto" w:sz="4" w:space="0"/>
            </w:tcBorders>
            <w:noWrap w:val="0"/>
            <w:vAlign w:val="center"/>
          </w:tcPr>
          <w:p w14:paraId="2E5B9F5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135010CA">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7743AD27">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67DACBDE">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68A2D6D9">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1" w:type="dxa"/>
            <w:tcBorders>
              <w:top w:val="single" w:color="auto" w:sz="4" w:space="0"/>
              <w:left w:val="single" w:color="auto" w:sz="4" w:space="0"/>
              <w:bottom w:val="single" w:color="auto" w:sz="4" w:space="0"/>
              <w:right w:val="single" w:color="auto" w:sz="4" w:space="0"/>
            </w:tcBorders>
            <w:noWrap w:val="0"/>
            <w:vAlign w:val="center"/>
          </w:tcPr>
          <w:p w14:paraId="3703C610">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43FD6D23">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14:paraId="0EF54A72">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c>
          <w:tcPr>
            <w:tcW w:w="671" w:type="dxa"/>
            <w:tcBorders>
              <w:top w:val="single" w:color="auto" w:sz="4" w:space="0"/>
              <w:left w:val="single" w:color="auto" w:sz="4" w:space="0"/>
              <w:bottom w:val="single" w:color="auto" w:sz="4" w:space="0"/>
              <w:right w:val="single" w:color="auto" w:sz="4" w:space="0"/>
            </w:tcBorders>
            <w:noWrap w:val="0"/>
            <w:vAlign w:val="center"/>
          </w:tcPr>
          <w:p w14:paraId="617E1ACB">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color w:val="000000" w:themeColor="text1"/>
                <w:kern w:val="2"/>
                <w:sz w:val="21"/>
                <w:szCs w:val="21"/>
                <w:highlight w:val="none"/>
                <w14:textFill>
                  <w14:solidFill>
                    <w14:schemeClr w14:val="tx1"/>
                  </w14:solidFill>
                </w14:textFill>
              </w:rPr>
            </w:pPr>
          </w:p>
        </w:tc>
      </w:tr>
    </w:tbl>
    <w:p w14:paraId="072CC27A">
      <w:pPr>
        <w:wordWrap w:val="0"/>
        <w:snapToGrid w:val="0"/>
        <w:spacing w:before="120" w:line="400" w:lineRule="exact"/>
        <w:ind w:left="720" w:hanging="720"/>
        <w:jc w:val="right"/>
        <w:rPr>
          <w:rFonts w:ascii="Times New Roman" w:hAnsi="Times New Roman" w:eastAsia="宋体" w:cs="Times New Roman"/>
          <w:color w:val="000000" w:themeColor="text1"/>
          <w:sz w:val="24"/>
          <w:highlight w:val="none"/>
          <w14:textFill>
            <w14:solidFill>
              <w14:schemeClr w14:val="tx1"/>
            </w14:solidFill>
          </w14:textFill>
        </w:rPr>
      </w:pPr>
    </w:p>
    <w:p w14:paraId="3CAEAF67">
      <w:pPr>
        <w:wordWrap w:val="0"/>
        <w:snapToGrid w:val="0"/>
        <w:spacing w:before="120" w:line="400" w:lineRule="exact"/>
        <w:ind w:left="720" w:hanging="720"/>
        <w:jc w:val="right"/>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法定代表人或其委托代理人：（</w:t>
      </w:r>
      <w:r>
        <w:rPr>
          <w:rFonts w:hint="eastAsia" w:ascii="Times New Roman" w:hAnsi="Times New Roman" w:eastAsia="宋体" w:cs="Times New Roman"/>
          <w:color w:val="000000" w:themeColor="text1"/>
          <w:sz w:val="24"/>
          <w:highlight w:val="none"/>
          <w14:textFill>
            <w14:solidFill>
              <w14:schemeClr w14:val="tx1"/>
            </w14:solidFill>
          </w14:textFill>
        </w:rPr>
        <w:t>签</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名或盖章</w:t>
      </w:r>
      <w:r>
        <w:rPr>
          <w:rFonts w:ascii="Times New Roman" w:hAnsi="Times New Roman" w:eastAsia="宋体" w:cs="Times New Roman"/>
          <w:color w:val="000000" w:themeColor="text1"/>
          <w:sz w:val="24"/>
          <w:highlight w:val="none"/>
          <w14:textFill>
            <w14:solidFill>
              <w14:schemeClr w14:val="tx1"/>
            </w14:solidFill>
          </w14:textFill>
        </w:rPr>
        <w:t xml:space="preserve">） </w:t>
      </w:r>
      <w:r>
        <w:rPr>
          <w:rFonts w:hint="eastAsia" w:ascii="Times New Roman" w:hAnsi="Times New Roman" w:eastAsia="宋体" w:cs="Times New Roman"/>
          <w:color w:val="000000" w:themeColor="text1"/>
          <w:sz w:val="24"/>
          <w:highlight w:val="none"/>
          <w14:textFill>
            <w14:solidFill>
              <w14:schemeClr w14:val="tx1"/>
            </w14:solidFill>
          </w14:textFill>
        </w:rPr>
        <w:t xml:space="preserve">  </w:t>
      </w:r>
      <w:r>
        <w:rPr>
          <w:rFonts w:ascii="Times New Roman" w:hAnsi="Times New Roman" w:eastAsia="宋体" w:cs="Times New Roman"/>
          <w:color w:val="000000" w:themeColor="text1"/>
          <w:sz w:val="24"/>
          <w:highlight w:val="none"/>
          <w14:textFill>
            <w14:solidFill>
              <w14:schemeClr w14:val="tx1"/>
            </w14:solidFill>
          </w14:textFill>
        </w:rPr>
        <w:t xml:space="preserve">                  </w:t>
      </w:r>
    </w:p>
    <w:p w14:paraId="5716C1A0">
      <w:pPr>
        <w:numPr>
          <w:ilvl w:val="0"/>
          <w:numId w:val="0"/>
        </w:numPr>
        <w:snapToGrid w:val="0"/>
        <w:spacing w:line="400" w:lineRule="exact"/>
        <w:rPr>
          <w:rFonts w:hint="eastAsia" w:ascii="宋体" w:hAnsi="宋体"/>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 xml:space="preserve">                           单位名称：（盖</w:t>
      </w:r>
      <w:r>
        <w:rPr>
          <w:rFonts w:hint="eastAsia" w:ascii="Times New Roman" w:hAnsi="Times New Roman" w:eastAsia="宋体" w:cs="Times New Roman"/>
          <w:color w:val="000000" w:themeColor="text1"/>
          <w:sz w:val="24"/>
          <w:highlight w:val="none"/>
          <w14:textFill>
            <w14:solidFill>
              <w14:schemeClr w14:val="tx1"/>
            </w14:solidFill>
          </w14:textFill>
        </w:rPr>
        <w:t>单位</w:t>
      </w:r>
      <w:r>
        <w:rPr>
          <w:rFonts w:ascii="Times New Roman" w:hAnsi="Times New Roman" w:eastAsia="宋体" w:cs="Times New Roman"/>
          <w:color w:val="000000" w:themeColor="text1"/>
          <w:sz w:val="24"/>
          <w:highlight w:val="none"/>
          <w14:textFill>
            <w14:solidFill>
              <w14:schemeClr w14:val="tx1"/>
            </w14:solidFill>
          </w14:textFill>
        </w:rPr>
        <w:t>章）</w:t>
      </w:r>
    </w:p>
    <w:p w14:paraId="55FB8FD0">
      <w:pPr>
        <w:numPr>
          <w:ilvl w:val="0"/>
          <w:numId w:val="0"/>
        </w:numPr>
        <w:spacing w:line="400" w:lineRule="exact"/>
        <w:rPr>
          <w:rFonts w:hint="eastAsia" w:ascii="宋体" w:hAnsi="宋体"/>
          <w:color w:val="000000" w:themeColor="text1"/>
          <w:szCs w:val="21"/>
          <w:highlight w:val="none"/>
          <w14:textFill>
            <w14:solidFill>
              <w14:schemeClr w14:val="tx1"/>
            </w14:solidFill>
          </w14:textFill>
        </w:rPr>
      </w:pPr>
    </w:p>
    <w:p w14:paraId="4F7B1DD3">
      <w:pPr>
        <w:numPr>
          <w:ilvl w:val="0"/>
          <w:numId w:val="0"/>
        </w:numPr>
        <w:spacing w:line="400" w:lineRule="exact"/>
        <w:rPr>
          <w:rFonts w:hint="eastAsia" w:ascii="宋体" w:hAnsi="宋体"/>
          <w:color w:val="000000" w:themeColor="text1"/>
          <w:szCs w:val="21"/>
          <w:highlight w:val="none"/>
          <w14:textFill>
            <w14:solidFill>
              <w14:schemeClr w14:val="tx1"/>
            </w14:solidFill>
          </w14:textFill>
        </w:rPr>
      </w:pPr>
    </w:p>
    <w:p w14:paraId="24355F8D">
      <w:pPr>
        <w:numPr>
          <w:ilvl w:val="0"/>
          <w:numId w:val="0"/>
        </w:numPr>
        <w:spacing w:line="400" w:lineRule="exact"/>
        <w:rPr>
          <w:rFonts w:hint="eastAsia" w:ascii="宋体" w:hAnsi="宋体"/>
          <w:color w:val="000000" w:themeColor="text1"/>
          <w:szCs w:val="21"/>
          <w:highlight w:val="none"/>
          <w14:textFill>
            <w14:solidFill>
              <w14:schemeClr w14:val="tx1"/>
            </w14:solidFill>
          </w14:textFill>
        </w:rPr>
      </w:pPr>
    </w:p>
    <w:p w14:paraId="1F328A1A">
      <w:pPr>
        <w:spacing w:line="400" w:lineRule="exact"/>
        <w:rPr>
          <w:rFonts w:eastAsia="黑体"/>
          <w:color w:val="000000" w:themeColor="text1"/>
          <w:sz w:val="19"/>
          <w:szCs w:val="19"/>
          <w:highlight w:val="none"/>
          <w14:textFill>
            <w14:solidFill>
              <w14:schemeClr w14:val="tx1"/>
            </w14:solidFill>
          </w14:textFill>
        </w:rPr>
      </w:pPr>
    </w:p>
    <w:p w14:paraId="48DFB16B">
      <w:pPr>
        <w:topLinePunct/>
        <w:spacing w:line="400" w:lineRule="exact"/>
        <w:rPr>
          <w:color w:val="000000" w:themeColor="text1"/>
          <w:sz w:val="19"/>
          <w:szCs w:val="19"/>
          <w:highlight w:val="none"/>
          <w14:textFill>
            <w14:solidFill>
              <w14:schemeClr w14:val="tx1"/>
            </w14:solidFill>
          </w14:textFill>
        </w:rPr>
      </w:pPr>
    </w:p>
    <w:p w14:paraId="19B2D75D">
      <w:pPr>
        <w:widowControl/>
        <w:jc w:val="left"/>
        <w:rPr>
          <w:rFonts w:ascii="宋体" w:hAnsi="宋体"/>
          <w:b/>
          <w:color w:val="000000" w:themeColor="text1"/>
          <w:sz w:val="24"/>
          <w:szCs w:val="31"/>
          <w:highlight w:val="none"/>
          <w14:textFill>
            <w14:solidFill>
              <w14:schemeClr w14:val="tx1"/>
            </w14:solidFill>
          </w14:textFill>
        </w:rPr>
      </w:pPr>
      <w:bookmarkStart w:id="1107" w:name="_Toc168475932"/>
      <w:bookmarkStart w:id="1108" w:name="_Toc168476335"/>
      <w:bookmarkStart w:id="1109" w:name="_Toc221952127"/>
      <w:bookmarkStart w:id="1110" w:name="_Toc144974873"/>
      <w:r>
        <w:rPr>
          <w:rFonts w:ascii="宋体" w:hAnsi="宋体"/>
          <w:b/>
          <w:color w:val="000000" w:themeColor="text1"/>
          <w:sz w:val="24"/>
          <w:szCs w:val="31"/>
          <w:highlight w:val="none"/>
          <w14:textFill>
            <w14:solidFill>
              <w14:schemeClr w14:val="tx1"/>
            </w14:solidFill>
          </w14:textFill>
        </w:rPr>
        <w:br w:type="page"/>
      </w:r>
    </w:p>
    <w:p w14:paraId="574DA824">
      <w:pPr>
        <w:spacing w:line="400" w:lineRule="exact"/>
        <w:jc w:val="left"/>
        <w:outlineLvl w:val="3"/>
        <w:rPr>
          <w:rFonts w:hint="eastAsia" w:ascii="宋体" w:hAnsi="宋体" w:eastAsia="宋体"/>
          <w:b/>
          <w:color w:val="000000" w:themeColor="text1"/>
          <w:sz w:val="24"/>
          <w:szCs w:val="31"/>
          <w:highlight w:val="none"/>
          <w:lang w:eastAsia="zh-CN"/>
          <w14:textFill>
            <w14:solidFill>
              <w14:schemeClr w14:val="tx1"/>
            </w14:solidFill>
          </w14:textFill>
        </w:rPr>
      </w:pPr>
      <w:r>
        <w:rPr>
          <w:rFonts w:ascii="宋体" w:hAnsi="宋体"/>
          <w:b/>
          <w:color w:val="000000" w:themeColor="text1"/>
          <w:sz w:val="24"/>
          <w:szCs w:val="31"/>
          <w:highlight w:val="none"/>
          <w14:textFill>
            <w14:solidFill>
              <w14:schemeClr w14:val="tx1"/>
            </w14:solidFill>
          </w14:textFill>
        </w:rPr>
        <w:t>（二）主要人员简历表</w:t>
      </w:r>
      <w:bookmarkEnd w:id="1107"/>
      <w:bookmarkEnd w:id="1108"/>
      <w:bookmarkEnd w:id="1109"/>
      <w:bookmarkEnd w:id="1110"/>
      <w:r>
        <w:rPr>
          <w:rFonts w:hint="eastAsia" w:ascii="宋体" w:hAnsi="宋体"/>
          <w:b/>
          <w:color w:val="000000" w:themeColor="text1"/>
          <w:sz w:val="24"/>
          <w:szCs w:val="31"/>
          <w:highlight w:val="none"/>
          <w:lang w:eastAsia="zh-CN"/>
          <w14:textFill>
            <w14:solidFill>
              <w14:schemeClr w14:val="tx1"/>
            </w14:solidFill>
          </w14:textFill>
        </w:rPr>
        <w:t>（</w:t>
      </w:r>
      <w:r>
        <w:rPr>
          <w:rFonts w:hint="eastAsia" w:ascii="宋体" w:hAnsi="宋体"/>
          <w:b/>
          <w:color w:val="000000" w:themeColor="text1"/>
          <w:sz w:val="24"/>
          <w:szCs w:val="31"/>
          <w:highlight w:val="none"/>
          <w:lang w:val="en-US" w:eastAsia="zh-CN"/>
          <w14:textFill>
            <w14:solidFill>
              <w14:schemeClr w14:val="tx1"/>
            </w14:solidFill>
          </w14:textFill>
        </w:rPr>
        <w:t>项目负责人、技术负责人和专职安全员除外</w:t>
      </w:r>
      <w:r>
        <w:rPr>
          <w:rFonts w:hint="eastAsia" w:ascii="宋体" w:hAnsi="宋体"/>
          <w:b/>
          <w:color w:val="000000" w:themeColor="text1"/>
          <w:sz w:val="24"/>
          <w:szCs w:val="31"/>
          <w:highlight w:val="none"/>
          <w:lang w:eastAsia="zh-CN"/>
          <w14:textFill>
            <w14:solidFill>
              <w14:schemeClr w14:val="tx1"/>
            </w14:solidFill>
          </w14:textFill>
        </w:rPr>
        <w:t>）</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350"/>
        <w:gridCol w:w="701"/>
        <w:gridCol w:w="901"/>
        <w:gridCol w:w="1039"/>
        <w:gridCol w:w="689"/>
        <w:gridCol w:w="1226"/>
        <w:gridCol w:w="493"/>
        <w:gridCol w:w="1978"/>
      </w:tblGrid>
      <w:tr w14:paraId="5DCC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noWrap w:val="0"/>
            <w:vAlign w:val="center"/>
          </w:tcPr>
          <w:p w14:paraId="6CA486AA">
            <w:pPr>
              <w:spacing w:line="360" w:lineRule="auto"/>
              <w:jc w:val="center"/>
              <w:rPr>
                <w:rFonts w:ascii="宋体" w:hAnsi="宋体"/>
                <w:color w:val="000000" w:themeColor="text1"/>
                <w:szCs w:val="21"/>
                <w:highlight w:val="none"/>
                <w14:textFill>
                  <w14:solidFill>
                    <w14:schemeClr w14:val="tx1"/>
                  </w14:solidFill>
                </w14:textFill>
              </w:rPr>
            </w:pPr>
            <w:bookmarkStart w:id="1111" w:name="_Toc221952129"/>
            <w:r>
              <w:rPr>
                <w:rFonts w:ascii="宋体" w:hAnsi="宋体"/>
                <w:color w:val="000000" w:themeColor="text1"/>
                <w:szCs w:val="21"/>
                <w:highlight w:val="none"/>
                <w14:textFill>
                  <w14:solidFill>
                    <w14:schemeClr w14:val="tx1"/>
                  </w14:solidFill>
                </w14:textFill>
              </w:rPr>
              <w:t>姓  名</w:t>
            </w:r>
            <w:bookmarkEnd w:id="1111"/>
          </w:p>
        </w:tc>
        <w:tc>
          <w:tcPr>
            <w:tcW w:w="1051" w:type="dxa"/>
            <w:gridSpan w:val="2"/>
            <w:noWrap w:val="0"/>
            <w:vAlign w:val="center"/>
          </w:tcPr>
          <w:p w14:paraId="7BF50833">
            <w:pPr>
              <w:spacing w:line="360" w:lineRule="auto"/>
              <w:jc w:val="center"/>
              <w:rPr>
                <w:rFonts w:ascii="宋体" w:hAnsi="宋体"/>
                <w:color w:val="000000" w:themeColor="text1"/>
                <w:szCs w:val="21"/>
                <w:highlight w:val="none"/>
                <w14:textFill>
                  <w14:solidFill>
                    <w14:schemeClr w14:val="tx1"/>
                  </w14:solidFill>
                </w14:textFill>
              </w:rPr>
            </w:pPr>
          </w:p>
        </w:tc>
        <w:tc>
          <w:tcPr>
            <w:tcW w:w="901" w:type="dxa"/>
            <w:noWrap w:val="0"/>
            <w:vAlign w:val="center"/>
          </w:tcPr>
          <w:p w14:paraId="112EC513">
            <w:pPr>
              <w:spacing w:line="360" w:lineRule="auto"/>
              <w:jc w:val="center"/>
              <w:rPr>
                <w:rFonts w:ascii="宋体" w:hAnsi="宋体"/>
                <w:color w:val="000000" w:themeColor="text1"/>
                <w:szCs w:val="21"/>
                <w:highlight w:val="none"/>
                <w14:textFill>
                  <w14:solidFill>
                    <w14:schemeClr w14:val="tx1"/>
                  </w14:solidFill>
                </w14:textFill>
              </w:rPr>
            </w:pPr>
            <w:bookmarkStart w:id="1112" w:name="_Toc221952130"/>
            <w:r>
              <w:rPr>
                <w:rFonts w:ascii="宋体" w:hAnsi="宋体"/>
                <w:color w:val="000000" w:themeColor="text1"/>
                <w:szCs w:val="21"/>
                <w:highlight w:val="none"/>
                <w14:textFill>
                  <w14:solidFill>
                    <w14:schemeClr w14:val="tx1"/>
                  </w14:solidFill>
                </w14:textFill>
              </w:rPr>
              <w:t>年 龄</w:t>
            </w:r>
            <w:bookmarkEnd w:id="1112"/>
          </w:p>
        </w:tc>
        <w:tc>
          <w:tcPr>
            <w:tcW w:w="1039" w:type="dxa"/>
            <w:noWrap w:val="0"/>
            <w:vAlign w:val="center"/>
          </w:tcPr>
          <w:p w14:paraId="3B0FCC2E">
            <w:pPr>
              <w:spacing w:line="360" w:lineRule="auto"/>
              <w:jc w:val="center"/>
              <w:rPr>
                <w:rFonts w:ascii="宋体" w:hAnsi="宋体"/>
                <w:color w:val="000000" w:themeColor="text1"/>
                <w:szCs w:val="21"/>
                <w:highlight w:val="none"/>
                <w14:textFill>
                  <w14:solidFill>
                    <w14:schemeClr w14:val="tx1"/>
                  </w14:solidFill>
                </w14:textFill>
              </w:rPr>
            </w:pPr>
          </w:p>
        </w:tc>
        <w:tc>
          <w:tcPr>
            <w:tcW w:w="2408" w:type="dxa"/>
            <w:gridSpan w:val="3"/>
            <w:noWrap w:val="0"/>
            <w:vAlign w:val="center"/>
          </w:tcPr>
          <w:p w14:paraId="58CF5B18">
            <w:pPr>
              <w:spacing w:line="360" w:lineRule="auto"/>
              <w:jc w:val="center"/>
              <w:rPr>
                <w:rFonts w:ascii="宋体" w:hAnsi="宋体"/>
                <w:color w:val="000000" w:themeColor="text1"/>
                <w:szCs w:val="21"/>
                <w:highlight w:val="none"/>
                <w14:textFill>
                  <w14:solidFill>
                    <w14:schemeClr w14:val="tx1"/>
                  </w14:solidFill>
                </w14:textFill>
              </w:rPr>
            </w:pPr>
            <w:bookmarkStart w:id="1113" w:name="_Toc221952131"/>
            <w:r>
              <w:rPr>
                <w:rFonts w:ascii="宋体" w:hAnsi="宋体"/>
                <w:color w:val="000000" w:themeColor="text1"/>
                <w:szCs w:val="21"/>
                <w:highlight w:val="none"/>
                <w14:textFill>
                  <w14:solidFill>
                    <w14:schemeClr w14:val="tx1"/>
                  </w14:solidFill>
                </w14:textFill>
              </w:rPr>
              <w:t>学历</w:t>
            </w:r>
            <w:bookmarkEnd w:id="1113"/>
          </w:p>
        </w:tc>
        <w:tc>
          <w:tcPr>
            <w:tcW w:w="1978" w:type="dxa"/>
            <w:noWrap w:val="0"/>
            <w:vAlign w:val="center"/>
          </w:tcPr>
          <w:p w14:paraId="289753B8">
            <w:pPr>
              <w:spacing w:line="360" w:lineRule="auto"/>
              <w:jc w:val="center"/>
              <w:rPr>
                <w:rFonts w:ascii="宋体" w:hAnsi="宋体"/>
                <w:color w:val="000000" w:themeColor="text1"/>
                <w:szCs w:val="21"/>
                <w:highlight w:val="none"/>
                <w14:textFill>
                  <w14:solidFill>
                    <w14:schemeClr w14:val="tx1"/>
                  </w14:solidFill>
                </w14:textFill>
              </w:rPr>
            </w:pPr>
          </w:p>
        </w:tc>
      </w:tr>
      <w:tr w14:paraId="7FB0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noWrap w:val="0"/>
            <w:vAlign w:val="center"/>
          </w:tcPr>
          <w:p w14:paraId="7625A6D2">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执业资格</w:t>
            </w:r>
          </w:p>
        </w:tc>
        <w:tc>
          <w:tcPr>
            <w:tcW w:w="2991" w:type="dxa"/>
            <w:gridSpan w:val="4"/>
            <w:noWrap w:val="0"/>
            <w:vAlign w:val="center"/>
          </w:tcPr>
          <w:p w14:paraId="11C8FC63">
            <w:pPr>
              <w:spacing w:line="360" w:lineRule="auto"/>
              <w:jc w:val="center"/>
              <w:rPr>
                <w:rFonts w:ascii="宋体" w:hAnsi="宋体"/>
                <w:color w:val="000000" w:themeColor="text1"/>
                <w:szCs w:val="21"/>
                <w:highlight w:val="none"/>
                <w14:textFill>
                  <w14:solidFill>
                    <w14:schemeClr w14:val="tx1"/>
                  </w14:solidFill>
                </w14:textFill>
              </w:rPr>
            </w:pPr>
          </w:p>
        </w:tc>
        <w:tc>
          <w:tcPr>
            <w:tcW w:w="2408" w:type="dxa"/>
            <w:gridSpan w:val="3"/>
            <w:noWrap w:val="0"/>
            <w:vAlign w:val="center"/>
          </w:tcPr>
          <w:p w14:paraId="7F95CC2E">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安全生产考核合格证</w:t>
            </w:r>
            <w:r>
              <w:rPr>
                <w:rFonts w:hint="eastAsia" w:ascii="宋体" w:hAnsi="宋体"/>
                <w:color w:val="000000" w:themeColor="text1"/>
                <w:szCs w:val="21"/>
                <w:highlight w:val="none"/>
                <w14:textFill>
                  <w14:solidFill>
                    <w14:schemeClr w14:val="tx1"/>
                  </w14:solidFill>
                </w14:textFill>
              </w:rPr>
              <w:t>书</w:t>
            </w:r>
          </w:p>
        </w:tc>
        <w:tc>
          <w:tcPr>
            <w:tcW w:w="1978" w:type="dxa"/>
            <w:noWrap w:val="0"/>
            <w:vAlign w:val="center"/>
          </w:tcPr>
          <w:p w14:paraId="3A1066BF">
            <w:pPr>
              <w:spacing w:line="360" w:lineRule="auto"/>
              <w:jc w:val="center"/>
              <w:rPr>
                <w:rFonts w:ascii="宋体" w:hAnsi="宋体"/>
                <w:color w:val="000000" w:themeColor="text1"/>
                <w:szCs w:val="21"/>
                <w:highlight w:val="none"/>
                <w14:textFill>
                  <w14:solidFill>
                    <w14:schemeClr w14:val="tx1"/>
                  </w14:solidFill>
                </w14:textFill>
              </w:rPr>
            </w:pPr>
          </w:p>
        </w:tc>
      </w:tr>
      <w:tr w14:paraId="73BC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noWrap w:val="0"/>
            <w:vAlign w:val="center"/>
          </w:tcPr>
          <w:p w14:paraId="6C750DF6">
            <w:pPr>
              <w:spacing w:line="360" w:lineRule="auto"/>
              <w:jc w:val="center"/>
              <w:rPr>
                <w:rFonts w:ascii="宋体" w:hAnsi="宋体"/>
                <w:color w:val="000000" w:themeColor="text1"/>
                <w:szCs w:val="21"/>
                <w:highlight w:val="none"/>
                <w14:textFill>
                  <w14:solidFill>
                    <w14:schemeClr w14:val="tx1"/>
                  </w14:solidFill>
                </w14:textFill>
              </w:rPr>
            </w:pPr>
            <w:bookmarkStart w:id="1114" w:name="_Toc221952132"/>
            <w:r>
              <w:rPr>
                <w:rFonts w:ascii="宋体" w:hAnsi="宋体"/>
                <w:color w:val="000000" w:themeColor="text1"/>
                <w:szCs w:val="21"/>
                <w:highlight w:val="none"/>
                <w14:textFill>
                  <w14:solidFill>
                    <w14:schemeClr w14:val="tx1"/>
                  </w14:solidFill>
                </w14:textFill>
              </w:rPr>
              <w:t>职  称</w:t>
            </w:r>
            <w:bookmarkEnd w:id="1114"/>
          </w:p>
        </w:tc>
        <w:tc>
          <w:tcPr>
            <w:tcW w:w="1051" w:type="dxa"/>
            <w:gridSpan w:val="2"/>
            <w:noWrap w:val="0"/>
            <w:vAlign w:val="center"/>
          </w:tcPr>
          <w:p w14:paraId="72E87C20">
            <w:pPr>
              <w:spacing w:line="360" w:lineRule="auto"/>
              <w:jc w:val="center"/>
              <w:rPr>
                <w:rFonts w:ascii="宋体" w:hAnsi="宋体"/>
                <w:color w:val="000000" w:themeColor="text1"/>
                <w:szCs w:val="21"/>
                <w:highlight w:val="none"/>
                <w14:textFill>
                  <w14:solidFill>
                    <w14:schemeClr w14:val="tx1"/>
                  </w14:solidFill>
                </w14:textFill>
              </w:rPr>
            </w:pPr>
          </w:p>
        </w:tc>
        <w:tc>
          <w:tcPr>
            <w:tcW w:w="901" w:type="dxa"/>
            <w:noWrap w:val="0"/>
            <w:vAlign w:val="center"/>
          </w:tcPr>
          <w:p w14:paraId="62A24095">
            <w:pPr>
              <w:spacing w:line="360" w:lineRule="auto"/>
              <w:jc w:val="center"/>
              <w:rPr>
                <w:rFonts w:ascii="宋体" w:hAnsi="宋体"/>
                <w:color w:val="000000" w:themeColor="text1"/>
                <w:szCs w:val="21"/>
                <w:highlight w:val="none"/>
                <w14:textFill>
                  <w14:solidFill>
                    <w14:schemeClr w14:val="tx1"/>
                  </w14:solidFill>
                </w14:textFill>
              </w:rPr>
            </w:pPr>
            <w:bookmarkStart w:id="1115" w:name="_Toc221952133"/>
            <w:r>
              <w:rPr>
                <w:rFonts w:ascii="宋体" w:hAnsi="宋体"/>
                <w:color w:val="000000" w:themeColor="text1"/>
                <w:szCs w:val="21"/>
                <w:highlight w:val="none"/>
                <w14:textFill>
                  <w14:solidFill>
                    <w14:schemeClr w14:val="tx1"/>
                  </w14:solidFill>
                </w14:textFill>
              </w:rPr>
              <w:t>职 务</w:t>
            </w:r>
            <w:bookmarkEnd w:id="1115"/>
          </w:p>
        </w:tc>
        <w:tc>
          <w:tcPr>
            <w:tcW w:w="1039" w:type="dxa"/>
            <w:noWrap w:val="0"/>
            <w:vAlign w:val="center"/>
          </w:tcPr>
          <w:p w14:paraId="3BD77CAD">
            <w:pPr>
              <w:spacing w:line="360" w:lineRule="auto"/>
              <w:jc w:val="center"/>
              <w:rPr>
                <w:rFonts w:ascii="宋体" w:hAnsi="宋体"/>
                <w:color w:val="000000" w:themeColor="text1"/>
                <w:szCs w:val="21"/>
                <w:highlight w:val="none"/>
                <w14:textFill>
                  <w14:solidFill>
                    <w14:schemeClr w14:val="tx1"/>
                  </w14:solidFill>
                </w14:textFill>
              </w:rPr>
            </w:pPr>
          </w:p>
        </w:tc>
        <w:tc>
          <w:tcPr>
            <w:tcW w:w="2408" w:type="dxa"/>
            <w:gridSpan w:val="3"/>
            <w:noWrap w:val="0"/>
            <w:vAlign w:val="center"/>
          </w:tcPr>
          <w:p w14:paraId="37A9D111">
            <w:pPr>
              <w:spacing w:line="360" w:lineRule="auto"/>
              <w:jc w:val="center"/>
              <w:rPr>
                <w:rFonts w:ascii="宋体" w:hAnsi="宋体"/>
                <w:color w:val="000000" w:themeColor="text1"/>
                <w:szCs w:val="21"/>
                <w:highlight w:val="none"/>
                <w14:textFill>
                  <w14:solidFill>
                    <w14:schemeClr w14:val="tx1"/>
                  </w14:solidFill>
                </w14:textFill>
              </w:rPr>
            </w:pPr>
            <w:bookmarkStart w:id="1116" w:name="_Toc221952134"/>
            <w:r>
              <w:rPr>
                <w:rFonts w:ascii="宋体" w:hAnsi="宋体"/>
                <w:color w:val="000000" w:themeColor="text1"/>
                <w:szCs w:val="21"/>
                <w:highlight w:val="none"/>
                <w14:textFill>
                  <w14:solidFill>
                    <w14:schemeClr w14:val="tx1"/>
                  </w14:solidFill>
                </w14:textFill>
              </w:rPr>
              <w:t>拟在本合同任职</w:t>
            </w:r>
            <w:bookmarkEnd w:id="1116"/>
          </w:p>
        </w:tc>
        <w:tc>
          <w:tcPr>
            <w:tcW w:w="1978" w:type="dxa"/>
            <w:noWrap w:val="0"/>
            <w:vAlign w:val="center"/>
          </w:tcPr>
          <w:p w14:paraId="54403A7B">
            <w:pPr>
              <w:spacing w:line="360" w:lineRule="auto"/>
              <w:jc w:val="center"/>
              <w:rPr>
                <w:rFonts w:ascii="宋体" w:hAnsi="宋体"/>
                <w:color w:val="000000" w:themeColor="text1"/>
                <w:szCs w:val="21"/>
                <w:highlight w:val="none"/>
                <w14:textFill>
                  <w14:solidFill>
                    <w14:schemeClr w14:val="tx1"/>
                  </w14:solidFill>
                </w14:textFill>
              </w:rPr>
            </w:pPr>
          </w:p>
        </w:tc>
      </w:tr>
      <w:tr w14:paraId="5FD3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9"/>
            <w:noWrap w:val="0"/>
            <w:vAlign w:val="center"/>
          </w:tcPr>
          <w:p w14:paraId="28F73E47">
            <w:pPr>
              <w:spacing w:line="360" w:lineRule="auto"/>
              <w:jc w:val="center"/>
              <w:rPr>
                <w:rFonts w:ascii="宋体" w:hAnsi="宋体"/>
                <w:color w:val="000000" w:themeColor="text1"/>
                <w:szCs w:val="21"/>
                <w:highlight w:val="none"/>
                <w14:textFill>
                  <w14:solidFill>
                    <w14:schemeClr w14:val="tx1"/>
                  </w14:solidFill>
                </w14:textFill>
              </w:rPr>
            </w:pPr>
            <w:bookmarkStart w:id="1117" w:name="_Toc221952137"/>
            <w:r>
              <w:rPr>
                <w:rFonts w:ascii="宋体" w:hAnsi="宋体"/>
                <w:color w:val="000000" w:themeColor="text1"/>
                <w:szCs w:val="21"/>
                <w:highlight w:val="none"/>
                <w14:textFill>
                  <w14:solidFill>
                    <w14:schemeClr w14:val="tx1"/>
                  </w14:solidFill>
                </w14:textFill>
              </w:rPr>
              <w:t>主要</w:t>
            </w:r>
            <w:r>
              <w:rPr>
                <w:rFonts w:hint="eastAsia" w:ascii="宋体" w:hAnsi="宋体"/>
                <w:color w:val="000000" w:themeColor="text1"/>
                <w:szCs w:val="21"/>
                <w:highlight w:val="none"/>
                <w14:textFill>
                  <w14:solidFill>
                    <w14:schemeClr w14:val="tx1"/>
                  </w14:solidFill>
                </w14:textFill>
              </w:rPr>
              <w:t>施工管理</w:t>
            </w:r>
            <w:r>
              <w:rPr>
                <w:rFonts w:ascii="宋体" w:hAnsi="宋体"/>
                <w:color w:val="000000" w:themeColor="text1"/>
                <w:szCs w:val="21"/>
                <w:highlight w:val="none"/>
                <w14:textFill>
                  <w14:solidFill>
                    <w14:schemeClr w14:val="tx1"/>
                  </w14:solidFill>
                </w14:textFill>
              </w:rPr>
              <w:t>经历</w:t>
            </w:r>
            <w:bookmarkEnd w:id="1117"/>
          </w:p>
        </w:tc>
      </w:tr>
      <w:tr w14:paraId="207C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1" w:type="dxa"/>
            <w:gridSpan w:val="2"/>
            <w:noWrap w:val="0"/>
            <w:vAlign w:val="center"/>
          </w:tcPr>
          <w:p w14:paraId="30572787">
            <w:pPr>
              <w:spacing w:line="360" w:lineRule="auto"/>
              <w:jc w:val="center"/>
              <w:rPr>
                <w:rFonts w:ascii="宋体" w:hAnsi="宋体"/>
                <w:color w:val="000000" w:themeColor="text1"/>
                <w:szCs w:val="21"/>
                <w:highlight w:val="none"/>
                <w14:textFill>
                  <w14:solidFill>
                    <w14:schemeClr w14:val="tx1"/>
                  </w14:solidFill>
                </w14:textFill>
              </w:rPr>
            </w:pPr>
            <w:bookmarkStart w:id="1118" w:name="_Toc221952138"/>
            <w:r>
              <w:rPr>
                <w:rFonts w:ascii="宋体" w:hAnsi="宋体"/>
                <w:color w:val="000000" w:themeColor="text1"/>
                <w:szCs w:val="21"/>
                <w:highlight w:val="none"/>
                <w14:textFill>
                  <w14:solidFill>
                    <w14:schemeClr w14:val="tx1"/>
                  </w14:solidFill>
                </w14:textFill>
              </w:rPr>
              <w:t>时  间</w:t>
            </w:r>
            <w:bookmarkEnd w:id="1118"/>
          </w:p>
        </w:tc>
        <w:tc>
          <w:tcPr>
            <w:tcW w:w="3330" w:type="dxa"/>
            <w:gridSpan w:val="4"/>
            <w:noWrap w:val="0"/>
            <w:vAlign w:val="center"/>
          </w:tcPr>
          <w:p w14:paraId="010CAE8C">
            <w:pPr>
              <w:spacing w:line="360" w:lineRule="auto"/>
              <w:jc w:val="center"/>
              <w:rPr>
                <w:rFonts w:ascii="宋体" w:hAnsi="宋体"/>
                <w:color w:val="000000" w:themeColor="text1"/>
                <w:szCs w:val="21"/>
                <w:highlight w:val="none"/>
                <w14:textFill>
                  <w14:solidFill>
                    <w14:schemeClr w14:val="tx1"/>
                  </w14:solidFill>
                </w14:textFill>
              </w:rPr>
            </w:pPr>
            <w:bookmarkStart w:id="1119" w:name="_Toc221952139"/>
            <w:r>
              <w:rPr>
                <w:rFonts w:ascii="宋体" w:hAnsi="宋体"/>
                <w:color w:val="000000" w:themeColor="text1"/>
                <w:szCs w:val="21"/>
                <w:highlight w:val="none"/>
                <w14:textFill>
                  <w14:solidFill>
                    <w14:schemeClr w14:val="tx1"/>
                  </w14:solidFill>
                </w14:textFill>
              </w:rPr>
              <w:t>参加过的类似项目</w:t>
            </w:r>
            <w:bookmarkEnd w:id="1119"/>
          </w:p>
        </w:tc>
        <w:tc>
          <w:tcPr>
            <w:tcW w:w="1226" w:type="dxa"/>
            <w:noWrap w:val="0"/>
            <w:vAlign w:val="center"/>
          </w:tcPr>
          <w:p w14:paraId="3850EE5A">
            <w:pPr>
              <w:spacing w:line="360" w:lineRule="auto"/>
              <w:jc w:val="center"/>
              <w:rPr>
                <w:rFonts w:ascii="宋体" w:hAnsi="宋体"/>
                <w:color w:val="000000" w:themeColor="text1"/>
                <w:szCs w:val="21"/>
                <w:highlight w:val="none"/>
                <w14:textFill>
                  <w14:solidFill>
                    <w14:schemeClr w14:val="tx1"/>
                  </w14:solidFill>
                </w14:textFill>
              </w:rPr>
            </w:pPr>
            <w:bookmarkStart w:id="1120" w:name="_Toc221952140"/>
            <w:r>
              <w:rPr>
                <w:rFonts w:ascii="宋体" w:hAnsi="宋体"/>
                <w:color w:val="000000" w:themeColor="text1"/>
                <w:szCs w:val="21"/>
                <w:highlight w:val="none"/>
                <w14:textFill>
                  <w14:solidFill>
                    <w14:schemeClr w14:val="tx1"/>
                  </w14:solidFill>
                </w14:textFill>
              </w:rPr>
              <w:t>担任职务</w:t>
            </w:r>
            <w:bookmarkEnd w:id="1120"/>
          </w:p>
        </w:tc>
        <w:tc>
          <w:tcPr>
            <w:tcW w:w="2471" w:type="dxa"/>
            <w:gridSpan w:val="2"/>
            <w:noWrap w:val="0"/>
            <w:vAlign w:val="center"/>
          </w:tcPr>
          <w:p w14:paraId="40BB4C85">
            <w:pPr>
              <w:spacing w:line="360" w:lineRule="auto"/>
              <w:rPr>
                <w:rFonts w:ascii="宋体" w:hAnsi="宋体"/>
                <w:color w:val="000000" w:themeColor="text1"/>
                <w:szCs w:val="21"/>
                <w:highlight w:val="none"/>
                <w14:textFill>
                  <w14:solidFill>
                    <w14:schemeClr w14:val="tx1"/>
                  </w14:solidFill>
                </w14:textFill>
              </w:rPr>
            </w:pPr>
            <w:bookmarkStart w:id="1121" w:name="_Toc221952141"/>
            <w:r>
              <w:rPr>
                <w:rFonts w:ascii="宋体" w:hAnsi="宋体"/>
                <w:color w:val="000000" w:themeColor="text1"/>
                <w:szCs w:val="21"/>
                <w:highlight w:val="none"/>
                <w14:textFill>
                  <w14:solidFill>
                    <w14:schemeClr w14:val="tx1"/>
                  </w14:solidFill>
                </w14:textFill>
              </w:rPr>
              <w:t>发包人及联系电话</w:t>
            </w:r>
            <w:bookmarkEnd w:id="1121"/>
          </w:p>
        </w:tc>
      </w:tr>
      <w:tr w14:paraId="00B8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top"/>
          </w:tcPr>
          <w:p w14:paraId="5D6C2499">
            <w:pPr>
              <w:spacing w:line="360" w:lineRule="auto"/>
              <w:rPr>
                <w:rFonts w:ascii="宋体" w:hAnsi="宋体"/>
                <w:color w:val="000000" w:themeColor="text1"/>
                <w:szCs w:val="21"/>
                <w:highlight w:val="none"/>
                <w14:textFill>
                  <w14:solidFill>
                    <w14:schemeClr w14:val="tx1"/>
                  </w14:solidFill>
                </w14:textFill>
              </w:rPr>
            </w:pPr>
          </w:p>
        </w:tc>
        <w:tc>
          <w:tcPr>
            <w:tcW w:w="3330" w:type="dxa"/>
            <w:gridSpan w:val="4"/>
            <w:noWrap w:val="0"/>
            <w:vAlign w:val="top"/>
          </w:tcPr>
          <w:p w14:paraId="3DCF9D85">
            <w:pPr>
              <w:spacing w:line="360" w:lineRule="auto"/>
              <w:rPr>
                <w:rFonts w:ascii="宋体" w:hAnsi="宋体"/>
                <w:color w:val="000000" w:themeColor="text1"/>
                <w:szCs w:val="21"/>
                <w:highlight w:val="none"/>
                <w14:textFill>
                  <w14:solidFill>
                    <w14:schemeClr w14:val="tx1"/>
                  </w14:solidFill>
                </w14:textFill>
              </w:rPr>
            </w:pPr>
          </w:p>
        </w:tc>
        <w:tc>
          <w:tcPr>
            <w:tcW w:w="1226" w:type="dxa"/>
            <w:noWrap w:val="0"/>
            <w:vAlign w:val="top"/>
          </w:tcPr>
          <w:p w14:paraId="5F844510">
            <w:pPr>
              <w:spacing w:line="360" w:lineRule="auto"/>
              <w:rPr>
                <w:rFonts w:ascii="宋体" w:hAnsi="宋体"/>
                <w:color w:val="000000" w:themeColor="text1"/>
                <w:szCs w:val="21"/>
                <w:highlight w:val="none"/>
                <w14:textFill>
                  <w14:solidFill>
                    <w14:schemeClr w14:val="tx1"/>
                  </w14:solidFill>
                </w14:textFill>
              </w:rPr>
            </w:pPr>
          </w:p>
        </w:tc>
        <w:tc>
          <w:tcPr>
            <w:tcW w:w="2471" w:type="dxa"/>
            <w:gridSpan w:val="2"/>
            <w:noWrap w:val="0"/>
            <w:vAlign w:val="top"/>
          </w:tcPr>
          <w:p w14:paraId="7490F910">
            <w:pPr>
              <w:spacing w:line="360" w:lineRule="auto"/>
              <w:rPr>
                <w:rFonts w:ascii="宋体" w:hAnsi="宋体"/>
                <w:color w:val="000000" w:themeColor="text1"/>
                <w:szCs w:val="21"/>
                <w:highlight w:val="none"/>
                <w14:textFill>
                  <w14:solidFill>
                    <w14:schemeClr w14:val="tx1"/>
                  </w14:solidFill>
                </w14:textFill>
              </w:rPr>
            </w:pPr>
          </w:p>
        </w:tc>
      </w:tr>
      <w:tr w14:paraId="6E06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top"/>
          </w:tcPr>
          <w:p w14:paraId="4B46F96F">
            <w:pPr>
              <w:spacing w:line="360" w:lineRule="auto"/>
              <w:rPr>
                <w:rFonts w:ascii="宋体" w:hAnsi="宋体"/>
                <w:color w:val="000000" w:themeColor="text1"/>
                <w:szCs w:val="21"/>
                <w:highlight w:val="none"/>
                <w14:textFill>
                  <w14:solidFill>
                    <w14:schemeClr w14:val="tx1"/>
                  </w14:solidFill>
                </w14:textFill>
              </w:rPr>
            </w:pPr>
          </w:p>
        </w:tc>
        <w:tc>
          <w:tcPr>
            <w:tcW w:w="3330" w:type="dxa"/>
            <w:gridSpan w:val="4"/>
            <w:noWrap w:val="0"/>
            <w:vAlign w:val="top"/>
          </w:tcPr>
          <w:p w14:paraId="5A85346C">
            <w:pPr>
              <w:spacing w:line="360" w:lineRule="auto"/>
              <w:rPr>
                <w:rFonts w:ascii="宋体" w:hAnsi="宋体"/>
                <w:color w:val="000000" w:themeColor="text1"/>
                <w:szCs w:val="21"/>
                <w:highlight w:val="none"/>
                <w14:textFill>
                  <w14:solidFill>
                    <w14:schemeClr w14:val="tx1"/>
                  </w14:solidFill>
                </w14:textFill>
              </w:rPr>
            </w:pPr>
          </w:p>
        </w:tc>
        <w:tc>
          <w:tcPr>
            <w:tcW w:w="1226" w:type="dxa"/>
            <w:noWrap w:val="0"/>
            <w:vAlign w:val="top"/>
          </w:tcPr>
          <w:p w14:paraId="636FAD5D">
            <w:pPr>
              <w:spacing w:line="360" w:lineRule="auto"/>
              <w:rPr>
                <w:rFonts w:ascii="宋体" w:hAnsi="宋体"/>
                <w:color w:val="000000" w:themeColor="text1"/>
                <w:szCs w:val="21"/>
                <w:highlight w:val="none"/>
                <w14:textFill>
                  <w14:solidFill>
                    <w14:schemeClr w14:val="tx1"/>
                  </w14:solidFill>
                </w14:textFill>
              </w:rPr>
            </w:pPr>
          </w:p>
        </w:tc>
        <w:tc>
          <w:tcPr>
            <w:tcW w:w="2471" w:type="dxa"/>
            <w:gridSpan w:val="2"/>
            <w:noWrap w:val="0"/>
            <w:vAlign w:val="top"/>
          </w:tcPr>
          <w:p w14:paraId="42256D0B">
            <w:pPr>
              <w:spacing w:line="360" w:lineRule="auto"/>
              <w:rPr>
                <w:rFonts w:ascii="宋体" w:hAnsi="宋体"/>
                <w:color w:val="000000" w:themeColor="text1"/>
                <w:szCs w:val="21"/>
                <w:highlight w:val="none"/>
                <w14:textFill>
                  <w14:solidFill>
                    <w14:schemeClr w14:val="tx1"/>
                  </w14:solidFill>
                </w14:textFill>
              </w:rPr>
            </w:pPr>
          </w:p>
        </w:tc>
      </w:tr>
      <w:tr w14:paraId="7B25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top"/>
          </w:tcPr>
          <w:p w14:paraId="77DC3FD1">
            <w:pPr>
              <w:spacing w:line="360" w:lineRule="auto"/>
              <w:rPr>
                <w:rFonts w:ascii="宋体" w:hAnsi="宋体"/>
                <w:color w:val="000000" w:themeColor="text1"/>
                <w:szCs w:val="21"/>
                <w:highlight w:val="none"/>
                <w14:textFill>
                  <w14:solidFill>
                    <w14:schemeClr w14:val="tx1"/>
                  </w14:solidFill>
                </w14:textFill>
              </w:rPr>
            </w:pPr>
          </w:p>
        </w:tc>
        <w:tc>
          <w:tcPr>
            <w:tcW w:w="3330" w:type="dxa"/>
            <w:gridSpan w:val="4"/>
            <w:noWrap w:val="0"/>
            <w:vAlign w:val="top"/>
          </w:tcPr>
          <w:p w14:paraId="2B318DC3">
            <w:pPr>
              <w:spacing w:line="360" w:lineRule="auto"/>
              <w:rPr>
                <w:rFonts w:ascii="宋体" w:hAnsi="宋体"/>
                <w:color w:val="000000" w:themeColor="text1"/>
                <w:szCs w:val="21"/>
                <w:highlight w:val="none"/>
                <w14:textFill>
                  <w14:solidFill>
                    <w14:schemeClr w14:val="tx1"/>
                  </w14:solidFill>
                </w14:textFill>
              </w:rPr>
            </w:pPr>
          </w:p>
        </w:tc>
        <w:tc>
          <w:tcPr>
            <w:tcW w:w="1226" w:type="dxa"/>
            <w:noWrap w:val="0"/>
            <w:vAlign w:val="top"/>
          </w:tcPr>
          <w:p w14:paraId="573F2DD5">
            <w:pPr>
              <w:spacing w:line="360" w:lineRule="auto"/>
              <w:rPr>
                <w:rFonts w:ascii="宋体" w:hAnsi="宋体"/>
                <w:color w:val="000000" w:themeColor="text1"/>
                <w:szCs w:val="21"/>
                <w:highlight w:val="none"/>
                <w14:textFill>
                  <w14:solidFill>
                    <w14:schemeClr w14:val="tx1"/>
                  </w14:solidFill>
                </w14:textFill>
              </w:rPr>
            </w:pPr>
          </w:p>
        </w:tc>
        <w:tc>
          <w:tcPr>
            <w:tcW w:w="2471" w:type="dxa"/>
            <w:gridSpan w:val="2"/>
            <w:noWrap w:val="0"/>
            <w:vAlign w:val="top"/>
          </w:tcPr>
          <w:p w14:paraId="58B43D8F">
            <w:pPr>
              <w:spacing w:line="360" w:lineRule="auto"/>
              <w:rPr>
                <w:rFonts w:ascii="宋体" w:hAnsi="宋体"/>
                <w:color w:val="000000" w:themeColor="text1"/>
                <w:szCs w:val="21"/>
                <w:highlight w:val="none"/>
                <w14:textFill>
                  <w14:solidFill>
                    <w14:schemeClr w14:val="tx1"/>
                  </w14:solidFill>
                </w14:textFill>
              </w:rPr>
            </w:pPr>
          </w:p>
        </w:tc>
      </w:tr>
      <w:tr w14:paraId="4D47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14:paraId="312217EC">
            <w:pPr>
              <w:spacing w:line="360" w:lineRule="auto"/>
              <w:rPr>
                <w:rFonts w:ascii="宋体" w:hAnsi="宋体"/>
                <w:color w:val="000000" w:themeColor="text1"/>
                <w:szCs w:val="21"/>
                <w:highlight w:val="none"/>
                <w14:textFill>
                  <w14:solidFill>
                    <w14:schemeClr w14:val="tx1"/>
                  </w14:solidFill>
                </w14:textFill>
              </w:rPr>
            </w:pPr>
          </w:p>
        </w:tc>
        <w:tc>
          <w:tcPr>
            <w:tcW w:w="3330" w:type="dxa"/>
            <w:gridSpan w:val="4"/>
            <w:noWrap w:val="0"/>
            <w:vAlign w:val="center"/>
          </w:tcPr>
          <w:p w14:paraId="743073AB">
            <w:pPr>
              <w:spacing w:line="360" w:lineRule="auto"/>
              <w:rPr>
                <w:rFonts w:ascii="宋体" w:hAnsi="宋体"/>
                <w:color w:val="000000" w:themeColor="text1"/>
                <w:szCs w:val="21"/>
                <w:highlight w:val="none"/>
                <w14:textFill>
                  <w14:solidFill>
                    <w14:schemeClr w14:val="tx1"/>
                  </w14:solidFill>
                </w14:textFill>
              </w:rPr>
            </w:pPr>
          </w:p>
        </w:tc>
        <w:tc>
          <w:tcPr>
            <w:tcW w:w="1226" w:type="dxa"/>
            <w:noWrap w:val="0"/>
            <w:vAlign w:val="center"/>
          </w:tcPr>
          <w:p w14:paraId="77DF518E">
            <w:pPr>
              <w:spacing w:line="360" w:lineRule="auto"/>
              <w:rPr>
                <w:rFonts w:ascii="宋体" w:hAnsi="宋体"/>
                <w:color w:val="000000" w:themeColor="text1"/>
                <w:szCs w:val="21"/>
                <w:highlight w:val="none"/>
                <w14:textFill>
                  <w14:solidFill>
                    <w14:schemeClr w14:val="tx1"/>
                  </w14:solidFill>
                </w14:textFill>
              </w:rPr>
            </w:pPr>
          </w:p>
        </w:tc>
        <w:tc>
          <w:tcPr>
            <w:tcW w:w="2471" w:type="dxa"/>
            <w:gridSpan w:val="2"/>
            <w:noWrap w:val="0"/>
            <w:vAlign w:val="center"/>
          </w:tcPr>
          <w:p w14:paraId="1E496EE1">
            <w:pPr>
              <w:spacing w:line="360" w:lineRule="auto"/>
              <w:rPr>
                <w:rFonts w:ascii="宋体" w:hAnsi="宋体"/>
                <w:color w:val="000000" w:themeColor="text1"/>
                <w:szCs w:val="21"/>
                <w:highlight w:val="none"/>
                <w14:textFill>
                  <w14:solidFill>
                    <w14:schemeClr w14:val="tx1"/>
                  </w14:solidFill>
                </w14:textFill>
              </w:rPr>
            </w:pPr>
          </w:p>
        </w:tc>
      </w:tr>
      <w:tr w14:paraId="0AF3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14:paraId="23CE066E">
            <w:pPr>
              <w:spacing w:line="360" w:lineRule="auto"/>
              <w:rPr>
                <w:rFonts w:ascii="宋体" w:hAnsi="宋体"/>
                <w:color w:val="000000" w:themeColor="text1"/>
                <w:szCs w:val="21"/>
                <w:highlight w:val="none"/>
                <w14:textFill>
                  <w14:solidFill>
                    <w14:schemeClr w14:val="tx1"/>
                  </w14:solidFill>
                </w14:textFill>
              </w:rPr>
            </w:pPr>
          </w:p>
        </w:tc>
        <w:tc>
          <w:tcPr>
            <w:tcW w:w="3330" w:type="dxa"/>
            <w:gridSpan w:val="4"/>
            <w:noWrap w:val="0"/>
            <w:vAlign w:val="center"/>
          </w:tcPr>
          <w:p w14:paraId="7F08C16A">
            <w:pPr>
              <w:spacing w:line="360" w:lineRule="auto"/>
              <w:rPr>
                <w:rFonts w:ascii="宋体" w:hAnsi="宋体"/>
                <w:color w:val="000000" w:themeColor="text1"/>
                <w:szCs w:val="21"/>
                <w:highlight w:val="none"/>
                <w14:textFill>
                  <w14:solidFill>
                    <w14:schemeClr w14:val="tx1"/>
                  </w14:solidFill>
                </w14:textFill>
              </w:rPr>
            </w:pPr>
          </w:p>
        </w:tc>
        <w:tc>
          <w:tcPr>
            <w:tcW w:w="1226" w:type="dxa"/>
            <w:noWrap w:val="0"/>
            <w:vAlign w:val="center"/>
          </w:tcPr>
          <w:p w14:paraId="458C75F7">
            <w:pPr>
              <w:spacing w:line="360" w:lineRule="auto"/>
              <w:rPr>
                <w:rFonts w:ascii="宋体" w:hAnsi="宋体"/>
                <w:color w:val="000000" w:themeColor="text1"/>
                <w:szCs w:val="21"/>
                <w:highlight w:val="none"/>
                <w14:textFill>
                  <w14:solidFill>
                    <w14:schemeClr w14:val="tx1"/>
                  </w14:solidFill>
                </w14:textFill>
              </w:rPr>
            </w:pPr>
          </w:p>
        </w:tc>
        <w:tc>
          <w:tcPr>
            <w:tcW w:w="2471" w:type="dxa"/>
            <w:gridSpan w:val="2"/>
            <w:noWrap w:val="0"/>
            <w:vAlign w:val="center"/>
          </w:tcPr>
          <w:p w14:paraId="39DE3D0C">
            <w:pPr>
              <w:spacing w:line="360" w:lineRule="auto"/>
              <w:rPr>
                <w:rFonts w:ascii="宋体" w:hAnsi="宋体"/>
                <w:color w:val="000000" w:themeColor="text1"/>
                <w:szCs w:val="21"/>
                <w:highlight w:val="none"/>
                <w14:textFill>
                  <w14:solidFill>
                    <w14:schemeClr w14:val="tx1"/>
                  </w14:solidFill>
                </w14:textFill>
              </w:rPr>
            </w:pPr>
          </w:p>
        </w:tc>
      </w:tr>
      <w:tr w14:paraId="038C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14:paraId="0EE909BB">
            <w:pPr>
              <w:spacing w:line="360" w:lineRule="auto"/>
              <w:rPr>
                <w:rFonts w:ascii="宋体" w:hAnsi="宋体"/>
                <w:color w:val="000000" w:themeColor="text1"/>
                <w:szCs w:val="21"/>
                <w:highlight w:val="none"/>
                <w14:textFill>
                  <w14:solidFill>
                    <w14:schemeClr w14:val="tx1"/>
                  </w14:solidFill>
                </w14:textFill>
              </w:rPr>
            </w:pPr>
          </w:p>
        </w:tc>
        <w:tc>
          <w:tcPr>
            <w:tcW w:w="3330" w:type="dxa"/>
            <w:gridSpan w:val="4"/>
            <w:noWrap w:val="0"/>
            <w:vAlign w:val="center"/>
          </w:tcPr>
          <w:p w14:paraId="6E7EE685">
            <w:pPr>
              <w:spacing w:line="360" w:lineRule="auto"/>
              <w:rPr>
                <w:rFonts w:ascii="宋体" w:hAnsi="宋体"/>
                <w:color w:val="000000" w:themeColor="text1"/>
                <w:szCs w:val="21"/>
                <w:highlight w:val="none"/>
                <w14:textFill>
                  <w14:solidFill>
                    <w14:schemeClr w14:val="tx1"/>
                  </w14:solidFill>
                </w14:textFill>
              </w:rPr>
            </w:pPr>
          </w:p>
        </w:tc>
        <w:tc>
          <w:tcPr>
            <w:tcW w:w="1226" w:type="dxa"/>
            <w:noWrap w:val="0"/>
            <w:vAlign w:val="center"/>
          </w:tcPr>
          <w:p w14:paraId="01DC5D3D">
            <w:pPr>
              <w:spacing w:line="360" w:lineRule="auto"/>
              <w:rPr>
                <w:rFonts w:ascii="宋体" w:hAnsi="宋体"/>
                <w:color w:val="000000" w:themeColor="text1"/>
                <w:szCs w:val="21"/>
                <w:highlight w:val="none"/>
                <w14:textFill>
                  <w14:solidFill>
                    <w14:schemeClr w14:val="tx1"/>
                  </w14:solidFill>
                </w14:textFill>
              </w:rPr>
            </w:pPr>
          </w:p>
        </w:tc>
        <w:tc>
          <w:tcPr>
            <w:tcW w:w="2471" w:type="dxa"/>
            <w:gridSpan w:val="2"/>
            <w:noWrap w:val="0"/>
            <w:vAlign w:val="center"/>
          </w:tcPr>
          <w:p w14:paraId="55D0699B">
            <w:pPr>
              <w:spacing w:line="360" w:lineRule="auto"/>
              <w:rPr>
                <w:rFonts w:ascii="宋体" w:hAnsi="宋体"/>
                <w:color w:val="000000" w:themeColor="text1"/>
                <w:szCs w:val="21"/>
                <w:highlight w:val="none"/>
                <w14:textFill>
                  <w14:solidFill>
                    <w14:schemeClr w14:val="tx1"/>
                  </w14:solidFill>
                </w14:textFill>
              </w:rPr>
            </w:pPr>
          </w:p>
        </w:tc>
      </w:tr>
      <w:tr w14:paraId="5B06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14:paraId="60358FDA">
            <w:pPr>
              <w:spacing w:line="360" w:lineRule="auto"/>
              <w:rPr>
                <w:rFonts w:ascii="宋体" w:hAnsi="宋体"/>
                <w:color w:val="000000" w:themeColor="text1"/>
                <w:szCs w:val="21"/>
                <w:highlight w:val="none"/>
                <w14:textFill>
                  <w14:solidFill>
                    <w14:schemeClr w14:val="tx1"/>
                  </w14:solidFill>
                </w14:textFill>
              </w:rPr>
            </w:pPr>
          </w:p>
        </w:tc>
        <w:tc>
          <w:tcPr>
            <w:tcW w:w="3330" w:type="dxa"/>
            <w:gridSpan w:val="4"/>
            <w:noWrap w:val="0"/>
            <w:vAlign w:val="center"/>
          </w:tcPr>
          <w:p w14:paraId="43512BD4">
            <w:pPr>
              <w:spacing w:line="360" w:lineRule="auto"/>
              <w:rPr>
                <w:rFonts w:ascii="宋体" w:hAnsi="宋体"/>
                <w:color w:val="000000" w:themeColor="text1"/>
                <w:szCs w:val="21"/>
                <w:highlight w:val="none"/>
                <w14:textFill>
                  <w14:solidFill>
                    <w14:schemeClr w14:val="tx1"/>
                  </w14:solidFill>
                </w14:textFill>
              </w:rPr>
            </w:pPr>
          </w:p>
        </w:tc>
        <w:tc>
          <w:tcPr>
            <w:tcW w:w="1226" w:type="dxa"/>
            <w:noWrap w:val="0"/>
            <w:vAlign w:val="center"/>
          </w:tcPr>
          <w:p w14:paraId="46943AE0">
            <w:pPr>
              <w:spacing w:line="360" w:lineRule="auto"/>
              <w:rPr>
                <w:rFonts w:ascii="宋体" w:hAnsi="宋体"/>
                <w:color w:val="000000" w:themeColor="text1"/>
                <w:szCs w:val="21"/>
                <w:highlight w:val="none"/>
                <w14:textFill>
                  <w14:solidFill>
                    <w14:schemeClr w14:val="tx1"/>
                  </w14:solidFill>
                </w14:textFill>
              </w:rPr>
            </w:pPr>
          </w:p>
        </w:tc>
        <w:tc>
          <w:tcPr>
            <w:tcW w:w="2471" w:type="dxa"/>
            <w:gridSpan w:val="2"/>
            <w:noWrap w:val="0"/>
            <w:vAlign w:val="center"/>
          </w:tcPr>
          <w:p w14:paraId="79E5FD03">
            <w:pPr>
              <w:spacing w:line="360" w:lineRule="auto"/>
              <w:rPr>
                <w:rFonts w:ascii="宋体" w:hAnsi="宋体"/>
                <w:color w:val="000000" w:themeColor="text1"/>
                <w:szCs w:val="21"/>
                <w:highlight w:val="none"/>
                <w14:textFill>
                  <w14:solidFill>
                    <w14:schemeClr w14:val="tx1"/>
                  </w14:solidFill>
                </w14:textFill>
              </w:rPr>
            </w:pPr>
          </w:p>
        </w:tc>
      </w:tr>
      <w:tr w14:paraId="5FBF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14:paraId="5A694E3F">
            <w:pPr>
              <w:spacing w:line="360" w:lineRule="auto"/>
              <w:rPr>
                <w:rFonts w:ascii="宋体" w:hAnsi="宋体"/>
                <w:color w:val="000000" w:themeColor="text1"/>
                <w:szCs w:val="21"/>
                <w:highlight w:val="none"/>
                <w14:textFill>
                  <w14:solidFill>
                    <w14:schemeClr w14:val="tx1"/>
                  </w14:solidFill>
                </w14:textFill>
              </w:rPr>
            </w:pPr>
          </w:p>
        </w:tc>
        <w:tc>
          <w:tcPr>
            <w:tcW w:w="3330" w:type="dxa"/>
            <w:gridSpan w:val="4"/>
            <w:noWrap w:val="0"/>
            <w:vAlign w:val="center"/>
          </w:tcPr>
          <w:p w14:paraId="3DDB5644">
            <w:pPr>
              <w:spacing w:line="360" w:lineRule="auto"/>
              <w:rPr>
                <w:rFonts w:ascii="宋体" w:hAnsi="宋体"/>
                <w:color w:val="000000" w:themeColor="text1"/>
                <w:szCs w:val="21"/>
                <w:highlight w:val="none"/>
                <w14:textFill>
                  <w14:solidFill>
                    <w14:schemeClr w14:val="tx1"/>
                  </w14:solidFill>
                </w14:textFill>
              </w:rPr>
            </w:pPr>
          </w:p>
        </w:tc>
        <w:tc>
          <w:tcPr>
            <w:tcW w:w="1226" w:type="dxa"/>
            <w:noWrap w:val="0"/>
            <w:vAlign w:val="center"/>
          </w:tcPr>
          <w:p w14:paraId="46F4A237">
            <w:pPr>
              <w:spacing w:line="360" w:lineRule="auto"/>
              <w:rPr>
                <w:rFonts w:ascii="宋体" w:hAnsi="宋体"/>
                <w:color w:val="000000" w:themeColor="text1"/>
                <w:szCs w:val="21"/>
                <w:highlight w:val="none"/>
                <w14:textFill>
                  <w14:solidFill>
                    <w14:schemeClr w14:val="tx1"/>
                  </w14:solidFill>
                </w14:textFill>
              </w:rPr>
            </w:pPr>
          </w:p>
        </w:tc>
        <w:tc>
          <w:tcPr>
            <w:tcW w:w="2471" w:type="dxa"/>
            <w:gridSpan w:val="2"/>
            <w:noWrap w:val="0"/>
            <w:vAlign w:val="center"/>
          </w:tcPr>
          <w:p w14:paraId="5C7A97E8">
            <w:pPr>
              <w:spacing w:line="360" w:lineRule="auto"/>
              <w:rPr>
                <w:rFonts w:ascii="宋体" w:hAnsi="宋体"/>
                <w:color w:val="000000" w:themeColor="text1"/>
                <w:szCs w:val="21"/>
                <w:highlight w:val="none"/>
                <w14:textFill>
                  <w14:solidFill>
                    <w14:schemeClr w14:val="tx1"/>
                  </w14:solidFill>
                </w14:textFill>
              </w:rPr>
            </w:pPr>
          </w:p>
        </w:tc>
      </w:tr>
      <w:tr w14:paraId="3A8C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14:paraId="387A1AD1">
            <w:pPr>
              <w:spacing w:line="360" w:lineRule="auto"/>
              <w:rPr>
                <w:rFonts w:ascii="宋体" w:hAnsi="宋体"/>
                <w:color w:val="000000" w:themeColor="text1"/>
                <w:szCs w:val="21"/>
                <w:highlight w:val="none"/>
                <w14:textFill>
                  <w14:solidFill>
                    <w14:schemeClr w14:val="tx1"/>
                  </w14:solidFill>
                </w14:textFill>
              </w:rPr>
            </w:pPr>
          </w:p>
        </w:tc>
        <w:tc>
          <w:tcPr>
            <w:tcW w:w="3330" w:type="dxa"/>
            <w:gridSpan w:val="4"/>
            <w:noWrap w:val="0"/>
            <w:vAlign w:val="center"/>
          </w:tcPr>
          <w:p w14:paraId="57A78BE0">
            <w:pPr>
              <w:spacing w:line="360" w:lineRule="auto"/>
              <w:rPr>
                <w:rFonts w:ascii="宋体" w:hAnsi="宋体"/>
                <w:color w:val="000000" w:themeColor="text1"/>
                <w:szCs w:val="21"/>
                <w:highlight w:val="none"/>
                <w14:textFill>
                  <w14:solidFill>
                    <w14:schemeClr w14:val="tx1"/>
                  </w14:solidFill>
                </w14:textFill>
              </w:rPr>
            </w:pPr>
          </w:p>
        </w:tc>
        <w:tc>
          <w:tcPr>
            <w:tcW w:w="1226" w:type="dxa"/>
            <w:noWrap w:val="0"/>
            <w:vAlign w:val="center"/>
          </w:tcPr>
          <w:p w14:paraId="50B9D90B">
            <w:pPr>
              <w:spacing w:line="360" w:lineRule="auto"/>
              <w:rPr>
                <w:rFonts w:ascii="宋体" w:hAnsi="宋体"/>
                <w:color w:val="000000" w:themeColor="text1"/>
                <w:szCs w:val="21"/>
                <w:highlight w:val="none"/>
                <w14:textFill>
                  <w14:solidFill>
                    <w14:schemeClr w14:val="tx1"/>
                  </w14:solidFill>
                </w14:textFill>
              </w:rPr>
            </w:pPr>
          </w:p>
        </w:tc>
        <w:tc>
          <w:tcPr>
            <w:tcW w:w="2471" w:type="dxa"/>
            <w:gridSpan w:val="2"/>
            <w:noWrap w:val="0"/>
            <w:vAlign w:val="center"/>
          </w:tcPr>
          <w:p w14:paraId="35231C03">
            <w:pPr>
              <w:spacing w:line="360" w:lineRule="auto"/>
              <w:rPr>
                <w:rFonts w:ascii="宋体" w:hAnsi="宋体"/>
                <w:color w:val="000000" w:themeColor="text1"/>
                <w:szCs w:val="21"/>
                <w:highlight w:val="none"/>
                <w14:textFill>
                  <w14:solidFill>
                    <w14:schemeClr w14:val="tx1"/>
                  </w14:solidFill>
                </w14:textFill>
              </w:rPr>
            </w:pPr>
          </w:p>
        </w:tc>
      </w:tr>
      <w:tr w14:paraId="7CE1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14:paraId="756FCE49">
            <w:pPr>
              <w:spacing w:line="360" w:lineRule="auto"/>
              <w:rPr>
                <w:rFonts w:ascii="宋体" w:hAnsi="宋体"/>
                <w:color w:val="000000" w:themeColor="text1"/>
                <w:szCs w:val="21"/>
                <w:highlight w:val="none"/>
                <w14:textFill>
                  <w14:solidFill>
                    <w14:schemeClr w14:val="tx1"/>
                  </w14:solidFill>
                </w14:textFill>
              </w:rPr>
            </w:pPr>
          </w:p>
        </w:tc>
        <w:tc>
          <w:tcPr>
            <w:tcW w:w="3330" w:type="dxa"/>
            <w:gridSpan w:val="4"/>
            <w:noWrap w:val="0"/>
            <w:vAlign w:val="center"/>
          </w:tcPr>
          <w:p w14:paraId="159559B7">
            <w:pPr>
              <w:spacing w:line="360" w:lineRule="auto"/>
              <w:rPr>
                <w:rFonts w:ascii="宋体" w:hAnsi="宋体"/>
                <w:color w:val="000000" w:themeColor="text1"/>
                <w:szCs w:val="21"/>
                <w:highlight w:val="none"/>
                <w14:textFill>
                  <w14:solidFill>
                    <w14:schemeClr w14:val="tx1"/>
                  </w14:solidFill>
                </w14:textFill>
              </w:rPr>
            </w:pPr>
          </w:p>
        </w:tc>
        <w:tc>
          <w:tcPr>
            <w:tcW w:w="1226" w:type="dxa"/>
            <w:noWrap w:val="0"/>
            <w:vAlign w:val="center"/>
          </w:tcPr>
          <w:p w14:paraId="419F941E">
            <w:pPr>
              <w:spacing w:line="360" w:lineRule="auto"/>
              <w:rPr>
                <w:rFonts w:ascii="宋体" w:hAnsi="宋体"/>
                <w:color w:val="000000" w:themeColor="text1"/>
                <w:szCs w:val="21"/>
                <w:highlight w:val="none"/>
                <w14:textFill>
                  <w14:solidFill>
                    <w14:schemeClr w14:val="tx1"/>
                  </w14:solidFill>
                </w14:textFill>
              </w:rPr>
            </w:pPr>
          </w:p>
        </w:tc>
        <w:tc>
          <w:tcPr>
            <w:tcW w:w="2471" w:type="dxa"/>
            <w:gridSpan w:val="2"/>
            <w:noWrap w:val="0"/>
            <w:vAlign w:val="center"/>
          </w:tcPr>
          <w:p w14:paraId="4D39CA49">
            <w:pPr>
              <w:spacing w:line="360" w:lineRule="auto"/>
              <w:rPr>
                <w:rFonts w:ascii="宋体" w:hAnsi="宋体"/>
                <w:color w:val="000000" w:themeColor="text1"/>
                <w:szCs w:val="21"/>
                <w:highlight w:val="none"/>
                <w14:textFill>
                  <w14:solidFill>
                    <w14:schemeClr w14:val="tx1"/>
                  </w14:solidFill>
                </w14:textFill>
              </w:rPr>
            </w:pPr>
          </w:p>
        </w:tc>
      </w:tr>
      <w:tr w14:paraId="6D14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14:paraId="71CC4EBB">
            <w:pPr>
              <w:spacing w:line="360" w:lineRule="auto"/>
              <w:rPr>
                <w:rFonts w:ascii="宋体" w:hAnsi="宋体"/>
                <w:color w:val="000000" w:themeColor="text1"/>
                <w:szCs w:val="21"/>
                <w:highlight w:val="none"/>
                <w14:textFill>
                  <w14:solidFill>
                    <w14:schemeClr w14:val="tx1"/>
                  </w14:solidFill>
                </w14:textFill>
              </w:rPr>
            </w:pPr>
          </w:p>
        </w:tc>
        <w:tc>
          <w:tcPr>
            <w:tcW w:w="3330" w:type="dxa"/>
            <w:gridSpan w:val="4"/>
            <w:noWrap w:val="0"/>
            <w:vAlign w:val="center"/>
          </w:tcPr>
          <w:p w14:paraId="3D98F7CB">
            <w:pPr>
              <w:spacing w:line="360" w:lineRule="auto"/>
              <w:rPr>
                <w:rFonts w:ascii="宋体" w:hAnsi="宋体"/>
                <w:color w:val="000000" w:themeColor="text1"/>
                <w:szCs w:val="21"/>
                <w:highlight w:val="none"/>
                <w14:textFill>
                  <w14:solidFill>
                    <w14:schemeClr w14:val="tx1"/>
                  </w14:solidFill>
                </w14:textFill>
              </w:rPr>
            </w:pPr>
          </w:p>
        </w:tc>
        <w:tc>
          <w:tcPr>
            <w:tcW w:w="1226" w:type="dxa"/>
            <w:noWrap w:val="0"/>
            <w:vAlign w:val="center"/>
          </w:tcPr>
          <w:p w14:paraId="1A4497B0">
            <w:pPr>
              <w:spacing w:line="360" w:lineRule="auto"/>
              <w:rPr>
                <w:rFonts w:ascii="宋体" w:hAnsi="宋体"/>
                <w:color w:val="000000" w:themeColor="text1"/>
                <w:szCs w:val="21"/>
                <w:highlight w:val="none"/>
                <w14:textFill>
                  <w14:solidFill>
                    <w14:schemeClr w14:val="tx1"/>
                  </w14:solidFill>
                </w14:textFill>
              </w:rPr>
            </w:pPr>
          </w:p>
        </w:tc>
        <w:tc>
          <w:tcPr>
            <w:tcW w:w="2471" w:type="dxa"/>
            <w:gridSpan w:val="2"/>
            <w:noWrap w:val="0"/>
            <w:vAlign w:val="center"/>
          </w:tcPr>
          <w:p w14:paraId="27322DE9">
            <w:pPr>
              <w:spacing w:line="360" w:lineRule="auto"/>
              <w:rPr>
                <w:rFonts w:ascii="宋体" w:hAnsi="宋体"/>
                <w:color w:val="000000" w:themeColor="text1"/>
                <w:szCs w:val="21"/>
                <w:highlight w:val="none"/>
                <w14:textFill>
                  <w14:solidFill>
                    <w14:schemeClr w14:val="tx1"/>
                  </w14:solidFill>
                </w14:textFill>
              </w:rPr>
            </w:pPr>
          </w:p>
        </w:tc>
      </w:tr>
      <w:tr w14:paraId="4CC1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1" w:type="dxa"/>
            <w:gridSpan w:val="2"/>
            <w:noWrap w:val="0"/>
            <w:vAlign w:val="center"/>
          </w:tcPr>
          <w:p w14:paraId="6393E5AE">
            <w:pPr>
              <w:spacing w:line="360" w:lineRule="auto"/>
              <w:rPr>
                <w:rFonts w:ascii="宋体" w:hAnsi="宋体"/>
                <w:color w:val="000000" w:themeColor="text1"/>
                <w:szCs w:val="21"/>
                <w:highlight w:val="none"/>
                <w14:textFill>
                  <w14:solidFill>
                    <w14:schemeClr w14:val="tx1"/>
                  </w14:solidFill>
                </w14:textFill>
              </w:rPr>
            </w:pPr>
          </w:p>
        </w:tc>
        <w:tc>
          <w:tcPr>
            <w:tcW w:w="3330" w:type="dxa"/>
            <w:gridSpan w:val="4"/>
            <w:noWrap w:val="0"/>
            <w:vAlign w:val="center"/>
          </w:tcPr>
          <w:p w14:paraId="74B1544F">
            <w:pPr>
              <w:spacing w:line="360" w:lineRule="auto"/>
              <w:rPr>
                <w:rFonts w:ascii="宋体" w:hAnsi="宋体"/>
                <w:color w:val="000000" w:themeColor="text1"/>
                <w:szCs w:val="21"/>
                <w:highlight w:val="none"/>
                <w14:textFill>
                  <w14:solidFill>
                    <w14:schemeClr w14:val="tx1"/>
                  </w14:solidFill>
                </w14:textFill>
              </w:rPr>
            </w:pPr>
          </w:p>
        </w:tc>
        <w:tc>
          <w:tcPr>
            <w:tcW w:w="1226" w:type="dxa"/>
            <w:noWrap w:val="0"/>
            <w:vAlign w:val="center"/>
          </w:tcPr>
          <w:p w14:paraId="7DB5C0B0">
            <w:pPr>
              <w:spacing w:line="360" w:lineRule="auto"/>
              <w:rPr>
                <w:rFonts w:ascii="宋体" w:hAnsi="宋体"/>
                <w:color w:val="000000" w:themeColor="text1"/>
                <w:szCs w:val="21"/>
                <w:highlight w:val="none"/>
                <w14:textFill>
                  <w14:solidFill>
                    <w14:schemeClr w14:val="tx1"/>
                  </w14:solidFill>
                </w14:textFill>
              </w:rPr>
            </w:pPr>
          </w:p>
        </w:tc>
        <w:tc>
          <w:tcPr>
            <w:tcW w:w="2471" w:type="dxa"/>
            <w:gridSpan w:val="2"/>
            <w:noWrap w:val="0"/>
            <w:vAlign w:val="center"/>
          </w:tcPr>
          <w:p w14:paraId="3714A089">
            <w:pPr>
              <w:spacing w:line="360" w:lineRule="auto"/>
              <w:rPr>
                <w:rFonts w:ascii="宋体" w:hAnsi="宋体"/>
                <w:color w:val="000000" w:themeColor="text1"/>
                <w:szCs w:val="21"/>
                <w:highlight w:val="none"/>
                <w14:textFill>
                  <w14:solidFill>
                    <w14:schemeClr w14:val="tx1"/>
                  </w14:solidFill>
                </w14:textFill>
              </w:rPr>
            </w:pPr>
          </w:p>
        </w:tc>
      </w:tr>
    </w:tbl>
    <w:p w14:paraId="4F6409B0">
      <w:pPr>
        <w:spacing w:line="400" w:lineRule="exact"/>
        <w:rPr>
          <w:rFonts w:ascii="宋体" w:hAnsi="宋体"/>
          <w:color w:val="000000" w:themeColor="text1"/>
          <w:sz w:val="19"/>
          <w:szCs w:val="19"/>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w:t>
      </w:r>
      <w:r>
        <w:rPr>
          <w:rFonts w:hint="eastAsia" w:ascii="宋体" w:hAnsi="宋体"/>
          <w:color w:val="000000" w:themeColor="text1"/>
          <w:highlight w:val="none"/>
          <w14:textFill>
            <w14:solidFill>
              <w14:schemeClr w14:val="tx1"/>
            </w14:solidFill>
          </w14:textFill>
        </w:rPr>
        <w:t>：</w:t>
      </w:r>
      <w:r>
        <w:rPr>
          <w:rFonts w:hint="eastAsia" w:ascii="宋体" w:hAnsi="宋体" w:eastAsia="宋体" w:cs="Times New Roman"/>
          <w:b/>
          <w:bCs/>
          <w:color w:val="000000" w:themeColor="text1"/>
          <w:highlight w:val="none"/>
          <w:lang w:val="en-US" w:eastAsia="zh-CN"/>
          <w14:textFill>
            <w14:solidFill>
              <w14:schemeClr w14:val="tx1"/>
            </w14:solidFill>
          </w14:textFill>
        </w:rPr>
        <w:t>根据</w:t>
      </w:r>
      <w:r>
        <w:rPr>
          <w:rFonts w:hint="eastAsia" w:ascii="宋体" w:hAnsi="宋体" w:eastAsia="宋体" w:cs="Times New Roman"/>
          <w:b/>
          <w:bCs/>
          <w:color w:val="000000" w:themeColor="text1"/>
          <w:highlight w:val="none"/>
          <w14:textFill>
            <w14:solidFill>
              <w14:schemeClr w14:val="tx1"/>
            </w14:solidFill>
          </w14:textFill>
        </w:rPr>
        <w:t>评分因素</w:t>
      </w:r>
      <w:r>
        <w:rPr>
          <w:rFonts w:hint="eastAsia" w:ascii="宋体" w:hAnsi="宋体" w:eastAsia="宋体" w:cs="Times New Roman"/>
          <w:b/>
          <w:bCs/>
          <w:color w:val="000000" w:themeColor="text1"/>
          <w:highlight w:val="none"/>
          <w:lang w:val="en-US" w:eastAsia="zh-CN"/>
          <w14:textFill>
            <w14:solidFill>
              <w14:schemeClr w14:val="tx1"/>
            </w14:solidFill>
          </w14:textFill>
        </w:rPr>
        <w:t>“产业工人队伍”、“</w:t>
      </w:r>
      <w:r>
        <w:rPr>
          <w:rFonts w:hint="eastAsia" w:ascii="宋体" w:hAnsi="宋体" w:eastAsia="宋体" w:cs="Times New Roman"/>
          <w:b/>
          <w:bCs/>
          <w:color w:val="000000" w:themeColor="text1"/>
          <w:highlight w:val="none"/>
          <w14:textFill>
            <w14:solidFill>
              <w14:schemeClr w14:val="tx1"/>
            </w14:solidFill>
          </w14:textFill>
        </w:rPr>
        <w:t>组织机构及主要管理人员</w:t>
      </w:r>
      <w:r>
        <w:rPr>
          <w:rFonts w:hint="eastAsia" w:ascii="宋体" w:hAnsi="宋体" w:eastAsia="宋体" w:cs="Times New Roman"/>
          <w:b/>
          <w:bCs/>
          <w:color w:val="000000" w:themeColor="text1"/>
          <w:highlight w:val="none"/>
          <w:lang w:val="en-US" w:eastAsia="zh-CN"/>
          <w14:textFill>
            <w14:solidFill>
              <w14:schemeClr w14:val="tx1"/>
            </w14:solidFill>
          </w14:textFill>
        </w:rPr>
        <w:t>”中的拟投人员填写并</w:t>
      </w:r>
      <w:r>
        <w:rPr>
          <w:rFonts w:hint="eastAsia" w:ascii="宋体" w:hAnsi="宋体" w:eastAsia="宋体" w:cs="Times New Roman"/>
          <w:b/>
          <w:bCs/>
          <w:color w:val="000000" w:themeColor="text1"/>
          <w:highlight w:val="none"/>
          <w14:textFill>
            <w14:solidFill>
              <w14:schemeClr w14:val="tx1"/>
            </w14:solidFill>
          </w14:textFill>
        </w:rPr>
        <w:t>附资格证或职称证、社保</w:t>
      </w:r>
      <w:r>
        <w:rPr>
          <w:rFonts w:hint="eastAsia" w:ascii="宋体" w:hAnsi="宋体" w:eastAsia="宋体" w:cs="Times New Roman"/>
          <w:b/>
          <w:bCs/>
          <w:color w:val="000000" w:themeColor="text1"/>
          <w:highlight w:val="none"/>
          <w:lang w:val="en-US" w:eastAsia="zh-CN"/>
          <w14:textFill>
            <w14:solidFill>
              <w14:schemeClr w14:val="tx1"/>
            </w14:solidFill>
          </w14:textFill>
        </w:rPr>
        <w:t>等相关资料</w:t>
      </w:r>
      <w:r>
        <w:rPr>
          <w:rFonts w:hint="eastAsia" w:ascii="宋体" w:hAnsi="宋体" w:eastAsia="宋体" w:cs="Times New Roman"/>
          <w:b/>
          <w:bCs/>
          <w:color w:val="000000" w:themeColor="text1"/>
          <w:highlight w:val="none"/>
          <w:lang w:eastAsia="zh-CN"/>
          <w14:textFill>
            <w14:solidFill>
              <w14:schemeClr w14:val="tx1"/>
            </w14:solidFill>
          </w14:textFill>
        </w:rPr>
        <w:t>扫描件</w:t>
      </w:r>
      <w:r>
        <w:rPr>
          <w:rFonts w:hint="eastAsia" w:ascii="宋体" w:hAnsi="宋体" w:eastAsia="宋体" w:cs="Times New Roman"/>
          <w:b/>
          <w:bCs/>
          <w:color w:val="000000" w:themeColor="text1"/>
          <w:highlight w:val="none"/>
          <w14:textFill>
            <w14:solidFill>
              <w14:schemeClr w14:val="tx1"/>
            </w14:solidFill>
          </w14:textFill>
        </w:rPr>
        <w:t>。</w:t>
      </w:r>
    </w:p>
    <w:p w14:paraId="6FE566E7">
      <w:pPr>
        <w:spacing w:line="400" w:lineRule="exact"/>
        <w:rPr>
          <w:rFonts w:hint="eastAsia" w:ascii="宋体" w:hAnsi="宋体"/>
          <w:color w:val="000000" w:themeColor="text1"/>
          <w:sz w:val="20"/>
          <w:szCs w:val="20"/>
          <w:highlight w:val="none"/>
          <w14:textFill>
            <w14:solidFill>
              <w14:schemeClr w14:val="tx1"/>
            </w14:solidFill>
          </w14:textFill>
        </w:rPr>
      </w:pPr>
    </w:p>
    <w:p w14:paraId="0AA525EA">
      <w:pPr>
        <w:pageBreakBefore w:val="0"/>
        <w:spacing w:before="0" w:line="360" w:lineRule="auto"/>
        <w:ind w:left="0" w:firstLine="0"/>
        <w:jc w:val="center"/>
        <w:outlineLvl w:val="9"/>
        <w:rPr>
          <w:rFonts w:hint="eastAsia" w:ascii="黑体" w:hAnsi="黑体" w:eastAsia="黑体" w:cs="Times New Roman"/>
          <w:b w:val="0"/>
          <w:color w:val="000000" w:themeColor="text1"/>
          <w:sz w:val="28"/>
          <w:szCs w:val="27"/>
          <w:highlight w:val="none"/>
          <w:lang w:val="en-US" w:eastAsia="zh-CN"/>
          <w14:textFill>
            <w14:solidFill>
              <w14:schemeClr w14:val="tx1"/>
            </w14:solidFill>
          </w14:textFill>
        </w:rPr>
        <w:sectPr>
          <w:pgSz w:w="11906" w:h="16838"/>
          <w:pgMar w:top="1440" w:right="1797" w:bottom="1440" w:left="1797" w:header="851" w:footer="992" w:gutter="0"/>
          <w:pgNumType w:fmt="decimal"/>
          <w:cols w:space="720" w:num="1"/>
          <w:docGrid w:linePitch="312" w:charSpace="0"/>
        </w:sectPr>
      </w:pPr>
    </w:p>
    <w:p w14:paraId="29CB98E9">
      <w:pPr>
        <w:topLinePunct/>
        <w:spacing w:line="400" w:lineRule="exact"/>
        <w:jc w:val="center"/>
        <w:rPr>
          <w:color w:val="000000" w:themeColor="text1"/>
          <w:sz w:val="20"/>
          <w:szCs w:val="20"/>
          <w:highlight w:val="none"/>
          <w14:textFill>
            <w14:solidFill>
              <w14:schemeClr w14:val="tx1"/>
            </w14:solidFill>
          </w14:textFill>
        </w:rPr>
      </w:pPr>
    </w:p>
    <w:p w14:paraId="13BB9EF2">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1122" w:name="_Toc17451616"/>
      <w:bookmarkStart w:id="1123" w:name="_Toc222031071"/>
      <w:bookmarkStart w:id="1124" w:name="_Toc9144"/>
      <w:bookmarkStart w:id="1125" w:name="_Toc17451139"/>
      <w:bookmarkStart w:id="1126" w:name="_Toc17454960"/>
      <w:bookmarkStart w:id="1127" w:name="_Toc29670"/>
      <w:bookmarkStart w:id="1128" w:name="_Toc17451661"/>
      <w:bookmarkStart w:id="1129" w:name="_Toc229305429"/>
      <w:bookmarkStart w:id="1130" w:name="_Toc221952153"/>
      <w:bookmarkStart w:id="1131" w:name="_Toc17556914"/>
      <w:bookmarkStart w:id="1132" w:name="_Toc222033920"/>
      <w:bookmarkStart w:id="1133" w:name="_Toc259524423"/>
      <w:bookmarkStart w:id="1134" w:name="_Toc17452702"/>
      <w:bookmarkStart w:id="1135" w:name="_Toc21459"/>
      <w:bookmarkStart w:id="1136" w:name="_Toc8693"/>
      <w:bookmarkStart w:id="1137" w:name="_Toc222029569"/>
      <w:bookmarkStart w:id="1138" w:name="_Toc222032738"/>
      <w:bookmarkStart w:id="1139" w:name="_Toc17454909"/>
      <w:bookmarkStart w:id="1140" w:name="_Toc221948389"/>
      <w:r>
        <w:rPr>
          <w:rFonts w:hint="eastAsia" w:ascii="黑体" w:hAnsi="黑体" w:eastAsia="黑体"/>
          <w:color w:val="000000" w:themeColor="text1"/>
          <w:sz w:val="28"/>
          <w:szCs w:val="27"/>
          <w:highlight w:val="none"/>
          <w:lang w:val="en-US" w:eastAsia="zh-CN"/>
          <w14:textFill>
            <w14:solidFill>
              <w14:schemeClr w14:val="tx1"/>
            </w14:solidFill>
          </w14:textFill>
        </w:rPr>
        <w:t>八</w:t>
      </w:r>
      <w:r>
        <w:rPr>
          <w:rFonts w:hint="eastAsia" w:ascii="黑体" w:hAnsi="黑体" w:eastAsia="黑体"/>
          <w:color w:val="000000" w:themeColor="text1"/>
          <w:sz w:val="28"/>
          <w:szCs w:val="27"/>
          <w:highlight w:val="none"/>
          <w14:textFill>
            <w14:solidFill>
              <w14:schemeClr w14:val="tx1"/>
            </w14:solidFill>
          </w14:textFill>
        </w:rPr>
        <w:t>、资格审查资料</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0935FF79">
      <w:pPr>
        <w:spacing w:line="400" w:lineRule="exact"/>
        <w:jc w:val="left"/>
        <w:outlineLvl w:val="3"/>
        <w:rPr>
          <w:rFonts w:ascii="宋体" w:hAnsi="宋体"/>
          <w:b/>
          <w:color w:val="000000" w:themeColor="text1"/>
          <w:sz w:val="24"/>
          <w:szCs w:val="31"/>
          <w:highlight w:val="none"/>
          <w14:textFill>
            <w14:solidFill>
              <w14:schemeClr w14:val="tx1"/>
            </w14:solidFill>
          </w14:textFill>
        </w:rPr>
      </w:pPr>
      <w:bookmarkStart w:id="1141" w:name="_Toc179715759"/>
      <w:bookmarkStart w:id="1142" w:name="_Toc221952154"/>
      <w:bookmarkStart w:id="1143" w:name="_Toc259524424"/>
      <w:bookmarkStart w:id="1144" w:name="_Toc152047266"/>
      <w:r>
        <w:rPr>
          <w:rFonts w:hint="eastAsia" w:ascii="宋体" w:hAnsi="宋体"/>
          <w:b/>
          <w:color w:val="000000" w:themeColor="text1"/>
          <w:sz w:val="24"/>
          <w:szCs w:val="31"/>
          <w:highlight w:val="none"/>
          <w14:textFill>
            <w14:solidFill>
              <w14:schemeClr w14:val="tx1"/>
            </w14:solidFill>
          </w14:textFill>
        </w:rPr>
        <w:t>（一）投标人基本情况表</w:t>
      </w:r>
      <w:bookmarkEnd w:id="1141"/>
      <w:bookmarkEnd w:id="1142"/>
      <w:bookmarkEnd w:id="1143"/>
      <w:bookmarkEnd w:id="1144"/>
    </w:p>
    <w:tbl>
      <w:tblPr>
        <w:tblStyle w:val="3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7"/>
        <w:gridCol w:w="894"/>
        <w:gridCol w:w="947"/>
        <w:gridCol w:w="836"/>
        <w:gridCol w:w="418"/>
        <w:gridCol w:w="138"/>
        <w:gridCol w:w="1245"/>
        <w:gridCol w:w="182"/>
        <w:gridCol w:w="1163"/>
        <w:gridCol w:w="988"/>
      </w:tblGrid>
      <w:tr w14:paraId="63F6E6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5402AF28">
            <w:pPr>
              <w:topLinePunct/>
              <w:spacing w:line="400" w:lineRule="exact"/>
              <w:jc w:val="center"/>
              <w:rPr>
                <w:rFonts w:ascii="宋体" w:hAnsi="宋体"/>
                <w:color w:val="000000" w:themeColor="text1"/>
                <w:szCs w:val="20"/>
                <w:highlight w:val="none"/>
                <w14:textFill>
                  <w14:solidFill>
                    <w14:schemeClr w14:val="tx1"/>
                  </w14:solidFill>
                </w14:textFill>
              </w:rPr>
            </w:pPr>
            <w:bookmarkStart w:id="1145" w:name="_Toc221952155"/>
            <w:r>
              <w:rPr>
                <w:rFonts w:hint="eastAsia" w:ascii="宋体" w:hAnsi="宋体"/>
                <w:color w:val="000000" w:themeColor="text1"/>
                <w:szCs w:val="20"/>
                <w:highlight w:val="none"/>
                <w14:textFill>
                  <w14:solidFill>
                    <w14:schemeClr w14:val="tx1"/>
                  </w14:solidFill>
                </w14:textFill>
              </w:rPr>
              <w:t>投标人</w:t>
            </w:r>
            <w:r>
              <w:rPr>
                <w:rFonts w:ascii="宋体" w:hAnsi="宋体"/>
                <w:color w:val="000000" w:themeColor="text1"/>
                <w:szCs w:val="20"/>
                <w:highlight w:val="none"/>
                <w14:textFill>
                  <w14:solidFill>
                    <w14:schemeClr w14:val="tx1"/>
                  </w14:solidFill>
                </w14:textFill>
              </w:rPr>
              <w:t>名称</w:t>
            </w:r>
            <w:bookmarkEnd w:id="1145"/>
          </w:p>
        </w:tc>
        <w:tc>
          <w:tcPr>
            <w:tcW w:w="6811" w:type="dxa"/>
            <w:gridSpan w:val="9"/>
            <w:tcBorders>
              <w:top w:val="single" w:color="auto" w:sz="4" w:space="0"/>
              <w:left w:val="single" w:color="auto" w:sz="4" w:space="0"/>
              <w:bottom w:val="single" w:color="auto" w:sz="4" w:space="0"/>
              <w:right w:val="single" w:color="auto" w:sz="4" w:space="0"/>
            </w:tcBorders>
            <w:noWrap w:val="0"/>
            <w:vAlign w:val="center"/>
          </w:tcPr>
          <w:p w14:paraId="54FA8AA3">
            <w:pPr>
              <w:topLinePunct/>
              <w:spacing w:line="400" w:lineRule="exact"/>
              <w:jc w:val="center"/>
              <w:rPr>
                <w:rFonts w:ascii="宋体" w:hAnsi="宋体"/>
                <w:color w:val="000000" w:themeColor="text1"/>
                <w:szCs w:val="20"/>
                <w:highlight w:val="none"/>
                <w14:textFill>
                  <w14:solidFill>
                    <w14:schemeClr w14:val="tx1"/>
                  </w14:solidFill>
                </w14:textFill>
              </w:rPr>
            </w:pPr>
          </w:p>
        </w:tc>
      </w:tr>
      <w:tr w14:paraId="18E13A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7E67BA87">
            <w:pPr>
              <w:topLinePunct/>
              <w:spacing w:line="400" w:lineRule="exact"/>
              <w:jc w:val="center"/>
              <w:rPr>
                <w:rFonts w:ascii="宋体" w:hAnsi="宋体"/>
                <w:color w:val="000000" w:themeColor="text1"/>
                <w:szCs w:val="20"/>
                <w:highlight w:val="none"/>
                <w14:textFill>
                  <w14:solidFill>
                    <w14:schemeClr w14:val="tx1"/>
                  </w14:solidFill>
                </w14:textFill>
              </w:rPr>
            </w:pPr>
            <w:bookmarkStart w:id="1146" w:name="_Toc221952156"/>
            <w:r>
              <w:rPr>
                <w:rFonts w:ascii="宋体" w:hAnsi="宋体"/>
                <w:color w:val="000000" w:themeColor="text1"/>
                <w:szCs w:val="20"/>
                <w:highlight w:val="none"/>
                <w14:textFill>
                  <w14:solidFill>
                    <w14:schemeClr w14:val="tx1"/>
                  </w14:solidFill>
                </w14:textFill>
              </w:rPr>
              <w:t>注册地址</w:t>
            </w:r>
            <w:bookmarkEnd w:id="1146"/>
          </w:p>
        </w:tc>
        <w:tc>
          <w:tcPr>
            <w:tcW w:w="3233" w:type="dxa"/>
            <w:gridSpan w:val="5"/>
            <w:tcBorders>
              <w:top w:val="single" w:color="auto" w:sz="4" w:space="0"/>
              <w:left w:val="single" w:color="auto" w:sz="4" w:space="0"/>
              <w:bottom w:val="single" w:color="auto" w:sz="4" w:space="0"/>
              <w:right w:val="single" w:color="auto" w:sz="4" w:space="0"/>
            </w:tcBorders>
            <w:noWrap w:val="0"/>
            <w:vAlign w:val="center"/>
          </w:tcPr>
          <w:p w14:paraId="65992BAE">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1242F2AD">
            <w:pPr>
              <w:topLinePunct/>
              <w:spacing w:line="400" w:lineRule="exact"/>
              <w:jc w:val="center"/>
              <w:rPr>
                <w:rFonts w:ascii="宋体" w:hAnsi="宋体"/>
                <w:color w:val="000000" w:themeColor="text1"/>
                <w:szCs w:val="20"/>
                <w:highlight w:val="none"/>
                <w14:textFill>
                  <w14:solidFill>
                    <w14:schemeClr w14:val="tx1"/>
                  </w14:solidFill>
                </w14:textFill>
              </w:rPr>
            </w:pPr>
            <w:bookmarkStart w:id="1147" w:name="_Toc221952157"/>
            <w:r>
              <w:rPr>
                <w:rFonts w:ascii="宋体" w:hAnsi="宋体"/>
                <w:color w:val="000000" w:themeColor="text1"/>
                <w:szCs w:val="20"/>
                <w:highlight w:val="none"/>
                <w14:textFill>
                  <w14:solidFill>
                    <w14:schemeClr w14:val="tx1"/>
                  </w14:solidFill>
                </w14:textFill>
              </w:rPr>
              <w:t>邮政编码</w:t>
            </w:r>
            <w:bookmarkEnd w:id="1147"/>
          </w:p>
        </w:tc>
        <w:tc>
          <w:tcPr>
            <w:tcW w:w="2333" w:type="dxa"/>
            <w:gridSpan w:val="3"/>
            <w:tcBorders>
              <w:top w:val="single" w:color="auto" w:sz="4" w:space="0"/>
              <w:left w:val="single" w:color="auto" w:sz="4" w:space="0"/>
              <w:bottom w:val="single" w:color="auto" w:sz="4" w:space="0"/>
              <w:right w:val="single" w:color="auto" w:sz="4" w:space="0"/>
            </w:tcBorders>
            <w:noWrap w:val="0"/>
            <w:vAlign w:val="center"/>
          </w:tcPr>
          <w:p w14:paraId="613FCB9C">
            <w:pPr>
              <w:topLinePunct/>
              <w:spacing w:line="400" w:lineRule="exact"/>
              <w:jc w:val="center"/>
              <w:rPr>
                <w:rFonts w:ascii="宋体" w:hAnsi="宋体"/>
                <w:color w:val="000000" w:themeColor="text1"/>
                <w:szCs w:val="20"/>
                <w:highlight w:val="none"/>
                <w14:textFill>
                  <w14:solidFill>
                    <w14:schemeClr w14:val="tx1"/>
                  </w14:solidFill>
                </w14:textFill>
              </w:rPr>
            </w:pPr>
          </w:p>
        </w:tc>
      </w:tr>
      <w:tr w14:paraId="2C730B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17" w:type="dxa"/>
            <w:vMerge w:val="restart"/>
            <w:tcBorders>
              <w:top w:val="single" w:color="auto" w:sz="4" w:space="0"/>
              <w:left w:val="single" w:color="auto" w:sz="4" w:space="0"/>
              <w:bottom w:val="single" w:color="auto" w:sz="4" w:space="0"/>
              <w:right w:val="single" w:color="auto" w:sz="4" w:space="0"/>
            </w:tcBorders>
            <w:noWrap w:val="0"/>
            <w:vAlign w:val="center"/>
          </w:tcPr>
          <w:p w14:paraId="6A5D7041">
            <w:pPr>
              <w:topLinePunct/>
              <w:spacing w:line="400" w:lineRule="exact"/>
              <w:jc w:val="center"/>
              <w:rPr>
                <w:rFonts w:ascii="宋体" w:hAnsi="宋体"/>
                <w:color w:val="000000" w:themeColor="text1"/>
                <w:szCs w:val="20"/>
                <w:highlight w:val="none"/>
                <w14:textFill>
                  <w14:solidFill>
                    <w14:schemeClr w14:val="tx1"/>
                  </w14:solidFill>
                </w14:textFill>
              </w:rPr>
            </w:pPr>
            <w:bookmarkStart w:id="1148" w:name="_Toc221952158"/>
            <w:r>
              <w:rPr>
                <w:rFonts w:ascii="宋体" w:hAnsi="宋体"/>
                <w:color w:val="000000" w:themeColor="text1"/>
                <w:szCs w:val="20"/>
                <w:highlight w:val="none"/>
                <w14:textFill>
                  <w14:solidFill>
                    <w14:schemeClr w14:val="tx1"/>
                  </w14:solidFill>
                </w14:textFill>
              </w:rPr>
              <w:t>联系方式</w:t>
            </w:r>
            <w:bookmarkEnd w:id="1148"/>
          </w:p>
        </w:tc>
        <w:tc>
          <w:tcPr>
            <w:tcW w:w="894" w:type="dxa"/>
            <w:tcBorders>
              <w:top w:val="single" w:color="auto" w:sz="4" w:space="0"/>
              <w:left w:val="single" w:color="auto" w:sz="4" w:space="0"/>
              <w:bottom w:val="single" w:color="auto" w:sz="4" w:space="0"/>
              <w:right w:val="single" w:color="auto" w:sz="4" w:space="0"/>
            </w:tcBorders>
            <w:noWrap w:val="0"/>
            <w:vAlign w:val="center"/>
          </w:tcPr>
          <w:p w14:paraId="7B78DC00">
            <w:pPr>
              <w:topLinePunct/>
              <w:spacing w:line="400" w:lineRule="exact"/>
              <w:jc w:val="center"/>
              <w:rPr>
                <w:rFonts w:ascii="宋体" w:hAnsi="宋体"/>
                <w:color w:val="000000" w:themeColor="text1"/>
                <w:szCs w:val="20"/>
                <w:highlight w:val="none"/>
                <w14:textFill>
                  <w14:solidFill>
                    <w14:schemeClr w14:val="tx1"/>
                  </w14:solidFill>
                </w14:textFill>
              </w:rPr>
            </w:pPr>
            <w:bookmarkStart w:id="1149" w:name="_Toc221952159"/>
            <w:r>
              <w:rPr>
                <w:rFonts w:ascii="宋体" w:hAnsi="宋体"/>
                <w:color w:val="000000" w:themeColor="text1"/>
                <w:szCs w:val="20"/>
                <w:highlight w:val="none"/>
                <w14:textFill>
                  <w14:solidFill>
                    <w14:schemeClr w14:val="tx1"/>
                  </w14:solidFill>
                </w14:textFill>
              </w:rPr>
              <w:t>联系人</w:t>
            </w:r>
            <w:bookmarkEnd w:id="1149"/>
          </w:p>
        </w:tc>
        <w:tc>
          <w:tcPr>
            <w:tcW w:w="2339" w:type="dxa"/>
            <w:gridSpan w:val="4"/>
            <w:tcBorders>
              <w:top w:val="single" w:color="auto" w:sz="4" w:space="0"/>
              <w:left w:val="single" w:color="auto" w:sz="4" w:space="0"/>
              <w:bottom w:val="single" w:color="auto" w:sz="4" w:space="0"/>
              <w:right w:val="single" w:color="auto" w:sz="4" w:space="0"/>
            </w:tcBorders>
            <w:noWrap w:val="0"/>
            <w:vAlign w:val="center"/>
          </w:tcPr>
          <w:p w14:paraId="766252E3">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58811EB0">
            <w:pPr>
              <w:topLinePunct/>
              <w:spacing w:line="400" w:lineRule="exact"/>
              <w:jc w:val="center"/>
              <w:rPr>
                <w:rFonts w:ascii="宋体" w:hAnsi="宋体"/>
                <w:color w:val="000000" w:themeColor="text1"/>
                <w:szCs w:val="20"/>
                <w:highlight w:val="none"/>
                <w14:textFill>
                  <w14:solidFill>
                    <w14:schemeClr w14:val="tx1"/>
                  </w14:solidFill>
                </w14:textFill>
              </w:rPr>
            </w:pPr>
            <w:bookmarkStart w:id="1150" w:name="_Toc221952160"/>
            <w:r>
              <w:rPr>
                <w:rFonts w:ascii="宋体" w:hAnsi="宋体"/>
                <w:color w:val="000000" w:themeColor="text1"/>
                <w:szCs w:val="20"/>
                <w:highlight w:val="none"/>
                <w14:textFill>
                  <w14:solidFill>
                    <w14:schemeClr w14:val="tx1"/>
                  </w14:solidFill>
                </w14:textFill>
              </w:rPr>
              <w:t>电 话</w:t>
            </w:r>
            <w:bookmarkEnd w:id="1150"/>
          </w:p>
        </w:tc>
        <w:tc>
          <w:tcPr>
            <w:tcW w:w="2333" w:type="dxa"/>
            <w:gridSpan w:val="3"/>
            <w:tcBorders>
              <w:top w:val="single" w:color="auto" w:sz="4" w:space="0"/>
              <w:left w:val="single" w:color="auto" w:sz="4" w:space="0"/>
              <w:bottom w:val="single" w:color="auto" w:sz="4" w:space="0"/>
              <w:right w:val="single" w:color="auto" w:sz="4" w:space="0"/>
            </w:tcBorders>
            <w:noWrap w:val="0"/>
            <w:vAlign w:val="center"/>
          </w:tcPr>
          <w:p w14:paraId="288B3DDA">
            <w:pPr>
              <w:topLinePunct/>
              <w:spacing w:line="400" w:lineRule="exact"/>
              <w:jc w:val="center"/>
              <w:rPr>
                <w:rFonts w:ascii="宋体" w:hAnsi="宋体"/>
                <w:color w:val="000000" w:themeColor="text1"/>
                <w:szCs w:val="20"/>
                <w:highlight w:val="none"/>
                <w14:textFill>
                  <w14:solidFill>
                    <w14:schemeClr w14:val="tx1"/>
                  </w14:solidFill>
                </w14:textFill>
              </w:rPr>
            </w:pPr>
          </w:p>
        </w:tc>
      </w:tr>
      <w:tr w14:paraId="3AFCB0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17" w:type="dxa"/>
            <w:vMerge w:val="continue"/>
            <w:tcBorders>
              <w:top w:val="single" w:color="auto" w:sz="4" w:space="0"/>
              <w:left w:val="single" w:color="auto" w:sz="4" w:space="0"/>
              <w:bottom w:val="single" w:color="auto" w:sz="4" w:space="0"/>
              <w:right w:val="single" w:color="auto" w:sz="4" w:space="0"/>
            </w:tcBorders>
            <w:noWrap w:val="0"/>
            <w:vAlign w:val="center"/>
          </w:tcPr>
          <w:p w14:paraId="392BEDB2">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894" w:type="dxa"/>
            <w:tcBorders>
              <w:top w:val="single" w:color="auto" w:sz="4" w:space="0"/>
              <w:left w:val="single" w:color="auto" w:sz="4" w:space="0"/>
              <w:bottom w:val="single" w:color="auto" w:sz="4" w:space="0"/>
              <w:right w:val="single" w:color="auto" w:sz="4" w:space="0"/>
            </w:tcBorders>
            <w:noWrap w:val="0"/>
            <w:vAlign w:val="center"/>
          </w:tcPr>
          <w:p w14:paraId="7E3022C3">
            <w:pPr>
              <w:topLinePunct/>
              <w:spacing w:line="400" w:lineRule="exact"/>
              <w:jc w:val="center"/>
              <w:rPr>
                <w:rFonts w:ascii="宋体" w:hAnsi="宋体"/>
                <w:color w:val="000000" w:themeColor="text1"/>
                <w:szCs w:val="20"/>
                <w:highlight w:val="none"/>
                <w14:textFill>
                  <w14:solidFill>
                    <w14:schemeClr w14:val="tx1"/>
                  </w14:solidFill>
                </w14:textFill>
              </w:rPr>
            </w:pPr>
            <w:bookmarkStart w:id="1151" w:name="_Toc221952161"/>
            <w:r>
              <w:rPr>
                <w:rFonts w:ascii="宋体" w:hAnsi="宋体"/>
                <w:color w:val="000000" w:themeColor="text1"/>
                <w:szCs w:val="20"/>
                <w:highlight w:val="none"/>
                <w14:textFill>
                  <w14:solidFill>
                    <w14:schemeClr w14:val="tx1"/>
                  </w14:solidFill>
                </w14:textFill>
              </w:rPr>
              <w:t>传  真</w:t>
            </w:r>
            <w:bookmarkEnd w:id="1151"/>
          </w:p>
        </w:tc>
        <w:tc>
          <w:tcPr>
            <w:tcW w:w="2339" w:type="dxa"/>
            <w:gridSpan w:val="4"/>
            <w:tcBorders>
              <w:top w:val="single" w:color="auto" w:sz="4" w:space="0"/>
              <w:left w:val="single" w:color="auto" w:sz="4" w:space="0"/>
              <w:bottom w:val="single" w:color="auto" w:sz="4" w:space="0"/>
              <w:right w:val="single" w:color="auto" w:sz="4" w:space="0"/>
            </w:tcBorders>
            <w:noWrap w:val="0"/>
            <w:vAlign w:val="center"/>
          </w:tcPr>
          <w:p w14:paraId="329E9E0C">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6A43CE73">
            <w:pPr>
              <w:topLinePunct/>
              <w:spacing w:line="400" w:lineRule="exact"/>
              <w:jc w:val="center"/>
              <w:rPr>
                <w:rFonts w:ascii="宋体" w:hAnsi="宋体"/>
                <w:color w:val="000000" w:themeColor="text1"/>
                <w:szCs w:val="20"/>
                <w:highlight w:val="none"/>
                <w14:textFill>
                  <w14:solidFill>
                    <w14:schemeClr w14:val="tx1"/>
                  </w14:solidFill>
                </w14:textFill>
              </w:rPr>
            </w:pPr>
            <w:bookmarkStart w:id="1152" w:name="_Toc221952162"/>
            <w:r>
              <w:rPr>
                <w:rFonts w:ascii="宋体" w:hAnsi="宋体"/>
                <w:color w:val="000000" w:themeColor="text1"/>
                <w:szCs w:val="20"/>
                <w:highlight w:val="none"/>
                <w14:textFill>
                  <w14:solidFill>
                    <w14:schemeClr w14:val="tx1"/>
                  </w14:solidFill>
                </w14:textFill>
              </w:rPr>
              <w:t>网 址</w:t>
            </w:r>
            <w:bookmarkEnd w:id="1152"/>
          </w:p>
        </w:tc>
        <w:tc>
          <w:tcPr>
            <w:tcW w:w="2333" w:type="dxa"/>
            <w:gridSpan w:val="3"/>
            <w:tcBorders>
              <w:top w:val="single" w:color="auto" w:sz="4" w:space="0"/>
              <w:left w:val="single" w:color="auto" w:sz="4" w:space="0"/>
              <w:bottom w:val="single" w:color="auto" w:sz="4" w:space="0"/>
              <w:right w:val="single" w:color="auto" w:sz="4" w:space="0"/>
            </w:tcBorders>
            <w:noWrap w:val="0"/>
            <w:vAlign w:val="center"/>
          </w:tcPr>
          <w:p w14:paraId="6433F5A8">
            <w:pPr>
              <w:topLinePunct/>
              <w:spacing w:line="400" w:lineRule="exact"/>
              <w:jc w:val="center"/>
              <w:rPr>
                <w:rFonts w:ascii="宋体" w:hAnsi="宋体"/>
                <w:color w:val="000000" w:themeColor="text1"/>
                <w:szCs w:val="20"/>
                <w:highlight w:val="none"/>
                <w14:textFill>
                  <w14:solidFill>
                    <w14:schemeClr w14:val="tx1"/>
                  </w14:solidFill>
                </w14:textFill>
              </w:rPr>
            </w:pPr>
          </w:p>
        </w:tc>
      </w:tr>
      <w:tr w14:paraId="527198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14ABBE5F">
            <w:pPr>
              <w:topLinePunct/>
              <w:spacing w:line="400" w:lineRule="exact"/>
              <w:jc w:val="center"/>
              <w:rPr>
                <w:rFonts w:ascii="宋体" w:hAnsi="宋体"/>
                <w:color w:val="000000" w:themeColor="text1"/>
                <w:szCs w:val="20"/>
                <w:highlight w:val="none"/>
                <w14:textFill>
                  <w14:solidFill>
                    <w14:schemeClr w14:val="tx1"/>
                  </w14:solidFill>
                </w14:textFill>
              </w:rPr>
            </w:pPr>
            <w:bookmarkStart w:id="1153" w:name="_Toc221952163"/>
            <w:r>
              <w:rPr>
                <w:rFonts w:ascii="宋体" w:hAnsi="宋体"/>
                <w:color w:val="000000" w:themeColor="text1"/>
                <w:szCs w:val="20"/>
                <w:highlight w:val="none"/>
                <w14:textFill>
                  <w14:solidFill>
                    <w14:schemeClr w14:val="tx1"/>
                  </w14:solidFill>
                </w14:textFill>
              </w:rPr>
              <w:t>组织结构</w:t>
            </w:r>
            <w:bookmarkEnd w:id="1153"/>
          </w:p>
        </w:tc>
        <w:tc>
          <w:tcPr>
            <w:tcW w:w="6811" w:type="dxa"/>
            <w:gridSpan w:val="9"/>
            <w:tcBorders>
              <w:top w:val="single" w:color="auto" w:sz="4" w:space="0"/>
              <w:left w:val="single" w:color="auto" w:sz="4" w:space="0"/>
              <w:bottom w:val="single" w:color="auto" w:sz="4" w:space="0"/>
              <w:right w:val="single" w:color="auto" w:sz="4" w:space="0"/>
            </w:tcBorders>
            <w:noWrap w:val="0"/>
            <w:vAlign w:val="center"/>
          </w:tcPr>
          <w:p w14:paraId="7D38A678">
            <w:pPr>
              <w:topLinePunct/>
              <w:spacing w:line="400" w:lineRule="exact"/>
              <w:jc w:val="center"/>
              <w:rPr>
                <w:rFonts w:ascii="宋体" w:hAnsi="宋体"/>
                <w:color w:val="000000" w:themeColor="text1"/>
                <w:szCs w:val="20"/>
                <w:highlight w:val="none"/>
                <w14:textFill>
                  <w14:solidFill>
                    <w14:schemeClr w14:val="tx1"/>
                  </w14:solidFill>
                </w14:textFill>
              </w:rPr>
            </w:pPr>
          </w:p>
        </w:tc>
      </w:tr>
      <w:tr w14:paraId="44AFE7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04CFB024">
            <w:pPr>
              <w:topLinePunct/>
              <w:spacing w:line="400" w:lineRule="exact"/>
              <w:jc w:val="center"/>
              <w:rPr>
                <w:rFonts w:ascii="宋体" w:hAnsi="宋体"/>
                <w:color w:val="000000" w:themeColor="text1"/>
                <w:szCs w:val="20"/>
                <w:highlight w:val="none"/>
                <w14:textFill>
                  <w14:solidFill>
                    <w14:schemeClr w14:val="tx1"/>
                  </w14:solidFill>
                </w14:textFill>
              </w:rPr>
            </w:pPr>
            <w:bookmarkStart w:id="1154" w:name="_Toc221952164"/>
            <w:r>
              <w:rPr>
                <w:rFonts w:ascii="宋体" w:hAnsi="宋体"/>
                <w:color w:val="000000" w:themeColor="text1"/>
                <w:szCs w:val="20"/>
                <w:highlight w:val="none"/>
                <w14:textFill>
                  <w14:solidFill>
                    <w14:schemeClr w14:val="tx1"/>
                  </w14:solidFill>
                </w14:textFill>
              </w:rPr>
              <w:t>法定代表人</w:t>
            </w:r>
            <w:bookmarkEnd w:id="1154"/>
          </w:p>
        </w:tc>
        <w:tc>
          <w:tcPr>
            <w:tcW w:w="894" w:type="dxa"/>
            <w:tcBorders>
              <w:top w:val="single" w:color="auto" w:sz="4" w:space="0"/>
              <w:left w:val="single" w:color="auto" w:sz="4" w:space="0"/>
              <w:bottom w:val="single" w:color="auto" w:sz="4" w:space="0"/>
              <w:right w:val="single" w:color="auto" w:sz="4" w:space="0"/>
            </w:tcBorders>
            <w:noWrap w:val="0"/>
            <w:vAlign w:val="center"/>
          </w:tcPr>
          <w:p w14:paraId="6ECE43F3">
            <w:pPr>
              <w:topLinePunct/>
              <w:spacing w:line="400" w:lineRule="exact"/>
              <w:jc w:val="center"/>
              <w:rPr>
                <w:rFonts w:ascii="宋体" w:hAnsi="宋体"/>
                <w:color w:val="000000" w:themeColor="text1"/>
                <w:szCs w:val="20"/>
                <w:highlight w:val="none"/>
                <w14:textFill>
                  <w14:solidFill>
                    <w14:schemeClr w14:val="tx1"/>
                  </w14:solidFill>
                </w14:textFill>
              </w:rPr>
            </w:pPr>
            <w:bookmarkStart w:id="1155" w:name="_Toc221952165"/>
            <w:r>
              <w:rPr>
                <w:rFonts w:ascii="宋体" w:hAnsi="宋体"/>
                <w:color w:val="000000" w:themeColor="text1"/>
                <w:szCs w:val="20"/>
                <w:highlight w:val="none"/>
                <w14:textFill>
                  <w14:solidFill>
                    <w14:schemeClr w14:val="tx1"/>
                  </w14:solidFill>
                </w14:textFill>
              </w:rPr>
              <w:t>姓名</w:t>
            </w:r>
            <w:bookmarkEnd w:id="1155"/>
          </w:p>
        </w:tc>
        <w:tc>
          <w:tcPr>
            <w:tcW w:w="947" w:type="dxa"/>
            <w:tcBorders>
              <w:top w:val="single" w:color="auto" w:sz="4" w:space="0"/>
              <w:left w:val="single" w:color="auto" w:sz="4" w:space="0"/>
              <w:bottom w:val="single" w:color="auto" w:sz="4" w:space="0"/>
              <w:right w:val="single" w:color="auto" w:sz="4" w:space="0"/>
            </w:tcBorders>
            <w:noWrap w:val="0"/>
            <w:vAlign w:val="center"/>
          </w:tcPr>
          <w:p w14:paraId="6C601048">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14:paraId="56E39F43">
            <w:pPr>
              <w:topLinePunct/>
              <w:spacing w:line="400" w:lineRule="exact"/>
              <w:jc w:val="center"/>
              <w:rPr>
                <w:rFonts w:ascii="宋体" w:hAnsi="宋体"/>
                <w:color w:val="000000" w:themeColor="text1"/>
                <w:szCs w:val="20"/>
                <w:highlight w:val="none"/>
                <w14:textFill>
                  <w14:solidFill>
                    <w14:schemeClr w14:val="tx1"/>
                  </w14:solidFill>
                </w14:textFill>
              </w:rPr>
            </w:pPr>
            <w:bookmarkStart w:id="1156" w:name="_Toc221952166"/>
            <w:r>
              <w:rPr>
                <w:rFonts w:ascii="宋体" w:hAnsi="宋体"/>
                <w:color w:val="000000" w:themeColor="text1"/>
                <w:szCs w:val="20"/>
                <w:highlight w:val="none"/>
                <w14:textFill>
                  <w14:solidFill>
                    <w14:schemeClr w14:val="tx1"/>
                  </w14:solidFill>
                </w14:textFill>
              </w:rPr>
              <w:t>技术职称</w:t>
            </w:r>
            <w:bookmarkEnd w:id="1156"/>
          </w:p>
        </w:tc>
        <w:tc>
          <w:tcPr>
            <w:tcW w:w="1565" w:type="dxa"/>
            <w:gridSpan w:val="3"/>
            <w:tcBorders>
              <w:top w:val="single" w:color="auto" w:sz="4" w:space="0"/>
              <w:left w:val="single" w:color="auto" w:sz="4" w:space="0"/>
              <w:bottom w:val="single" w:color="auto" w:sz="4" w:space="0"/>
              <w:right w:val="single" w:color="auto" w:sz="4" w:space="0"/>
            </w:tcBorders>
            <w:noWrap w:val="0"/>
            <w:vAlign w:val="center"/>
          </w:tcPr>
          <w:p w14:paraId="74AE6BB4">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14:paraId="271A0A31">
            <w:pPr>
              <w:topLinePunct/>
              <w:spacing w:line="400" w:lineRule="exact"/>
              <w:jc w:val="center"/>
              <w:rPr>
                <w:rFonts w:ascii="宋体" w:hAnsi="宋体"/>
                <w:color w:val="000000" w:themeColor="text1"/>
                <w:szCs w:val="20"/>
                <w:highlight w:val="none"/>
                <w14:textFill>
                  <w14:solidFill>
                    <w14:schemeClr w14:val="tx1"/>
                  </w14:solidFill>
                </w14:textFill>
              </w:rPr>
            </w:pPr>
            <w:bookmarkStart w:id="1157" w:name="_Toc221952167"/>
            <w:r>
              <w:rPr>
                <w:rFonts w:ascii="宋体" w:hAnsi="宋体"/>
                <w:color w:val="000000" w:themeColor="text1"/>
                <w:szCs w:val="20"/>
                <w:highlight w:val="none"/>
                <w14:textFill>
                  <w14:solidFill>
                    <w14:schemeClr w14:val="tx1"/>
                  </w14:solidFill>
                </w14:textFill>
              </w:rPr>
              <w:t>电话</w:t>
            </w:r>
            <w:bookmarkEnd w:id="1157"/>
          </w:p>
        </w:tc>
        <w:tc>
          <w:tcPr>
            <w:tcW w:w="988" w:type="dxa"/>
            <w:tcBorders>
              <w:top w:val="single" w:color="auto" w:sz="4" w:space="0"/>
              <w:left w:val="single" w:color="auto" w:sz="4" w:space="0"/>
              <w:bottom w:val="single" w:color="auto" w:sz="4" w:space="0"/>
              <w:right w:val="single" w:color="auto" w:sz="4" w:space="0"/>
            </w:tcBorders>
            <w:noWrap w:val="0"/>
            <w:vAlign w:val="center"/>
          </w:tcPr>
          <w:p w14:paraId="3070EF28">
            <w:pPr>
              <w:topLinePunct/>
              <w:spacing w:line="400" w:lineRule="exact"/>
              <w:jc w:val="center"/>
              <w:rPr>
                <w:rFonts w:ascii="宋体" w:hAnsi="宋体"/>
                <w:color w:val="000000" w:themeColor="text1"/>
                <w:szCs w:val="20"/>
                <w:highlight w:val="none"/>
                <w14:textFill>
                  <w14:solidFill>
                    <w14:schemeClr w14:val="tx1"/>
                  </w14:solidFill>
                </w14:textFill>
              </w:rPr>
            </w:pPr>
          </w:p>
        </w:tc>
      </w:tr>
      <w:tr w14:paraId="4EA0FC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0FF1F1FD">
            <w:pPr>
              <w:topLinePunct/>
              <w:spacing w:line="400" w:lineRule="exact"/>
              <w:jc w:val="center"/>
              <w:rPr>
                <w:rFonts w:ascii="宋体" w:hAnsi="宋体"/>
                <w:color w:val="000000" w:themeColor="text1"/>
                <w:szCs w:val="20"/>
                <w:highlight w:val="none"/>
                <w14:textFill>
                  <w14:solidFill>
                    <w14:schemeClr w14:val="tx1"/>
                  </w14:solidFill>
                </w14:textFill>
              </w:rPr>
            </w:pPr>
            <w:bookmarkStart w:id="1158" w:name="_Toc221952168"/>
            <w:r>
              <w:rPr>
                <w:rFonts w:ascii="宋体" w:hAnsi="宋体"/>
                <w:color w:val="000000" w:themeColor="text1"/>
                <w:szCs w:val="20"/>
                <w:highlight w:val="none"/>
                <w14:textFill>
                  <w14:solidFill>
                    <w14:schemeClr w14:val="tx1"/>
                  </w14:solidFill>
                </w14:textFill>
              </w:rPr>
              <w:t>技术负责人</w:t>
            </w:r>
            <w:bookmarkEnd w:id="1158"/>
          </w:p>
        </w:tc>
        <w:tc>
          <w:tcPr>
            <w:tcW w:w="894" w:type="dxa"/>
            <w:tcBorders>
              <w:top w:val="single" w:color="auto" w:sz="4" w:space="0"/>
              <w:left w:val="single" w:color="auto" w:sz="4" w:space="0"/>
              <w:bottom w:val="single" w:color="auto" w:sz="4" w:space="0"/>
              <w:right w:val="single" w:color="auto" w:sz="4" w:space="0"/>
            </w:tcBorders>
            <w:noWrap w:val="0"/>
            <w:vAlign w:val="center"/>
          </w:tcPr>
          <w:p w14:paraId="6B93C8A8">
            <w:pPr>
              <w:topLinePunct/>
              <w:spacing w:line="400" w:lineRule="exact"/>
              <w:jc w:val="center"/>
              <w:rPr>
                <w:rFonts w:ascii="宋体" w:hAnsi="宋体"/>
                <w:color w:val="000000" w:themeColor="text1"/>
                <w:szCs w:val="20"/>
                <w:highlight w:val="none"/>
                <w14:textFill>
                  <w14:solidFill>
                    <w14:schemeClr w14:val="tx1"/>
                  </w14:solidFill>
                </w14:textFill>
              </w:rPr>
            </w:pPr>
            <w:bookmarkStart w:id="1159" w:name="_Toc221952169"/>
            <w:r>
              <w:rPr>
                <w:rFonts w:ascii="宋体" w:hAnsi="宋体"/>
                <w:color w:val="000000" w:themeColor="text1"/>
                <w:szCs w:val="20"/>
                <w:highlight w:val="none"/>
                <w14:textFill>
                  <w14:solidFill>
                    <w14:schemeClr w14:val="tx1"/>
                  </w14:solidFill>
                </w14:textFill>
              </w:rPr>
              <w:t>姓名</w:t>
            </w:r>
            <w:bookmarkEnd w:id="1159"/>
          </w:p>
        </w:tc>
        <w:tc>
          <w:tcPr>
            <w:tcW w:w="947" w:type="dxa"/>
            <w:tcBorders>
              <w:top w:val="single" w:color="auto" w:sz="4" w:space="0"/>
              <w:left w:val="single" w:color="auto" w:sz="4" w:space="0"/>
              <w:bottom w:val="single" w:color="auto" w:sz="4" w:space="0"/>
              <w:right w:val="single" w:color="auto" w:sz="4" w:space="0"/>
            </w:tcBorders>
            <w:noWrap w:val="0"/>
            <w:vAlign w:val="center"/>
          </w:tcPr>
          <w:p w14:paraId="715A42BD">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14:paraId="4F6F33E3">
            <w:pPr>
              <w:topLinePunct/>
              <w:spacing w:line="400" w:lineRule="exact"/>
              <w:jc w:val="center"/>
              <w:rPr>
                <w:rFonts w:ascii="宋体" w:hAnsi="宋体"/>
                <w:color w:val="000000" w:themeColor="text1"/>
                <w:szCs w:val="20"/>
                <w:highlight w:val="none"/>
                <w14:textFill>
                  <w14:solidFill>
                    <w14:schemeClr w14:val="tx1"/>
                  </w14:solidFill>
                </w14:textFill>
              </w:rPr>
            </w:pPr>
            <w:bookmarkStart w:id="1160" w:name="_Toc221952170"/>
            <w:r>
              <w:rPr>
                <w:rFonts w:ascii="宋体" w:hAnsi="宋体"/>
                <w:color w:val="000000" w:themeColor="text1"/>
                <w:szCs w:val="20"/>
                <w:highlight w:val="none"/>
                <w14:textFill>
                  <w14:solidFill>
                    <w14:schemeClr w14:val="tx1"/>
                  </w14:solidFill>
                </w14:textFill>
              </w:rPr>
              <w:t>技术职称</w:t>
            </w:r>
            <w:bookmarkEnd w:id="1160"/>
          </w:p>
        </w:tc>
        <w:tc>
          <w:tcPr>
            <w:tcW w:w="1565" w:type="dxa"/>
            <w:gridSpan w:val="3"/>
            <w:tcBorders>
              <w:top w:val="single" w:color="auto" w:sz="4" w:space="0"/>
              <w:left w:val="single" w:color="auto" w:sz="4" w:space="0"/>
              <w:bottom w:val="single" w:color="auto" w:sz="4" w:space="0"/>
              <w:right w:val="single" w:color="auto" w:sz="4" w:space="0"/>
            </w:tcBorders>
            <w:noWrap w:val="0"/>
            <w:vAlign w:val="center"/>
          </w:tcPr>
          <w:p w14:paraId="73418053">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14:paraId="55F04560">
            <w:pPr>
              <w:topLinePunct/>
              <w:spacing w:line="400" w:lineRule="exact"/>
              <w:jc w:val="center"/>
              <w:rPr>
                <w:rFonts w:ascii="宋体" w:hAnsi="宋体"/>
                <w:color w:val="000000" w:themeColor="text1"/>
                <w:szCs w:val="20"/>
                <w:highlight w:val="none"/>
                <w14:textFill>
                  <w14:solidFill>
                    <w14:schemeClr w14:val="tx1"/>
                  </w14:solidFill>
                </w14:textFill>
              </w:rPr>
            </w:pPr>
            <w:bookmarkStart w:id="1161" w:name="_Toc221952171"/>
            <w:r>
              <w:rPr>
                <w:rFonts w:ascii="宋体" w:hAnsi="宋体"/>
                <w:color w:val="000000" w:themeColor="text1"/>
                <w:szCs w:val="20"/>
                <w:highlight w:val="none"/>
                <w14:textFill>
                  <w14:solidFill>
                    <w14:schemeClr w14:val="tx1"/>
                  </w14:solidFill>
                </w14:textFill>
              </w:rPr>
              <w:t>电话</w:t>
            </w:r>
            <w:bookmarkEnd w:id="1161"/>
          </w:p>
        </w:tc>
        <w:tc>
          <w:tcPr>
            <w:tcW w:w="988" w:type="dxa"/>
            <w:tcBorders>
              <w:top w:val="single" w:color="auto" w:sz="4" w:space="0"/>
              <w:left w:val="single" w:color="auto" w:sz="4" w:space="0"/>
              <w:bottom w:val="single" w:color="auto" w:sz="4" w:space="0"/>
              <w:right w:val="single" w:color="auto" w:sz="4" w:space="0"/>
            </w:tcBorders>
            <w:noWrap w:val="0"/>
            <w:vAlign w:val="center"/>
          </w:tcPr>
          <w:p w14:paraId="7BD4C7B3">
            <w:pPr>
              <w:topLinePunct/>
              <w:spacing w:line="400" w:lineRule="exact"/>
              <w:jc w:val="center"/>
              <w:rPr>
                <w:rFonts w:ascii="宋体" w:hAnsi="宋体"/>
                <w:color w:val="000000" w:themeColor="text1"/>
                <w:szCs w:val="20"/>
                <w:highlight w:val="none"/>
                <w14:textFill>
                  <w14:solidFill>
                    <w14:schemeClr w14:val="tx1"/>
                  </w14:solidFill>
                </w14:textFill>
              </w:rPr>
            </w:pPr>
          </w:p>
        </w:tc>
      </w:tr>
      <w:tr w14:paraId="68AD00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350724ED">
            <w:pPr>
              <w:topLinePunct/>
              <w:spacing w:line="400" w:lineRule="exact"/>
              <w:jc w:val="center"/>
              <w:rPr>
                <w:rFonts w:ascii="宋体" w:hAnsi="宋体"/>
                <w:color w:val="000000" w:themeColor="text1"/>
                <w:szCs w:val="20"/>
                <w:highlight w:val="none"/>
                <w14:textFill>
                  <w14:solidFill>
                    <w14:schemeClr w14:val="tx1"/>
                  </w14:solidFill>
                </w14:textFill>
              </w:rPr>
            </w:pPr>
            <w:bookmarkStart w:id="1162" w:name="_Toc221952172"/>
            <w:r>
              <w:rPr>
                <w:rFonts w:ascii="宋体" w:hAnsi="宋体"/>
                <w:color w:val="000000" w:themeColor="text1"/>
                <w:szCs w:val="20"/>
                <w:highlight w:val="none"/>
                <w14:textFill>
                  <w14:solidFill>
                    <w14:schemeClr w14:val="tx1"/>
                  </w14:solidFill>
                </w14:textFill>
              </w:rPr>
              <w:t>成立时间</w:t>
            </w:r>
            <w:bookmarkEnd w:id="1162"/>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1211BD80">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2819" w:type="dxa"/>
            <w:gridSpan w:val="5"/>
            <w:tcBorders>
              <w:top w:val="single" w:color="auto" w:sz="4" w:space="0"/>
              <w:left w:val="single" w:color="auto" w:sz="4" w:space="0"/>
              <w:bottom w:val="single" w:color="auto" w:sz="4" w:space="0"/>
              <w:right w:val="single" w:color="auto" w:sz="4" w:space="0"/>
            </w:tcBorders>
            <w:noWrap w:val="0"/>
            <w:vAlign w:val="center"/>
          </w:tcPr>
          <w:p w14:paraId="71334E24">
            <w:pPr>
              <w:topLinePunct/>
              <w:spacing w:line="400" w:lineRule="exact"/>
              <w:jc w:val="center"/>
              <w:rPr>
                <w:rFonts w:ascii="宋体" w:hAnsi="宋体"/>
                <w:color w:val="000000" w:themeColor="text1"/>
                <w:szCs w:val="20"/>
                <w:highlight w:val="none"/>
                <w14:textFill>
                  <w14:solidFill>
                    <w14:schemeClr w14:val="tx1"/>
                  </w14:solidFill>
                </w14:textFill>
              </w:rPr>
            </w:pPr>
            <w:bookmarkStart w:id="1163" w:name="_Toc221952173"/>
            <w:r>
              <w:rPr>
                <w:rFonts w:ascii="宋体" w:hAnsi="宋体"/>
                <w:color w:val="000000" w:themeColor="text1"/>
                <w:szCs w:val="20"/>
                <w:highlight w:val="none"/>
                <w14:textFill>
                  <w14:solidFill>
                    <w14:schemeClr w14:val="tx1"/>
                  </w14:solidFill>
                </w14:textFill>
              </w:rPr>
              <w:t>员工总人数：</w:t>
            </w:r>
            <w:bookmarkEnd w:id="1163"/>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6C9F03AC">
            <w:pPr>
              <w:topLinePunct/>
              <w:spacing w:line="400" w:lineRule="exact"/>
              <w:ind w:firstLine="1050" w:firstLineChars="500"/>
              <w:rPr>
                <w:rFonts w:ascii="宋体" w:hAnsi="宋体"/>
                <w:color w:val="000000" w:themeColor="text1"/>
                <w:szCs w:val="20"/>
                <w:highlight w:val="none"/>
                <w14:textFill>
                  <w14:solidFill>
                    <w14:schemeClr w14:val="tx1"/>
                  </w14:solidFill>
                </w14:textFill>
              </w:rPr>
            </w:pPr>
          </w:p>
        </w:tc>
      </w:tr>
      <w:tr w14:paraId="1C4589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071F2450">
            <w:pPr>
              <w:topLinePunct/>
              <w:spacing w:line="400" w:lineRule="exact"/>
              <w:jc w:val="center"/>
              <w:rPr>
                <w:rFonts w:ascii="宋体" w:hAnsi="宋体"/>
                <w:color w:val="000000" w:themeColor="text1"/>
                <w:szCs w:val="20"/>
                <w:highlight w:val="none"/>
                <w14:textFill>
                  <w14:solidFill>
                    <w14:schemeClr w14:val="tx1"/>
                  </w14:solidFill>
                </w14:textFill>
              </w:rPr>
            </w:pPr>
            <w:bookmarkStart w:id="1164" w:name="_Toc221952174"/>
            <w:r>
              <w:rPr>
                <w:rFonts w:ascii="宋体" w:hAnsi="宋体"/>
                <w:color w:val="000000" w:themeColor="text1"/>
                <w:szCs w:val="20"/>
                <w:highlight w:val="none"/>
                <w14:textFill>
                  <w14:solidFill>
                    <w14:schemeClr w14:val="tx1"/>
                  </w14:solidFill>
                </w14:textFill>
              </w:rPr>
              <w:t>企业资质等级</w:t>
            </w:r>
            <w:bookmarkEnd w:id="1164"/>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436079A4">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14:paraId="3DA219A1">
            <w:pPr>
              <w:topLinePunct/>
              <w:spacing w:line="400" w:lineRule="exact"/>
              <w:jc w:val="center"/>
              <w:rPr>
                <w:rFonts w:ascii="宋体" w:hAnsi="宋体"/>
                <w:color w:val="000000" w:themeColor="text1"/>
                <w:szCs w:val="20"/>
                <w:highlight w:val="none"/>
                <w14:textFill>
                  <w14:solidFill>
                    <w14:schemeClr w14:val="tx1"/>
                  </w14:solidFill>
                </w14:textFill>
              </w:rPr>
            </w:pPr>
            <w:bookmarkStart w:id="1165" w:name="_Toc221952175"/>
            <w:r>
              <w:rPr>
                <w:rFonts w:ascii="宋体" w:hAnsi="宋体"/>
                <w:color w:val="000000" w:themeColor="text1"/>
                <w:szCs w:val="20"/>
                <w:highlight w:val="none"/>
                <w14:textFill>
                  <w14:solidFill>
                    <w14:schemeClr w14:val="tx1"/>
                  </w14:solidFill>
                </w14:textFill>
              </w:rPr>
              <w:t>其中</w:t>
            </w:r>
            <w:bookmarkEnd w:id="1165"/>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14:paraId="67A6ADC9">
            <w:pPr>
              <w:topLinePunct/>
              <w:spacing w:line="400" w:lineRule="exact"/>
              <w:jc w:val="center"/>
              <w:rPr>
                <w:rFonts w:ascii="宋体" w:hAnsi="宋体"/>
                <w:color w:val="000000" w:themeColor="text1"/>
                <w:szCs w:val="20"/>
                <w:highlight w:val="none"/>
                <w14:textFill>
                  <w14:solidFill>
                    <w14:schemeClr w14:val="tx1"/>
                  </w14:solidFill>
                </w14:textFill>
              </w:rPr>
            </w:pPr>
            <w:r>
              <w:rPr>
                <w:rFonts w:ascii="宋体" w:hAnsi="宋体"/>
                <w:color w:val="000000" w:themeColor="text1"/>
                <w:szCs w:val="20"/>
                <w:highlight w:val="none"/>
                <w14:textFill>
                  <w14:solidFill>
                    <w14:schemeClr w14:val="tx1"/>
                  </w14:solidFill>
                </w14:textFill>
              </w:rPr>
              <w:t>项目负责人</w:t>
            </w:r>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4ECB0537">
            <w:pPr>
              <w:topLinePunct/>
              <w:spacing w:line="400" w:lineRule="exact"/>
              <w:jc w:val="center"/>
              <w:rPr>
                <w:rFonts w:ascii="宋体" w:hAnsi="宋体"/>
                <w:color w:val="000000" w:themeColor="text1"/>
                <w:szCs w:val="20"/>
                <w:highlight w:val="none"/>
                <w14:textFill>
                  <w14:solidFill>
                    <w14:schemeClr w14:val="tx1"/>
                  </w14:solidFill>
                </w14:textFill>
              </w:rPr>
            </w:pPr>
          </w:p>
        </w:tc>
      </w:tr>
      <w:tr w14:paraId="5608AD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75405E07">
            <w:pPr>
              <w:topLinePunct/>
              <w:spacing w:line="400" w:lineRule="exact"/>
              <w:jc w:val="center"/>
              <w:rPr>
                <w:rFonts w:ascii="宋体" w:hAnsi="宋体"/>
                <w:color w:val="000000" w:themeColor="text1"/>
                <w:szCs w:val="20"/>
                <w:highlight w:val="none"/>
                <w14:textFill>
                  <w14:solidFill>
                    <w14:schemeClr w14:val="tx1"/>
                  </w14:solidFill>
                </w14:textFill>
              </w:rPr>
            </w:pPr>
            <w:bookmarkStart w:id="1166" w:name="_Toc221952177"/>
            <w:r>
              <w:rPr>
                <w:rFonts w:ascii="宋体" w:hAnsi="宋体"/>
                <w:color w:val="000000" w:themeColor="text1"/>
                <w:szCs w:val="20"/>
                <w:highlight w:val="none"/>
                <w14:textFill>
                  <w14:solidFill>
                    <w14:schemeClr w14:val="tx1"/>
                  </w14:solidFill>
                </w14:textFill>
              </w:rPr>
              <w:t>营业执照号</w:t>
            </w:r>
            <w:bookmarkEnd w:id="1166"/>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697DD3AC">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14:paraId="5DAD79F4">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14:paraId="0503DD16">
            <w:pPr>
              <w:topLinePunct/>
              <w:spacing w:line="400" w:lineRule="exact"/>
              <w:jc w:val="center"/>
              <w:rPr>
                <w:rFonts w:ascii="宋体" w:hAnsi="宋体"/>
                <w:color w:val="000000" w:themeColor="text1"/>
                <w:szCs w:val="20"/>
                <w:highlight w:val="none"/>
                <w14:textFill>
                  <w14:solidFill>
                    <w14:schemeClr w14:val="tx1"/>
                  </w14:solidFill>
                </w14:textFill>
              </w:rPr>
            </w:pPr>
            <w:bookmarkStart w:id="1167" w:name="_Toc221952178"/>
            <w:r>
              <w:rPr>
                <w:rFonts w:ascii="宋体" w:hAnsi="宋体"/>
                <w:color w:val="000000" w:themeColor="text1"/>
                <w:szCs w:val="20"/>
                <w:highlight w:val="none"/>
                <w14:textFill>
                  <w14:solidFill>
                    <w14:schemeClr w14:val="tx1"/>
                  </w14:solidFill>
                </w14:textFill>
              </w:rPr>
              <w:t>高级职称人员</w:t>
            </w:r>
            <w:bookmarkEnd w:id="1167"/>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6CEF4D51">
            <w:pPr>
              <w:topLinePunct/>
              <w:spacing w:line="400" w:lineRule="exact"/>
              <w:jc w:val="center"/>
              <w:rPr>
                <w:rFonts w:ascii="宋体" w:hAnsi="宋体"/>
                <w:color w:val="000000" w:themeColor="text1"/>
                <w:szCs w:val="20"/>
                <w:highlight w:val="none"/>
                <w14:textFill>
                  <w14:solidFill>
                    <w14:schemeClr w14:val="tx1"/>
                  </w14:solidFill>
                </w14:textFill>
              </w:rPr>
            </w:pPr>
          </w:p>
        </w:tc>
      </w:tr>
      <w:tr w14:paraId="2034E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2FFE41A1">
            <w:pPr>
              <w:topLinePunct/>
              <w:spacing w:line="400" w:lineRule="exact"/>
              <w:jc w:val="center"/>
              <w:rPr>
                <w:rFonts w:ascii="宋体" w:hAnsi="宋体"/>
                <w:color w:val="000000" w:themeColor="text1"/>
                <w:szCs w:val="20"/>
                <w:highlight w:val="none"/>
                <w14:textFill>
                  <w14:solidFill>
                    <w14:schemeClr w14:val="tx1"/>
                  </w14:solidFill>
                </w14:textFill>
              </w:rPr>
            </w:pPr>
            <w:bookmarkStart w:id="1168" w:name="_Toc221952179"/>
            <w:r>
              <w:rPr>
                <w:rFonts w:ascii="宋体" w:hAnsi="宋体"/>
                <w:color w:val="000000" w:themeColor="text1"/>
                <w:szCs w:val="20"/>
                <w:highlight w:val="none"/>
                <w14:textFill>
                  <w14:solidFill>
                    <w14:schemeClr w14:val="tx1"/>
                  </w14:solidFill>
                </w14:textFill>
              </w:rPr>
              <w:t>注册资金</w:t>
            </w:r>
            <w:bookmarkEnd w:id="1168"/>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27A4D919">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14:paraId="7061E83F">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14:paraId="37F86C0F">
            <w:pPr>
              <w:topLinePunct/>
              <w:spacing w:line="400" w:lineRule="exact"/>
              <w:jc w:val="center"/>
              <w:rPr>
                <w:rFonts w:ascii="宋体" w:hAnsi="宋体"/>
                <w:color w:val="000000" w:themeColor="text1"/>
                <w:szCs w:val="20"/>
                <w:highlight w:val="none"/>
                <w14:textFill>
                  <w14:solidFill>
                    <w14:schemeClr w14:val="tx1"/>
                  </w14:solidFill>
                </w14:textFill>
              </w:rPr>
            </w:pPr>
            <w:bookmarkStart w:id="1169" w:name="_Toc221952180"/>
            <w:r>
              <w:rPr>
                <w:rFonts w:ascii="宋体" w:hAnsi="宋体"/>
                <w:color w:val="000000" w:themeColor="text1"/>
                <w:szCs w:val="20"/>
                <w:highlight w:val="none"/>
                <w14:textFill>
                  <w14:solidFill>
                    <w14:schemeClr w14:val="tx1"/>
                  </w14:solidFill>
                </w14:textFill>
              </w:rPr>
              <w:t>中级职称人员</w:t>
            </w:r>
            <w:bookmarkEnd w:id="1169"/>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22F2C32A">
            <w:pPr>
              <w:topLinePunct/>
              <w:spacing w:line="400" w:lineRule="exact"/>
              <w:jc w:val="center"/>
              <w:rPr>
                <w:rFonts w:ascii="宋体" w:hAnsi="宋体"/>
                <w:color w:val="000000" w:themeColor="text1"/>
                <w:szCs w:val="20"/>
                <w:highlight w:val="none"/>
                <w14:textFill>
                  <w14:solidFill>
                    <w14:schemeClr w14:val="tx1"/>
                  </w14:solidFill>
                </w14:textFill>
              </w:rPr>
            </w:pPr>
          </w:p>
        </w:tc>
      </w:tr>
      <w:tr w14:paraId="46BC38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670DF329">
            <w:pPr>
              <w:topLinePunct/>
              <w:spacing w:line="400" w:lineRule="exact"/>
              <w:jc w:val="center"/>
              <w:rPr>
                <w:rFonts w:ascii="宋体" w:hAnsi="宋体"/>
                <w:color w:val="000000" w:themeColor="text1"/>
                <w:szCs w:val="20"/>
                <w:highlight w:val="none"/>
                <w14:textFill>
                  <w14:solidFill>
                    <w14:schemeClr w14:val="tx1"/>
                  </w14:solidFill>
                </w14:textFill>
              </w:rPr>
            </w:pPr>
            <w:bookmarkStart w:id="1170" w:name="_Toc221952181"/>
            <w:r>
              <w:rPr>
                <w:rFonts w:ascii="宋体" w:hAnsi="宋体"/>
                <w:color w:val="000000" w:themeColor="text1"/>
                <w:szCs w:val="20"/>
                <w:highlight w:val="none"/>
                <w14:textFill>
                  <w14:solidFill>
                    <w14:schemeClr w14:val="tx1"/>
                  </w14:solidFill>
                </w14:textFill>
              </w:rPr>
              <w:t>开户银行</w:t>
            </w:r>
            <w:bookmarkEnd w:id="1170"/>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77026671">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14:paraId="16CE9C3C">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14:paraId="36CFC5A0">
            <w:pPr>
              <w:topLinePunct/>
              <w:spacing w:line="400" w:lineRule="exact"/>
              <w:jc w:val="center"/>
              <w:rPr>
                <w:rFonts w:ascii="宋体" w:hAnsi="宋体"/>
                <w:color w:val="000000" w:themeColor="text1"/>
                <w:szCs w:val="20"/>
                <w:highlight w:val="none"/>
                <w14:textFill>
                  <w14:solidFill>
                    <w14:schemeClr w14:val="tx1"/>
                  </w14:solidFill>
                </w14:textFill>
              </w:rPr>
            </w:pPr>
            <w:bookmarkStart w:id="1171" w:name="_Toc221952182"/>
            <w:r>
              <w:rPr>
                <w:rFonts w:ascii="宋体" w:hAnsi="宋体"/>
                <w:color w:val="000000" w:themeColor="text1"/>
                <w:szCs w:val="20"/>
                <w:highlight w:val="none"/>
                <w14:textFill>
                  <w14:solidFill>
                    <w14:schemeClr w14:val="tx1"/>
                  </w14:solidFill>
                </w14:textFill>
              </w:rPr>
              <w:t>初级职称人员</w:t>
            </w:r>
            <w:bookmarkEnd w:id="1171"/>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33B9B07C">
            <w:pPr>
              <w:topLinePunct/>
              <w:spacing w:line="400" w:lineRule="exact"/>
              <w:jc w:val="center"/>
              <w:rPr>
                <w:rFonts w:ascii="宋体" w:hAnsi="宋体"/>
                <w:color w:val="000000" w:themeColor="text1"/>
                <w:szCs w:val="20"/>
                <w:highlight w:val="none"/>
                <w14:textFill>
                  <w14:solidFill>
                    <w14:schemeClr w14:val="tx1"/>
                  </w14:solidFill>
                </w14:textFill>
              </w:rPr>
            </w:pPr>
          </w:p>
        </w:tc>
      </w:tr>
      <w:tr w14:paraId="7005B3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0573D4E2">
            <w:pPr>
              <w:topLinePunct/>
              <w:spacing w:line="400" w:lineRule="exact"/>
              <w:jc w:val="center"/>
              <w:rPr>
                <w:rFonts w:ascii="宋体" w:hAnsi="宋体"/>
                <w:color w:val="000000" w:themeColor="text1"/>
                <w:szCs w:val="20"/>
                <w:highlight w:val="none"/>
                <w14:textFill>
                  <w14:solidFill>
                    <w14:schemeClr w14:val="tx1"/>
                  </w14:solidFill>
                </w14:textFill>
              </w:rPr>
            </w:pPr>
            <w:bookmarkStart w:id="1172" w:name="_Toc221952183"/>
            <w:r>
              <w:rPr>
                <w:rFonts w:ascii="宋体" w:hAnsi="宋体"/>
                <w:color w:val="000000" w:themeColor="text1"/>
                <w:szCs w:val="20"/>
                <w:highlight w:val="none"/>
                <w14:textFill>
                  <w14:solidFill>
                    <w14:schemeClr w14:val="tx1"/>
                  </w14:solidFill>
                </w14:textFill>
              </w:rPr>
              <w:t>账号</w:t>
            </w:r>
            <w:bookmarkEnd w:id="1172"/>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1BCAA6FD">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14:paraId="3519CD76">
            <w:pPr>
              <w:topLinePunct/>
              <w:spacing w:line="400" w:lineRule="exact"/>
              <w:jc w:val="center"/>
              <w:rPr>
                <w:rFonts w:ascii="宋体" w:hAnsi="宋体"/>
                <w:color w:val="000000" w:themeColor="text1"/>
                <w:szCs w:val="20"/>
                <w:highlight w:val="none"/>
                <w14:textFill>
                  <w14:solidFill>
                    <w14:schemeClr w14:val="tx1"/>
                  </w14:solidFill>
                </w14:textFill>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14:paraId="3062F604">
            <w:pPr>
              <w:spacing w:line="400" w:lineRule="exact"/>
              <w:jc w:val="center"/>
              <w:rPr>
                <w:rFonts w:ascii="宋体" w:hAnsi="宋体"/>
                <w:color w:val="000000" w:themeColor="text1"/>
                <w:szCs w:val="20"/>
                <w:highlight w:val="none"/>
                <w14:textFill>
                  <w14:solidFill>
                    <w14:schemeClr w14:val="tx1"/>
                  </w14:solidFill>
                </w14:textFill>
              </w:rPr>
            </w:pPr>
            <w:bookmarkStart w:id="1173" w:name="_Toc221952184"/>
            <w:r>
              <w:rPr>
                <w:rFonts w:ascii="宋体" w:hAnsi="宋体"/>
                <w:color w:val="000000" w:themeColor="text1"/>
                <w:szCs w:val="20"/>
                <w:highlight w:val="none"/>
                <w14:textFill>
                  <w14:solidFill>
                    <w14:schemeClr w14:val="tx1"/>
                  </w14:solidFill>
                </w14:textFill>
              </w:rPr>
              <w:t>技</w:t>
            </w:r>
            <w:r>
              <w:rPr>
                <w:rFonts w:hint="eastAsia" w:ascii="宋体" w:hAnsi="宋体"/>
                <w:color w:val="000000" w:themeColor="text1"/>
                <w:szCs w:val="20"/>
                <w:highlight w:val="none"/>
                <w14:textFill>
                  <w14:solidFill>
                    <w14:schemeClr w14:val="tx1"/>
                  </w14:solidFill>
                </w14:textFill>
              </w:rPr>
              <w:t xml:space="preserve">  </w:t>
            </w:r>
            <w:r>
              <w:rPr>
                <w:rFonts w:ascii="宋体" w:hAnsi="宋体"/>
                <w:color w:val="000000" w:themeColor="text1"/>
                <w:szCs w:val="20"/>
                <w:highlight w:val="none"/>
                <w14:textFill>
                  <w14:solidFill>
                    <w14:schemeClr w14:val="tx1"/>
                  </w14:solidFill>
                </w14:textFill>
              </w:rPr>
              <w:t>工</w:t>
            </w:r>
            <w:bookmarkEnd w:id="1173"/>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31AD6D1D">
            <w:pPr>
              <w:topLinePunct/>
              <w:spacing w:line="400" w:lineRule="exact"/>
              <w:jc w:val="center"/>
              <w:rPr>
                <w:rFonts w:ascii="宋体" w:hAnsi="宋体"/>
                <w:color w:val="000000" w:themeColor="text1"/>
                <w:szCs w:val="20"/>
                <w:highlight w:val="none"/>
                <w14:textFill>
                  <w14:solidFill>
                    <w14:schemeClr w14:val="tx1"/>
                  </w14:solidFill>
                </w14:textFill>
              </w:rPr>
            </w:pPr>
          </w:p>
        </w:tc>
      </w:tr>
      <w:tr w14:paraId="3AD42E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8" w:hRule="atLeast"/>
        </w:trPr>
        <w:tc>
          <w:tcPr>
            <w:tcW w:w="1717" w:type="dxa"/>
            <w:tcBorders>
              <w:top w:val="single" w:color="auto" w:sz="4" w:space="0"/>
              <w:left w:val="single" w:color="auto" w:sz="4" w:space="0"/>
              <w:right w:val="single" w:color="auto" w:sz="4" w:space="0"/>
            </w:tcBorders>
            <w:noWrap w:val="0"/>
            <w:vAlign w:val="center"/>
          </w:tcPr>
          <w:p w14:paraId="54652FBB">
            <w:pPr>
              <w:topLinePunct/>
              <w:spacing w:line="400" w:lineRule="exact"/>
              <w:ind w:firstLine="210" w:firstLineChars="100"/>
              <w:jc w:val="center"/>
              <w:rPr>
                <w:rFonts w:ascii="宋体" w:hAnsi="宋体"/>
                <w:color w:val="000000" w:themeColor="text1"/>
                <w:szCs w:val="20"/>
                <w:highlight w:val="none"/>
                <w14:textFill>
                  <w14:solidFill>
                    <w14:schemeClr w14:val="tx1"/>
                  </w14:solidFill>
                </w14:textFill>
              </w:rPr>
            </w:pPr>
            <w:bookmarkStart w:id="1174" w:name="_Toc221952185"/>
            <w:r>
              <w:rPr>
                <w:rFonts w:ascii="宋体" w:hAnsi="宋体"/>
                <w:color w:val="000000" w:themeColor="text1"/>
                <w:szCs w:val="20"/>
                <w:highlight w:val="none"/>
                <w14:textFill>
                  <w14:solidFill>
                    <w14:schemeClr w14:val="tx1"/>
                  </w14:solidFill>
                </w14:textFill>
              </w:rPr>
              <w:t>经营范围</w:t>
            </w:r>
            <w:bookmarkEnd w:id="1174"/>
          </w:p>
        </w:tc>
        <w:tc>
          <w:tcPr>
            <w:tcW w:w="6811" w:type="dxa"/>
            <w:gridSpan w:val="9"/>
            <w:tcBorders>
              <w:top w:val="single" w:color="auto" w:sz="4" w:space="0"/>
              <w:left w:val="single" w:color="auto" w:sz="4" w:space="0"/>
              <w:right w:val="single" w:color="auto" w:sz="4" w:space="0"/>
            </w:tcBorders>
            <w:noWrap w:val="0"/>
            <w:vAlign w:val="center"/>
          </w:tcPr>
          <w:p w14:paraId="0CAB9126">
            <w:pPr>
              <w:topLinePunct/>
              <w:spacing w:line="400" w:lineRule="exact"/>
              <w:rPr>
                <w:rFonts w:ascii="宋体" w:hAnsi="宋体"/>
                <w:color w:val="000000" w:themeColor="text1"/>
                <w:szCs w:val="20"/>
                <w:highlight w:val="none"/>
                <w14:textFill>
                  <w14:solidFill>
                    <w14:schemeClr w14:val="tx1"/>
                  </w14:solidFill>
                </w14:textFill>
              </w:rPr>
            </w:pPr>
          </w:p>
          <w:p w14:paraId="22981D62">
            <w:pPr>
              <w:topLinePunct/>
              <w:spacing w:line="400" w:lineRule="exact"/>
              <w:jc w:val="center"/>
              <w:rPr>
                <w:rFonts w:ascii="宋体" w:hAnsi="宋体"/>
                <w:color w:val="000000" w:themeColor="text1"/>
                <w:szCs w:val="20"/>
                <w:highlight w:val="none"/>
                <w14:textFill>
                  <w14:solidFill>
                    <w14:schemeClr w14:val="tx1"/>
                  </w14:solidFill>
                </w14:textFill>
              </w:rPr>
            </w:pPr>
          </w:p>
          <w:p w14:paraId="44F4750E">
            <w:pPr>
              <w:topLinePunct/>
              <w:spacing w:line="400" w:lineRule="exact"/>
              <w:jc w:val="center"/>
              <w:rPr>
                <w:rFonts w:ascii="宋体" w:hAnsi="宋体"/>
                <w:color w:val="000000" w:themeColor="text1"/>
                <w:szCs w:val="20"/>
                <w:highlight w:val="none"/>
                <w14:textFill>
                  <w14:solidFill>
                    <w14:schemeClr w14:val="tx1"/>
                  </w14:solidFill>
                </w14:textFill>
              </w:rPr>
            </w:pPr>
          </w:p>
          <w:p w14:paraId="63EEBCD1">
            <w:pPr>
              <w:topLinePunct/>
              <w:spacing w:line="400" w:lineRule="exact"/>
              <w:jc w:val="center"/>
              <w:rPr>
                <w:rFonts w:ascii="宋体" w:hAnsi="宋体"/>
                <w:color w:val="000000" w:themeColor="text1"/>
                <w:szCs w:val="20"/>
                <w:highlight w:val="none"/>
                <w14:textFill>
                  <w14:solidFill>
                    <w14:schemeClr w14:val="tx1"/>
                  </w14:solidFill>
                </w14:textFill>
              </w:rPr>
            </w:pPr>
          </w:p>
          <w:p w14:paraId="7D1FD10A">
            <w:pPr>
              <w:topLinePunct/>
              <w:spacing w:line="400" w:lineRule="exact"/>
              <w:jc w:val="center"/>
              <w:rPr>
                <w:rFonts w:ascii="宋体" w:hAnsi="宋体"/>
                <w:color w:val="000000" w:themeColor="text1"/>
                <w:szCs w:val="20"/>
                <w:highlight w:val="none"/>
                <w14:textFill>
                  <w14:solidFill>
                    <w14:schemeClr w14:val="tx1"/>
                  </w14:solidFill>
                </w14:textFill>
              </w:rPr>
            </w:pPr>
          </w:p>
          <w:p w14:paraId="3508984E">
            <w:pPr>
              <w:topLinePunct/>
              <w:spacing w:line="400" w:lineRule="exact"/>
              <w:jc w:val="center"/>
              <w:rPr>
                <w:rFonts w:ascii="宋体" w:hAnsi="宋体"/>
                <w:color w:val="000000" w:themeColor="text1"/>
                <w:szCs w:val="20"/>
                <w:highlight w:val="none"/>
                <w14:textFill>
                  <w14:solidFill>
                    <w14:schemeClr w14:val="tx1"/>
                  </w14:solidFill>
                </w14:textFill>
              </w:rPr>
            </w:pPr>
          </w:p>
          <w:p w14:paraId="2FD8835D">
            <w:pPr>
              <w:topLinePunct/>
              <w:spacing w:line="400" w:lineRule="exact"/>
              <w:jc w:val="center"/>
              <w:rPr>
                <w:rFonts w:ascii="宋体" w:hAnsi="宋体"/>
                <w:color w:val="000000" w:themeColor="text1"/>
                <w:szCs w:val="20"/>
                <w:highlight w:val="none"/>
                <w14:textFill>
                  <w14:solidFill>
                    <w14:schemeClr w14:val="tx1"/>
                  </w14:solidFill>
                </w14:textFill>
              </w:rPr>
            </w:pPr>
          </w:p>
        </w:tc>
      </w:tr>
      <w:tr w14:paraId="1AC263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07AA1FBE">
            <w:pPr>
              <w:topLinePunct/>
              <w:spacing w:line="400" w:lineRule="exact"/>
              <w:jc w:val="center"/>
              <w:rPr>
                <w:rFonts w:ascii="宋体" w:hAnsi="宋体"/>
                <w:color w:val="000000" w:themeColor="text1"/>
                <w:szCs w:val="20"/>
                <w:highlight w:val="none"/>
                <w14:textFill>
                  <w14:solidFill>
                    <w14:schemeClr w14:val="tx1"/>
                  </w14:solidFill>
                </w14:textFill>
              </w:rPr>
            </w:pPr>
            <w:bookmarkStart w:id="1175" w:name="_Toc221952186"/>
            <w:r>
              <w:rPr>
                <w:rFonts w:ascii="宋体" w:hAnsi="宋体"/>
                <w:color w:val="000000" w:themeColor="text1"/>
                <w:szCs w:val="20"/>
                <w:highlight w:val="none"/>
                <w14:textFill>
                  <w14:solidFill>
                    <w14:schemeClr w14:val="tx1"/>
                  </w14:solidFill>
                </w14:textFill>
              </w:rPr>
              <w:t>备注</w:t>
            </w:r>
            <w:bookmarkEnd w:id="1175"/>
          </w:p>
        </w:tc>
        <w:tc>
          <w:tcPr>
            <w:tcW w:w="6811" w:type="dxa"/>
            <w:gridSpan w:val="9"/>
            <w:tcBorders>
              <w:top w:val="single" w:color="auto" w:sz="4" w:space="0"/>
              <w:left w:val="single" w:color="auto" w:sz="4" w:space="0"/>
              <w:bottom w:val="single" w:color="auto" w:sz="4" w:space="0"/>
              <w:right w:val="single" w:color="auto" w:sz="4" w:space="0"/>
            </w:tcBorders>
            <w:noWrap w:val="0"/>
            <w:vAlign w:val="center"/>
          </w:tcPr>
          <w:p w14:paraId="4B97CF15">
            <w:pPr>
              <w:topLinePunct/>
              <w:spacing w:line="400" w:lineRule="exact"/>
              <w:jc w:val="center"/>
              <w:rPr>
                <w:rFonts w:ascii="宋体" w:hAnsi="宋体"/>
                <w:color w:val="000000" w:themeColor="text1"/>
                <w:szCs w:val="20"/>
                <w:highlight w:val="none"/>
                <w14:textFill>
                  <w14:solidFill>
                    <w14:schemeClr w14:val="tx1"/>
                  </w14:solidFill>
                </w14:textFill>
              </w:rPr>
            </w:pPr>
          </w:p>
        </w:tc>
      </w:tr>
    </w:tbl>
    <w:p w14:paraId="318A3E8A">
      <w:pPr>
        <w:spacing w:line="40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w:t>
      </w:r>
      <w:r>
        <w:rPr>
          <w:rFonts w:hint="eastAsia"/>
          <w:color w:val="000000" w:themeColor="text1"/>
          <w:highlight w:val="none"/>
          <w:lang w:eastAsia="zh-CN"/>
          <w14:textFill>
            <w14:solidFill>
              <w14:schemeClr w14:val="tx1"/>
            </w14:solidFill>
          </w14:textFill>
        </w:rPr>
        <w:t>：需提供相关材料的扫描件</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br w:type="page"/>
      </w:r>
      <w:bookmarkStart w:id="1176" w:name="_Toc222031072"/>
      <w:bookmarkStart w:id="1177" w:name="_Toc179715760"/>
      <w:bookmarkStart w:id="1178" w:name="_Toc222029570"/>
      <w:bookmarkStart w:id="1179" w:name="_Toc222032739"/>
      <w:bookmarkStart w:id="1180" w:name="_Toc229305430"/>
      <w:bookmarkStart w:id="1181" w:name="_Toc222033921"/>
      <w:bookmarkStart w:id="1182" w:name="_Toc221952187"/>
      <w:bookmarkStart w:id="1183" w:name="_Toc152047267"/>
      <w:bookmarkStart w:id="1184" w:name="_Toc259524425"/>
    </w:p>
    <w:p w14:paraId="29EA5FF2">
      <w:pPr>
        <w:spacing w:line="400" w:lineRule="exact"/>
        <w:jc w:val="left"/>
        <w:outlineLvl w:val="3"/>
        <w:rPr>
          <w:rFonts w:hint="eastAsia" w:ascii="宋体" w:hAnsi="宋体" w:eastAsia="宋体"/>
          <w:b/>
          <w:color w:val="000000" w:themeColor="text1"/>
          <w:sz w:val="24"/>
          <w:szCs w:val="31"/>
          <w:highlight w:val="none"/>
          <w:lang w:eastAsia="zh-CN"/>
          <w14:textFill>
            <w14:solidFill>
              <w14:schemeClr w14:val="tx1"/>
            </w14:solidFill>
          </w14:textFill>
        </w:rPr>
      </w:pPr>
      <w:bookmarkStart w:id="1185" w:name="_Toc152042598"/>
      <w:bookmarkStart w:id="1186" w:name="_Toc247514301"/>
      <w:bookmarkStart w:id="1187" w:name="_Toc265953295"/>
      <w:bookmarkStart w:id="1188" w:name="_Toc332641444"/>
      <w:bookmarkStart w:id="1189" w:name="_Toc144974877"/>
      <w:bookmarkStart w:id="1190" w:name="_Toc152045809"/>
      <w:bookmarkStart w:id="1191" w:name="_Toc247527849"/>
      <w:r>
        <w:rPr>
          <w:rFonts w:ascii="宋体" w:hAnsi="宋体"/>
          <w:b/>
          <w:color w:val="000000" w:themeColor="text1"/>
          <w:sz w:val="24"/>
          <w:szCs w:val="31"/>
          <w:highlight w:val="none"/>
          <w14:textFill>
            <w14:solidFill>
              <w14:schemeClr w14:val="tx1"/>
            </w14:solidFill>
          </w14:textFill>
        </w:rPr>
        <w:t>（二）</w:t>
      </w:r>
      <w:r>
        <w:rPr>
          <w:rFonts w:hint="eastAsia" w:ascii="宋体" w:hAnsi="宋体"/>
          <w:b/>
          <w:color w:val="000000" w:themeColor="text1"/>
          <w:sz w:val="24"/>
          <w:szCs w:val="31"/>
          <w:highlight w:val="none"/>
          <w14:textFill>
            <w14:solidFill>
              <w14:schemeClr w14:val="tx1"/>
            </w14:solidFill>
          </w14:textFill>
        </w:rPr>
        <w:t>拟投入</w:t>
      </w:r>
      <w:bookmarkEnd w:id="1185"/>
      <w:bookmarkEnd w:id="1186"/>
      <w:bookmarkEnd w:id="1187"/>
      <w:bookmarkEnd w:id="1188"/>
      <w:bookmarkEnd w:id="1189"/>
      <w:bookmarkEnd w:id="1190"/>
      <w:bookmarkEnd w:id="1191"/>
      <w:r>
        <w:rPr>
          <w:rFonts w:hint="eastAsia" w:ascii="宋体" w:hAnsi="宋体"/>
          <w:b/>
          <w:color w:val="000000" w:themeColor="text1"/>
          <w:sz w:val="24"/>
          <w:szCs w:val="31"/>
          <w:highlight w:val="none"/>
          <w14:textFill>
            <w14:solidFill>
              <w14:schemeClr w14:val="tx1"/>
            </w14:solidFill>
          </w14:textFill>
        </w:rPr>
        <w:t>项目负责人</w:t>
      </w:r>
    </w:p>
    <w:p w14:paraId="45BD5775">
      <w:pPr>
        <w:spacing w:before="260" w:after="260" w:line="415" w:lineRule="auto"/>
        <w:jc w:val="center"/>
        <w:rPr>
          <w:b/>
          <w:color w:val="000000" w:themeColor="text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项目负责人</w:t>
      </w:r>
      <w:r>
        <w:rPr>
          <w:b/>
          <w:color w:val="000000" w:themeColor="text1"/>
          <w:sz w:val="32"/>
          <w:szCs w:val="32"/>
          <w:highlight w:val="none"/>
          <w14:textFill>
            <w14:solidFill>
              <w14:schemeClr w14:val="tx1"/>
            </w14:solidFill>
          </w14:textFill>
        </w:rPr>
        <w:t>简历表</w:t>
      </w:r>
    </w:p>
    <w:tbl>
      <w:tblPr>
        <w:tblStyle w:val="38"/>
        <w:tblpPr w:leftFromText="180" w:rightFromText="180" w:vertAnchor="text" w:horzAnchor="margin" w:tblpY="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355"/>
        <w:gridCol w:w="723"/>
        <w:gridCol w:w="928"/>
        <w:gridCol w:w="1066"/>
        <w:gridCol w:w="704"/>
        <w:gridCol w:w="1260"/>
        <w:gridCol w:w="167"/>
        <w:gridCol w:w="2136"/>
      </w:tblGrid>
      <w:tr w14:paraId="75D6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14:paraId="213509E5">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姓  名</w:t>
            </w:r>
          </w:p>
        </w:tc>
        <w:tc>
          <w:tcPr>
            <w:tcW w:w="1078" w:type="dxa"/>
            <w:gridSpan w:val="2"/>
            <w:noWrap w:val="0"/>
            <w:vAlign w:val="center"/>
          </w:tcPr>
          <w:p w14:paraId="6C905B66">
            <w:pPr>
              <w:spacing w:line="440" w:lineRule="exact"/>
              <w:jc w:val="center"/>
              <w:rPr>
                <w:rFonts w:ascii="宋体" w:hAnsi="宋体"/>
                <w:color w:val="000000" w:themeColor="text1"/>
                <w:szCs w:val="21"/>
                <w:highlight w:val="none"/>
                <w14:textFill>
                  <w14:solidFill>
                    <w14:schemeClr w14:val="tx1"/>
                  </w14:solidFill>
                </w14:textFill>
              </w:rPr>
            </w:pPr>
          </w:p>
        </w:tc>
        <w:tc>
          <w:tcPr>
            <w:tcW w:w="928" w:type="dxa"/>
            <w:noWrap w:val="0"/>
            <w:vAlign w:val="center"/>
          </w:tcPr>
          <w:p w14:paraId="29B0154B">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年 龄</w:t>
            </w:r>
          </w:p>
        </w:tc>
        <w:tc>
          <w:tcPr>
            <w:tcW w:w="1066" w:type="dxa"/>
            <w:noWrap w:val="0"/>
            <w:vAlign w:val="center"/>
          </w:tcPr>
          <w:p w14:paraId="775D0905">
            <w:pPr>
              <w:spacing w:line="440" w:lineRule="exact"/>
              <w:jc w:val="center"/>
              <w:rPr>
                <w:rFonts w:ascii="宋体" w:hAnsi="宋体"/>
                <w:color w:val="000000" w:themeColor="text1"/>
                <w:szCs w:val="21"/>
                <w:highlight w:val="none"/>
                <w14:textFill>
                  <w14:solidFill>
                    <w14:schemeClr w14:val="tx1"/>
                  </w14:solidFill>
                </w14:textFill>
              </w:rPr>
            </w:pPr>
          </w:p>
        </w:tc>
        <w:tc>
          <w:tcPr>
            <w:tcW w:w="2131" w:type="dxa"/>
            <w:gridSpan w:val="3"/>
            <w:noWrap w:val="0"/>
            <w:vAlign w:val="center"/>
          </w:tcPr>
          <w:p w14:paraId="38687B85">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学历</w:t>
            </w:r>
          </w:p>
        </w:tc>
        <w:tc>
          <w:tcPr>
            <w:tcW w:w="2136" w:type="dxa"/>
            <w:noWrap w:val="0"/>
            <w:vAlign w:val="center"/>
          </w:tcPr>
          <w:p w14:paraId="04E45F7F">
            <w:pPr>
              <w:spacing w:line="440" w:lineRule="exact"/>
              <w:rPr>
                <w:rFonts w:ascii="宋体" w:hAnsi="宋体"/>
                <w:color w:val="000000" w:themeColor="text1"/>
                <w:szCs w:val="21"/>
                <w:highlight w:val="none"/>
                <w14:textFill>
                  <w14:solidFill>
                    <w14:schemeClr w14:val="tx1"/>
                  </w14:solidFill>
                </w14:textFill>
              </w:rPr>
            </w:pPr>
          </w:p>
        </w:tc>
      </w:tr>
      <w:tr w14:paraId="0EE3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14:paraId="413A8011">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职  称</w:t>
            </w:r>
          </w:p>
        </w:tc>
        <w:tc>
          <w:tcPr>
            <w:tcW w:w="1078" w:type="dxa"/>
            <w:gridSpan w:val="2"/>
            <w:noWrap w:val="0"/>
            <w:vAlign w:val="center"/>
          </w:tcPr>
          <w:p w14:paraId="3F2E0147">
            <w:pPr>
              <w:spacing w:line="440" w:lineRule="exact"/>
              <w:jc w:val="center"/>
              <w:rPr>
                <w:rFonts w:ascii="宋体" w:hAnsi="宋体"/>
                <w:color w:val="000000" w:themeColor="text1"/>
                <w:szCs w:val="21"/>
                <w:highlight w:val="none"/>
                <w14:textFill>
                  <w14:solidFill>
                    <w14:schemeClr w14:val="tx1"/>
                  </w14:solidFill>
                </w14:textFill>
              </w:rPr>
            </w:pPr>
          </w:p>
        </w:tc>
        <w:tc>
          <w:tcPr>
            <w:tcW w:w="928" w:type="dxa"/>
            <w:noWrap w:val="0"/>
            <w:vAlign w:val="center"/>
          </w:tcPr>
          <w:p w14:paraId="503B7516">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职 务</w:t>
            </w:r>
          </w:p>
        </w:tc>
        <w:tc>
          <w:tcPr>
            <w:tcW w:w="1066" w:type="dxa"/>
            <w:noWrap w:val="0"/>
            <w:vAlign w:val="center"/>
          </w:tcPr>
          <w:p w14:paraId="7FCAD62B">
            <w:pPr>
              <w:spacing w:line="440" w:lineRule="exact"/>
              <w:jc w:val="center"/>
              <w:rPr>
                <w:rFonts w:ascii="宋体" w:hAnsi="宋体"/>
                <w:color w:val="000000" w:themeColor="text1"/>
                <w:szCs w:val="21"/>
                <w:highlight w:val="none"/>
                <w14:textFill>
                  <w14:solidFill>
                    <w14:schemeClr w14:val="tx1"/>
                  </w14:solidFill>
                </w14:textFill>
              </w:rPr>
            </w:pPr>
          </w:p>
        </w:tc>
        <w:tc>
          <w:tcPr>
            <w:tcW w:w="2131" w:type="dxa"/>
            <w:gridSpan w:val="3"/>
            <w:noWrap w:val="0"/>
            <w:vAlign w:val="center"/>
          </w:tcPr>
          <w:p w14:paraId="05F0BCAB">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拟在本合同任职</w:t>
            </w:r>
          </w:p>
        </w:tc>
        <w:tc>
          <w:tcPr>
            <w:tcW w:w="2136" w:type="dxa"/>
            <w:noWrap w:val="0"/>
            <w:vAlign w:val="center"/>
          </w:tcPr>
          <w:p w14:paraId="3E94709F">
            <w:pPr>
              <w:spacing w:line="440" w:lineRule="exact"/>
              <w:rPr>
                <w:rFonts w:ascii="宋体" w:hAnsi="宋体"/>
                <w:color w:val="000000" w:themeColor="text1"/>
                <w:szCs w:val="21"/>
                <w:highlight w:val="none"/>
                <w14:textFill>
                  <w14:solidFill>
                    <w14:schemeClr w14:val="tx1"/>
                  </w14:solidFill>
                </w14:textFill>
              </w:rPr>
            </w:pPr>
          </w:p>
        </w:tc>
      </w:tr>
      <w:tr w14:paraId="42F5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9"/>
            <w:noWrap w:val="0"/>
            <w:vAlign w:val="center"/>
          </w:tcPr>
          <w:p w14:paraId="61E31611">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主要工作经历</w:t>
            </w:r>
          </w:p>
        </w:tc>
      </w:tr>
      <w:tr w14:paraId="0230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4" w:type="dxa"/>
            <w:gridSpan w:val="2"/>
            <w:noWrap w:val="0"/>
            <w:vAlign w:val="center"/>
          </w:tcPr>
          <w:p w14:paraId="0710C24D">
            <w:pPr>
              <w:spacing w:line="440" w:lineRule="exac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时  间</w:t>
            </w:r>
          </w:p>
        </w:tc>
        <w:tc>
          <w:tcPr>
            <w:tcW w:w="3421" w:type="dxa"/>
            <w:gridSpan w:val="4"/>
            <w:noWrap w:val="0"/>
            <w:vAlign w:val="center"/>
          </w:tcPr>
          <w:p w14:paraId="29A8DF32">
            <w:pPr>
              <w:spacing w:line="440" w:lineRule="exac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参加过的类似项目</w:t>
            </w:r>
          </w:p>
        </w:tc>
        <w:tc>
          <w:tcPr>
            <w:tcW w:w="1260" w:type="dxa"/>
            <w:noWrap w:val="0"/>
            <w:vAlign w:val="center"/>
          </w:tcPr>
          <w:p w14:paraId="6A59B4BF">
            <w:pPr>
              <w:spacing w:line="440" w:lineRule="exac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担任职务</w:t>
            </w:r>
          </w:p>
        </w:tc>
        <w:tc>
          <w:tcPr>
            <w:tcW w:w="2303" w:type="dxa"/>
            <w:gridSpan w:val="2"/>
            <w:noWrap w:val="0"/>
            <w:vAlign w:val="center"/>
          </w:tcPr>
          <w:p w14:paraId="4EED988F">
            <w:pPr>
              <w:spacing w:line="440" w:lineRule="exac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发包人及联系电话</w:t>
            </w:r>
          </w:p>
        </w:tc>
      </w:tr>
      <w:tr w14:paraId="233F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AFAAB75">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03E3F50B">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64396B51">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27EAAA81">
            <w:pPr>
              <w:spacing w:line="440" w:lineRule="exact"/>
              <w:rPr>
                <w:rFonts w:eastAsia="黑体"/>
                <w:color w:val="000000" w:themeColor="text1"/>
                <w:szCs w:val="21"/>
                <w:highlight w:val="none"/>
                <w14:textFill>
                  <w14:solidFill>
                    <w14:schemeClr w14:val="tx1"/>
                  </w14:solidFill>
                </w14:textFill>
              </w:rPr>
            </w:pPr>
          </w:p>
        </w:tc>
      </w:tr>
      <w:tr w14:paraId="58B2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0672BAD">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07F12959">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1F0DAA8A">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032FF1A1">
            <w:pPr>
              <w:spacing w:line="440" w:lineRule="exact"/>
              <w:rPr>
                <w:rFonts w:eastAsia="黑体"/>
                <w:color w:val="000000" w:themeColor="text1"/>
                <w:szCs w:val="21"/>
                <w:highlight w:val="none"/>
                <w14:textFill>
                  <w14:solidFill>
                    <w14:schemeClr w14:val="tx1"/>
                  </w14:solidFill>
                </w14:textFill>
              </w:rPr>
            </w:pPr>
          </w:p>
        </w:tc>
      </w:tr>
      <w:tr w14:paraId="2AE9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1B263B95">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4C9EDDB7">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2DD9D693">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7ABCF435">
            <w:pPr>
              <w:spacing w:line="440" w:lineRule="exact"/>
              <w:rPr>
                <w:rFonts w:eastAsia="黑体"/>
                <w:color w:val="000000" w:themeColor="text1"/>
                <w:szCs w:val="21"/>
                <w:highlight w:val="none"/>
                <w14:textFill>
                  <w14:solidFill>
                    <w14:schemeClr w14:val="tx1"/>
                  </w14:solidFill>
                </w14:textFill>
              </w:rPr>
            </w:pPr>
          </w:p>
        </w:tc>
      </w:tr>
      <w:tr w14:paraId="45F56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65E95CF">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46FB88A1">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76250434">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79500315">
            <w:pPr>
              <w:spacing w:line="440" w:lineRule="exact"/>
              <w:rPr>
                <w:rFonts w:eastAsia="黑体"/>
                <w:color w:val="000000" w:themeColor="text1"/>
                <w:szCs w:val="21"/>
                <w:highlight w:val="none"/>
                <w14:textFill>
                  <w14:solidFill>
                    <w14:schemeClr w14:val="tx1"/>
                  </w14:solidFill>
                </w14:textFill>
              </w:rPr>
            </w:pPr>
          </w:p>
        </w:tc>
      </w:tr>
      <w:tr w14:paraId="2846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3EAD956F">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1B428843">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555591B5">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0E6721DF">
            <w:pPr>
              <w:spacing w:line="440" w:lineRule="exact"/>
              <w:rPr>
                <w:rFonts w:eastAsia="黑体"/>
                <w:color w:val="000000" w:themeColor="text1"/>
                <w:szCs w:val="21"/>
                <w:highlight w:val="none"/>
                <w14:textFill>
                  <w14:solidFill>
                    <w14:schemeClr w14:val="tx1"/>
                  </w14:solidFill>
                </w14:textFill>
              </w:rPr>
            </w:pPr>
          </w:p>
        </w:tc>
      </w:tr>
      <w:tr w14:paraId="0BF2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0691E69A">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31E17556">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04864694">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35312FA4">
            <w:pPr>
              <w:spacing w:line="440" w:lineRule="exact"/>
              <w:rPr>
                <w:rFonts w:eastAsia="黑体"/>
                <w:color w:val="000000" w:themeColor="text1"/>
                <w:szCs w:val="21"/>
                <w:highlight w:val="none"/>
                <w14:textFill>
                  <w14:solidFill>
                    <w14:schemeClr w14:val="tx1"/>
                  </w14:solidFill>
                </w14:textFill>
              </w:rPr>
            </w:pPr>
          </w:p>
        </w:tc>
      </w:tr>
      <w:tr w14:paraId="2E18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2DAD1836">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32C1EA6A">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473F85B0">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16EBFEF0">
            <w:pPr>
              <w:spacing w:line="440" w:lineRule="exact"/>
              <w:rPr>
                <w:rFonts w:eastAsia="黑体"/>
                <w:color w:val="000000" w:themeColor="text1"/>
                <w:szCs w:val="21"/>
                <w:highlight w:val="none"/>
                <w14:textFill>
                  <w14:solidFill>
                    <w14:schemeClr w14:val="tx1"/>
                  </w14:solidFill>
                </w14:textFill>
              </w:rPr>
            </w:pPr>
          </w:p>
        </w:tc>
      </w:tr>
      <w:tr w14:paraId="54D4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64AB2396">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61F93DCB">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3ECAA49B">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5FE510BA">
            <w:pPr>
              <w:spacing w:line="440" w:lineRule="exact"/>
              <w:rPr>
                <w:rFonts w:eastAsia="黑体"/>
                <w:color w:val="000000" w:themeColor="text1"/>
                <w:szCs w:val="21"/>
                <w:highlight w:val="none"/>
                <w14:textFill>
                  <w14:solidFill>
                    <w14:schemeClr w14:val="tx1"/>
                  </w14:solidFill>
                </w14:textFill>
              </w:rPr>
            </w:pPr>
          </w:p>
        </w:tc>
      </w:tr>
      <w:tr w14:paraId="7668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1885242E">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092BB7B4">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040595C7">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4B642660">
            <w:pPr>
              <w:spacing w:line="440" w:lineRule="exact"/>
              <w:rPr>
                <w:rFonts w:eastAsia="黑体"/>
                <w:color w:val="000000" w:themeColor="text1"/>
                <w:szCs w:val="21"/>
                <w:highlight w:val="none"/>
                <w14:textFill>
                  <w14:solidFill>
                    <w14:schemeClr w14:val="tx1"/>
                  </w14:solidFill>
                </w14:textFill>
              </w:rPr>
            </w:pPr>
          </w:p>
        </w:tc>
      </w:tr>
      <w:tr w14:paraId="7E54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6562F1F8">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4E4B5299">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59B9A9E8">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0A960D3B">
            <w:pPr>
              <w:spacing w:line="440" w:lineRule="exact"/>
              <w:rPr>
                <w:rFonts w:eastAsia="黑体"/>
                <w:color w:val="000000" w:themeColor="text1"/>
                <w:szCs w:val="21"/>
                <w:highlight w:val="none"/>
                <w14:textFill>
                  <w14:solidFill>
                    <w14:schemeClr w14:val="tx1"/>
                  </w14:solidFill>
                </w14:textFill>
              </w:rPr>
            </w:pPr>
          </w:p>
        </w:tc>
      </w:tr>
      <w:tr w14:paraId="2E2B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0DF9CD6B">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1E585A17">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0563AAB5">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1943C008">
            <w:pPr>
              <w:spacing w:line="440" w:lineRule="exact"/>
              <w:rPr>
                <w:rFonts w:eastAsia="黑体"/>
                <w:color w:val="000000" w:themeColor="text1"/>
                <w:szCs w:val="21"/>
                <w:highlight w:val="none"/>
                <w14:textFill>
                  <w14:solidFill>
                    <w14:schemeClr w14:val="tx1"/>
                  </w14:solidFill>
                </w14:textFill>
              </w:rPr>
            </w:pPr>
          </w:p>
        </w:tc>
      </w:tr>
      <w:tr w14:paraId="69E6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232AFCB0">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3A954136">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7DB16176">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5190C7E7">
            <w:pPr>
              <w:spacing w:line="440" w:lineRule="exact"/>
              <w:rPr>
                <w:rFonts w:eastAsia="黑体"/>
                <w:color w:val="000000" w:themeColor="text1"/>
                <w:szCs w:val="21"/>
                <w:highlight w:val="none"/>
                <w14:textFill>
                  <w14:solidFill>
                    <w14:schemeClr w14:val="tx1"/>
                  </w14:solidFill>
                </w14:textFill>
              </w:rPr>
            </w:pPr>
          </w:p>
        </w:tc>
      </w:tr>
    </w:tbl>
    <w:p w14:paraId="03753B38">
      <w:pPr>
        <w:spacing w:line="400" w:lineRule="exact"/>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注：应附注册建造师执业资格证书、职称证、</w:t>
      </w:r>
      <w:r>
        <w:rPr>
          <w:rFonts w:hint="eastAsia"/>
          <w:color w:val="000000" w:themeColor="text1"/>
          <w:highlight w:val="none"/>
          <w:u w:val="single"/>
          <w14:textFill>
            <w14:solidFill>
              <w14:schemeClr w14:val="tx1"/>
            </w14:solidFill>
          </w14:textFill>
        </w:rPr>
        <w:t>社保证明</w:t>
      </w:r>
      <w:r>
        <w:rPr>
          <w:rFonts w:hint="eastAsia"/>
          <w:color w:val="000000" w:themeColor="text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安全生产考核合格证</w:t>
      </w:r>
      <w:r>
        <w:rPr>
          <w:rFonts w:hint="eastAsia" w:ascii="宋体" w:hAnsi="宋体" w:eastAsia="宋体" w:cs="宋体"/>
          <w:color w:val="000000" w:themeColor="text1"/>
          <w:sz w:val="21"/>
          <w:szCs w:val="21"/>
          <w:highlight w:val="none"/>
          <w14:textFill>
            <w14:solidFill>
              <w14:schemeClr w14:val="tx1"/>
            </w14:solidFill>
          </w14:textFill>
        </w:rPr>
        <w:t>（</w:t>
      </w:r>
      <w:r>
        <w:rPr>
          <w:rFonts w:ascii="宋体" w:hAnsi="宋体" w:eastAsia="宋体" w:cs="宋体"/>
          <w:color w:val="000000" w:themeColor="text1"/>
          <w:sz w:val="21"/>
          <w:szCs w:val="21"/>
          <w:highlight w:val="none"/>
          <w14:textFill>
            <w14:solidFill>
              <w14:schemeClr w14:val="tx1"/>
            </w14:solidFill>
          </w14:textFill>
        </w:rPr>
        <w:t>B类）或建筑施工企业项目负责人安全生产考核合格证书</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业绩（如有）等相关资料扫描件</w:t>
      </w:r>
      <w:r>
        <w:rPr>
          <w:rFonts w:hint="eastAsia"/>
          <w:color w:val="000000" w:themeColor="text1"/>
          <w:highlight w:val="none"/>
          <w:lang w:eastAsia="zh-CN"/>
          <w14:textFill>
            <w14:solidFill>
              <w14:schemeClr w14:val="tx1"/>
            </w14:solidFill>
          </w14:textFill>
        </w:rPr>
        <w:t>。</w:t>
      </w:r>
    </w:p>
    <w:p w14:paraId="7B45E423">
      <w:pPr>
        <w:spacing w:line="400" w:lineRule="exact"/>
        <w:jc w:val="left"/>
        <w:outlineLvl w:val="3"/>
        <w:rPr>
          <w:rFonts w:ascii="宋体" w:hAnsi="宋体"/>
          <w:b/>
          <w:color w:val="000000" w:themeColor="text1"/>
          <w:sz w:val="24"/>
          <w:szCs w:val="31"/>
          <w:highlight w:val="none"/>
          <w14:textFill>
            <w14:solidFill>
              <w14:schemeClr w14:val="tx1"/>
            </w14:solidFill>
          </w14:textFill>
        </w:rPr>
      </w:pPr>
      <w:bookmarkStart w:id="1192" w:name="_Toc246996374"/>
      <w:bookmarkStart w:id="1193" w:name="_Toc246997117"/>
      <w:bookmarkStart w:id="1194" w:name="_Toc247085892"/>
      <w:bookmarkStart w:id="1195" w:name="_Toc332641447"/>
      <w:r>
        <w:rPr>
          <w:rFonts w:ascii="宋体" w:hAnsi="宋体"/>
          <w:b/>
          <w:color w:val="000000" w:themeColor="text1"/>
          <w:sz w:val="24"/>
          <w:szCs w:val="31"/>
          <w:highlight w:val="none"/>
          <w14:textFill>
            <w14:solidFill>
              <w14:schemeClr w14:val="tx1"/>
            </w14:solidFill>
          </w14:textFill>
        </w:rPr>
        <w:br w:type="page"/>
      </w:r>
      <w:r>
        <w:rPr>
          <w:rFonts w:ascii="宋体" w:hAnsi="宋体"/>
          <w:b/>
          <w:color w:val="000000" w:themeColor="text1"/>
          <w:sz w:val="24"/>
          <w:szCs w:val="31"/>
          <w:highlight w:val="none"/>
          <w14:textFill>
            <w14:solidFill>
              <w14:schemeClr w14:val="tx1"/>
            </w14:solidFill>
          </w14:textFill>
        </w:rPr>
        <w:t>（</w:t>
      </w:r>
      <w:r>
        <w:rPr>
          <w:rFonts w:hint="eastAsia" w:ascii="宋体" w:hAnsi="宋体"/>
          <w:b/>
          <w:color w:val="000000" w:themeColor="text1"/>
          <w:sz w:val="24"/>
          <w:szCs w:val="31"/>
          <w:highlight w:val="none"/>
          <w14:textFill>
            <w14:solidFill>
              <w14:schemeClr w14:val="tx1"/>
            </w14:solidFill>
          </w14:textFill>
        </w:rPr>
        <w:t>三</w:t>
      </w:r>
      <w:r>
        <w:rPr>
          <w:rFonts w:ascii="宋体" w:hAnsi="宋体"/>
          <w:b/>
          <w:color w:val="000000" w:themeColor="text1"/>
          <w:sz w:val="24"/>
          <w:szCs w:val="31"/>
          <w:highlight w:val="none"/>
          <w14:textFill>
            <w14:solidFill>
              <w14:schemeClr w14:val="tx1"/>
            </w14:solidFill>
          </w14:textFill>
        </w:rPr>
        <w:t>）</w:t>
      </w:r>
      <w:r>
        <w:rPr>
          <w:rFonts w:hint="eastAsia" w:ascii="宋体" w:hAnsi="宋体"/>
          <w:b/>
          <w:color w:val="000000" w:themeColor="text1"/>
          <w:sz w:val="24"/>
          <w:szCs w:val="31"/>
          <w:highlight w:val="none"/>
          <w14:textFill>
            <w14:solidFill>
              <w14:schemeClr w14:val="tx1"/>
            </w14:solidFill>
          </w14:textFill>
        </w:rPr>
        <w:t>拟投入</w:t>
      </w:r>
      <w:r>
        <w:rPr>
          <w:rFonts w:hint="eastAsia" w:ascii="宋体" w:hAnsi="宋体"/>
          <w:b/>
          <w:color w:val="000000" w:themeColor="text1"/>
          <w:sz w:val="24"/>
          <w:szCs w:val="31"/>
          <w:highlight w:val="none"/>
          <w:lang w:eastAsia="zh-CN"/>
          <w14:textFill>
            <w14:solidFill>
              <w14:schemeClr w14:val="tx1"/>
            </w14:solidFill>
          </w14:textFill>
        </w:rPr>
        <w:t>技术</w:t>
      </w:r>
      <w:r>
        <w:rPr>
          <w:rFonts w:hint="eastAsia" w:ascii="宋体" w:hAnsi="宋体"/>
          <w:b/>
          <w:color w:val="000000" w:themeColor="text1"/>
          <w:sz w:val="24"/>
          <w:szCs w:val="31"/>
          <w:highlight w:val="none"/>
          <w14:textFill>
            <w14:solidFill>
              <w14:schemeClr w14:val="tx1"/>
            </w14:solidFill>
          </w14:textFill>
        </w:rPr>
        <w:t>负责人</w:t>
      </w:r>
    </w:p>
    <w:p w14:paraId="151D27E5">
      <w:pPr>
        <w:spacing w:before="260" w:after="260" w:line="415" w:lineRule="auto"/>
        <w:jc w:val="center"/>
        <w:rPr>
          <w:rFonts w:hint="eastAsia"/>
          <w:b/>
          <w:color w:val="000000" w:themeColor="text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技术负责人</w:t>
      </w:r>
      <w:r>
        <w:rPr>
          <w:b/>
          <w:color w:val="000000" w:themeColor="text1"/>
          <w:sz w:val="32"/>
          <w:szCs w:val="32"/>
          <w:highlight w:val="none"/>
          <w14:textFill>
            <w14:solidFill>
              <w14:schemeClr w14:val="tx1"/>
            </w14:solidFill>
          </w14:textFill>
        </w:rPr>
        <w:t>简历表</w:t>
      </w:r>
    </w:p>
    <w:tbl>
      <w:tblPr>
        <w:tblStyle w:val="38"/>
        <w:tblpPr w:leftFromText="180" w:rightFromText="180" w:vertAnchor="text" w:horzAnchor="margin" w:tblpY="9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355"/>
        <w:gridCol w:w="723"/>
        <w:gridCol w:w="928"/>
        <w:gridCol w:w="1066"/>
        <w:gridCol w:w="704"/>
        <w:gridCol w:w="1260"/>
        <w:gridCol w:w="167"/>
        <w:gridCol w:w="2136"/>
      </w:tblGrid>
      <w:tr w14:paraId="5515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14:paraId="524F3C14">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姓  名</w:t>
            </w:r>
          </w:p>
        </w:tc>
        <w:tc>
          <w:tcPr>
            <w:tcW w:w="1078" w:type="dxa"/>
            <w:gridSpan w:val="2"/>
            <w:noWrap w:val="0"/>
            <w:vAlign w:val="center"/>
          </w:tcPr>
          <w:p w14:paraId="50E14703">
            <w:pPr>
              <w:spacing w:line="440" w:lineRule="exact"/>
              <w:jc w:val="center"/>
              <w:rPr>
                <w:rFonts w:ascii="宋体" w:hAnsi="宋体"/>
                <w:color w:val="000000" w:themeColor="text1"/>
                <w:szCs w:val="21"/>
                <w:highlight w:val="none"/>
                <w14:textFill>
                  <w14:solidFill>
                    <w14:schemeClr w14:val="tx1"/>
                  </w14:solidFill>
                </w14:textFill>
              </w:rPr>
            </w:pPr>
          </w:p>
        </w:tc>
        <w:tc>
          <w:tcPr>
            <w:tcW w:w="928" w:type="dxa"/>
            <w:noWrap w:val="0"/>
            <w:vAlign w:val="center"/>
          </w:tcPr>
          <w:p w14:paraId="476F67A2">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年 龄</w:t>
            </w:r>
          </w:p>
        </w:tc>
        <w:tc>
          <w:tcPr>
            <w:tcW w:w="1066" w:type="dxa"/>
            <w:noWrap w:val="0"/>
            <w:vAlign w:val="center"/>
          </w:tcPr>
          <w:p w14:paraId="7D5A7984">
            <w:pPr>
              <w:spacing w:line="440" w:lineRule="exact"/>
              <w:jc w:val="center"/>
              <w:rPr>
                <w:rFonts w:ascii="宋体" w:hAnsi="宋体"/>
                <w:color w:val="000000" w:themeColor="text1"/>
                <w:szCs w:val="21"/>
                <w:highlight w:val="none"/>
                <w14:textFill>
                  <w14:solidFill>
                    <w14:schemeClr w14:val="tx1"/>
                  </w14:solidFill>
                </w14:textFill>
              </w:rPr>
            </w:pPr>
          </w:p>
        </w:tc>
        <w:tc>
          <w:tcPr>
            <w:tcW w:w="2131" w:type="dxa"/>
            <w:gridSpan w:val="3"/>
            <w:noWrap w:val="0"/>
            <w:vAlign w:val="center"/>
          </w:tcPr>
          <w:p w14:paraId="08785C4B">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学历</w:t>
            </w:r>
          </w:p>
        </w:tc>
        <w:tc>
          <w:tcPr>
            <w:tcW w:w="2136" w:type="dxa"/>
            <w:noWrap w:val="0"/>
            <w:vAlign w:val="center"/>
          </w:tcPr>
          <w:p w14:paraId="3CC5CFCF">
            <w:pPr>
              <w:spacing w:line="440" w:lineRule="exact"/>
              <w:rPr>
                <w:rFonts w:ascii="宋体" w:hAnsi="宋体"/>
                <w:color w:val="000000" w:themeColor="text1"/>
                <w:szCs w:val="21"/>
                <w:highlight w:val="none"/>
                <w14:textFill>
                  <w14:solidFill>
                    <w14:schemeClr w14:val="tx1"/>
                  </w14:solidFill>
                </w14:textFill>
              </w:rPr>
            </w:pPr>
          </w:p>
        </w:tc>
      </w:tr>
      <w:tr w14:paraId="37CA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14:paraId="59FFA0A8">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职  称</w:t>
            </w:r>
          </w:p>
        </w:tc>
        <w:tc>
          <w:tcPr>
            <w:tcW w:w="1078" w:type="dxa"/>
            <w:gridSpan w:val="2"/>
            <w:noWrap w:val="0"/>
            <w:vAlign w:val="center"/>
          </w:tcPr>
          <w:p w14:paraId="28D55F7D">
            <w:pPr>
              <w:spacing w:line="440" w:lineRule="exact"/>
              <w:jc w:val="center"/>
              <w:rPr>
                <w:rFonts w:ascii="宋体" w:hAnsi="宋体"/>
                <w:color w:val="000000" w:themeColor="text1"/>
                <w:szCs w:val="21"/>
                <w:highlight w:val="none"/>
                <w14:textFill>
                  <w14:solidFill>
                    <w14:schemeClr w14:val="tx1"/>
                  </w14:solidFill>
                </w14:textFill>
              </w:rPr>
            </w:pPr>
          </w:p>
        </w:tc>
        <w:tc>
          <w:tcPr>
            <w:tcW w:w="928" w:type="dxa"/>
            <w:noWrap w:val="0"/>
            <w:vAlign w:val="center"/>
          </w:tcPr>
          <w:p w14:paraId="2D9330F7">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职 务</w:t>
            </w:r>
          </w:p>
        </w:tc>
        <w:tc>
          <w:tcPr>
            <w:tcW w:w="1066" w:type="dxa"/>
            <w:noWrap w:val="0"/>
            <w:vAlign w:val="center"/>
          </w:tcPr>
          <w:p w14:paraId="66BF5789">
            <w:pPr>
              <w:spacing w:line="440" w:lineRule="exact"/>
              <w:jc w:val="center"/>
              <w:rPr>
                <w:rFonts w:ascii="宋体" w:hAnsi="宋体"/>
                <w:color w:val="000000" w:themeColor="text1"/>
                <w:szCs w:val="21"/>
                <w:highlight w:val="none"/>
                <w14:textFill>
                  <w14:solidFill>
                    <w14:schemeClr w14:val="tx1"/>
                  </w14:solidFill>
                </w14:textFill>
              </w:rPr>
            </w:pPr>
          </w:p>
        </w:tc>
        <w:tc>
          <w:tcPr>
            <w:tcW w:w="2131" w:type="dxa"/>
            <w:gridSpan w:val="3"/>
            <w:noWrap w:val="0"/>
            <w:vAlign w:val="center"/>
          </w:tcPr>
          <w:p w14:paraId="5CFC9BC6">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拟在本合同任职</w:t>
            </w:r>
          </w:p>
        </w:tc>
        <w:tc>
          <w:tcPr>
            <w:tcW w:w="2136" w:type="dxa"/>
            <w:noWrap w:val="0"/>
            <w:vAlign w:val="center"/>
          </w:tcPr>
          <w:p w14:paraId="1AFD4E74">
            <w:pPr>
              <w:spacing w:line="440" w:lineRule="exact"/>
              <w:rPr>
                <w:rFonts w:ascii="宋体" w:hAnsi="宋体"/>
                <w:color w:val="000000" w:themeColor="text1"/>
                <w:szCs w:val="21"/>
                <w:highlight w:val="none"/>
                <w14:textFill>
                  <w14:solidFill>
                    <w14:schemeClr w14:val="tx1"/>
                  </w14:solidFill>
                </w14:textFill>
              </w:rPr>
            </w:pPr>
          </w:p>
        </w:tc>
      </w:tr>
      <w:tr w14:paraId="15B2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9"/>
            <w:noWrap w:val="0"/>
            <w:vAlign w:val="center"/>
          </w:tcPr>
          <w:p w14:paraId="0C55B47C">
            <w:pPr>
              <w:spacing w:line="440" w:lineRule="exact"/>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主要工作经历</w:t>
            </w:r>
          </w:p>
        </w:tc>
      </w:tr>
      <w:tr w14:paraId="0D12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4" w:type="dxa"/>
            <w:gridSpan w:val="2"/>
            <w:noWrap w:val="0"/>
            <w:vAlign w:val="center"/>
          </w:tcPr>
          <w:p w14:paraId="77A44A0E">
            <w:pPr>
              <w:spacing w:line="440" w:lineRule="exac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时  间</w:t>
            </w:r>
          </w:p>
        </w:tc>
        <w:tc>
          <w:tcPr>
            <w:tcW w:w="3421" w:type="dxa"/>
            <w:gridSpan w:val="4"/>
            <w:noWrap w:val="0"/>
            <w:vAlign w:val="center"/>
          </w:tcPr>
          <w:p w14:paraId="7F7DEA17">
            <w:pPr>
              <w:spacing w:line="440" w:lineRule="exac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参加过的类似项目</w:t>
            </w:r>
          </w:p>
        </w:tc>
        <w:tc>
          <w:tcPr>
            <w:tcW w:w="1260" w:type="dxa"/>
            <w:noWrap w:val="0"/>
            <w:vAlign w:val="center"/>
          </w:tcPr>
          <w:p w14:paraId="5069D934">
            <w:pPr>
              <w:spacing w:line="440" w:lineRule="exac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担任职务</w:t>
            </w:r>
          </w:p>
        </w:tc>
        <w:tc>
          <w:tcPr>
            <w:tcW w:w="2303" w:type="dxa"/>
            <w:gridSpan w:val="2"/>
            <w:noWrap w:val="0"/>
            <w:vAlign w:val="center"/>
          </w:tcPr>
          <w:p w14:paraId="1D5EA0D4">
            <w:pPr>
              <w:spacing w:line="440" w:lineRule="exac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发包人及联系电话</w:t>
            </w:r>
          </w:p>
        </w:tc>
      </w:tr>
      <w:tr w14:paraId="27F9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41A6E6D">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381062A1">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12B1C53A">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7753B8ED">
            <w:pPr>
              <w:spacing w:line="440" w:lineRule="exact"/>
              <w:rPr>
                <w:rFonts w:eastAsia="黑体"/>
                <w:color w:val="000000" w:themeColor="text1"/>
                <w:szCs w:val="21"/>
                <w:highlight w:val="none"/>
                <w14:textFill>
                  <w14:solidFill>
                    <w14:schemeClr w14:val="tx1"/>
                  </w14:solidFill>
                </w14:textFill>
              </w:rPr>
            </w:pPr>
          </w:p>
        </w:tc>
      </w:tr>
      <w:tr w14:paraId="2E4B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3FA7907B">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2E0595E7">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209CC519">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098936C0">
            <w:pPr>
              <w:spacing w:line="440" w:lineRule="exact"/>
              <w:rPr>
                <w:rFonts w:eastAsia="黑体"/>
                <w:color w:val="000000" w:themeColor="text1"/>
                <w:szCs w:val="21"/>
                <w:highlight w:val="none"/>
                <w14:textFill>
                  <w14:solidFill>
                    <w14:schemeClr w14:val="tx1"/>
                  </w14:solidFill>
                </w14:textFill>
              </w:rPr>
            </w:pPr>
          </w:p>
        </w:tc>
      </w:tr>
      <w:tr w14:paraId="34D8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1E08A62E">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2DFCAD8E">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3DA46801">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1456E4E3">
            <w:pPr>
              <w:spacing w:line="440" w:lineRule="exact"/>
              <w:rPr>
                <w:rFonts w:eastAsia="黑体"/>
                <w:color w:val="000000" w:themeColor="text1"/>
                <w:szCs w:val="21"/>
                <w:highlight w:val="none"/>
                <w14:textFill>
                  <w14:solidFill>
                    <w14:schemeClr w14:val="tx1"/>
                  </w14:solidFill>
                </w14:textFill>
              </w:rPr>
            </w:pPr>
          </w:p>
        </w:tc>
      </w:tr>
      <w:tr w14:paraId="5F47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69F7EB2">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2389783E">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20DC3C06">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5F90A1E5">
            <w:pPr>
              <w:spacing w:line="440" w:lineRule="exact"/>
              <w:rPr>
                <w:rFonts w:eastAsia="黑体"/>
                <w:color w:val="000000" w:themeColor="text1"/>
                <w:szCs w:val="21"/>
                <w:highlight w:val="none"/>
                <w14:textFill>
                  <w14:solidFill>
                    <w14:schemeClr w14:val="tx1"/>
                  </w14:solidFill>
                </w14:textFill>
              </w:rPr>
            </w:pPr>
          </w:p>
        </w:tc>
      </w:tr>
      <w:tr w14:paraId="6374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9E80DB0">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726D7BF7">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093D164C">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09B63942">
            <w:pPr>
              <w:spacing w:line="440" w:lineRule="exact"/>
              <w:rPr>
                <w:rFonts w:eastAsia="黑体"/>
                <w:color w:val="000000" w:themeColor="text1"/>
                <w:szCs w:val="21"/>
                <w:highlight w:val="none"/>
                <w14:textFill>
                  <w14:solidFill>
                    <w14:schemeClr w14:val="tx1"/>
                  </w14:solidFill>
                </w14:textFill>
              </w:rPr>
            </w:pPr>
          </w:p>
        </w:tc>
      </w:tr>
      <w:tr w14:paraId="2C36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6638AD3">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41797F22">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2B7B0C77">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593CE5E8">
            <w:pPr>
              <w:spacing w:line="440" w:lineRule="exact"/>
              <w:rPr>
                <w:rFonts w:eastAsia="黑体"/>
                <w:color w:val="000000" w:themeColor="text1"/>
                <w:szCs w:val="21"/>
                <w:highlight w:val="none"/>
                <w14:textFill>
                  <w14:solidFill>
                    <w14:schemeClr w14:val="tx1"/>
                  </w14:solidFill>
                </w14:textFill>
              </w:rPr>
            </w:pPr>
          </w:p>
        </w:tc>
      </w:tr>
      <w:tr w14:paraId="5730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6890CCE9">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15900B8B">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4D19B5A5">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07B464A6">
            <w:pPr>
              <w:spacing w:line="440" w:lineRule="exact"/>
              <w:rPr>
                <w:rFonts w:eastAsia="黑体"/>
                <w:color w:val="000000" w:themeColor="text1"/>
                <w:szCs w:val="21"/>
                <w:highlight w:val="none"/>
                <w14:textFill>
                  <w14:solidFill>
                    <w14:schemeClr w14:val="tx1"/>
                  </w14:solidFill>
                </w14:textFill>
              </w:rPr>
            </w:pPr>
          </w:p>
        </w:tc>
      </w:tr>
      <w:tr w14:paraId="2633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6B29DFD3">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44759291">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2E942CD3">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4DF8F5FA">
            <w:pPr>
              <w:spacing w:line="440" w:lineRule="exact"/>
              <w:rPr>
                <w:rFonts w:eastAsia="黑体"/>
                <w:color w:val="000000" w:themeColor="text1"/>
                <w:szCs w:val="21"/>
                <w:highlight w:val="none"/>
                <w14:textFill>
                  <w14:solidFill>
                    <w14:schemeClr w14:val="tx1"/>
                  </w14:solidFill>
                </w14:textFill>
              </w:rPr>
            </w:pPr>
          </w:p>
        </w:tc>
      </w:tr>
      <w:tr w14:paraId="5DF2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5ED80391">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29411FD7">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3A5E1BEA">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7C7443FF">
            <w:pPr>
              <w:spacing w:line="440" w:lineRule="exact"/>
              <w:rPr>
                <w:rFonts w:eastAsia="黑体"/>
                <w:color w:val="000000" w:themeColor="text1"/>
                <w:szCs w:val="21"/>
                <w:highlight w:val="none"/>
                <w14:textFill>
                  <w14:solidFill>
                    <w14:schemeClr w14:val="tx1"/>
                  </w14:solidFill>
                </w14:textFill>
              </w:rPr>
            </w:pPr>
          </w:p>
        </w:tc>
      </w:tr>
      <w:tr w14:paraId="1928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4105EBB">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7B440C9A">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6D0E637A">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5158884D">
            <w:pPr>
              <w:spacing w:line="440" w:lineRule="exact"/>
              <w:rPr>
                <w:rFonts w:eastAsia="黑体"/>
                <w:color w:val="000000" w:themeColor="text1"/>
                <w:szCs w:val="21"/>
                <w:highlight w:val="none"/>
                <w14:textFill>
                  <w14:solidFill>
                    <w14:schemeClr w14:val="tx1"/>
                  </w14:solidFill>
                </w14:textFill>
              </w:rPr>
            </w:pPr>
          </w:p>
        </w:tc>
      </w:tr>
      <w:tr w14:paraId="6DBB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63CC2364">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079784D1">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1BF8A2D8">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5CB1A70C">
            <w:pPr>
              <w:spacing w:line="440" w:lineRule="exact"/>
              <w:rPr>
                <w:rFonts w:eastAsia="黑体"/>
                <w:color w:val="000000" w:themeColor="text1"/>
                <w:szCs w:val="21"/>
                <w:highlight w:val="none"/>
                <w14:textFill>
                  <w14:solidFill>
                    <w14:schemeClr w14:val="tx1"/>
                  </w14:solidFill>
                </w14:textFill>
              </w:rPr>
            </w:pPr>
          </w:p>
        </w:tc>
      </w:tr>
      <w:tr w14:paraId="541F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C7687C0">
            <w:pPr>
              <w:spacing w:line="440" w:lineRule="exact"/>
              <w:rPr>
                <w:rFonts w:eastAsia="黑体"/>
                <w:color w:val="000000" w:themeColor="text1"/>
                <w:szCs w:val="21"/>
                <w:highlight w:val="none"/>
                <w14:textFill>
                  <w14:solidFill>
                    <w14:schemeClr w14:val="tx1"/>
                  </w14:solidFill>
                </w14:textFill>
              </w:rPr>
            </w:pPr>
          </w:p>
        </w:tc>
        <w:tc>
          <w:tcPr>
            <w:tcW w:w="3421" w:type="dxa"/>
            <w:gridSpan w:val="4"/>
            <w:noWrap w:val="0"/>
            <w:vAlign w:val="top"/>
          </w:tcPr>
          <w:p w14:paraId="79298542">
            <w:pPr>
              <w:spacing w:line="440" w:lineRule="exact"/>
              <w:rPr>
                <w:rFonts w:eastAsia="黑体"/>
                <w:color w:val="000000" w:themeColor="text1"/>
                <w:szCs w:val="21"/>
                <w:highlight w:val="none"/>
                <w14:textFill>
                  <w14:solidFill>
                    <w14:schemeClr w14:val="tx1"/>
                  </w14:solidFill>
                </w14:textFill>
              </w:rPr>
            </w:pPr>
          </w:p>
        </w:tc>
        <w:tc>
          <w:tcPr>
            <w:tcW w:w="1260" w:type="dxa"/>
            <w:noWrap w:val="0"/>
            <w:vAlign w:val="top"/>
          </w:tcPr>
          <w:p w14:paraId="2CCE4C59">
            <w:pPr>
              <w:spacing w:line="440" w:lineRule="exact"/>
              <w:rPr>
                <w:rFonts w:eastAsia="黑体"/>
                <w:color w:val="000000" w:themeColor="text1"/>
                <w:szCs w:val="21"/>
                <w:highlight w:val="none"/>
                <w14:textFill>
                  <w14:solidFill>
                    <w14:schemeClr w14:val="tx1"/>
                  </w14:solidFill>
                </w14:textFill>
              </w:rPr>
            </w:pPr>
          </w:p>
        </w:tc>
        <w:tc>
          <w:tcPr>
            <w:tcW w:w="2303" w:type="dxa"/>
            <w:gridSpan w:val="2"/>
            <w:noWrap w:val="0"/>
            <w:vAlign w:val="top"/>
          </w:tcPr>
          <w:p w14:paraId="09D62B11">
            <w:pPr>
              <w:spacing w:line="440" w:lineRule="exact"/>
              <w:rPr>
                <w:rFonts w:eastAsia="黑体"/>
                <w:color w:val="000000" w:themeColor="text1"/>
                <w:szCs w:val="21"/>
                <w:highlight w:val="none"/>
                <w14:textFill>
                  <w14:solidFill>
                    <w14:schemeClr w14:val="tx1"/>
                  </w14:solidFill>
                </w14:textFill>
              </w:rPr>
            </w:pPr>
          </w:p>
        </w:tc>
      </w:tr>
    </w:tbl>
    <w:p w14:paraId="7CB9D71A">
      <w:pPr>
        <w:spacing w:before="260" w:after="260" w:line="415" w:lineRule="auto"/>
        <w:jc w:val="left"/>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注：</w:t>
      </w:r>
      <w:r>
        <w:rPr>
          <w:rFonts w:hint="eastAsia"/>
          <w:color w:val="000000" w:themeColor="text1"/>
          <w:szCs w:val="21"/>
          <w:highlight w:val="none"/>
          <w14:textFill>
            <w14:solidFill>
              <w14:schemeClr w14:val="tx1"/>
            </w14:solidFill>
          </w14:textFill>
        </w:rPr>
        <w:t>应附职称证书、</w:t>
      </w:r>
      <w:r>
        <w:rPr>
          <w:rFonts w:hint="eastAsia"/>
          <w:color w:val="000000" w:themeColor="text1"/>
          <w:highlight w:val="none"/>
          <w:u w:val="single"/>
          <w14:textFill>
            <w14:solidFill>
              <w14:schemeClr w14:val="tx1"/>
            </w14:solidFill>
          </w14:textFill>
        </w:rPr>
        <w:t>社保证明</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业绩（如有）等相关资料扫描件</w:t>
      </w:r>
      <w:r>
        <w:rPr>
          <w:rFonts w:hint="eastAsia"/>
          <w:color w:val="000000" w:themeColor="text1"/>
          <w:szCs w:val="21"/>
          <w:highlight w:val="none"/>
          <w14:textFill>
            <w14:solidFill>
              <w14:schemeClr w14:val="tx1"/>
            </w14:solidFill>
          </w14:textFill>
        </w:rPr>
        <w:t>。</w:t>
      </w:r>
    </w:p>
    <w:p w14:paraId="4C4DE59A">
      <w:pPr>
        <w:pageBreakBefore/>
        <w:widowControl/>
        <w:jc w:val="left"/>
        <w:rPr>
          <w:rFonts w:ascii="宋体" w:hAnsi="宋体"/>
          <w:b/>
          <w:color w:val="000000" w:themeColor="text1"/>
          <w:sz w:val="24"/>
          <w:szCs w:val="31"/>
          <w:highlight w:val="none"/>
          <w14:textFill>
            <w14:solidFill>
              <w14:schemeClr w14:val="tx1"/>
            </w14:solidFill>
          </w14:textFill>
        </w:rPr>
      </w:pPr>
    </w:p>
    <w:p w14:paraId="07C70081">
      <w:pPr>
        <w:spacing w:line="400" w:lineRule="exact"/>
        <w:jc w:val="left"/>
        <w:outlineLvl w:val="3"/>
        <w:rPr>
          <w:rFonts w:ascii="宋体" w:hAnsi="宋体"/>
          <w:b/>
          <w:color w:val="000000" w:themeColor="text1"/>
          <w:sz w:val="24"/>
          <w:szCs w:val="31"/>
          <w:highlight w:val="none"/>
          <w14:textFill>
            <w14:solidFill>
              <w14:schemeClr w14:val="tx1"/>
            </w14:solidFill>
          </w14:textFill>
        </w:rPr>
      </w:pPr>
      <w:r>
        <w:rPr>
          <w:rFonts w:hint="eastAsia" w:ascii="宋体" w:hAnsi="宋体"/>
          <w:b/>
          <w:color w:val="000000" w:themeColor="text1"/>
          <w:sz w:val="24"/>
          <w:szCs w:val="31"/>
          <w:highlight w:val="none"/>
          <w14:textFill>
            <w14:solidFill>
              <w14:schemeClr w14:val="tx1"/>
            </w14:solidFill>
          </w14:textFill>
        </w:rPr>
        <w:t>（</w:t>
      </w:r>
      <w:r>
        <w:rPr>
          <w:rFonts w:hint="eastAsia" w:ascii="宋体" w:hAnsi="宋体"/>
          <w:b/>
          <w:color w:val="000000" w:themeColor="text1"/>
          <w:sz w:val="24"/>
          <w:szCs w:val="31"/>
          <w:highlight w:val="none"/>
          <w:lang w:eastAsia="zh-CN"/>
          <w14:textFill>
            <w14:solidFill>
              <w14:schemeClr w14:val="tx1"/>
            </w14:solidFill>
          </w14:textFill>
        </w:rPr>
        <w:t>四</w:t>
      </w:r>
      <w:r>
        <w:rPr>
          <w:rFonts w:hint="eastAsia" w:ascii="宋体" w:hAnsi="宋体"/>
          <w:b/>
          <w:color w:val="000000" w:themeColor="text1"/>
          <w:sz w:val="24"/>
          <w:szCs w:val="31"/>
          <w:highlight w:val="none"/>
          <w14:textFill>
            <w14:solidFill>
              <w14:schemeClr w14:val="tx1"/>
            </w14:solidFill>
          </w14:textFill>
        </w:rPr>
        <w:t>）</w:t>
      </w:r>
      <w:r>
        <w:rPr>
          <w:rFonts w:hint="eastAsia" w:ascii="宋体" w:hAnsi="宋体"/>
          <w:b/>
          <w:color w:val="000000" w:themeColor="text1"/>
          <w:sz w:val="24"/>
          <w:szCs w:val="31"/>
          <w:highlight w:val="none"/>
          <w:lang w:eastAsia="zh-CN"/>
          <w14:textFill>
            <w14:solidFill>
              <w14:schemeClr w14:val="tx1"/>
            </w14:solidFill>
          </w14:textFill>
        </w:rPr>
        <w:t>拟投入</w:t>
      </w:r>
      <w:r>
        <w:rPr>
          <w:rFonts w:hint="eastAsia" w:ascii="宋体" w:hAnsi="宋体"/>
          <w:b/>
          <w:color w:val="000000" w:themeColor="text1"/>
          <w:sz w:val="24"/>
          <w:szCs w:val="31"/>
          <w:highlight w:val="none"/>
          <w14:textFill>
            <w14:solidFill>
              <w14:schemeClr w14:val="tx1"/>
            </w14:solidFill>
          </w14:textFill>
        </w:rPr>
        <w:t>专职安全员</w:t>
      </w:r>
      <w:bookmarkEnd w:id="1192"/>
      <w:bookmarkEnd w:id="1193"/>
      <w:bookmarkEnd w:id="1194"/>
      <w:bookmarkEnd w:id="1195"/>
    </w:p>
    <w:p w14:paraId="455579E0">
      <w:pPr>
        <w:spacing w:before="260" w:after="260" w:line="415" w:lineRule="auto"/>
        <w:jc w:val="center"/>
        <w:rPr>
          <w:b/>
          <w:color w:val="000000" w:themeColor="text1"/>
          <w:sz w:val="32"/>
          <w:szCs w:val="32"/>
          <w:highlight w:val="none"/>
          <w14:textFill>
            <w14:solidFill>
              <w14:schemeClr w14:val="tx1"/>
            </w14:solidFill>
          </w14:textFill>
        </w:rPr>
      </w:pPr>
      <w:r>
        <w:rPr>
          <w:rFonts w:hint="eastAsia" w:ascii="Times New Roman" w:hAnsi="Times New Roman"/>
          <w:b/>
          <w:color w:val="000000" w:themeColor="text1"/>
          <w:sz w:val="32"/>
          <w:szCs w:val="32"/>
          <w:highlight w:val="none"/>
          <w14:textFill>
            <w14:solidFill>
              <w14:schemeClr w14:val="tx1"/>
            </w14:solidFill>
          </w14:textFill>
        </w:rPr>
        <w:t>专职安全员</w:t>
      </w:r>
      <w:r>
        <w:rPr>
          <w:rFonts w:hint="eastAsia"/>
          <w:b/>
          <w:color w:val="000000" w:themeColor="text1"/>
          <w:sz w:val="32"/>
          <w:szCs w:val="32"/>
          <w:highlight w:val="none"/>
          <w14:textFill>
            <w14:solidFill>
              <w14:schemeClr w14:val="tx1"/>
            </w14:solidFill>
          </w14:textFill>
        </w:rPr>
        <w:t>简历</w:t>
      </w:r>
      <w:r>
        <w:rPr>
          <w:rFonts w:hint="eastAsia" w:ascii="Times New Roman" w:hAnsi="Times New Roman"/>
          <w:b/>
          <w:color w:val="000000" w:themeColor="text1"/>
          <w:sz w:val="32"/>
          <w:szCs w:val="32"/>
          <w:highlight w:val="none"/>
          <w14:textFill>
            <w14:solidFill>
              <w14:schemeClr w14:val="tx1"/>
            </w14:solidFill>
          </w14:textFill>
        </w:rPr>
        <w:t>表</w:t>
      </w:r>
    </w:p>
    <w:p w14:paraId="667575BB">
      <w:pPr>
        <w:spacing w:line="400" w:lineRule="exact"/>
        <w:ind w:firstLine="420" w:firstLineChars="200"/>
        <w:rPr>
          <w:color w:val="000000" w:themeColor="text1"/>
          <w:highlight w:val="none"/>
          <w14:textFill>
            <w14:solidFill>
              <w14:schemeClr w14:val="tx1"/>
            </w14:solidFill>
          </w14:textFill>
        </w:rPr>
      </w:pP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916"/>
        <w:gridCol w:w="1329"/>
        <w:gridCol w:w="1314"/>
        <w:gridCol w:w="1264"/>
        <w:gridCol w:w="1378"/>
      </w:tblGrid>
      <w:tr w14:paraId="441600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27" w:type="dxa"/>
            <w:noWrap w:val="0"/>
            <w:vAlign w:val="center"/>
          </w:tcPr>
          <w:p w14:paraId="05F9A8D4">
            <w:pPr>
              <w:pStyle w:val="86"/>
              <w:adjustRightInd w:val="0"/>
              <w:snapToGrid w:val="0"/>
              <w:spacing w:before="0" w:after="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14:textFill>
                  <w14:solidFill>
                    <w14:schemeClr w14:val="tx1"/>
                  </w14:solidFill>
                </w14:textFill>
              </w:rPr>
              <w:t>姓名</w:t>
            </w:r>
          </w:p>
        </w:tc>
        <w:tc>
          <w:tcPr>
            <w:tcW w:w="1916" w:type="dxa"/>
            <w:noWrap w:val="0"/>
            <w:vAlign w:val="center"/>
          </w:tcPr>
          <w:p w14:paraId="6F99759A">
            <w:pPr>
              <w:pStyle w:val="86"/>
              <w:adjustRightInd w:val="0"/>
              <w:snapToGrid w:val="0"/>
              <w:spacing w:before="0" w:after="0"/>
              <w:jc w:val="center"/>
              <w:rPr>
                <w:rFonts w:ascii="宋体" w:hAnsi="宋体" w:eastAsia="宋体"/>
                <w:color w:val="000000" w:themeColor="text1"/>
                <w:sz w:val="21"/>
                <w:szCs w:val="21"/>
                <w:highlight w:val="none"/>
                <w14:textFill>
                  <w14:solidFill>
                    <w14:schemeClr w14:val="tx1"/>
                  </w14:solidFill>
                </w14:textFill>
              </w:rPr>
            </w:pPr>
          </w:p>
        </w:tc>
        <w:tc>
          <w:tcPr>
            <w:tcW w:w="1329" w:type="dxa"/>
            <w:noWrap w:val="0"/>
            <w:vAlign w:val="center"/>
          </w:tcPr>
          <w:p w14:paraId="31B43D65">
            <w:pPr>
              <w:pStyle w:val="86"/>
              <w:adjustRightInd w:val="0"/>
              <w:snapToGrid w:val="0"/>
              <w:spacing w:before="0" w:after="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14:textFill>
                  <w14:solidFill>
                    <w14:schemeClr w14:val="tx1"/>
                  </w14:solidFill>
                </w14:textFill>
              </w:rPr>
              <w:t>年龄</w:t>
            </w:r>
          </w:p>
        </w:tc>
        <w:tc>
          <w:tcPr>
            <w:tcW w:w="1314" w:type="dxa"/>
            <w:noWrap w:val="0"/>
            <w:vAlign w:val="center"/>
          </w:tcPr>
          <w:p w14:paraId="089D2436">
            <w:pPr>
              <w:pStyle w:val="86"/>
              <w:adjustRightInd w:val="0"/>
              <w:snapToGrid w:val="0"/>
              <w:spacing w:before="0" w:after="0"/>
              <w:jc w:val="center"/>
              <w:rPr>
                <w:rFonts w:ascii="宋体" w:hAnsi="宋体" w:eastAsia="宋体"/>
                <w:color w:val="000000" w:themeColor="text1"/>
                <w:sz w:val="21"/>
                <w:szCs w:val="21"/>
                <w:highlight w:val="none"/>
                <w14:textFill>
                  <w14:solidFill>
                    <w14:schemeClr w14:val="tx1"/>
                  </w14:solidFill>
                </w14:textFill>
              </w:rPr>
            </w:pPr>
          </w:p>
        </w:tc>
        <w:tc>
          <w:tcPr>
            <w:tcW w:w="1264" w:type="dxa"/>
            <w:noWrap w:val="0"/>
            <w:vAlign w:val="center"/>
          </w:tcPr>
          <w:p w14:paraId="39C1E893">
            <w:pPr>
              <w:pStyle w:val="86"/>
              <w:adjustRightInd w:val="0"/>
              <w:snapToGrid w:val="0"/>
              <w:spacing w:before="0" w:after="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14:textFill>
                  <w14:solidFill>
                    <w14:schemeClr w14:val="tx1"/>
                  </w14:solidFill>
                </w14:textFill>
              </w:rPr>
              <w:t>职称</w:t>
            </w:r>
          </w:p>
        </w:tc>
        <w:tc>
          <w:tcPr>
            <w:tcW w:w="1378" w:type="dxa"/>
            <w:noWrap w:val="0"/>
            <w:vAlign w:val="center"/>
          </w:tcPr>
          <w:p w14:paraId="1DD39580">
            <w:pPr>
              <w:pStyle w:val="86"/>
              <w:adjustRightInd w:val="0"/>
              <w:snapToGrid w:val="0"/>
              <w:spacing w:before="0" w:after="0"/>
              <w:jc w:val="center"/>
              <w:rPr>
                <w:rFonts w:ascii="宋体" w:hAnsi="宋体" w:eastAsia="宋体"/>
                <w:color w:val="000000" w:themeColor="text1"/>
                <w:sz w:val="21"/>
                <w:szCs w:val="21"/>
                <w:highlight w:val="none"/>
                <w14:textFill>
                  <w14:solidFill>
                    <w14:schemeClr w14:val="tx1"/>
                  </w14:solidFill>
                </w14:textFill>
              </w:rPr>
            </w:pPr>
          </w:p>
        </w:tc>
      </w:tr>
      <w:tr w14:paraId="1B9EA7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27" w:type="dxa"/>
            <w:noWrap w:val="0"/>
            <w:vAlign w:val="center"/>
          </w:tcPr>
          <w:p w14:paraId="4972866B">
            <w:pPr>
              <w:pStyle w:val="86"/>
              <w:adjustRightInd w:val="0"/>
              <w:snapToGrid w:val="0"/>
              <w:spacing w:before="0" w:after="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14:textFill>
                  <w14:solidFill>
                    <w14:schemeClr w14:val="tx1"/>
                  </w14:solidFill>
                </w14:textFill>
              </w:rPr>
              <w:t>从事本工作时间</w:t>
            </w:r>
          </w:p>
        </w:tc>
        <w:tc>
          <w:tcPr>
            <w:tcW w:w="1916" w:type="dxa"/>
            <w:noWrap w:val="0"/>
            <w:vAlign w:val="center"/>
          </w:tcPr>
          <w:p w14:paraId="4C4CC6AF">
            <w:pPr>
              <w:pStyle w:val="86"/>
              <w:adjustRightInd w:val="0"/>
              <w:snapToGrid w:val="0"/>
              <w:spacing w:before="0" w:after="0"/>
              <w:jc w:val="center"/>
              <w:rPr>
                <w:rFonts w:ascii="宋体" w:hAnsi="宋体" w:eastAsia="宋体"/>
                <w:color w:val="000000" w:themeColor="text1"/>
                <w:sz w:val="21"/>
                <w:szCs w:val="21"/>
                <w:highlight w:val="none"/>
                <w14:textFill>
                  <w14:solidFill>
                    <w14:schemeClr w14:val="tx1"/>
                  </w14:solidFill>
                </w14:textFill>
              </w:rPr>
            </w:pPr>
          </w:p>
        </w:tc>
        <w:tc>
          <w:tcPr>
            <w:tcW w:w="1329" w:type="dxa"/>
            <w:noWrap w:val="0"/>
            <w:vAlign w:val="center"/>
          </w:tcPr>
          <w:p w14:paraId="3898DBB3">
            <w:pPr>
              <w:pStyle w:val="86"/>
              <w:adjustRightInd w:val="0"/>
              <w:snapToGrid w:val="0"/>
              <w:spacing w:before="0" w:after="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14:textFill>
                  <w14:solidFill>
                    <w14:schemeClr w14:val="tx1"/>
                  </w14:solidFill>
                </w14:textFill>
              </w:rPr>
              <w:t>学历</w:t>
            </w:r>
          </w:p>
        </w:tc>
        <w:tc>
          <w:tcPr>
            <w:tcW w:w="1314" w:type="dxa"/>
            <w:noWrap w:val="0"/>
            <w:vAlign w:val="center"/>
          </w:tcPr>
          <w:p w14:paraId="17D640B7">
            <w:pPr>
              <w:pStyle w:val="86"/>
              <w:adjustRightInd w:val="0"/>
              <w:snapToGrid w:val="0"/>
              <w:spacing w:before="0" w:after="0"/>
              <w:jc w:val="center"/>
              <w:rPr>
                <w:rFonts w:ascii="宋体" w:hAnsi="宋体" w:eastAsia="宋体"/>
                <w:color w:val="000000" w:themeColor="text1"/>
                <w:sz w:val="21"/>
                <w:szCs w:val="21"/>
                <w:highlight w:val="none"/>
                <w14:textFill>
                  <w14:solidFill>
                    <w14:schemeClr w14:val="tx1"/>
                  </w14:solidFill>
                </w14:textFill>
              </w:rPr>
            </w:pPr>
          </w:p>
        </w:tc>
        <w:tc>
          <w:tcPr>
            <w:tcW w:w="1264" w:type="dxa"/>
            <w:noWrap w:val="0"/>
            <w:vAlign w:val="center"/>
          </w:tcPr>
          <w:p w14:paraId="1E7138D3">
            <w:pPr>
              <w:pStyle w:val="86"/>
              <w:adjustRightInd w:val="0"/>
              <w:snapToGrid w:val="0"/>
              <w:spacing w:before="0" w:after="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14:textFill>
                  <w14:solidFill>
                    <w14:schemeClr w14:val="tx1"/>
                  </w14:solidFill>
                </w14:textFill>
              </w:rPr>
              <w:t>专业</w:t>
            </w:r>
          </w:p>
        </w:tc>
        <w:tc>
          <w:tcPr>
            <w:tcW w:w="1378" w:type="dxa"/>
            <w:noWrap w:val="0"/>
            <w:vAlign w:val="center"/>
          </w:tcPr>
          <w:p w14:paraId="559D233D">
            <w:pPr>
              <w:pStyle w:val="86"/>
              <w:adjustRightInd w:val="0"/>
              <w:snapToGrid w:val="0"/>
              <w:spacing w:before="0" w:after="0"/>
              <w:jc w:val="center"/>
              <w:rPr>
                <w:rFonts w:ascii="宋体" w:hAnsi="宋体" w:eastAsia="宋体"/>
                <w:color w:val="000000" w:themeColor="text1"/>
                <w:sz w:val="21"/>
                <w:szCs w:val="21"/>
                <w:highlight w:val="none"/>
                <w14:textFill>
                  <w14:solidFill>
                    <w14:schemeClr w14:val="tx1"/>
                  </w14:solidFill>
                </w14:textFill>
              </w:rPr>
            </w:pPr>
          </w:p>
        </w:tc>
      </w:tr>
    </w:tbl>
    <w:p w14:paraId="4E7980F8">
      <w:pPr>
        <w:widowControl/>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注：应附安全生产考核合格证（C类）或建筑施工企业专职安全生产管理人员安全生产考核合格证书(C</w:t>
      </w:r>
      <w:r>
        <w:rPr>
          <w:rFonts w:hint="eastAsia"/>
          <w:color w:val="000000" w:themeColor="text1"/>
          <w:highlight w:val="none"/>
          <w:u w:val="singl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类)、</w:t>
      </w:r>
      <w:r>
        <w:rPr>
          <w:rFonts w:hint="eastAsia"/>
          <w:color w:val="000000" w:themeColor="text1"/>
          <w:highlight w:val="none"/>
          <w:u w:val="single"/>
          <w14:textFill>
            <w14:solidFill>
              <w14:schemeClr w14:val="tx1"/>
            </w14:solidFill>
          </w14:textFill>
        </w:rPr>
        <w:t>社保证明</w:t>
      </w:r>
      <w:r>
        <w:rPr>
          <w:rFonts w:hint="eastAsia"/>
          <w:color w:val="000000" w:themeColor="text1"/>
          <w:highlight w:val="none"/>
          <w:u w:val="single"/>
          <w:lang w:eastAsia="zh-CN"/>
          <w14:textFill>
            <w14:solidFill>
              <w14:schemeClr w14:val="tx1"/>
            </w14:solidFill>
          </w14:textFill>
        </w:rPr>
        <w:t>。</w:t>
      </w:r>
      <w:r>
        <w:rPr>
          <w:rFonts w:ascii="宋体" w:hAnsi="宋体"/>
          <w:b/>
          <w:color w:val="000000" w:themeColor="text1"/>
          <w:sz w:val="24"/>
          <w:szCs w:val="31"/>
          <w:highlight w:val="none"/>
          <w14:textFill>
            <w14:solidFill>
              <w14:schemeClr w14:val="tx1"/>
            </w14:solidFill>
          </w14:textFill>
        </w:rPr>
        <w:br w:type="page"/>
      </w:r>
      <w:bookmarkEnd w:id="1176"/>
      <w:bookmarkEnd w:id="1177"/>
      <w:bookmarkEnd w:id="1178"/>
      <w:bookmarkEnd w:id="1179"/>
      <w:bookmarkEnd w:id="1180"/>
      <w:bookmarkEnd w:id="1181"/>
      <w:bookmarkEnd w:id="1182"/>
      <w:bookmarkEnd w:id="1183"/>
      <w:bookmarkEnd w:id="1184"/>
    </w:p>
    <w:p w14:paraId="3E4A3D28">
      <w:pPr>
        <w:spacing w:line="360" w:lineRule="auto"/>
        <w:jc w:val="left"/>
        <w:outlineLvl w:val="3"/>
        <w:rPr>
          <w:rFonts w:ascii="宋体" w:hAnsi="宋体"/>
          <w:b/>
          <w:color w:val="000000" w:themeColor="text1"/>
          <w:sz w:val="24"/>
          <w:szCs w:val="31"/>
          <w:highlight w:val="none"/>
          <w14:textFill>
            <w14:solidFill>
              <w14:schemeClr w14:val="tx1"/>
            </w14:solidFill>
          </w14:textFill>
        </w:rPr>
      </w:pPr>
      <w:bookmarkStart w:id="1196" w:name="_Toc221949861"/>
      <w:bookmarkStart w:id="1197" w:name="_Toc227133884"/>
      <w:bookmarkStart w:id="1198" w:name="_Toc222029457"/>
      <w:bookmarkStart w:id="1199" w:name="_Toc229474018"/>
      <w:r>
        <w:rPr>
          <w:rFonts w:hint="eastAsia" w:ascii="宋体" w:hAnsi="宋体"/>
          <w:b/>
          <w:color w:val="000000" w:themeColor="text1"/>
          <w:sz w:val="24"/>
          <w:szCs w:val="31"/>
          <w:highlight w:val="none"/>
          <w14:textFill>
            <w14:solidFill>
              <w14:schemeClr w14:val="tx1"/>
            </w14:solidFill>
          </w14:textFill>
        </w:rPr>
        <w:t>（</w:t>
      </w:r>
      <w:r>
        <w:rPr>
          <w:rFonts w:hint="eastAsia" w:ascii="宋体" w:hAnsi="宋体"/>
          <w:b/>
          <w:color w:val="000000" w:themeColor="text1"/>
          <w:sz w:val="24"/>
          <w:szCs w:val="31"/>
          <w:highlight w:val="none"/>
          <w:lang w:val="en-US" w:eastAsia="zh-CN"/>
          <w14:textFill>
            <w14:solidFill>
              <w14:schemeClr w14:val="tx1"/>
            </w14:solidFill>
          </w14:textFill>
        </w:rPr>
        <w:t>五</w:t>
      </w:r>
      <w:r>
        <w:rPr>
          <w:rFonts w:hint="eastAsia" w:ascii="宋体" w:hAnsi="宋体"/>
          <w:b/>
          <w:color w:val="000000" w:themeColor="text1"/>
          <w:sz w:val="24"/>
          <w:szCs w:val="31"/>
          <w:highlight w:val="none"/>
          <w14:textFill>
            <w14:solidFill>
              <w14:schemeClr w14:val="tx1"/>
            </w14:solidFill>
          </w14:textFill>
        </w:rPr>
        <w:t>）近3年完成的类似项目情况表</w:t>
      </w:r>
      <w:bookmarkEnd w:id="1196"/>
      <w:bookmarkEnd w:id="1197"/>
      <w:bookmarkEnd w:id="1198"/>
      <w:bookmarkEnd w:id="1199"/>
    </w:p>
    <w:p w14:paraId="25E299F7">
      <w:pPr>
        <w:topLinePunct/>
        <w:spacing w:line="36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（近3年指</w:t>
      </w:r>
      <w:r>
        <w:rPr>
          <w:rFonts w:hint="eastAsia"/>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年</w:t>
      </w:r>
      <w:r>
        <w:rPr>
          <w:rFonts w:hint="eastAsia"/>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月</w:t>
      </w:r>
      <w:r>
        <w:rPr>
          <w:rFonts w:hint="eastAsia"/>
          <w:color w:val="000000" w:themeColor="text1"/>
          <w:szCs w:val="21"/>
          <w:highlight w:val="none"/>
          <w:lang w:val="en-US" w:eastAsia="zh-CN"/>
          <w14:textFill>
            <w14:solidFill>
              <w14:schemeClr w14:val="tx1"/>
            </w14:solidFill>
          </w14:textFill>
        </w:rPr>
        <w:t xml:space="preserve">   日至今</w:t>
      </w:r>
      <w:r>
        <w:rPr>
          <w:rFonts w:hint="eastAsia"/>
          <w:color w:val="000000" w:themeColor="text1"/>
          <w:szCs w:val="21"/>
          <w:highlight w:val="none"/>
          <w14:textFill>
            <w14:solidFill>
              <w14:schemeClr w14:val="tx1"/>
            </w14:solidFill>
          </w14:textFill>
        </w:rPr>
        <w:t>）</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6"/>
        <w:gridCol w:w="5182"/>
      </w:tblGrid>
      <w:tr w14:paraId="5163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7B190A91">
            <w:pPr>
              <w:topLinePunct/>
              <w:spacing w:line="360" w:lineRule="auto"/>
              <w:jc w:val="center"/>
              <w:rPr>
                <w:rFonts w:ascii="宋体" w:hAnsi="宋体"/>
                <w:color w:val="000000" w:themeColor="text1"/>
                <w:szCs w:val="21"/>
                <w:highlight w:val="none"/>
                <w14:textFill>
                  <w14:solidFill>
                    <w14:schemeClr w14:val="tx1"/>
                  </w14:solidFill>
                </w14:textFill>
              </w:rPr>
            </w:pPr>
            <w:bookmarkStart w:id="1200" w:name="_Toc221949862"/>
            <w:r>
              <w:rPr>
                <w:rFonts w:hint="eastAsia" w:ascii="宋体" w:hAnsi="宋体"/>
                <w:color w:val="000000" w:themeColor="text1"/>
                <w:szCs w:val="21"/>
                <w:highlight w:val="none"/>
                <w14:textFill>
                  <w14:solidFill>
                    <w14:schemeClr w14:val="tx1"/>
                  </w14:solidFill>
                </w14:textFill>
              </w:rPr>
              <w:t>合同</w:t>
            </w:r>
            <w:r>
              <w:rPr>
                <w:rFonts w:ascii="宋体" w:hAnsi="宋体"/>
                <w:color w:val="000000" w:themeColor="text1"/>
                <w:szCs w:val="21"/>
                <w:highlight w:val="none"/>
                <w14:textFill>
                  <w14:solidFill>
                    <w14:schemeClr w14:val="tx1"/>
                  </w14:solidFill>
                </w14:textFill>
              </w:rPr>
              <w:t>名称</w:t>
            </w:r>
            <w:bookmarkEnd w:id="1200"/>
          </w:p>
        </w:tc>
        <w:tc>
          <w:tcPr>
            <w:tcW w:w="5182" w:type="dxa"/>
            <w:noWrap w:val="0"/>
            <w:vAlign w:val="center"/>
          </w:tcPr>
          <w:p w14:paraId="6E8F105A">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1655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1B2E0B84">
            <w:pPr>
              <w:topLinePunct/>
              <w:spacing w:line="360" w:lineRule="auto"/>
              <w:jc w:val="center"/>
              <w:rPr>
                <w:rFonts w:ascii="宋体" w:hAnsi="宋体"/>
                <w:color w:val="000000" w:themeColor="text1"/>
                <w:szCs w:val="21"/>
                <w:highlight w:val="none"/>
                <w14:textFill>
                  <w14:solidFill>
                    <w14:schemeClr w14:val="tx1"/>
                  </w14:solidFill>
                </w14:textFill>
              </w:rPr>
            </w:pPr>
            <w:bookmarkStart w:id="1201" w:name="_Toc221949863"/>
            <w:r>
              <w:rPr>
                <w:rFonts w:hint="eastAsia" w:ascii="宋体" w:hAnsi="宋体"/>
                <w:color w:val="000000" w:themeColor="text1"/>
                <w:szCs w:val="21"/>
                <w:highlight w:val="none"/>
                <w14:textFill>
                  <w14:solidFill>
                    <w14:schemeClr w14:val="tx1"/>
                  </w14:solidFill>
                </w14:textFill>
              </w:rPr>
              <w:t>合同</w:t>
            </w:r>
            <w:r>
              <w:rPr>
                <w:rFonts w:ascii="宋体" w:hAnsi="宋体"/>
                <w:color w:val="000000" w:themeColor="text1"/>
                <w:szCs w:val="21"/>
                <w:highlight w:val="none"/>
                <w14:textFill>
                  <w14:solidFill>
                    <w14:schemeClr w14:val="tx1"/>
                  </w14:solidFill>
                </w14:textFill>
              </w:rPr>
              <w:t>项目所在地</w:t>
            </w:r>
            <w:bookmarkEnd w:id="1201"/>
          </w:p>
        </w:tc>
        <w:tc>
          <w:tcPr>
            <w:tcW w:w="5182" w:type="dxa"/>
            <w:noWrap w:val="0"/>
            <w:vAlign w:val="center"/>
          </w:tcPr>
          <w:p w14:paraId="54F12CC6">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409D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40CAD702">
            <w:pPr>
              <w:topLinePunct/>
              <w:spacing w:line="360" w:lineRule="auto"/>
              <w:jc w:val="center"/>
              <w:rPr>
                <w:rFonts w:ascii="宋体" w:hAnsi="宋体"/>
                <w:color w:val="000000" w:themeColor="text1"/>
                <w:szCs w:val="21"/>
                <w:highlight w:val="none"/>
                <w14:textFill>
                  <w14:solidFill>
                    <w14:schemeClr w14:val="tx1"/>
                  </w14:solidFill>
                </w14:textFill>
              </w:rPr>
            </w:pPr>
            <w:bookmarkStart w:id="1202" w:name="_Toc221949864"/>
            <w:r>
              <w:rPr>
                <w:rFonts w:ascii="宋体" w:hAnsi="宋体"/>
                <w:color w:val="000000" w:themeColor="text1"/>
                <w:szCs w:val="21"/>
                <w:highlight w:val="none"/>
                <w14:textFill>
                  <w14:solidFill>
                    <w14:schemeClr w14:val="tx1"/>
                  </w14:solidFill>
                </w14:textFill>
              </w:rPr>
              <w:t>发包人名称</w:t>
            </w:r>
            <w:bookmarkEnd w:id="1202"/>
          </w:p>
        </w:tc>
        <w:tc>
          <w:tcPr>
            <w:tcW w:w="5182" w:type="dxa"/>
            <w:noWrap w:val="0"/>
            <w:vAlign w:val="center"/>
          </w:tcPr>
          <w:p w14:paraId="109C1CB7">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3902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5FCAFC2A">
            <w:pPr>
              <w:topLinePunct/>
              <w:spacing w:line="360" w:lineRule="auto"/>
              <w:jc w:val="center"/>
              <w:rPr>
                <w:rFonts w:ascii="宋体" w:hAnsi="宋体"/>
                <w:color w:val="000000" w:themeColor="text1"/>
                <w:szCs w:val="21"/>
                <w:highlight w:val="none"/>
                <w14:textFill>
                  <w14:solidFill>
                    <w14:schemeClr w14:val="tx1"/>
                  </w14:solidFill>
                </w14:textFill>
              </w:rPr>
            </w:pPr>
            <w:bookmarkStart w:id="1203" w:name="_Toc221949865"/>
            <w:r>
              <w:rPr>
                <w:rFonts w:ascii="宋体" w:hAnsi="宋体"/>
                <w:color w:val="000000" w:themeColor="text1"/>
                <w:szCs w:val="21"/>
                <w:highlight w:val="none"/>
                <w14:textFill>
                  <w14:solidFill>
                    <w14:schemeClr w14:val="tx1"/>
                  </w14:solidFill>
                </w14:textFill>
              </w:rPr>
              <w:t>发包人地址</w:t>
            </w:r>
            <w:bookmarkEnd w:id="1203"/>
          </w:p>
        </w:tc>
        <w:tc>
          <w:tcPr>
            <w:tcW w:w="5182" w:type="dxa"/>
            <w:noWrap w:val="0"/>
            <w:vAlign w:val="center"/>
          </w:tcPr>
          <w:p w14:paraId="5581CFA8">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0258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0C27DC69">
            <w:pPr>
              <w:topLinePunct/>
              <w:spacing w:line="360" w:lineRule="auto"/>
              <w:jc w:val="center"/>
              <w:rPr>
                <w:rFonts w:ascii="宋体" w:hAnsi="宋体"/>
                <w:color w:val="000000" w:themeColor="text1"/>
                <w:szCs w:val="21"/>
                <w:highlight w:val="none"/>
                <w14:textFill>
                  <w14:solidFill>
                    <w14:schemeClr w14:val="tx1"/>
                  </w14:solidFill>
                </w14:textFill>
              </w:rPr>
            </w:pPr>
            <w:bookmarkStart w:id="1204" w:name="_Toc221949866"/>
            <w:r>
              <w:rPr>
                <w:rFonts w:ascii="宋体" w:hAnsi="宋体"/>
                <w:color w:val="000000" w:themeColor="text1"/>
                <w:szCs w:val="21"/>
                <w:highlight w:val="none"/>
                <w14:textFill>
                  <w14:solidFill>
                    <w14:schemeClr w14:val="tx1"/>
                  </w14:solidFill>
                </w14:textFill>
              </w:rPr>
              <w:t>发包人电话</w:t>
            </w:r>
            <w:bookmarkEnd w:id="1204"/>
          </w:p>
        </w:tc>
        <w:tc>
          <w:tcPr>
            <w:tcW w:w="5182" w:type="dxa"/>
            <w:noWrap w:val="0"/>
            <w:vAlign w:val="center"/>
          </w:tcPr>
          <w:p w14:paraId="3412D566">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3D10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7676A5E6">
            <w:pPr>
              <w:topLinePunct/>
              <w:spacing w:line="360" w:lineRule="auto"/>
              <w:jc w:val="center"/>
              <w:rPr>
                <w:rFonts w:ascii="宋体" w:hAnsi="宋体"/>
                <w:color w:val="000000" w:themeColor="text1"/>
                <w:szCs w:val="21"/>
                <w:highlight w:val="none"/>
                <w14:textFill>
                  <w14:solidFill>
                    <w14:schemeClr w14:val="tx1"/>
                  </w14:solidFill>
                </w14:textFill>
              </w:rPr>
            </w:pPr>
            <w:bookmarkStart w:id="1205" w:name="_Toc221949867"/>
            <w:r>
              <w:rPr>
                <w:rFonts w:hint="eastAsia" w:ascii="宋体" w:hAnsi="宋体"/>
                <w:color w:val="000000" w:themeColor="text1"/>
                <w:szCs w:val="21"/>
                <w:highlight w:val="none"/>
                <w14:textFill>
                  <w14:solidFill>
                    <w14:schemeClr w14:val="tx1"/>
                  </w14:solidFill>
                </w14:textFill>
              </w:rPr>
              <w:t>签约</w:t>
            </w:r>
            <w:r>
              <w:rPr>
                <w:rFonts w:ascii="宋体" w:hAnsi="宋体"/>
                <w:color w:val="000000" w:themeColor="text1"/>
                <w:szCs w:val="21"/>
                <w:highlight w:val="none"/>
                <w14:textFill>
                  <w14:solidFill>
                    <w14:schemeClr w14:val="tx1"/>
                  </w14:solidFill>
                </w14:textFill>
              </w:rPr>
              <w:t>合同价</w:t>
            </w:r>
            <w:bookmarkEnd w:id="1205"/>
          </w:p>
        </w:tc>
        <w:tc>
          <w:tcPr>
            <w:tcW w:w="5182" w:type="dxa"/>
            <w:noWrap w:val="0"/>
            <w:vAlign w:val="center"/>
          </w:tcPr>
          <w:p w14:paraId="2708A714">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17BA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17D5D479">
            <w:pPr>
              <w:topLinePunct/>
              <w:spacing w:line="360" w:lineRule="auto"/>
              <w:jc w:val="center"/>
              <w:rPr>
                <w:rFonts w:ascii="宋体" w:hAnsi="宋体"/>
                <w:color w:val="000000" w:themeColor="text1"/>
                <w:szCs w:val="21"/>
                <w:highlight w:val="none"/>
                <w14:textFill>
                  <w14:solidFill>
                    <w14:schemeClr w14:val="tx1"/>
                  </w14:solidFill>
                </w14:textFill>
              </w:rPr>
            </w:pPr>
            <w:bookmarkStart w:id="1206" w:name="_Toc221949868"/>
            <w:r>
              <w:rPr>
                <w:rFonts w:ascii="宋体" w:hAnsi="宋体"/>
                <w:color w:val="000000" w:themeColor="text1"/>
                <w:szCs w:val="21"/>
                <w:highlight w:val="none"/>
                <w14:textFill>
                  <w14:solidFill>
                    <w14:schemeClr w14:val="tx1"/>
                  </w14:solidFill>
                </w14:textFill>
              </w:rPr>
              <w:t>开工日期</w:t>
            </w:r>
            <w:bookmarkEnd w:id="1206"/>
          </w:p>
        </w:tc>
        <w:tc>
          <w:tcPr>
            <w:tcW w:w="5182" w:type="dxa"/>
            <w:noWrap w:val="0"/>
            <w:vAlign w:val="center"/>
          </w:tcPr>
          <w:p w14:paraId="380CD94B">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6F4A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5E9877D8">
            <w:pPr>
              <w:topLinePunct/>
              <w:spacing w:line="360" w:lineRule="auto"/>
              <w:jc w:val="center"/>
              <w:rPr>
                <w:rFonts w:ascii="宋体" w:hAnsi="宋体"/>
                <w:color w:val="000000" w:themeColor="text1"/>
                <w:szCs w:val="21"/>
                <w:highlight w:val="none"/>
                <w14:textFill>
                  <w14:solidFill>
                    <w14:schemeClr w14:val="tx1"/>
                  </w14:solidFill>
                </w14:textFill>
              </w:rPr>
            </w:pPr>
            <w:bookmarkStart w:id="1207" w:name="_Toc221949869"/>
            <w:r>
              <w:rPr>
                <w:rFonts w:hint="eastAsia" w:ascii="宋体" w:hAnsi="宋体"/>
                <w:color w:val="000000" w:themeColor="text1"/>
                <w:szCs w:val="21"/>
                <w:highlight w:val="none"/>
                <w14:textFill>
                  <w14:solidFill>
                    <w14:schemeClr w14:val="tx1"/>
                  </w14:solidFill>
                </w14:textFill>
              </w:rPr>
              <w:t>完工</w:t>
            </w:r>
            <w:r>
              <w:rPr>
                <w:rFonts w:ascii="宋体" w:hAnsi="宋体"/>
                <w:color w:val="000000" w:themeColor="text1"/>
                <w:szCs w:val="21"/>
                <w:highlight w:val="none"/>
                <w14:textFill>
                  <w14:solidFill>
                    <w14:schemeClr w14:val="tx1"/>
                  </w14:solidFill>
                </w14:textFill>
              </w:rPr>
              <w:t>日期</w:t>
            </w:r>
            <w:bookmarkEnd w:id="1207"/>
          </w:p>
        </w:tc>
        <w:tc>
          <w:tcPr>
            <w:tcW w:w="5182" w:type="dxa"/>
            <w:noWrap w:val="0"/>
            <w:vAlign w:val="center"/>
          </w:tcPr>
          <w:p w14:paraId="1B778DCA">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18A0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1D339CF7">
            <w:pPr>
              <w:topLinePunct/>
              <w:spacing w:line="360" w:lineRule="auto"/>
              <w:jc w:val="center"/>
              <w:rPr>
                <w:rFonts w:ascii="宋体" w:hAnsi="宋体"/>
                <w:color w:val="000000" w:themeColor="text1"/>
                <w:szCs w:val="21"/>
                <w:highlight w:val="none"/>
                <w14:textFill>
                  <w14:solidFill>
                    <w14:schemeClr w14:val="tx1"/>
                  </w14:solidFill>
                </w14:textFill>
              </w:rPr>
            </w:pPr>
            <w:bookmarkStart w:id="1208" w:name="_Toc221949870"/>
            <w:r>
              <w:rPr>
                <w:rFonts w:ascii="宋体" w:hAnsi="宋体"/>
                <w:color w:val="000000" w:themeColor="text1"/>
                <w:szCs w:val="21"/>
                <w:highlight w:val="none"/>
                <w14:textFill>
                  <w14:solidFill>
                    <w14:schemeClr w14:val="tx1"/>
                  </w14:solidFill>
                </w14:textFill>
              </w:rPr>
              <w:t>承担的工作</w:t>
            </w:r>
            <w:bookmarkEnd w:id="1208"/>
          </w:p>
        </w:tc>
        <w:tc>
          <w:tcPr>
            <w:tcW w:w="5182" w:type="dxa"/>
            <w:noWrap w:val="0"/>
            <w:vAlign w:val="center"/>
          </w:tcPr>
          <w:p w14:paraId="73F7238D">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05FD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2F79A719">
            <w:pPr>
              <w:topLinePunct/>
              <w:spacing w:line="360" w:lineRule="auto"/>
              <w:jc w:val="center"/>
              <w:rPr>
                <w:rFonts w:ascii="宋体" w:hAnsi="宋体"/>
                <w:color w:val="000000" w:themeColor="text1"/>
                <w:szCs w:val="21"/>
                <w:highlight w:val="none"/>
                <w14:textFill>
                  <w14:solidFill>
                    <w14:schemeClr w14:val="tx1"/>
                  </w14:solidFill>
                </w14:textFill>
              </w:rPr>
            </w:pPr>
            <w:bookmarkStart w:id="1209" w:name="_Toc221949871"/>
            <w:r>
              <w:rPr>
                <w:rFonts w:ascii="宋体" w:hAnsi="宋体"/>
                <w:color w:val="000000" w:themeColor="text1"/>
                <w:szCs w:val="21"/>
                <w:highlight w:val="none"/>
                <w14:textFill>
                  <w14:solidFill>
                    <w14:schemeClr w14:val="tx1"/>
                  </w14:solidFill>
                </w14:textFill>
              </w:rPr>
              <w:t>工程质量</w:t>
            </w:r>
            <w:bookmarkEnd w:id="1209"/>
          </w:p>
        </w:tc>
        <w:tc>
          <w:tcPr>
            <w:tcW w:w="5182" w:type="dxa"/>
            <w:noWrap w:val="0"/>
            <w:vAlign w:val="center"/>
          </w:tcPr>
          <w:p w14:paraId="08DE394B">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06EE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1CA90CFF">
            <w:pPr>
              <w:topLinePunct/>
              <w:spacing w:line="36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项目负责人</w:t>
            </w:r>
          </w:p>
        </w:tc>
        <w:tc>
          <w:tcPr>
            <w:tcW w:w="5182" w:type="dxa"/>
            <w:noWrap w:val="0"/>
            <w:vAlign w:val="center"/>
          </w:tcPr>
          <w:p w14:paraId="3AC80A2E">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6BD5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0B03371F">
            <w:pPr>
              <w:topLinePunct/>
              <w:spacing w:line="360" w:lineRule="auto"/>
              <w:jc w:val="center"/>
              <w:rPr>
                <w:rFonts w:ascii="宋体" w:hAnsi="宋体"/>
                <w:color w:val="000000" w:themeColor="text1"/>
                <w:szCs w:val="21"/>
                <w:highlight w:val="none"/>
                <w14:textFill>
                  <w14:solidFill>
                    <w14:schemeClr w14:val="tx1"/>
                  </w14:solidFill>
                </w14:textFill>
              </w:rPr>
            </w:pPr>
            <w:bookmarkStart w:id="1210" w:name="_Toc221949873"/>
            <w:r>
              <w:rPr>
                <w:rFonts w:ascii="宋体" w:hAnsi="宋体"/>
                <w:color w:val="000000" w:themeColor="text1"/>
                <w:szCs w:val="21"/>
                <w:highlight w:val="none"/>
                <w14:textFill>
                  <w14:solidFill>
                    <w14:schemeClr w14:val="tx1"/>
                  </w14:solidFill>
                </w14:textFill>
              </w:rPr>
              <w:t>技术负责人</w:t>
            </w:r>
            <w:bookmarkEnd w:id="1210"/>
          </w:p>
        </w:tc>
        <w:tc>
          <w:tcPr>
            <w:tcW w:w="5182" w:type="dxa"/>
            <w:noWrap w:val="0"/>
            <w:vAlign w:val="center"/>
          </w:tcPr>
          <w:p w14:paraId="3DEAD360">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01C9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5E2940A7">
            <w:pPr>
              <w:topLinePunct/>
              <w:spacing w:line="360" w:lineRule="auto"/>
              <w:jc w:val="center"/>
              <w:rPr>
                <w:rFonts w:ascii="宋体" w:hAnsi="宋体"/>
                <w:color w:val="000000" w:themeColor="text1"/>
                <w:szCs w:val="21"/>
                <w:highlight w:val="none"/>
                <w14:textFill>
                  <w14:solidFill>
                    <w14:schemeClr w14:val="tx1"/>
                  </w14:solidFill>
                </w14:textFill>
              </w:rPr>
            </w:pPr>
            <w:bookmarkStart w:id="1211" w:name="_Toc221949874"/>
            <w:r>
              <w:rPr>
                <w:rFonts w:hint="eastAsia" w:ascii="宋体" w:hAnsi="宋体"/>
                <w:color w:val="000000" w:themeColor="text1"/>
                <w:szCs w:val="21"/>
                <w:highlight w:val="none"/>
                <w14:textFill>
                  <w14:solidFill>
                    <w14:schemeClr w14:val="tx1"/>
                  </w14:solidFill>
                </w14:textFill>
              </w:rPr>
              <w:t>监理人以</w:t>
            </w:r>
            <w:r>
              <w:rPr>
                <w:rFonts w:ascii="宋体" w:hAnsi="宋体"/>
                <w:color w:val="000000" w:themeColor="text1"/>
                <w:szCs w:val="21"/>
                <w:highlight w:val="none"/>
                <w14:textFill>
                  <w14:solidFill>
                    <w14:schemeClr w14:val="tx1"/>
                  </w14:solidFill>
                </w14:textFill>
              </w:rPr>
              <w:t>及电话</w:t>
            </w:r>
            <w:bookmarkEnd w:id="1211"/>
          </w:p>
        </w:tc>
        <w:tc>
          <w:tcPr>
            <w:tcW w:w="5182" w:type="dxa"/>
            <w:noWrap w:val="0"/>
            <w:vAlign w:val="center"/>
          </w:tcPr>
          <w:p w14:paraId="7D23A136">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1E24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6A224FE4">
            <w:pPr>
              <w:topLinePunct/>
              <w:spacing w:line="360" w:lineRule="auto"/>
              <w:jc w:val="center"/>
              <w:rPr>
                <w:rFonts w:ascii="宋体" w:hAnsi="宋体"/>
                <w:color w:val="000000" w:themeColor="text1"/>
                <w:szCs w:val="21"/>
                <w:highlight w:val="none"/>
                <w14:textFill>
                  <w14:solidFill>
                    <w14:schemeClr w14:val="tx1"/>
                  </w14:solidFill>
                </w14:textFill>
              </w:rPr>
            </w:pPr>
            <w:bookmarkStart w:id="1212" w:name="_Toc221949875"/>
            <w:r>
              <w:rPr>
                <w:rFonts w:hint="eastAsia" w:ascii="宋体" w:hAnsi="宋体"/>
                <w:color w:val="000000" w:themeColor="text1"/>
                <w:szCs w:val="21"/>
                <w:highlight w:val="none"/>
                <w14:textFill>
                  <w14:solidFill>
                    <w14:schemeClr w14:val="tx1"/>
                  </w14:solidFill>
                </w14:textFill>
              </w:rPr>
              <w:t>合同</w:t>
            </w:r>
            <w:r>
              <w:rPr>
                <w:rFonts w:ascii="宋体" w:hAnsi="宋体"/>
                <w:color w:val="000000" w:themeColor="text1"/>
                <w:szCs w:val="21"/>
                <w:highlight w:val="none"/>
                <w14:textFill>
                  <w14:solidFill>
                    <w14:schemeClr w14:val="tx1"/>
                  </w14:solidFill>
                </w14:textFill>
              </w:rPr>
              <w:t>项目描述</w:t>
            </w:r>
            <w:bookmarkEnd w:id="1212"/>
          </w:p>
        </w:tc>
        <w:tc>
          <w:tcPr>
            <w:tcW w:w="5182" w:type="dxa"/>
            <w:noWrap w:val="0"/>
            <w:vAlign w:val="center"/>
          </w:tcPr>
          <w:p w14:paraId="58DE1CA0">
            <w:pPr>
              <w:topLinePunct/>
              <w:spacing w:line="360" w:lineRule="auto"/>
              <w:jc w:val="center"/>
              <w:rPr>
                <w:rFonts w:ascii="宋体" w:hAnsi="宋体"/>
                <w:color w:val="000000" w:themeColor="text1"/>
                <w:szCs w:val="21"/>
                <w:highlight w:val="none"/>
                <w14:textFill>
                  <w14:solidFill>
                    <w14:schemeClr w14:val="tx1"/>
                  </w14:solidFill>
                </w14:textFill>
              </w:rPr>
            </w:pPr>
          </w:p>
          <w:p w14:paraId="703C516E">
            <w:pPr>
              <w:topLinePunct/>
              <w:spacing w:line="360" w:lineRule="auto"/>
              <w:jc w:val="center"/>
              <w:rPr>
                <w:rFonts w:ascii="宋体" w:hAnsi="宋体"/>
                <w:color w:val="000000" w:themeColor="text1"/>
                <w:szCs w:val="21"/>
                <w:highlight w:val="none"/>
                <w14:textFill>
                  <w14:solidFill>
                    <w14:schemeClr w14:val="tx1"/>
                  </w14:solidFill>
                </w14:textFill>
              </w:rPr>
            </w:pPr>
          </w:p>
          <w:p w14:paraId="45D92588">
            <w:pPr>
              <w:topLinePunct/>
              <w:spacing w:line="360" w:lineRule="auto"/>
              <w:jc w:val="center"/>
              <w:rPr>
                <w:rFonts w:ascii="宋体" w:hAnsi="宋体"/>
                <w:color w:val="000000" w:themeColor="text1"/>
                <w:szCs w:val="21"/>
                <w:highlight w:val="none"/>
                <w14:textFill>
                  <w14:solidFill>
                    <w14:schemeClr w14:val="tx1"/>
                  </w14:solidFill>
                </w14:textFill>
              </w:rPr>
            </w:pPr>
          </w:p>
        </w:tc>
      </w:tr>
      <w:tr w14:paraId="37C9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2090CB65">
            <w:pPr>
              <w:topLinePunct/>
              <w:spacing w:line="360" w:lineRule="auto"/>
              <w:jc w:val="center"/>
              <w:rPr>
                <w:rFonts w:ascii="宋体" w:hAnsi="宋体"/>
                <w:color w:val="000000" w:themeColor="text1"/>
                <w:szCs w:val="21"/>
                <w:highlight w:val="none"/>
                <w14:textFill>
                  <w14:solidFill>
                    <w14:schemeClr w14:val="tx1"/>
                  </w14:solidFill>
                </w14:textFill>
              </w:rPr>
            </w:pPr>
            <w:bookmarkStart w:id="1213" w:name="_Toc221949876"/>
            <w:r>
              <w:rPr>
                <w:rFonts w:ascii="宋体" w:hAnsi="宋体"/>
                <w:color w:val="000000" w:themeColor="text1"/>
                <w:szCs w:val="21"/>
                <w:highlight w:val="none"/>
                <w14:textFill>
                  <w14:solidFill>
                    <w14:schemeClr w14:val="tx1"/>
                  </w14:solidFill>
                </w14:textFill>
              </w:rPr>
              <w:t>备注</w:t>
            </w:r>
            <w:bookmarkEnd w:id="1213"/>
          </w:p>
        </w:tc>
        <w:tc>
          <w:tcPr>
            <w:tcW w:w="5182" w:type="dxa"/>
            <w:noWrap w:val="0"/>
            <w:vAlign w:val="center"/>
          </w:tcPr>
          <w:p w14:paraId="5F1E92FD">
            <w:pPr>
              <w:topLinePunct/>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合同项目描述内容至少包括项目概况、本合同在项目中的地位（部位、合同价格所占比例）和合同工程完工验收鉴定书有关验收结论</w:t>
            </w:r>
          </w:p>
        </w:tc>
      </w:tr>
    </w:tbl>
    <w:p w14:paraId="43172AD4">
      <w:pPr>
        <w:spacing w:line="40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w:t>
      </w:r>
      <w:r>
        <w:rPr>
          <w:rFonts w:hint="eastAsia"/>
          <w:color w:val="000000" w:themeColor="text1"/>
          <w:highlight w:val="none"/>
          <w:u w:val="single"/>
          <w:lang w:val="en-US" w:eastAsia="zh-CN"/>
          <w14:textFill>
            <w14:solidFill>
              <w14:schemeClr w14:val="tx1"/>
            </w14:solidFill>
          </w14:textFill>
        </w:rPr>
        <w:t>需</w:t>
      </w:r>
      <w:r>
        <w:rPr>
          <w:rFonts w:hint="eastAsia" w:ascii="Times New Roman" w:hAnsi="Times New Roman" w:eastAsia="宋体" w:cs="Times New Roman"/>
          <w:color w:val="000000" w:themeColor="text1"/>
          <w:highlight w:val="none"/>
          <w:u w:val="single"/>
          <w:lang w:val="en-US" w:eastAsia="zh-CN"/>
          <w14:textFill>
            <w14:solidFill>
              <w14:schemeClr w14:val="tx1"/>
            </w14:solidFill>
          </w14:textFill>
        </w:rPr>
        <w:t>根据</w:t>
      </w:r>
      <w:r>
        <w:rPr>
          <w:rFonts w:hint="eastAsia" w:ascii="Times New Roman" w:hAnsi="Times New Roman" w:eastAsia="宋体" w:cs="Times New Roman"/>
          <w:b w:val="0"/>
          <w:color w:val="000000" w:themeColor="text1"/>
          <w:highlight w:val="none"/>
          <w:u w:val="single"/>
          <w14:textFill>
            <w14:solidFill>
              <w14:schemeClr w14:val="tx1"/>
            </w14:solidFill>
          </w14:textFill>
        </w:rPr>
        <w:t>投标人资格要求</w:t>
      </w:r>
      <w:r>
        <w:rPr>
          <w:rFonts w:hint="eastAsia" w:ascii="Times New Roman" w:hAnsi="Times New Roman" w:eastAsia="宋体" w:cs="Times New Roman"/>
          <w:b w:val="0"/>
          <w:color w:val="000000" w:themeColor="text1"/>
          <w:highlight w:val="none"/>
          <w:u w:val="single"/>
          <w:lang w:val="en-US" w:eastAsia="zh-CN"/>
          <w14:textFill>
            <w14:solidFill>
              <w14:schemeClr w14:val="tx1"/>
            </w14:solidFill>
          </w14:textFill>
        </w:rPr>
        <w:t>及</w:t>
      </w:r>
      <w:r>
        <w:rPr>
          <w:rFonts w:hint="eastAsia" w:ascii="Times New Roman" w:hAnsi="Times New Roman" w:eastAsia="宋体" w:cs="Times New Roman"/>
          <w:b w:val="0"/>
          <w:bCs w:val="0"/>
          <w:color w:val="000000" w:themeColor="text1"/>
          <w:highlight w:val="none"/>
          <w:u w:val="single"/>
          <w14:textFill>
            <w14:solidFill>
              <w14:schemeClr w14:val="tx1"/>
            </w14:solidFill>
          </w14:textFill>
        </w:rPr>
        <w:t>评分因素</w:t>
      </w:r>
      <w:r>
        <w:rPr>
          <w:rFonts w:hint="eastAsia" w:ascii="Times New Roman" w:hAnsi="Times New Roman" w:eastAsia="宋体" w:cs="Times New Roman"/>
          <w:b w:val="0"/>
          <w:bCs w:val="0"/>
          <w:color w:val="000000" w:themeColor="text1"/>
          <w:highlight w:val="none"/>
          <w:u w:val="single"/>
          <w:lang w:val="en-US" w:eastAsia="zh-CN"/>
          <w14:textFill>
            <w14:solidFill>
              <w14:schemeClr w14:val="tx1"/>
            </w14:solidFill>
          </w14:textFill>
        </w:rPr>
        <w:t>要求</w:t>
      </w:r>
      <w:r>
        <w:rPr>
          <w:rFonts w:hint="eastAsia" w:ascii="Times New Roman" w:hAnsi="Times New Roman" w:eastAsia="宋体" w:cs="Times New Roman"/>
          <w:color w:val="000000" w:themeColor="text1"/>
          <w:highlight w:val="none"/>
          <w:u w:val="single"/>
          <w:lang w:val="en-US" w:eastAsia="zh-CN"/>
          <w14:textFill>
            <w14:solidFill>
              <w14:schemeClr w14:val="tx1"/>
            </w14:solidFill>
          </w14:textFill>
        </w:rPr>
        <w:t>提供</w:t>
      </w:r>
      <w:r>
        <w:rPr>
          <w:rFonts w:hint="eastAsia" w:ascii="Times New Roman" w:hAnsi="Times New Roman" w:eastAsia="宋体" w:cs="Times New Roman"/>
          <w:color w:val="000000" w:themeColor="text1"/>
          <w:highlight w:val="none"/>
          <w:u w:val="single"/>
          <w14:textFill>
            <w14:solidFill>
              <w14:schemeClr w14:val="tx1"/>
            </w14:solidFill>
          </w14:textFill>
        </w:rPr>
        <w:t>相</w:t>
      </w:r>
      <w:r>
        <w:rPr>
          <w:rFonts w:hint="eastAsia"/>
          <w:color w:val="000000" w:themeColor="text1"/>
          <w:highlight w:val="none"/>
          <w:u w:val="single"/>
          <w14:textFill>
            <w14:solidFill>
              <w14:schemeClr w14:val="tx1"/>
            </w14:solidFill>
          </w14:textFill>
        </w:rPr>
        <w:t>关材料</w:t>
      </w:r>
      <w:r>
        <w:rPr>
          <w:rFonts w:hint="eastAsia" w:ascii="宋体" w:hAnsi="宋体"/>
          <w:bCs/>
          <w:color w:val="000000" w:themeColor="text1"/>
          <w:szCs w:val="21"/>
          <w:highlight w:val="none"/>
          <w:u w:val="single"/>
          <w14:textFill>
            <w14:solidFill>
              <w14:schemeClr w14:val="tx1"/>
            </w14:solidFill>
          </w14:textFill>
        </w:rPr>
        <w:t>的扫描件</w:t>
      </w:r>
      <w:r>
        <w:rPr>
          <w:rFonts w:hint="eastAsia" w:ascii="宋体" w:hAnsi="宋体"/>
          <w:bCs/>
          <w:color w:val="000000" w:themeColor="text1"/>
          <w:szCs w:val="21"/>
          <w:highlight w:val="none"/>
          <w:u w:val="single"/>
          <w:lang w:eastAsia="zh-CN"/>
          <w14:textFill>
            <w14:solidFill>
              <w14:schemeClr w14:val="tx1"/>
            </w14:solidFill>
          </w14:textFill>
        </w:rPr>
        <w:t>。</w:t>
      </w:r>
    </w:p>
    <w:p w14:paraId="08EE8232">
      <w:pPr>
        <w:rPr>
          <w:rFonts w:hint="eastAsia"/>
          <w:color w:val="000000" w:themeColor="text1"/>
          <w:highlight w:val="none"/>
          <w14:textFill>
            <w14:solidFill>
              <w14:schemeClr w14:val="tx1"/>
            </w14:solidFill>
          </w14:textFill>
        </w:rPr>
      </w:pPr>
      <w:bookmarkStart w:id="1214" w:name="_Toc229474023"/>
      <w:bookmarkStart w:id="1215" w:name="_Toc179715764"/>
      <w:bookmarkStart w:id="1216" w:name="_Toc227133887"/>
      <w:bookmarkStart w:id="1217" w:name="_Toc152047271"/>
      <w:bookmarkStart w:id="1218" w:name="_Toc221949894"/>
      <w:bookmarkStart w:id="1219" w:name="_Toc222029460"/>
    </w:p>
    <w:p w14:paraId="7E0B77E3">
      <w:pPr>
        <w:pageBreakBefore/>
        <w:outlineLvl w:val="9"/>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w:t>
      </w:r>
      <w:r>
        <w:rPr>
          <w:rFonts w:hint="eastAsia"/>
          <w:b/>
          <w:color w:val="000000" w:themeColor="text1"/>
          <w:sz w:val="24"/>
          <w:szCs w:val="24"/>
          <w:highlight w:val="none"/>
          <w:lang w:eastAsia="zh-CN"/>
          <w14:textFill>
            <w14:solidFill>
              <w14:schemeClr w14:val="tx1"/>
            </w14:solidFill>
          </w14:textFill>
        </w:rPr>
        <w:t>五</w:t>
      </w:r>
      <w:r>
        <w:rPr>
          <w:rFonts w:hint="eastAsia"/>
          <w:b/>
          <w:color w:val="000000" w:themeColor="text1"/>
          <w:sz w:val="24"/>
          <w:szCs w:val="24"/>
          <w:highlight w:val="none"/>
          <w14:textFill>
            <w14:solidFill>
              <w14:schemeClr w14:val="tx1"/>
            </w14:solidFill>
          </w14:textFill>
        </w:rPr>
        <w:t>）投标人廉洁承诺书（格式）</w:t>
      </w:r>
    </w:p>
    <w:p w14:paraId="1C65B45B">
      <w:pPr>
        <w:pStyle w:val="32"/>
        <w:spacing w:before="157" w:beforeLines="50" w:beforeAutospacing="0" w:after="157" w:afterLines="50" w:afterAutospacing="0" w:line="360" w:lineRule="auto"/>
        <w:ind w:firstLine="482"/>
        <w:jc w:val="center"/>
        <w:rPr>
          <w:rFonts w:hint="eastAsia" w:ascii="宋体" w:hAnsi="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投标人廉洁承诺书</w:t>
      </w:r>
    </w:p>
    <w:p w14:paraId="21804085">
      <w:pPr>
        <w:pStyle w:val="32"/>
        <w:shd w:val="clear" w:color="auto" w:fill="auto"/>
        <w:spacing w:before="0" w:beforeAutospacing="0" w:after="0" w:afterAutospacing="0" w:line="360" w:lineRule="auto"/>
        <w:ind w:firstLine="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广州市水务局、本招标项目招标人及招标监管机构：</w:t>
      </w:r>
    </w:p>
    <w:p w14:paraId="58479C13">
      <w:pPr>
        <w:pStyle w:val="32"/>
        <w:shd w:val="clear" w:color="auto" w:fill="auto"/>
        <w:spacing w:line="360" w:lineRule="auto"/>
        <w:ind w:firstLine="48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本公司参加了</w:t>
      </w:r>
      <w:r>
        <w:rPr>
          <w:rFonts w:hint="eastAsia" w:ascii="宋体" w:hAnsi="宋体" w:eastAsia="宋体" w:cs="宋体"/>
          <w:color w:val="000000" w:themeColor="text1"/>
          <w:sz w:val="24"/>
          <w:szCs w:val="24"/>
          <w:highlight w:val="none"/>
          <w:u w:val="single"/>
          <w14:textFill>
            <w14:solidFill>
              <w14:schemeClr w14:val="tx1"/>
            </w14:solidFill>
          </w14:textFill>
        </w:rPr>
        <w:t xml:space="preserve">   （项目名称/标段名称）    </w:t>
      </w:r>
      <w:r>
        <w:rPr>
          <w:rFonts w:hint="eastAsia" w:ascii="宋体" w:hAnsi="宋体" w:eastAsia="宋体" w:cs="宋体"/>
          <w:color w:val="000000" w:themeColor="text1"/>
          <w:sz w:val="24"/>
          <w:szCs w:val="24"/>
          <w:highlight w:val="none"/>
          <w14:textFill>
            <w14:solidFill>
              <w14:schemeClr w14:val="tx1"/>
            </w14:solidFill>
          </w14:textFill>
        </w:rPr>
        <w:t>投标， 为确保招标工作的公平、公正、公开、有序进行，我们保证遵守《中华人民共和国招标投标法》、《中华人民共和国招标投标法实施条例》、《广东省实施&lt;中华人民共和国招标投标法&gt;办法》等法律法规，特承诺如下事项：</w:t>
      </w:r>
    </w:p>
    <w:p w14:paraId="5435CC41">
      <w:pPr>
        <w:pStyle w:val="32"/>
        <w:shd w:val="clear" w:color="auto" w:fill="auto"/>
        <w:ind w:firstLine="48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一、自觉遵守国家有关法律法规及廉洁规定。</w:t>
      </w:r>
    </w:p>
    <w:p w14:paraId="3A3F3C0E">
      <w:pPr>
        <w:pStyle w:val="32"/>
        <w:shd w:val="clear" w:color="auto" w:fill="auto"/>
        <w:ind w:firstLine="48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二、不与招标单位工作人员串通投标，损害国家利益、企业利益以及他人的合法利益；</w:t>
      </w:r>
    </w:p>
    <w:p w14:paraId="76A7019C">
      <w:pPr>
        <w:pStyle w:val="32"/>
        <w:shd w:val="clear" w:color="auto" w:fill="auto"/>
        <w:ind w:firstLine="48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三、不与其他单位围标、串标，不出让投标资格，不向招标人或评标委员会成员行贿。</w:t>
      </w:r>
    </w:p>
    <w:p w14:paraId="632E58EE">
      <w:pPr>
        <w:pStyle w:val="32"/>
        <w:shd w:val="clear" w:color="auto" w:fill="auto"/>
        <w:ind w:firstLine="48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四、不以任何名义向参与招标、评标工作的有关人员提供高消费宴请及娱乐活动和赠送回扣、红包、礼金、购物卡、有价证券、贵重物品和好处费、感谢费等； </w:t>
      </w:r>
    </w:p>
    <w:p w14:paraId="5EC291E9">
      <w:pPr>
        <w:pStyle w:val="32"/>
        <w:shd w:val="clear" w:color="auto" w:fill="auto"/>
        <w:ind w:firstLine="48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五、不以任何名义为参与招标、评标工作的有关人员装修住房、婚丧嫁取、配偶子女的工作安排以及境内外旅游等提供方便；</w:t>
      </w:r>
    </w:p>
    <w:p w14:paraId="4CD2578A">
      <w:pPr>
        <w:pStyle w:val="32"/>
        <w:shd w:val="clear" w:color="auto" w:fill="auto"/>
        <w:ind w:firstLine="482"/>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六、不以谋取非正当利益为目的，擅自与参与招标、评标工作的有关人员就业务问题进行私下商谈或者达成利益默契</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49239D43">
      <w:pPr>
        <w:pStyle w:val="32"/>
        <w:shd w:val="clear" w:color="auto" w:fill="auto"/>
        <w:ind w:firstLine="48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本公司违反上述承诺，或本承诺陈述与事实不符，经查实，本公司愿意接受公开通报，承担由此带来的法律后果。</w:t>
      </w:r>
    </w:p>
    <w:p w14:paraId="00BED032">
      <w:pPr>
        <w:pStyle w:val="32"/>
        <w:shd w:val="clear" w:color="auto" w:fill="auto"/>
        <w:spacing w:before="0" w:beforeAutospacing="0" w:after="0" w:afterAutospacing="0" w:line="360" w:lineRule="auto"/>
        <w:ind w:firstLine="482"/>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特此承诺</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5DCFBD24">
      <w:pPr>
        <w:pStyle w:val="32"/>
        <w:shd w:val="clear" w:color="auto" w:fill="auto"/>
        <w:spacing w:before="0" w:beforeAutospacing="0" w:after="0" w:afterAutospacing="0" w:line="360" w:lineRule="auto"/>
        <w:ind w:right="1455" w:firstLine="2880"/>
        <w:jc w:val="righ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承诺企业（</w:t>
      </w:r>
      <w:r>
        <w:rPr>
          <w:rFonts w:hint="eastAsia" w:ascii="宋体" w:hAnsi="宋体" w:cs="宋体"/>
          <w:color w:val="000000" w:themeColor="text1"/>
          <w:sz w:val="24"/>
          <w:szCs w:val="24"/>
          <w:highlight w:val="none"/>
          <w:lang w:eastAsia="zh-CN"/>
          <w14:textFill>
            <w14:solidFill>
              <w14:schemeClr w14:val="tx1"/>
            </w14:solidFill>
          </w14:textFill>
        </w:rPr>
        <w:t>盖</w:t>
      </w:r>
      <w:r>
        <w:rPr>
          <w:rFonts w:hint="eastAsia" w:ascii="宋体" w:hAnsi="宋体" w:eastAsia="宋体" w:cs="宋体"/>
          <w:color w:val="000000" w:themeColor="text1"/>
          <w:sz w:val="24"/>
          <w:szCs w:val="24"/>
          <w:highlight w:val="none"/>
          <w14:textFill>
            <w14:solidFill>
              <w14:schemeClr w14:val="tx1"/>
            </w14:solidFill>
          </w14:textFill>
        </w:rPr>
        <w:t>单位章）：      </w:t>
      </w:r>
    </w:p>
    <w:p w14:paraId="4BA2A999">
      <w:pPr>
        <w:pStyle w:val="32"/>
        <w:shd w:val="clear" w:color="auto" w:fill="auto"/>
        <w:spacing w:before="0" w:beforeAutospacing="0" w:after="0" w:afterAutospacing="0" w:line="360" w:lineRule="auto"/>
        <w:ind w:firstLine="480"/>
        <w:jc w:val="righ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法定代表人签字：</w:t>
      </w:r>
      <w:r>
        <w:rPr>
          <w:rFonts w:hint="eastAsia" w:ascii="宋体" w:hAnsi="宋体" w:cs="宋体"/>
          <w:color w:val="000000" w:themeColor="text1"/>
          <w:sz w:val="24"/>
          <w:szCs w:val="24"/>
          <w:highlight w:val="none"/>
          <w14:textFill>
            <w14:solidFill>
              <w14:schemeClr w14:val="tx1"/>
            </w14:solidFill>
          </w14:textFill>
        </w:rPr>
        <w:t xml:space="preserve">           </w:t>
      </w:r>
    </w:p>
    <w:p w14:paraId="21500D3B">
      <w:pPr>
        <w:pStyle w:val="32"/>
        <w:shd w:val="clear" w:color="auto" w:fill="auto"/>
        <w:spacing w:before="0" w:beforeAutospacing="0" w:after="0" w:afterAutospacing="0" w:line="360" w:lineRule="auto"/>
        <w:ind w:firstLine="480"/>
        <w:jc w:val="righ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年   月   日</w:t>
      </w:r>
    </w:p>
    <w:p w14:paraId="2199F938">
      <w:pPr>
        <w:spacing w:line="240" w:lineRule="auto"/>
        <w:jc w:val="left"/>
        <w:outlineLvl w:val="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br w:type="page"/>
      </w:r>
      <w:bookmarkEnd w:id="1214"/>
      <w:bookmarkStart w:id="1220" w:name="_Toc229474024"/>
    </w:p>
    <w:p w14:paraId="2FBF916E">
      <w:pPr>
        <w:spacing w:line="360" w:lineRule="auto"/>
        <w:jc w:val="center"/>
        <w:outlineLvl w:val="2"/>
        <w:rPr>
          <w:rFonts w:ascii="黑体" w:hAnsi="黑体" w:eastAsia="黑体"/>
          <w:color w:val="000000" w:themeColor="text1"/>
          <w:sz w:val="28"/>
          <w:szCs w:val="27"/>
          <w:highlight w:val="none"/>
          <w14:textFill>
            <w14:solidFill>
              <w14:schemeClr w14:val="tx1"/>
            </w14:solidFill>
          </w14:textFill>
        </w:rPr>
      </w:pPr>
      <w:bookmarkStart w:id="1221" w:name="_Toc17451617"/>
      <w:bookmarkStart w:id="1222" w:name="_Toc17556915"/>
      <w:bookmarkStart w:id="1223" w:name="_Toc11646"/>
      <w:bookmarkStart w:id="1224" w:name="_Toc17451662"/>
      <w:bookmarkStart w:id="1225" w:name="_Toc17454910"/>
      <w:bookmarkStart w:id="1226" w:name="_Toc9153"/>
      <w:bookmarkStart w:id="1227" w:name="_Toc17454961"/>
      <w:bookmarkStart w:id="1228" w:name="_Toc28913"/>
      <w:bookmarkStart w:id="1229" w:name="_Toc17451140"/>
      <w:bookmarkStart w:id="1230" w:name="_Toc17452703"/>
      <w:bookmarkStart w:id="1231" w:name="_Toc17180"/>
      <w:r>
        <w:rPr>
          <w:rFonts w:hint="eastAsia" w:ascii="黑体" w:hAnsi="黑体" w:eastAsia="黑体"/>
          <w:color w:val="000000" w:themeColor="text1"/>
          <w:sz w:val="28"/>
          <w:szCs w:val="27"/>
          <w:highlight w:val="none"/>
          <w:lang w:val="en-US" w:eastAsia="zh-CN"/>
          <w14:textFill>
            <w14:solidFill>
              <w14:schemeClr w14:val="tx1"/>
            </w14:solidFill>
          </w14:textFill>
        </w:rPr>
        <w:t>九</w:t>
      </w:r>
      <w:r>
        <w:rPr>
          <w:rFonts w:hint="eastAsia" w:ascii="黑体" w:hAnsi="黑体" w:eastAsia="黑体"/>
          <w:color w:val="000000" w:themeColor="text1"/>
          <w:sz w:val="28"/>
          <w:szCs w:val="27"/>
          <w:highlight w:val="none"/>
          <w14:textFill>
            <w14:solidFill>
              <w14:schemeClr w14:val="tx1"/>
            </w14:solidFill>
          </w14:textFill>
        </w:rPr>
        <w:t>、</w:t>
      </w:r>
      <w:bookmarkEnd w:id="1215"/>
      <w:bookmarkEnd w:id="1216"/>
      <w:bookmarkEnd w:id="1217"/>
      <w:bookmarkEnd w:id="1218"/>
      <w:bookmarkEnd w:id="1219"/>
      <w:bookmarkEnd w:id="1220"/>
      <w:r>
        <w:rPr>
          <w:rFonts w:hint="eastAsia" w:ascii="黑体" w:hAnsi="黑体" w:eastAsia="黑体"/>
          <w:color w:val="000000" w:themeColor="text1"/>
          <w:sz w:val="28"/>
          <w:szCs w:val="27"/>
          <w:highlight w:val="none"/>
          <w14:textFill>
            <w14:solidFill>
              <w14:schemeClr w14:val="tx1"/>
            </w14:solidFill>
          </w14:textFill>
        </w:rPr>
        <w:t>其他应提交的材料</w:t>
      </w:r>
      <w:bookmarkEnd w:id="1221"/>
      <w:bookmarkEnd w:id="1222"/>
      <w:bookmarkEnd w:id="1223"/>
      <w:bookmarkEnd w:id="1224"/>
      <w:bookmarkEnd w:id="1225"/>
      <w:bookmarkEnd w:id="1226"/>
      <w:bookmarkEnd w:id="1227"/>
      <w:bookmarkEnd w:id="1228"/>
      <w:bookmarkEnd w:id="1229"/>
      <w:bookmarkEnd w:id="1230"/>
      <w:bookmarkEnd w:id="1231"/>
    </w:p>
    <w:p w14:paraId="02991D8D">
      <w:pPr>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（如投标报价低于工程成本警示价的，提供投标报价不低于成本价的证明材料。）</w:t>
      </w:r>
    </w:p>
    <w:p w14:paraId="170C0289">
      <w:pPr>
        <w:spacing w:line="600" w:lineRule="exact"/>
        <w:ind w:firstLine="0"/>
        <w:jc w:val="left"/>
        <w:outlineLvl w:val="9"/>
        <w:rPr>
          <w:rFonts w:hint="eastAsia" w:ascii="Times New Roman"/>
          <w:bCs/>
          <w:color w:val="000000" w:themeColor="text1"/>
          <w:kern w:val="0"/>
          <w:sz w:val="24"/>
          <w:szCs w:val="24"/>
          <w:highlight w:val="none"/>
          <w:lang w:val="en-US" w:eastAsia="zh-CN"/>
          <w14:textFill>
            <w14:solidFill>
              <w14:schemeClr w14:val="tx1"/>
            </w14:solidFill>
          </w14:textFill>
        </w:rPr>
      </w:pPr>
      <w:bookmarkStart w:id="1232" w:name="_Toc19469"/>
      <w:bookmarkStart w:id="1233" w:name="_Toc18140"/>
      <w:bookmarkStart w:id="1234" w:name="_Toc32662"/>
      <w:bookmarkStart w:id="1235" w:name="_Toc266881405"/>
      <w:bookmarkStart w:id="1236" w:name="_Toc416357992"/>
      <w:bookmarkStart w:id="1237" w:name="_Toc249845977"/>
      <w:bookmarkStart w:id="1238" w:name="_Toc249846232"/>
      <w:bookmarkStart w:id="1239" w:name="_Toc245024005"/>
      <w:bookmarkStart w:id="1240" w:name="_Toc266093553"/>
      <w:bookmarkStart w:id="1241" w:name="_Toc253143224"/>
      <w:bookmarkStart w:id="1242" w:name="_Toc416358163"/>
      <w:r>
        <w:rPr>
          <w:rFonts w:hint="eastAsia" w:ascii="Times New Roman"/>
          <w:bCs/>
          <w:color w:val="000000" w:themeColor="text1"/>
          <w:kern w:val="0"/>
          <w:sz w:val="24"/>
          <w:szCs w:val="24"/>
          <w:highlight w:val="none"/>
          <w:lang w:val="en-US" w:eastAsia="zh-CN"/>
          <w14:textFill>
            <w14:solidFill>
              <w14:schemeClr w14:val="tx1"/>
            </w14:solidFill>
          </w14:textFill>
        </w:rPr>
        <w:t>附件1</w:t>
      </w:r>
      <w:bookmarkEnd w:id="1232"/>
      <w:bookmarkEnd w:id="1233"/>
      <w:bookmarkEnd w:id="1234"/>
    </w:p>
    <w:p w14:paraId="6ABCB424">
      <w:pPr>
        <w:tabs>
          <w:tab w:val="left" w:pos="720"/>
        </w:tabs>
        <w:snapToGrid w:val="0"/>
        <w:spacing w:line="360" w:lineRule="auto"/>
        <w:jc w:val="center"/>
        <w:rPr>
          <w:rFonts w:hint="eastAsia" w:ascii="Times New Roman" w:hAnsi="Times New Roman" w:eastAsia="宋体" w:cs="Times New Roman"/>
          <w:b/>
          <w:color w:val="000000" w:themeColor="text1"/>
          <w:sz w:val="32"/>
          <w:szCs w:val="32"/>
          <w:highlight w:val="none"/>
          <w14:textFill>
            <w14:solidFill>
              <w14:schemeClr w14:val="tx1"/>
            </w14:solidFill>
          </w14:textFill>
        </w:rPr>
      </w:pPr>
      <w:r>
        <w:rPr>
          <w:rFonts w:hint="eastAsia" w:ascii="Times New Roman" w:hAnsi="Times New Roman" w:eastAsia="宋体" w:cs="Times New Roman"/>
          <w:b/>
          <w:color w:val="000000" w:themeColor="text1"/>
          <w:sz w:val="32"/>
          <w:szCs w:val="32"/>
          <w:highlight w:val="none"/>
          <w14:textFill>
            <w14:solidFill>
              <w14:schemeClr w14:val="tx1"/>
            </w14:solidFill>
          </w14:textFill>
        </w:rPr>
        <w:t>关于建筑垃圾源头控制、建筑垃圾综合利用</w:t>
      </w:r>
    </w:p>
    <w:p w14:paraId="66F0DEFB">
      <w:pPr>
        <w:tabs>
          <w:tab w:val="left" w:pos="720"/>
        </w:tabs>
        <w:snapToGrid w:val="0"/>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32"/>
          <w:szCs w:val="32"/>
          <w:highlight w:val="none"/>
          <w14:textFill>
            <w14:solidFill>
              <w14:schemeClr w14:val="tx1"/>
            </w14:solidFill>
          </w14:textFill>
        </w:rPr>
        <w:t>产品的使用和运输措施</w:t>
      </w:r>
      <w:r>
        <w:rPr>
          <w:rFonts w:hint="eastAsia" w:ascii="Times New Roman" w:hAnsi="Times New Roman" w:eastAsia="宋体" w:cs="Times New Roman"/>
          <w:b/>
          <w:color w:val="000000" w:themeColor="text1"/>
          <w:sz w:val="32"/>
          <w:szCs w:val="32"/>
          <w:highlight w:val="none"/>
          <w:lang w:val="en-US" w:eastAsia="zh-CN"/>
          <w14:textFill>
            <w14:solidFill>
              <w14:schemeClr w14:val="tx1"/>
            </w14:solidFill>
          </w14:textFill>
        </w:rPr>
        <w:t>承诺书</w:t>
      </w:r>
    </w:p>
    <w:p w14:paraId="2661DC4B">
      <w:pPr>
        <w:bidi w:val="0"/>
        <w:rPr>
          <w:rFonts w:hint="eastAsia"/>
          <w:color w:val="000000" w:themeColor="text1"/>
          <w:highlight w:val="none"/>
          <w14:textFill>
            <w14:solidFill>
              <w14:schemeClr w14:val="tx1"/>
            </w14:solidFill>
          </w14:textFill>
        </w:rPr>
      </w:pPr>
    </w:p>
    <w:p w14:paraId="1642C59F">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（招标人）：</w:t>
      </w:r>
    </w:p>
    <w:p w14:paraId="550A9102">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我方承诺，如中标承建</w:t>
      </w:r>
      <w:r>
        <w:rPr>
          <w:rFonts w:hint="eastAsia" w:ascii="宋体" w:hAnsi="宋体" w:eastAsia="宋体" w:cs="宋体"/>
          <w:color w:val="000000" w:themeColor="text1"/>
          <w:sz w:val="24"/>
          <w:szCs w:val="24"/>
          <w:highlight w:val="none"/>
          <w:u w:val="single"/>
          <w14:textFill>
            <w14:solidFill>
              <w14:schemeClr w14:val="tx1"/>
            </w14:solidFill>
          </w14:textFill>
        </w:rPr>
        <w:t>         (项目名称)</w:t>
      </w:r>
      <w:r>
        <w:rPr>
          <w:rFonts w:hint="eastAsia" w:ascii="宋体" w:hAnsi="宋体" w:eastAsia="宋体" w:cs="宋体"/>
          <w:color w:val="000000" w:themeColor="text1"/>
          <w:sz w:val="24"/>
          <w:szCs w:val="24"/>
          <w:highlight w:val="none"/>
          <w14:textFill>
            <w14:solidFill>
              <w14:schemeClr w14:val="tx1"/>
            </w14:solidFill>
          </w14:textFill>
        </w:rPr>
        <w:t>，将按招标文件所附的本工程</w:t>
      </w:r>
      <w:r>
        <w:rPr>
          <w:rFonts w:hint="eastAsia" w:ascii="宋体" w:hAnsi="宋体" w:eastAsia="宋体" w:cs="宋体"/>
          <w:color w:val="000000" w:themeColor="text1"/>
          <w:sz w:val="24"/>
          <w:szCs w:val="24"/>
          <w:highlight w:val="none"/>
          <w:u w:val="single"/>
          <w14:textFill>
            <w14:solidFill>
              <w14:schemeClr w14:val="tx1"/>
            </w14:solidFill>
          </w14:textFill>
        </w:rPr>
        <w:t>（施工组织设计要点或施工方案）        </w:t>
      </w:r>
      <w:r>
        <w:rPr>
          <w:rFonts w:hint="eastAsia" w:ascii="宋体" w:hAnsi="宋体" w:eastAsia="宋体" w:cs="宋体"/>
          <w:color w:val="000000" w:themeColor="text1"/>
          <w:sz w:val="24"/>
          <w:szCs w:val="24"/>
          <w:highlight w:val="none"/>
          <w14:textFill>
            <w14:solidFill>
              <w14:schemeClr w14:val="tx1"/>
            </w14:solidFill>
          </w14:textFill>
        </w:rPr>
        <w:t>进行响应的基础上自行组织施工。并承诺在中标后按招标文件所附的</w:t>
      </w:r>
      <w:r>
        <w:rPr>
          <w:rFonts w:hint="eastAsia" w:ascii="宋体" w:hAnsi="宋体" w:eastAsia="宋体" w:cs="宋体"/>
          <w:color w:val="000000" w:themeColor="text1"/>
          <w:sz w:val="24"/>
          <w:szCs w:val="24"/>
          <w:highlight w:val="none"/>
          <w:u w:val="single"/>
          <w14:textFill>
            <w14:solidFill>
              <w14:schemeClr w14:val="tx1"/>
            </w14:solidFill>
          </w14:textFill>
        </w:rPr>
        <w:t>（施工组织设计要点或施工方案）        </w:t>
      </w:r>
      <w:r>
        <w:rPr>
          <w:rFonts w:hint="eastAsia" w:ascii="宋体" w:hAnsi="宋体" w:eastAsia="宋体" w:cs="宋体"/>
          <w:color w:val="000000" w:themeColor="text1"/>
          <w:sz w:val="24"/>
          <w:szCs w:val="24"/>
          <w:highlight w:val="none"/>
          <w14:textFill>
            <w14:solidFill>
              <w14:schemeClr w14:val="tx1"/>
            </w14:solidFill>
          </w14:textFill>
        </w:rPr>
        <w:t>基础上编制详细的施工组织设计，按照招标人提出的施工现场建筑垃圾源头减量的具体要求以及建筑垃圾综合利用产品的使用要求提供相应措施，并报经监理单位和建设单位审批后实施，具体内容如下：</w:t>
      </w:r>
    </w:p>
    <w:p w14:paraId="2C728EE6">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一、建筑垃圾源头控制措施</w:t>
      </w:r>
    </w:p>
    <w:p w14:paraId="2B102095">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14:paraId="1542F368">
      <w:pPr>
        <w:pStyle w:val="3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二、</w:t>
      </w:r>
      <w:r>
        <w:rPr>
          <w:rFonts w:hint="eastAsia" w:ascii="宋体" w:hAnsi="宋体" w:eastAsia="宋体" w:cs="宋体"/>
          <w:color w:val="000000" w:themeColor="text1"/>
          <w:sz w:val="24"/>
          <w:szCs w:val="24"/>
          <w:highlight w:val="none"/>
          <w14:textFill>
            <w14:solidFill>
              <w14:schemeClr w14:val="tx1"/>
            </w14:solidFill>
          </w14:textFill>
        </w:rPr>
        <w:t>建筑垃圾综合利用产品的使用</w:t>
      </w:r>
    </w:p>
    <w:p w14:paraId="4D20D68A">
      <w:pPr>
        <w:pStyle w:val="3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p w14:paraId="45E4FB26">
      <w:pPr>
        <w:pStyle w:val="3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14:textFill>
            <w14:solidFill>
              <w14:schemeClr w14:val="tx1"/>
            </w14:solidFill>
          </w14:textFill>
        </w:rPr>
        <w:t>建筑垃圾运输措施</w:t>
      </w:r>
    </w:p>
    <w:p w14:paraId="1006780E">
      <w:pPr>
        <w:pStyle w:val="3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p w14:paraId="486D974A">
      <w:pPr>
        <w:spacing w:line="360" w:lineRule="auto"/>
        <w:ind w:right="90" w:firstLine="3240" w:firstLineChars="135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092F978E">
      <w:pPr>
        <w:spacing w:line="360" w:lineRule="auto"/>
        <w:ind w:right="90" w:firstLine="3240" w:firstLineChars="135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投标人名称（盖</w:t>
      </w:r>
      <w:r>
        <w:rPr>
          <w:rFonts w:hint="eastAsia" w:ascii="宋体" w:hAnsi="宋体" w:eastAsia="宋体" w:cs="宋体"/>
          <w:color w:val="000000" w:themeColor="text1"/>
          <w:sz w:val="24"/>
          <w:szCs w:val="24"/>
          <w:highlight w:val="none"/>
          <w:lang w:eastAsia="zh-CN"/>
          <w14:textFill>
            <w14:solidFill>
              <w14:schemeClr w14:val="tx1"/>
            </w14:solidFill>
          </w14:textFill>
        </w:rPr>
        <w:t>法人公</w:t>
      </w:r>
      <w:r>
        <w:rPr>
          <w:rFonts w:hint="eastAsia" w:ascii="宋体" w:hAnsi="宋体" w:eastAsia="宋体" w:cs="宋体"/>
          <w:color w:val="000000" w:themeColor="text1"/>
          <w:sz w:val="24"/>
          <w:szCs w:val="24"/>
          <w:highlight w:val="none"/>
          <w14:textFill>
            <w14:solidFill>
              <w14:schemeClr w14:val="tx1"/>
            </w14:solidFill>
          </w14:textFill>
        </w:rPr>
        <w:t>章）：</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16B32345">
      <w:pPr>
        <w:spacing w:line="360" w:lineRule="auto"/>
        <w:ind w:firstLine="2880" w:firstLineChars="1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法定代表人或被授权人（签字</w:t>
      </w:r>
      <w:r>
        <w:rPr>
          <w:rFonts w:hint="eastAsia" w:ascii="宋体" w:hAnsi="宋体" w:eastAsia="宋体" w:cs="宋体"/>
          <w:color w:val="000000" w:themeColor="text1"/>
          <w:sz w:val="24"/>
          <w:szCs w:val="24"/>
          <w:highlight w:val="none"/>
          <w:lang w:eastAsia="zh-CN"/>
          <w14:textFill>
            <w14:solidFill>
              <w14:schemeClr w14:val="tx1"/>
            </w14:solidFill>
          </w14:textFill>
        </w:rPr>
        <w:t>或盖章</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369AFF8A">
      <w:pPr>
        <w:spacing w:line="600" w:lineRule="exact"/>
        <w:ind w:firstLine="480"/>
        <w:jc w:val="right"/>
        <w:rPr>
          <w:rFonts w:hint="eastAsia" w:ascii="宋体" w:hAnsi="宋体" w:eastAsia="宋体" w:cs="宋体"/>
          <w:color w:val="000000" w:themeColor="text1"/>
          <w:sz w:val="24"/>
          <w:szCs w:val="24"/>
          <w:highlight w:val="none"/>
          <w:lang w:val="en-US" w:eastAsia="zh-CN"/>
          <w14:textFill>
            <w14:solidFill>
              <w14:schemeClr w14:val="tx1"/>
            </w14:solidFill>
          </w14:textFill>
        </w:rPr>
        <w:sectPr>
          <w:pgSz w:w="11906" w:h="16838"/>
          <w:pgMar w:top="1440" w:right="1797" w:bottom="1440" w:left="1797" w:header="851" w:footer="992" w:gutter="0"/>
          <w:pgNumType w:fmt="decimal"/>
          <w:cols w:space="720" w:num="1"/>
          <w:docGrid w:linePitch="312" w:charSpace="0"/>
        </w:sectPr>
      </w:pPr>
      <w:r>
        <w:rPr>
          <w:rFonts w:hint="eastAsia" w:ascii="宋体" w:hAnsi="宋体" w:eastAsia="宋体" w:cs="宋体"/>
          <w:color w:val="000000" w:themeColor="text1"/>
          <w:sz w:val="24"/>
          <w:szCs w:val="24"/>
          <w:highlight w:val="none"/>
          <w14:textFill>
            <w14:solidFill>
              <w14:schemeClr w14:val="tx1"/>
            </w14:solidFill>
          </w14:textFill>
        </w:rPr>
        <w:t xml:space="preserve"> 日期：      年   月   日</w:t>
      </w:r>
    </w:p>
    <w:p w14:paraId="1B7CE04F">
      <w:pPr>
        <w:spacing w:line="600" w:lineRule="exact"/>
        <w:ind w:firstLine="0"/>
        <w:jc w:val="left"/>
        <w:outlineLvl w:val="9"/>
        <w:rPr>
          <w:rFonts w:hint="eastAsia" w:eastAsia="宋体"/>
          <w:color w:val="000000" w:themeColor="text1"/>
          <w:sz w:val="30"/>
          <w:szCs w:val="30"/>
          <w:highlight w:val="none"/>
          <w:lang w:val="en-US" w:eastAsia="zh-CN"/>
          <w14:textFill>
            <w14:solidFill>
              <w14:schemeClr w14:val="tx1"/>
            </w14:solidFill>
          </w14:textFill>
        </w:rPr>
      </w:pPr>
      <w:bookmarkStart w:id="1243" w:name="_Toc8244"/>
      <w:bookmarkStart w:id="1244" w:name="_Toc1296"/>
      <w:bookmarkStart w:id="1245" w:name="_Toc5943"/>
      <w:r>
        <w:rPr>
          <w:rFonts w:hint="eastAsia" w:ascii="Times New Roman"/>
          <w:bCs/>
          <w:color w:val="000000" w:themeColor="text1"/>
          <w:kern w:val="0"/>
          <w:sz w:val="24"/>
          <w:szCs w:val="24"/>
          <w:highlight w:val="none"/>
          <w14:textFill>
            <w14:solidFill>
              <w14:schemeClr w14:val="tx1"/>
            </w14:solidFill>
          </w14:textFill>
        </w:rPr>
        <w:t>附件</w:t>
      </w:r>
      <w:bookmarkEnd w:id="1235"/>
      <w:bookmarkEnd w:id="1236"/>
      <w:bookmarkEnd w:id="1237"/>
      <w:bookmarkEnd w:id="1238"/>
      <w:bookmarkEnd w:id="1239"/>
      <w:bookmarkEnd w:id="1240"/>
      <w:bookmarkEnd w:id="1241"/>
      <w:bookmarkEnd w:id="1242"/>
      <w:r>
        <w:rPr>
          <w:rFonts w:hint="eastAsia" w:ascii="Times New Roman"/>
          <w:bCs/>
          <w:color w:val="000000" w:themeColor="text1"/>
          <w:kern w:val="0"/>
          <w:sz w:val="24"/>
          <w:szCs w:val="24"/>
          <w:highlight w:val="none"/>
          <w:lang w:val="en-US" w:eastAsia="zh-CN"/>
          <w14:textFill>
            <w14:solidFill>
              <w14:schemeClr w14:val="tx1"/>
            </w14:solidFill>
          </w14:textFill>
        </w:rPr>
        <w:t>2</w:t>
      </w:r>
      <w:bookmarkEnd w:id="1243"/>
      <w:bookmarkEnd w:id="1244"/>
      <w:bookmarkEnd w:id="1245"/>
    </w:p>
    <w:p w14:paraId="4A4E0C9A">
      <w:pPr>
        <w:tabs>
          <w:tab w:val="left" w:pos="720"/>
        </w:tabs>
        <w:snapToGrid w:val="0"/>
        <w:spacing w:line="360" w:lineRule="auto"/>
        <w:jc w:val="center"/>
        <w:rPr>
          <w:b/>
          <w:color w:val="000000" w:themeColor="text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投标文件编制人员名单</w:t>
      </w:r>
    </w:p>
    <w:p w14:paraId="5BEC68CF">
      <w:pPr>
        <w:tabs>
          <w:tab w:val="left" w:pos="720"/>
        </w:tabs>
        <w:snapToGrid w:val="0"/>
        <w:spacing w:line="360" w:lineRule="auto"/>
        <w:rPr>
          <w:color w:val="000000" w:themeColor="text1"/>
          <w:sz w:val="24"/>
          <w:szCs w:val="24"/>
          <w:highlight w:val="none"/>
          <w14:textFill>
            <w14:solidFill>
              <w14:schemeClr w14:val="tx1"/>
            </w14:solidFill>
          </w14:textFill>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381"/>
        <w:gridCol w:w="2342"/>
        <w:gridCol w:w="2246"/>
        <w:gridCol w:w="1361"/>
      </w:tblGrid>
      <w:tr w14:paraId="3E35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20498AD9">
            <w:pPr>
              <w:tabs>
                <w:tab w:val="left" w:pos="720"/>
              </w:tabs>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投标人名称：</w:t>
            </w:r>
          </w:p>
        </w:tc>
      </w:tr>
      <w:tr w14:paraId="577C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4A42D9C6">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55DEF52">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职务</w:t>
            </w:r>
          </w:p>
        </w:tc>
        <w:tc>
          <w:tcPr>
            <w:tcW w:w="2342" w:type="dxa"/>
            <w:tcBorders>
              <w:top w:val="single" w:color="auto" w:sz="4" w:space="0"/>
              <w:left w:val="single" w:color="auto" w:sz="4" w:space="0"/>
              <w:bottom w:val="single" w:color="auto" w:sz="4" w:space="0"/>
              <w:right w:val="single" w:color="auto" w:sz="4" w:space="0"/>
            </w:tcBorders>
            <w:noWrap w:val="0"/>
            <w:vAlign w:val="center"/>
          </w:tcPr>
          <w:p w14:paraId="2B4011F3">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所承担工作</w:t>
            </w:r>
          </w:p>
        </w:tc>
        <w:tc>
          <w:tcPr>
            <w:tcW w:w="2246" w:type="dxa"/>
            <w:tcBorders>
              <w:top w:val="single" w:color="auto" w:sz="4" w:space="0"/>
              <w:left w:val="single" w:color="auto" w:sz="4" w:space="0"/>
              <w:bottom w:val="single" w:color="auto" w:sz="4" w:space="0"/>
              <w:right w:val="single" w:color="auto" w:sz="4" w:space="0"/>
            </w:tcBorders>
            <w:noWrap w:val="0"/>
            <w:vAlign w:val="center"/>
          </w:tcPr>
          <w:p w14:paraId="73F37AAD">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身份证号码</w:t>
            </w:r>
          </w:p>
        </w:tc>
        <w:tc>
          <w:tcPr>
            <w:tcW w:w="1361" w:type="dxa"/>
            <w:tcBorders>
              <w:top w:val="single" w:color="auto" w:sz="4" w:space="0"/>
              <w:left w:val="single" w:color="auto" w:sz="4" w:space="0"/>
              <w:bottom w:val="single" w:color="auto" w:sz="4" w:space="0"/>
              <w:right w:val="single" w:color="auto" w:sz="4" w:space="0"/>
            </w:tcBorders>
            <w:noWrap w:val="0"/>
            <w:vAlign w:val="center"/>
          </w:tcPr>
          <w:p w14:paraId="3F23B173">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本人签名栏</w:t>
            </w:r>
          </w:p>
        </w:tc>
      </w:tr>
      <w:tr w14:paraId="70A2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102A239B">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BAD2677">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1AFE59B6">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5C49AE17">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733E5565">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r>
      <w:tr w14:paraId="0018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1EA46D97">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7C7413A0">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665E43CA">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544BBD83">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09D29677">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r>
      <w:tr w14:paraId="04BA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67C78A42">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34F4E06">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61D06AF1">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2358C8CB">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4385F4FD">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r>
      <w:tr w14:paraId="1966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19F7C70A">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2A1C44F">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2B863450">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3D17EA41">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7BE9244C">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r>
      <w:tr w14:paraId="644B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6082B727">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7CDBCEEA">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5A1AE7A2">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70E0D00A">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1A98E2F1">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r>
      <w:tr w14:paraId="299A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2111DD7B">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70082930">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74B53D96">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57EF756B">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19356315">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r>
      <w:tr w14:paraId="2397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5EC805DD">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5A687261">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54907C81">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15AE341E">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62CCDB1B">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r>
      <w:tr w14:paraId="1061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26336EC3">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783B4360">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1830387B">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263090B0">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611D9F38">
            <w:pPr>
              <w:tabs>
                <w:tab w:val="left" w:pos="720"/>
              </w:tabs>
              <w:snapToGrid w:val="0"/>
              <w:spacing w:line="360" w:lineRule="auto"/>
              <w:jc w:val="center"/>
              <w:rPr>
                <w:rFonts w:ascii="宋体" w:hAnsi="宋体"/>
                <w:color w:val="000000" w:themeColor="text1"/>
                <w:szCs w:val="21"/>
                <w:highlight w:val="none"/>
                <w14:textFill>
                  <w14:solidFill>
                    <w14:schemeClr w14:val="tx1"/>
                  </w14:solidFill>
                </w14:textFill>
              </w:rPr>
            </w:pPr>
          </w:p>
        </w:tc>
      </w:tr>
    </w:tbl>
    <w:p w14:paraId="1DD06DBF">
      <w:pPr>
        <w:tabs>
          <w:tab w:val="left" w:pos="720"/>
        </w:tabs>
        <w:snapToGrid w:val="0"/>
        <w:spacing w:line="360" w:lineRule="auto"/>
        <w:rPr>
          <w:color w:val="000000" w:themeColor="text1"/>
          <w:sz w:val="24"/>
          <w:szCs w:val="24"/>
          <w:highlight w:val="none"/>
          <w14:textFill>
            <w14:solidFill>
              <w14:schemeClr w14:val="tx1"/>
            </w14:solidFill>
          </w14:textFill>
        </w:rPr>
      </w:pPr>
    </w:p>
    <w:p w14:paraId="13DCCB4A">
      <w:pPr>
        <w:pStyle w:val="36"/>
        <w:spacing w:after="0" w:line="360" w:lineRule="auto"/>
        <w:ind w:left="0" w:leftChars="0" w:firstLine="400" w:firstLineChars="200"/>
        <w:jc w:val="left"/>
        <w:rPr>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注：参与编制投标文件所有人员名单应包括如编制技术投标方案、编制各种专业工程量清单投标报价、负责清样校对、负责打印及复印等所有人员在内的人员名单。</w:t>
      </w:r>
    </w:p>
    <w:p w14:paraId="1A9EBC3D">
      <w:pPr>
        <w:pStyle w:val="36"/>
        <w:spacing w:after="0" w:line="360" w:lineRule="auto"/>
        <w:ind w:left="-2" w:leftChars="-1" w:firstLineChars="175"/>
        <w:jc w:val="center"/>
        <w:rPr>
          <w:color w:val="000000" w:themeColor="text1"/>
          <w:sz w:val="24"/>
          <w:szCs w:val="24"/>
          <w:highlight w:val="none"/>
          <w14:textFill>
            <w14:solidFill>
              <w14:schemeClr w14:val="tx1"/>
            </w14:solidFill>
          </w14:textFill>
        </w:rPr>
      </w:pPr>
    </w:p>
    <w:p w14:paraId="7BADF397">
      <w:pPr>
        <w:pStyle w:val="36"/>
        <w:spacing w:after="0" w:line="360" w:lineRule="auto"/>
        <w:ind w:left="0" w:leftChars="0" w:firstLine="0" w:firstLineChars="0"/>
        <w:outlineLvl w:val="9"/>
        <w:rPr>
          <w:color w:val="000000" w:themeColor="text1"/>
          <w:szCs w:val="21"/>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br w:type="page"/>
      </w:r>
      <w:bookmarkStart w:id="1246" w:name="_Toc26282"/>
      <w:bookmarkStart w:id="1247" w:name="_Toc29497"/>
      <w:bookmarkStart w:id="1248" w:name="_Toc2614"/>
      <w:r>
        <w:rPr>
          <w:rFonts w:hint="eastAsia" w:ascii="Times New Roman" w:hAnsi="Times New Roman" w:eastAsia="宋体" w:cs="Times New Roman"/>
          <w:color w:val="000000" w:themeColor="text1"/>
          <w:kern w:val="2"/>
          <w:sz w:val="24"/>
          <w:szCs w:val="24"/>
          <w:highlight w:val="none"/>
          <w14:textFill>
            <w14:solidFill>
              <w14:schemeClr w14:val="tx1"/>
            </w14:solidFill>
          </w14:textFill>
        </w:rPr>
        <w:t>附件</w:t>
      </w:r>
      <w:r>
        <w:rPr>
          <w:rFonts w:hint="eastAsia" w:eastAsia="宋体" w:cs="Times New Roman"/>
          <w:color w:val="000000" w:themeColor="text1"/>
          <w:kern w:val="2"/>
          <w:sz w:val="24"/>
          <w:szCs w:val="24"/>
          <w:highlight w:val="none"/>
          <w:lang w:val="en-US" w:eastAsia="zh-CN"/>
          <w14:textFill>
            <w14:solidFill>
              <w14:schemeClr w14:val="tx1"/>
            </w14:solidFill>
          </w14:textFill>
        </w:rPr>
        <w:t>3</w:t>
      </w:r>
      <w:bookmarkEnd w:id="1246"/>
      <w:bookmarkEnd w:id="1247"/>
      <w:bookmarkEnd w:id="1248"/>
    </w:p>
    <w:p w14:paraId="3ABF003B">
      <w:pPr>
        <w:pStyle w:val="36"/>
        <w:spacing w:after="157" w:afterLines="50" w:line="360" w:lineRule="auto"/>
        <w:ind w:firstLine="0"/>
        <w:jc w:val="center"/>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对投标文件编制的承诺</w:t>
      </w:r>
    </w:p>
    <w:p w14:paraId="1283808F">
      <w:pPr>
        <w:pStyle w:val="36"/>
        <w:spacing w:after="0" w:line="360" w:lineRule="auto"/>
        <w:ind w:left="-2" w:leftChars="-1"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本公司授权</w:t>
      </w:r>
      <w:r>
        <w:rPr>
          <w:rFonts w:hint="eastAsia" w:ascii="宋体" w:hAnsi="宋体" w:eastAsia="宋体" w:cs="宋体"/>
          <w:color w:val="000000" w:themeColor="text1"/>
          <w:sz w:val="24"/>
          <w:szCs w:val="24"/>
          <w:highlight w:val="none"/>
          <w:u w:val="single"/>
          <w14:textFill>
            <w14:solidFill>
              <w14:schemeClr w14:val="tx1"/>
            </w14:solidFill>
          </w14:textFill>
        </w:rPr>
        <w:t xml:space="preserve">         （身份证号：               ）</w:t>
      </w:r>
      <w:r>
        <w:rPr>
          <w:rFonts w:hint="eastAsia" w:ascii="宋体" w:hAnsi="宋体" w:eastAsia="宋体" w:cs="宋体"/>
          <w:color w:val="000000" w:themeColor="text1"/>
          <w:sz w:val="24"/>
          <w:szCs w:val="24"/>
          <w:highlight w:val="none"/>
          <w14:textFill>
            <w14:solidFill>
              <w14:schemeClr w14:val="tx1"/>
            </w14:solidFill>
          </w14:textFill>
        </w:rPr>
        <w:t>负责对投标文件的编制及内容进行解释、说明，并承诺以下事项：</w:t>
      </w:r>
    </w:p>
    <w:p w14:paraId="7F126B88">
      <w:pPr>
        <w:pStyle w:val="36"/>
        <w:spacing w:after="0" w:line="360" w:lineRule="auto"/>
        <w:ind w:left="-2" w:leftChars="-1"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1.被授权人清楚投标文件编制的具体情况，包括技术方案文件、工程量清单、以及投标文件的加密打包的理解；</w:t>
      </w:r>
    </w:p>
    <w:p w14:paraId="56594B67">
      <w:pPr>
        <w:pStyle w:val="36"/>
        <w:spacing w:after="0" w:line="360" w:lineRule="auto"/>
        <w:ind w:left="-2" w:leftChars="-1"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2.在本项目开标至评标结束前，努力确保被授权人在项目评标所在地附近；</w:t>
      </w:r>
    </w:p>
    <w:p w14:paraId="17224283">
      <w:pPr>
        <w:pStyle w:val="36"/>
        <w:spacing w:after="0" w:line="360" w:lineRule="auto"/>
        <w:ind w:left="-2" w:leftChars="-1"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3.从评标委员会要求澄清起二小时内，被授权人应如实地书面澄清。</w:t>
      </w:r>
    </w:p>
    <w:p w14:paraId="0EE75137">
      <w:pPr>
        <w:pStyle w:val="36"/>
        <w:spacing w:after="0" w:line="360" w:lineRule="auto"/>
        <w:ind w:left="-2" w:leftChars="-1" w:firstLine="540" w:firstLineChars="2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如由于未遵守上述承诺内容之一导致无法进行澄清的，我公司认可和接受评标委员会作出的评审结论。                                 </w:t>
      </w:r>
    </w:p>
    <w:p w14:paraId="77AE8504">
      <w:pPr>
        <w:pStyle w:val="36"/>
        <w:spacing w:after="0" w:line="360" w:lineRule="auto"/>
        <w:ind w:firstLine="360" w:firstLineChars="15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008EA42A">
      <w:pPr>
        <w:pStyle w:val="36"/>
        <w:spacing w:after="0"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附件：《投标文件编制情况》</w:t>
      </w:r>
    </w:p>
    <w:p w14:paraId="2156A0BC">
      <w:pPr>
        <w:spacing w:line="360" w:lineRule="auto"/>
        <w:ind w:right="90" w:firstLine="3240" w:firstLineChars="135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投标人名称（盖</w:t>
      </w:r>
      <w:r>
        <w:rPr>
          <w:rFonts w:hint="eastAsia" w:ascii="宋体" w:hAnsi="宋体" w:eastAsia="宋体" w:cs="宋体"/>
          <w:color w:val="000000" w:themeColor="text1"/>
          <w:sz w:val="24"/>
          <w:szCs w:val="24"/>
          <w:highlight w:val="none"/>
          <w:lang w:eastAsia="zh-CN"/>
          <w14:textFill>
            <w14:solidFill>
              <w14:schemeClr w14:val="tx1"/>
            </w14:solidFill>
          </w14:textFill>
        </w:rPr>
        <w:t>法人公</w:t>
      </w:r>
      <w:r>
        <w:rPr>
          <w:rFonts w:hint="eastAsia" w:ascii="宋体" w:hAnsi="宋体" w:eastAsia="宋体" w:cs="宋体"/>
          <w:color w:val="000000" w:themeColor="text1"/>
          <w:sz w:val="24"/>
          <w:szCs w:val="24"/>
          <w:highlight w:val="none"/>
          <w14:textFill>
            <w14:solidFill>
              <w14:schemeClr w14:val="tx1"/>
            </w14:solidFill>
          </w14:textFill>
        </w:rPr>
        <w:t>章）：</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2B413858">
      <w:pPr>
        <w:spacing w:line="360" w:lineRule="auto"/>
        <w:ind w:firstLine="2880" w:firstLineChars="1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法定代表人或被授权人（签字</w:t>
      </w:r>
      <w:r>
        <w:rPr>
          <w:rFonts w:hint="eastAsia" w:ascii="宋体" w:hAnsi="宋体" w:eastAsia="宋体" w:cs="宋体"/>
          <w:color w:val="000000" w:themeColor="text1"/>
          <w:sz w:val="24"/>
          <w:szCs w:val="24"/>
          <w:highlight w:val="none"/>
          <w:lang w:eastAsia="zh-CN"/>
          <w14:textFill>
            <w14:solidFill>
              <w14:schemeClr w14:val="tx1"/>
            </w14:solidFill>
          </w14:textFill>
        </w:rPr>
        <w:t>或盖章</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7F5E7A55">
      <w:pPr>
        <w:spacing w:line="360" w:lineRule="auto"/>
        <w:ind w:firstLine="4440" w:firstLineChars="185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日期：      年   月   日 </w:t>
      </w:r>
      <w:r>
        <w:rPr>
          <w:rFonts w:hint="eastAsia" w:ascii="宋体" w:hAnsi="宋体" w:eastAsia="宋体" w:cs="宋体"/>
          <w:color w:val="000000" w:themeColor="text1"/>
          <w:sz w:val="18"/>
          <w:szCs w:val="18"/>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591AAD49">
      <w:pPr>
        <w:spacing w:line="360" w:lineRule="auto"/>
        <w:jc w:val="left"/>
        <w:outlineLvl w:val="9"/>
        <w:rPr>
          <w:rFonts w:hint="eastAsia" w:eastAsia="宋体"/>
          <w:b/>
          <w:color w:val="000000" w:themeColor="text1"/>
          <w:sz w:val="32"/>
          <w:szCs w:val="32"/>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br w:type="page"/>
      </w:r>
      <w:bookmarkStart w:id="1249" w:name="_Toc28686"/>
      <w:bookmarkStart w:id="1250" w:name="_Toc21032"/>
      <w:bookmarkStart w:id="1251" w:name="_Toc5981"/>
      <w:r>
        <w:rPr>
          <w:rFonts w:hint="eastAsia"/>
          <w:color w:val="000000" w:themeColor="text1"/>
          <w:sz w:val="24"/>
          <w:szCs w:val="24"/>
          <w:highlight w:val="none"/>
          <w14:textFill>
            <w14:solidFill>
              <w14:schemeClr w14:val="tx1"/>
            </w14:solidFill>
          </w14:textFill>
        </w:rPr>
        <w:t>附件</w:t>
      </w:r>
      <w:r>
        <w:rPr>
          <w:rFonts w:hint="eastAsia"/>
          <w:color w:val="000000" w:themeColor="text1"/>
          <w:sz w:val="24"/>
          <w:szCs w:val="24"/>
          <w:highlight w:val="none"/>
          <w:lang w:val="en-US" w:eastAsia="zh-CN"/>
          <w14:textFill>
            <w14:solidFill>
              <w14:schemeClr w14:val="tx1"/>
            </w14:solidFill>
          </w14:textFill>
        </w:rPr>
        <w:t>4</w:t>
      </w:r>
      <w:bookmarkEnd w:id="1249"/>
      <w:bookmarkEnd w:id="1250"/>
      <w:bookmarkEnd w:id="1251"/>
    </w:p>
    <w:p w14:paraId="423C7D23">
      <w:pPr>
        <w:pStyle w:val="36"/>
        <w:spacing w:after="157" w:afterLines="50" w:line="360" w:lineRule="auto"/>
        <w:ind w:firstLine="0" w:firstLineChars="0"/>
        <w:jc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投标文件编制情况</w:t>
      </w:r>
    </w:p>
    <w:p w14:paraId="2DC38C70">
      <w:pPr>
        <w:pStyle w:val="36"/>
        <w:spacing w:after="0" w:line="360" w:lineRule="auto"/>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1.投标文件报价编制方式: □自行编制的，编制的负责人：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（盖造价工程师执业专用章或全国建设工程造价员章，执业单位应与投标人一致） </w:t>
      </w:r>
      <w:r>
        <w:rPr>
          <w:rFonts w:hint="eastAsia" w:ascii="宋体" w:hAnsi="宋体" w:eastAsia="宋体" w:cs="宋体"/>
          <w:color w:val="000000" w:themeColor="text1"/>
          <w:sz w:val="24"/>
          <w:szCs w:val="24"/>
          <w:highlight w:val="none"/>
          <w14:textFill>
            <w14:solidFill>
              <w14:schemeClr w14:val="tx1"/>
            </w14:solidFill>
          </w14:textFill>
        </w:rPr>
        <w:t>。□委托编制的，受委托单位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，编制的负责人：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（盖造价工程师执业专用章或全国建设工程造价员章，执业单位应与受委托单位一致） </w:t>
      </w:r>
      <w:r>
        <w:rPr>
          <w:rFonts w:hint="eastAsia" w:ascii="宋体" w:hAnsi="宋体" w:eastAsia="宋体" w:cs="宋体"/>
          <w:color w:val="000000" w:themeColor="text1"/>
          <w:sz w:val="24"/>
          <w:szCs w:val="24"/>
          <w:highlight w:val="none"/>
          <w14:textFill>
            <w14:solidFill>
              <w14:schemeClr w14:val="tx1"/>
            </w14:solidFill>
          </w14:textFill>
        </w:rPr>
        <w:t>。</w:t>
      </w:r>
    </w:p>
    <w:p w14:paraId="52133408">
      <w:pPr>
        <w:pStyle w:val="36"/>
        <w:spacing w:after="0"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2.投标文件加密打包的电脑情况</w:t>
      </w:r>
    </w:p>
    <w:tbl>
      <w:tblPr>
        <w:tblStyle w:val="38"/>
        <w:tblW w:w="0" w:type="auto"/>
        <w:tblInd w:w="0" w:type="dxa"/>
        <w:tblLayout w:type="fixed"/>
        <w:tblCellMar>
          <w:top w:w="0" w:type="dxa"/>
          <w:left w:w="108" w:type="dxa"/>
          <w:bottom w:w="0" w:type="dxa"/>
          <w:right w:w="108" w:type="dxa"/>
        </w:tblCellMar>
      </w:tblPr>
      <w:tblGrid>
        <w:gridCol w:w="8528"/>
      </w:tblGrid>
      <w:tr w14:paraId="73EF6479">
        <w:tblPrEx>
          <w:tblCellMar>
            <w:top w:w="0" w:type="dxa"/>
            <w:left w:w="108" w:type="dxa"/>
            <w:bottom w:w="0" w:type="dxa"/>
            <w:right w:w="108" w:type="dxa"/>
          </w:tblCellMar>
        </w:tblPrEx>
        <w:trPr>
          <w:trHeight w:val="2819" w:hRule="atLeast"/>
        </w:trPr>
        <w:tc>
          <w:tcPr>
            <w:tcW w:w="8528" w:type="dxa"/>
            <w:noWrap w:val="0"/>
            <w:vAlign w:val="top"/>
          </w:tcPr>
          <w:p w14:paraId="573CB019">
            <w:pPr>
              <w:pStyle w:val="36"/>
              <w:spacing w:after="0" w:line="360" w:lineRule="auto"/>
              <w:ind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投标文件加密打包的电脑     自有    □      外包    □     其他    □</w:t>
            </w:r>
          </w:p>
          <w:p w14:paraId="491E9306">
            <w:pPr>
              <w:pStyle w:val="36"/>
              <w:spacing w:after="0" w:line="360" w:lineRule="auto"/>
              <w:ind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电脑类型</w:t>
            </w:r>
          </w:p>
          <w:p w14:paraId="6367FC5D">
            <w:pPr>
              <w:pStyle w:val="36"/>
              <w:spacing w:after="0" w:line="360" w:lineRule="auto"/>
              <w:ind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电脑所属单位</w:t>
            </w:r>
          </w:p>
          <w:p w14:paraId="5D802738">
            <w:pPr>
              <w:pStyle w:val="36"/>
              <w:spacing w:after="0" w:line="360" w:lineRule="auto"/>
              <w:ind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电脑所在地址        （如××市××区(县) ××街（路）××号××大厦××房）</w:t>
            </w:r>
          </w:p>
        </w:tc>
      </w:tr>
    </w:tbl>
    <w:p w14:paraId="3B9B3466">
      <w:pPr>
        <w:spacing w:line="360" w:lineRule="auto"/>
        <w:rPr>
          <w:rFonts w:hint="eastAsia" w:ascii="宋体" w:hAnsi="宋体"/>
          <w:color w:val="000000" w:themeColor="text1"/>
          <w:sz w:val="24"/>
          <w:highlight w:val="none"/>
          <w14:textFill>
            <w14:solidFill>
              <w14:schemeClr w14:val="tx1"/>
            </w14:solidFill>
          </w14:textFill>
        </w:rPr>
      </w:pPr>
    </w:p>
    <w:p w14:paraId="3409D2AA">
      <w:pPr>
        <w:spacing w:line="360" w:lineRule="auto"/>
        <w:rPr>
          <w:rFonts w:hint="eastAsia" w:ascii="宋体" w:hAnsi="宋体"/>
          <w:color w:val="000000" w:themeColor="text1"/>
          <w:sz w:val="24"/>
          <w:highlight w:val="none"/>
          <w14:textFill>
            <w14:solidFill>
              <w14:schemeClr w14:val="tx1"/>
            </w14:solidFill>
          </w14:textFill>
        </w:rPr>
      </w:pPr>
    </w:p>
    <w:p w14:paraId="2119EF3E">
      <w:pPr>
        <w:numPr>
          <w:ilvl w:val="0"/>
          <w:numId w:val="0"/>
        </w:numPr>
        <w:spacing w:line="360" w:lineRule="auto"/>
        <w:jc w:val="both"/>
        <w:rPr>
          <w:rFonts w:hint="eastAsia"/>
          <w:color w:val="000000" w:themeColor="text1"/>
          <w:sz w:val="24"/>
          <w:szCs w:val="24"/>
          <w:highlight w:val="none"/>
          <w14:textFill>
            <w14:solidFill>
              <w14:schemeClr w14:val="tx1"/>
            </w14:solidFill>
          </w14:textFill>
        </w:rPr>
      </w:pPr>
      <w:bookmarkStart w:id="1252" w:name="_Toc17451618"/>
      <w:bookmarkStart w:id="1253" w:name="_Toc17454911"/>
      <w:bookmarkStart w:id="1254" w:name="_Toc17454962"/>
      <w:bookmarkStart w:id="1255" w:name="_Toc17451663"/>
      <w:bookmarkStart w:id="1256" w:name="_Toc17451141"/>
      <w:bookmarkStart w:id="1257" w:name="_Toc17556916"/>
      <w:bookmarkStart w:id="1258" w:name="_Toc17452704"/>
      <w:bookmarkStart w:id="1259" w:name="_Toc10968"/>
    </w:p>
    <w:p w14:paraId="4D7F926B">
      <w:pPr>
        <w:pStyle w:val="2"/>
        <w:rPr>
          <w:rFonts w:hint="eastAsia" w:ascii="黑体" w:hAnsi="黑体" w:eastAsia="黑体"/>
          <w:color w:val="000000" w:themeColor="text1"/>
          <w:szCs w:val="32"/>
          <w:highlight w:val="none"/>
          <w14:textFill>
            <w14:solidFill>
              <w14:schemeClr w14:val="tx1"/>
            </w14:solidFill>
          </w14:textFill>
        </w:rPr>
      </w:pPr>
      <w:r>
        <w:rPr>
          <w:rFonts w:hint="eastAsia" w:ascii="黑体" w:hAnsi="宋体" w:eastAsia="黑体"/>
          <w:color w:val="000000" w:themeColor="text1"/>
          <w:szCs w:val="32"/>
          <w:highlight w:val="none"/>
          <w14:textFill>
            <w14:solidFill>
              <w14:schemeClr w14:val="tx1"/>
            </w14:solidFill>
          </w14:textFill>
        </w:rPr>
        <w:br w:type="page"/>
      </w:r>
      <w:bookmarkStart w:id="1260" w:name="_Toc4610"/>
      <w:bookmarkStart w:id="1261" w:name="_Toc5004"/>
      <w:bookmarkStart w:id="1262" w:name="_Toc219"/>
      <w:bookmarkStart w:id="1263" w:name="_Toc18918"/>
      <w:bookmarkStart w:id="1264" w:name="_Toc14855"/>
      <w:bookmarkStart w:id="1265" w:name="_Toc27558"/>
      <w:r>
        <w:rPr>
          <w:rFonts w:hint="eastAsia"/>
          <w:color w:val="000000" w:themeColor="text1"/>
          <w:highlight w:val="none"/>
          <w14:textFill>
            <w14:solidFill>
              <w14:schemeClr w14:val="tx1"/>
            </w14:solidFill>
          </w14:textFill>
        </w:rPr>
        <w:t>第九章 否决性条款汇总</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41E70EA5">
      <w:pPr>
        <w:spacing w:line="240" w:lineRule="auto"/>
        <w:ind w:firstLine="0" w:firstLineChars="0"/>
        <w:jc w:val="left"/>
        <w:outlineLvl w:val="9"/>
        <w:rPr>
          <w:rFonts w:hint="eastAsia"/>
          <w:color w:val="000000" w:themeColor="text1"/>
          <w:highlight w:val="none"/>
          <w14:textFill>
            <w14:solidFill>
              <w14:schemeClr w14:val="tx1"/>
            </w14:solidFill>
          </w14:textFill>
        </w:rPr>
      </w:pPr>
    </w:p>
    <w:p w14:paraId="0325147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招标人应当在招标文件中将否决性条款集中载明，未集中载明的否决性投标条款，评标时不予认可。如招标文件澄清或修改的内容中增加、删除、修改否决性条款的，招标人应当集中载明调整后完整的否决性条款，并依法发给潜在投标人或投标人。</w:t>
      </w:r>
    </w:p>
    <w:p w14:paraId="2363BAC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否决性条款指招标文件中规定的拒绝受理或者作无效标以及不合格标处理等否定投标文件效力的条款。否决性条款应当意思表示明确、易于判断，不得含有“实质性不响应招标文件要求”、“投标文件中附有招标人不可接受的条件”等评标委员会难以界定的条款。</w:t>
      </w:r>
    </w:p>
    <w:p w14:paraId="4E33585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注：不得将文件顺序、明显的文字错误、表格填写信息增加或格式调整等内容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14:paraId="64D6BE8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一、开标时，出现下列情形之一的，</w:t>
      </w:r>
      <w:r>
        <w:rPr>
          <w:rFonts w:hint="eastAsia" w:ascii="宋体" w:hAnsi="宋体" w:cs="宋体"/>
          <w:color w:val="000000" w:themeColor="text1"/>
          <w:kern w:val="0"/>
          <w:sz w:val="24"/>
          <w:szCs w:val="24"/>
          <w:highlight w:val="none"/>
          <w:lang w:val="en-US" w:eastAsia="zh-CN"/>
          <w14:textFill>
            <w14:solidFill>
              <w14:schemeClr w14:val="tx1"/>
            </w14:solidFill>
          </w14:textFill>
        </w:rPr>
        <w:t>招标人将拒绝受理该投标文件：</w:t>
      </w:r>
    </w:p>
    <w:p w14:paraId="25FD4029">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电子投标文件未在投标截止时间前成功上传并保存在</w:t>
      </w:r>
      <w:r>
        <w:rPr>
          <w:rFonts w:hint="eastAsia" w:ascii="宋体" w:hAnsi="宋体" w:cs="宋体"/>
          <w:color w:val="000000" w:themeColor="text1"/>
          <w:sz w:val="24"/>
          <w:szCs w:val="24"/>
          <w:highlight w:val="none"/>
          <w:lang w:val="en-US" w:eastAsia="zh-CN"/>
          <w14:textFill>
            <w14:solidFill>
              <w14:schemeClr w14:val="tx1"/>
            </w14:solidFill>
          </w14:textFill>
        </w:rPr>
        <w:t>规定的电子交易平台</w:t>
      </w:r>
      <w:r>
        <w:rPr>
          <w:rFonts w:hint="eastAsia" w:ascii="宋体" w:hAnsi="宋体" w:cs="宋体"/>
          <w:color w:val="000000" w:themeColor="text1"/>
          <w:sz w:val="24"/>
          <w:szCs w:val="24"/>
          <w:highlight w:val="none"/>
          <w14:textFill>
            <w14:solidFill>
              <w14:schemeClr w14:val="tx1"/>
            </w14:solidFill>
          </w14:textFill>
        </w:rPr>
        <w:t>电子评标系统且取得回执的</w:t>
      </w:r>
      <w:r>
        <w:rPr>
          <w:rFonts w:hint="eastAsia" w:ascii="宋体" w:hAnsi="宋体" w:eastAsia="宋体" w:cs="宋体"/>
          <w:color w:val="000000" w:themeColor="text1"/>
          <w:kern w:val="0"/>
          <w:sz w:val="24"/>
          <w:szCs w:val="24"/>
          <w:highlight w:val="none"/>
          <w14:textFill>
            <w14:solidFill>
              <w14:schemeClr w14:val="tx1"/>
            </w14:solidFill>
          </w14:textFill>
        </w:rPr>
        <w:t>；</w:t>
      </w:r>
    </w:p>
    <w:p w14:paraId="3DF8F287">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因投标人原因造成电子投标文件未解密的</w:t>
      </w:r>
      <w:r>
        <w:rPr>
          <w:rFonts w:hint="eastAsia" w:ascii="宋体" w:hAnsi="宋体" w:cs="宋体"/>
          <w:color w:val="000000" w:themeColor="text1"/>
          <w:sz w:val="24"/>
          <w:szCs w:val="24"/>
          <w:highlight w:val="none"/>
          <w:lang w:eastAsia="zh-CN"/>
          <w14:textFill>
            <w14:solidFill>
              <w14:schemeClr w14:val="tx1"/>
            </w14:solidFill>
          </w14:textFill>
        </w:rPr>
        <w:t>。</w:t>
      </w:r>
    </w:p>
    <w:p w14:paraId="46CB9965">
      <w:pPr>
        <w:spacing w:line="360" w:lineRule="auto"/>
        <w:ind w:firstLine="480" w:firstLineChars="200"/>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w:t>
      </w:r>
      <w:r>
        <w:rPr>
          <w:rFonts w:hint="eastAsia" w:ascii="宋体" w:hAnsi="宋体" w:cs="宋体"/>
          <w:color w:val="000000" w:themeColor="text1"/>
          <w:sz w:val="24"/>
          <w:szCs w:val="24"/>
          <w:highlight w:val="none"/>
          <w14:textFill>
            <w14:solidFill>
              <w14:schemeClr w14:val="tx1"/>
            </w14:solidFill>
          </w14:textFill>
        </w:rPr>
        <w:t>出现下列情形之一的，</w:t>
      </w:r>
      <w:r>
        <w:rPr>
          <w:rFonts w:hint="eastAsia" w:ascii="宋体" w:hAnsi="宋体" w:cs="宋体"/>
          <w:color w:val="000000" w:themeColor="text1"/>
          <w:sz w:val="24"/>
          <w:szCs w:val="24"/>
          <w:highlight w:val="none"/>
          <w:lang w:val="en-US" w:eastAsia="zh-CN"/>
          <w14:textFill>
            <w14:solidFill>
              <w14:schemeClr w14:val="tx1"/>
            </w14:solidFill>
          </w14:textFill>
        </w:rPr>
        <w:t>将作为无效投标或不合格标处理：</w:t>
      </w:r>
    </w:p>
    <w:p w14:paraId="4CB9D11F">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1.投标文件格式不符合第八章“投标文件格式”的规定；</w:t>
      </w:r>
    </w:p>
    <w:p w14:paraId="03AA5962">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2.未提供法定代表人（单位负责人）证明；或有法定代表人（单位负责人）委托代理人时，未提供授权委托书；</w:t>
      </w:r>
    </w:p>
    <w:p w14:paraId="11CA7B41">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3.投标文件的签字盖章不满足下列条件：</w:t>
      </w:r>
    </w:p>
    <w:p w14:paraId="0AA15F8C">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（1）投标人应使用依法设立的电子认证服务机构签发的电子签章认证证书对电子投标文件进行电子签章。该电子签章与手写签名或者盖章具有同等的法律效力；</w:t>
      </w:r>
    </w:p>
    <w:p w14:paraId="7EF0D39B">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投标文件格式规定盖章的页面必须盖章（可以使用电子签章），规定法定代表人或授权委托人签字的页面必须签字或签章（可以使用电子签名）。由法定代表人签字的，应附法定代表人（单位负责人）身份证明，由代理人签字的，应附法定代表人（单位负责人）身份证明和授权委托书；</w:t>
      </w:r>
    </w:p>
    <w:p w14:paraId="7C12EB29">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4.同一投标人提交两个或以上不同的投标文件或者投标报价，但招标文件要求提交备选投标的除外；</w:t>
      </w:r>
    </w:p>
    <w:p w14:paraId="15A448D6">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5.未按招标文件要求提供投标</w:t>
      </w:r>
      <w:r>
        <w:rPr>
          <w:rFonts w:hint="eastAsia" w:ascii="宋体" w:hAnsi="宋体" w:cs="宋体"/>
          <w:color w:val="000000" w:themeColor="text1"/>
          <w:kern w:val="0"/>
          <w:sz w:val="24"/>
          <w:szCs w:val="24"/>
          <w:highlight w:val="none"/>
          <w:lang w:val="en-US" w:eastAsia="zh-CN"/>
          <w14:textFill>
            <w14:solidFill>
              <w14:schemeClr w14:val="tx1"/>
            </w14:solidFill>
          </w14:textFill>
        </w:rPr>
        <w:t>保证金</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的；</w:t>
      </w:r>
    </w:p>
    <w:p w14:paraId="464F0E36">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6.投标人有串通投标、弄虚作假</w:t>
      </w:r>
      <w:r>
        <w:rPr>
          <w:rFonts w:hint="eastAsia" w:ascii="宋体" w:hAnsi="宋体" w:cs="宋体"/>
          <w:color w:val="000000" w:themeColor="text1"/>
          <w:kern w:val="0"/>
          <w:sz w:val="24"/>
          <w:szCs w:val="24"/>
          <w:highlight w:val="none"/>
          <w:lang w:val="en-US" w:eastAsia="zh-CN"/>
          <w14:textFill>
            <w14:solidFill>
              <w14:schemeClr w14:val="tx1"/>
            </w14:solidFill>
          </w14:textFill>
        </w:rPr>
        <w:t>（包括但不限于提供虚假业绩证明材料等）</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、行贿等违法行为的；</w:t>
      </w:r>
    </w:p>
    <w:p w14:paraId="7499FE33">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7.两个（含两个）以上的投标人加密打包的电子投标文件电脑机器码一致的</w:t>
      </w:r>
      <w:r>
        <w:rPr>
          <w:rFonts w:hint="eastAsia" w:ascii="宋体" w:hAnsi="宋体" w:cs="宋体"/>
          <w:color w:val="000000" w:themeColor="text1"/>
          <w:kern w:val="0"/>
          <w:sz w:val="24"/>
          <w:szCs w:val="24"/>
          <w:highlight w:val="none"/>
          <w:lang w:val="en-US" w:eastAsia="zh-CN"/>
          <w14:textFill>
            <w14:solidFill>
              <w14:schemeClr w14:val="tx1"/>
            </w14:solidFill>
          </w14:textFill>
        </w:rPr>
        <w:t>；</w:t>
      </w:r>
    </w:p>
    <w:p w14:paraId="0389CF4A">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8</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.投标文件不符合招标文件评标办法中形式评审标准、资格评审标准、响应性评审标准的要求</w:t>
      </w:r>
      <w:r>
        <w:rPr>
          <w:rFonts w:hint="eastAsia" w:ascii="宋体" w:hAnsi="宋体" w:cs="宋体"/>
          <w:color w:val="000000" w:themeColor="text1"/>
          <w:kern w:val="0"/>
          <w:sz w:val="24"/>
          <w:szCs w:val="24"/>
          <w:highlight w:val="none"/>
          <w:lang w:val="en-US" w:eastAsia="zh-CN"/>
          <w14:textFill>
            <w14:solidFill>
              <w14:schemeClr w14:val="tx1"/>
            </w14:solidFill>
          </w14:textFill>
        </w:rPr>
        <w:t>；</w:t>
      </w:r>
    </w:p>
    <w:p w14:paraId="5E2768F9">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9</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第二章“投标人须知”第1.4.3项规定的任何一种情形的；</w:t>
      </w:r>
    </w:p>
    <w:p w14:paraId="7B94620B">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项目负责人和安全员为同一人的；</w:t>
      </w:r>
    </w:p>
    <w:p w14:paraId="4C2D95E9">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11</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.评标委员会发现投标人的报价明显低于其他投标报价或者低于成本警示价，使得其投标报价可能低于其个别成本的，要求该投标人作出书面说明并提供相应的证明材料</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投标人不能合理说明或者不能提供相应证明材料的；</w:t>
      </w:r>
    </w:p>
    <w:p w14:paraId="1F956142">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投标报价未按招标文件要求报价，或投标报价超过招标控制价；</w:t>
      </w:r>
    </w:p>
    <w:p w14:paraId="45D0BC80">
      <w:pPr>
        <w:widowControl/>
        <w:spacing w:after="135" w:line="360" w:lineRule="auto"/>
        <w:ind w:firstLine="480" w:firstLineChars="200"/>
        <w:jc w:val="left"/>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13</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.招标人根据规定要求投标人提交有关证明和证件的原件时，投标人未在规定时间内提交或提交的有关证明和证件的原件与投标文件不一致；</w:t>
      </w:r>
    </w:p>
    <w:p w14:paraId="33B4129E">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14</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.评标委员会根据规定要求对投标报价进行修正，并要求投标人书面澄清确认时，投标人拒不澄清确认或不完全接受评标委员会要求其澄清确认的内容； </w:t>
      </w:r>
    </w:p>
    <w:p w14:paraId="6CA23795">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.评标委员会</w:t>
      </w:r>
      <w:r>
        <w:rPr>
          <w:rFonts w:hint="eastAsia" w:ascii="宋体" w:hAnsi="宋体" w:cs="宋体"/>
          <w:color w:val="000000" w:themeColor="text1"/>
          <w:kern w:val="0"/>
          <w:sz w:val="24"/>
          <w:szCs w:val="24"/>
          <w:highlight w:val="none"/>
          <w:lang w:val="en-US" w:eastAsia="zh-CN"/>
          <w14:textFill>
            <w14:solidFill>
              <w14:schemeClr w14:val="tx1"/>
            </w14:solidFill>
          </w14:textFill>
        </w:rPr>
        <w:t>根据规定</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要求投标人在规定时间内对投标文件澄清、说明或补正时，投标人未在规定时间内提交或拒绝提交澄清、说明或补正资料</w:t>
      </w:r>
      <w:r>
        <w:rPr>
          <w:rFonts w:hint="eastAsia" w:ascii="宋体" w:hAnsi="宋体" w:cs="宋体"/>
          <w:color w:val="000000" w:themeColor="text1"/>
          <w:kern w:val="0"/>
          <w:sz w:val="24"/>
          <w:szCs w:val="24"/>
          <w:highlight w:val="none"/>
          <w:lang w:val="en-US" w:eastAsia="zh-CN"/>
          <w14:textFill>
            <w14:solidFill>
              <w14:schemeClr w14:val="tx1"/>
            </w14:solidFill>
          </w14:textFill>
        </w:rPr>
        <w:t>。</w:t>
      </w:r>
    </w:p>
    <w:p w14:paraId="650BBDB4">
      <w:pPr>
        <w:widowControl/>
        <w:spacing w:after="135" w:line="360" w:lineRule="auto"/>
        <w:ind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p>
    <w:p w14:paraId="7EE0072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kern w:val="0"/>
          <w:sz w:val="24"/>
          <w:szCs w:val="24"/>
          <w:highlight w:val="none"/>
          <w14:textFill>
            <w14:solidFill>
              <w14:schemeClr w14:val="tx1"/>
            </w14:solidFill>
          </w14:textFill>
        </w:rPr>
      </w:pPr>
    </w:p>
    <w:p w14:paraId="40DBD900">
      <w:pPr>
        <w:widowControl/>
        <w:spacing w:after="135" w:line="360" w:lineRule="auto"/>
        <w:ind w:firstLine="480" w:firstLineChars="200"/>
        <w:jc w:val="left"/>
        <w:outlineLvl w:val="9"/>
        <w:rPr>
          <w:rFonts w:hint="eastAsia" w:ascii="宋体" w:hAnsi="宋体" w:eastAsia="宋体" w:cs="宋体"/>
          <w:color w:val="000000" w:themeColor="text1"/>
          <w:kern w:val="0"/>
          <w:sz w:val="24"/>
          <w:szCs w:val="24"/>
          <w:highlight w:val="none"/>
          <w14:textFill>
            <w14:solidFill>
              <w14:schemeClr w14:val="tx1"/>
            </w14:solidFill>
          </w14:textFill>
        </w:rPr>
        <w:sectPr>
          <w:pgSz w:w="11906" w:h="16838"/>
          <w:pgMar w:top="1440" w:right="1797" w:bottom="1440" w:left="1797" w:header="851" w:footer="992" w:gutter="0"/>
          <w:pgNumType w:fmt="decimal"/>
          <w:cols w:space="720" w:num="1"/>
          <w:docGrid w:linePitch="312" w:charSpace="0"/>
        </w:sectPr>
      </w:pPr>
    </w:p>
    <w:p w14:paraId="7135F14F">
      <w:pPr>
        <w:spacing w:line="240" w:lineRule="auto"/>
        <w:jc w:val="left"/>
        <w:outlineLvl w:val="9"/>
        <w:rPr>
          <w:color w:val="000000" w:themeColor="text1"/>
          <w:highlight w:val="none"/>
          <w14:textFill>
            <w14:solidFill>
              <w14:schemeClr w14:val="tx1"/>
            </w14:solidFill>
          </w14:textFill>
        </w:rPr>
      </w:pPr>
    </w:p>
    <w:p w14:paraId="53F07AD6">
      <w:pPr>
        <w:pStyle w:val="2"/>
        <w:rPr>
          <w:rFonts w:ascii="宋体" w:hAnsi="宋体"/>
          <w:color w:val="000000" w:themeColor="text1"/>
          <w:highlight w:val="none"/>
          <w14:textFill>
            <w14:solidFill>
              <w14:schemeClr w14:val="tx1"/>
            </w14:solidFill>
          </w14:textFill>
        </w:rPr>
      </w:pPr>
      <w:bookmarkStart w:id="1266" w:name="_Toc17472014"/>
      <w:bookmarkStart w:id="1267" w:name="_Toc31743"/>
      <w:bookmarkStart w:id="1268" w:name="_Toc16906"/>
      <w:bookmarkStart w:id="1269" w:name="_Toc6925"/>
      <w:bookmarkStart w:id="1270" w:name="_Toc17051"/>
      <w:bookmarkStart w:id="1271" w:name="_Toc8185"/>
      <w:bookmarkStart w:id="1272" w:name="_Toc17556918"/>
      <w:bookmarkStart w:id="1273" w:name="_Toc26920"/>
      <w:bookmarkStart w:id="1274" w:name="_Toc15134"/>
      <w:r>
        <w:rPr>
          <w:rFonts w:hint="eastAsia"/>
          <w:color w:val="000000" w:themeColor="text1"/>
          <w:highlight w:val="none"/>
          <w14:textFill>
            <w14:solidFill>
              <w14:schemeClr w14:val="tx1"/>
            </w14:solidFill>
          </w14:textFill>
        </w:rPr>
        <w:t>第十章</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最高投标限价（招标控制价）</w:t>
      </w:r>
      <w:bookmarkEnd w:id="1266"/>
      <w:bookmarkEnd w:id="1267"/>
      <w:bookmarkEnd w:id="1268"/>
      <w:bookmarkEnd w:id="1269"/>
      <w:bookmarkEnd w:id="1270"/>
      <w:bookmarkEnd w:id="1271"/>
      <w:bookmarkEnd w:id="1272"/>
      <w:bookmarkEnd w:id="1273"/>
      <w:bookmarkEnd w:id="1274"/>
    </w:p>
    <w:p w14:paraId="0737E392">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14:paraId="32C36036">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注：本章详见招标公告发布网页附件“最高投标限价（招标控制价）公布函”</w:t>
      </w:r>
    </w:p>
    <w:p w14:paraId="4DC5F7B8">
      <w:pPr>
        <w:spacing w:line="360" w:lineRule="auto"/>
        <w:rPr>
          <w:rFonts w:hint="eastAsia" w:ascii="宋体" w:hAnsi="宋体" w:eastAsia="宋体" w:cs="宋体"/>
          <w:color w:val="000000" w:themeColor="text1"/>
          <w:sz w:val="24"/>
          <w:szCs w:val="24"/>
          <w:highlight w:val="none"/>
          <w14:textFill>
            <w14:solidFill>
              <w14:schemeClr w14:val="tx1"/>
            </w14:solidFill>
          </w14:textFill>
        </w:rPr>
        <w:sectPr>
          <w:pgSz w:w="11906" w:h="16838"/>
          <w:pgMar w:top="1440" w:right="1797" w:bottom="1440" w:left="1797" w:header="0" w:footer="567" w:gutter="0"/>
          <w:pgNumType w:fmt="decimal"/>
          <w:cols w:space="720" w:num="1"/>
          <w:docGrid w:linePitch="312" w:charSpace="0"/>
        </w:sectPr>
      </w:pPr>
    </w:p>
    <w:p w14:paraId="45FD4F7F">
      <w:pPr>
        <w:pStyle w:val="2"/>
        <w:numPr>
          <w:ilvl w:val="0"/>
          <w:numId w:val="0"/>
        </w:numPr>
        <w:snapToGrid w:val="0"/>
        <w:rPr>
          <w:rFonts w:hint="eastAsia"/>
          <w:color w:val="000000" w:themeColor="text1"/>
          <w:highlight w:val="none"/>
          <w14:textFill>
            <w14:solidFill>
              <w14:schemeClr w14:val="tx1"/>
            </w14:solidFill>
          </w14:textFill>
        </w:rPr>
      </w:pPr>
      <w:bookmarkStart w:id="1275" w:name="_Toc7422"/>
      <w:bookmarkStart w:id="1276" w:name="_Toc32735"/>
      <w:r>
        <w:rPr>
          <w:rFonts w:hint="eastAsia" w:ascii="Times New Roman" w:hAnsi="Times New Roman" w:eastAsia="黑体" w:cs="Times New Roman"/>
          <w:b/>
          <w:bCs/>
          <w:color w:val="000000" w:themeColor="text1"/>
          <w:kern w:val="44"/>
          <w:sz w:val="32"/>
          <w:szCs w:val="44"/>
          <w:highlight w:val="none"/>
          <w:lang w:val="en-US" w:eastAsia="zh-CN" w:bidi="ar-SA"/>
          <w14:textFill>
            <w14:solidFill>
              <w14:schemeClr w14:val="tx1"/>
            </w14:solidFill>
          </w14:textFill>
        </w:rPr>
        <w:t>第十一章</w:t>
      </w:r>
      <w:r>
        <w:rPr>
          <w:rFonts w:hint="eastAsia" w:cs="Times New Roman"/>
          <w:b/>
          <w:bCs/>
          <w:color w:val="000000" w:themeColor="text1"/>
          <w:kern w:val="44"/>
          <w:sz w:val="32"/>
          <w:szCs w:val="44"/>
          <w:highlight w:val="none"/>
          <w:lang w:val="en-US" w:eastAsia="zh-CN" w:bidi="ar-SA"/>
          <w14:textFill>
            <w14:solidFill>
              <w14:schemeClr w14:val="tx1"/>
            </w14:solidFill>
          </w14:textFill>
        </w:rPr>
        <w:t xml:space="preserve">  </w:t>
      </w:r>
      <w:r>
        <w:rPr>
          <w:rFonts w:hint="eastAsia"/>
          <w:color w:val="000000" w:themeColor="text1"/>
          <w:highlight w:val="none"/>
          <w14:textFill>
            <w14:solidFill>
              <w14:schemeClr w14:val="tx1"/>
            </w14:solidFill>
          </w14:textFill>
        </w:rPr>
        <w:t>招标人声明</w:t>
      </w:r>
      <w:bookmarkEnd w:id="1275"/>
      <w:bookmarkEnd w:id="1276"/>
    </w:p>
    <w:p w14:paraId="3FEC77D0">
      <w:pPr>
        <w:numPr>
          <w:ilvl w:val="-1"/>
          <w:numId w:val="0"/>
        </w:num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14:paraId="160E1DF4">
      <w:pPr>
        <w:numPr>
          <w:ilvl w:val="-1"/>
          <w:numId w:val="0"/>
        </w:numPr>
        <w:snapToGrid w:val="0"/>
        <w:spacing w:line="360" w:lineRule="auto"/>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注：本章详见招标公告发布网页附件“招标人声明”</w:t>
      </w:r>
    </w:p>
    <w:p w14:paraId="48DD268A">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p>
    <w:sectPr>
      <w:pgSz w:w="11906" w:h="16838"/>
      <w:pgMar w:top="1440" w:right="1797" w:bottom="1440" w:left="1797" w:header="0" w:footer="567" w:gutter="0"/>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114FFF8-02DB-4713-B2BC-AA80EC9B0EAD}"/>
  </w:font>
  <w:font w:name="Arial">
    <w:panose1 w:val="020B0604020202020204"/>
    <w:charset w:val="01"/>
    <w:family w:val="swiss"/>
    <w:pitch w:val="default"/>
    <w:sig w:usb0="E0002EFF" w:usb1="C000785B" w:usb2="00000009" w:usb3="00000000" w:csb0="400001FF" w:csb1="FFFF0000"/>
    <w:embedRegular r:id="rId2" w:fontKey="{2C273B02-735B-4EB1-814D-47DC5E9FE534}"/>
  </w:font>
  <w:font w:name="黑体">
    <w:panose1 w:val="02010609060101010101"/>
    <w:charset w:val="86"/>
    <w:family w:val="auto"/>
    <w:pitch w:val="default"/>
    <w:sig w:usb0="800002BF" w:usb1="38CF7CFA" w:usb2="00000016" w:usb3="00000000" w:csb0="00040001" w:csb1="00000000"/>
    <w:embedRegular r:id="rId3" w:fontKey="{246F6897-D4A8-4E96-8460-3CD9AAF55AE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91188389-99CE-4B5A-AB6E-72032B3B18FA}"/>
  </w:font>
  <w:font w:name="楷体_GB2312">
    <w:panose1 w:val="02010609030101010101"/>
    <w:charset w:val="86"/>
    <w:family w:val="modern"/>
    <w:pitch w:val="default"/>
    <w:sig w:usb0="00000001" w:usb1="080E0000" w:usb2="00000000" w:usb3="00000000" w:csb0="00040000" w:csb1="00000000"/>
    <w:embedRegular r:id="rId5" w:fontKey="{73A5B0DD-7702-4892-990B-42A1A92E3F5E}"/>
  </w:font>
  <w:font w:name="仿宋_GB2312">
    <w:panose1 w:val="02010609030101010101"/>
    <w:charset w:val="86"/>
    <w:family w:val="modern"/>
    <w:pitch w:val="default"/>
    <w:sig w:usb0="00000001" w:usb1="080E0000" w:usb2="00000000" w:usb3="00000000" w:csb0="00040000" w:csb1="00000000"/>
    <w:embedRegular r:id="rId6" w:fontKey="{4772302F-89D1-4207-BE97-305FC0E61BBC}"/>
  </w:font>
  <w:font w:name="华文细黑">
    <w:panose1 w:val="02010600040101010101"/>
    <w:charset w:val="86"/>
    <w:family w:val="auto"/>
    <w:pitch w:val="default"/>
    <w:sig w:usb0="00000287" w:usb1="080F0000" w:usb2="00000000" w:usb3="00000000" w:csb0="0004009F" w:csb1="DFD70000"/>
  </w:font>
  <w:font w:name="Calisto MT">
    <w:panose1 w:val="02040603050505030304"/>
    <w:charset w:val="00"/>
    <w:family w:val="roman"/>
    <w:pitch w:val="default"/>
    <w:sig w:usb0="00000003" w:usb1="00000000" w:usb2="00000000" w:usb3="00000000" w:csb0="2000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7" w:fontKey="{3A49B75B-ED6D-4DB9-BDEA-0D4437F28F08}"/>
  </w:font>
  <w:font w:name="Wingdings 2">
    <w:panose1 w:val="05020102010507070707"/>
    <w:charset w:val="02"/>
    <w:family w:val="auto"/>
    <w:pitch w:val="default"/>
    <w:sig w:usb0="00000000" w:usb1="00000000" w:usb2="00000000" w:usb3="00000000" w:csb0="80000000" w:csb1="00000000"/>
    <w:embedRegular r:id="rId8" w:fontKey="{98A0F17F-50EB-48D3-BD43-AB5F32F73FB5}"/>
  </w:font>
  <w:font w:name="方正楷体_GBK">
    <w:panose1 w:val="02000000000000000000"/>
    <w:charset w:val="86"/>
    <w:family w:val="auto"/>
    <w:pitch w:val="default"/>
    <w:sig w:usb0="800002BF" w:usb1="38CF7CFA" w:usb2="00000016" w:usb3="00000000" w:csb0="00040000" w:csb1="00000000"/>
    <w:embedRegular r:id="rId9" w:fontKey="{74428A40-FF81-478A-B5AB-0E96F0460A43}"/>
  </w:font>
  <w:font w:name="方正小标宋简体">
    <w:panose1 w:val="03000509000000000000"/>
    <w:charset w:val="86"/>
    <w:family w:val="script"/>
    <w:pitch w:val="default"/>
    <w:sig w:usb0="00000001" w:usb1="080E0000" w:usb2="00000000" w:usb3="00000000" w:csb0="00040000" w:csb1="00000000"/>
    <w:embedRegular r:id="rId10" w:fontKey="{771EEB97-D65F-4401-8EAA-46C6033FE97C}"/>
  </w:font>
  <w:font w:name="方正黑体_GBK">
    <w:altName w:val="微软雅黑"/>
    <w:panose1 w:val="00000000000000000000"/>
    <w:charset w:val="86"/>
    <w:family w:val="auto"/>
    <w:pitch w:val="default"/>
    <w:sig w:usb0="00000000" w:usb1="00000000" w:usb2="00000000" w:usb3="00000000" w:csb0="00040000" w:csb1="00000000"/>
    <w:embedRegular r:id="rId11" w:fontKey="{C8106609-6B95-45EF-9215-CD366BC554A4}"/>
  </w:font>
  <w:font w:name="微软雅黑">
    <w:panose1 w:val="020B0503020204020204"/>
    <w:charset w:val="86"/>
    <w:family w:val="auto"/>
    <w:pitch w:val="default"/>
    <w:sig w:usb0="80000287" w:usb1="2ACF3C50" w:usb2="00000016" w:usb3="00000000" w:csb0="0004001F" w:csb1="00000000"/>
    <w:embedRegular r:id="rId12" w:fontKey="{436F4C14-2FF9-4B62-B43F-4A0F7F04236A}"/>
  </w:font>
  <w:font w:name="方正小标宋_GBK">
    <w:panose1 w:val="03000509000000000000"/>
    <w:charset w:val="86"/>
    <w:family w:val="auto"/>
    <w:pitch w:val="default"/>
    <w:sig w:usb0="00000001" w:usb1="080E0000" w:usb2="00000000" w:usb3="00000000" w:csb0="00040000" w:csb1="00000000"/>
    <w:embedRegular r:id="rId13" w:fontKey="{79BDCC14-22AB-45C2-B344-925726E52DC2}"/>
  </w:font>
  <w:font w:name="楷体">
    <w:panose1 w:val="02010609060101010101"/>
    <w:charset w:val="86"/>
    <w:family w:val="modern"/>
    <w:pitch w:val="default"/>
    <w:sig w:usb0="800002BF" w:usb1="38CF7CFA" w:usb2="00000016" w:usb3="00000000" w:csb0="00040001" w:csb1="00000000"/>
    <w:embedRegular r:id="rId14" w:fontKey="{CCC042B7-FC09-43A6-946B-2A361054C7B6}"/>
  </w:font>
  <w:font w:name="等线">
    <w:panose1 w:val="02010600030101010101"/>
    <w:charset w:val="86"/>
    <w:family w:val="auto"/>
    <w:pitch w:val="default"/>
    <w:sig w:usb0="A00002BF" w:usb1="38CF7CFA" w:usb2="00000016" w:usb3="00000000" w:csb0="0004000F" w:csb1="00000000"/>
    <w:embedRegular r:id="rId15" w:fontKey="{61C054F6-D026-4FD5-9D58-96D8A6E16A17}"/>
  </w:font>
  <w:font w:name="华文宋体">
    <w:panose1 w:val="02010600040101010101"/>
    <w:charset w:val="86"/>
    <w:family w:val="auto"/>
    <w:pitch w:val="default"/>
    <w:sig w:usb0="00000287" w:usb1="080F0000" w:usb2="00000000" w:usb3="00000000" w:csb0="0004009F" w:csb1="DFD70000"/>
    <w:embedRegular r:id="rId16" w:fontKey="{7B252A65-52F6-4F8D-8218-2EA4FFFB8466}"/>
  </w:font>
  <w:font w:name="WPSEMBED2">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800002BF" w:usb1="38CF7CFA" w:usb2="00000016" w:usb3="00000000" w:csb0="00040000" w:csb1="00000000"/>
  </w:font>
  <w:font w:name="WPSEMBED4">
    <w:panose1 w:val="03000509000000000000"/>
    <w:charset w:val="86"/>
    <w:family w:val="auto"/>
    <w:pitch w:val="default"/>
    <w:sig w:usb0="00000001" w:usb1="080E0000" w:usb2="00000000" w:usb3="00000000" w:csb0="00040000" w:csb1="00000000"/>
  </w:font>
  <w:font w:name="WPSEMBED5">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9DBB2">
    <w:pPr>
      <w:pStyle w:val="25"/>
      <w:rPr>
        <w:rFonts w:ascii="Times New Roman" w:hAnsi="Times New Roman" w:eastAsia="宋体" w:cs="Times New Roman"/>
      </w:rPr>
    </w:pPr>
    <w:r>
      <w:rPr>
        <w:rFonts w:ascii="Times New Roman" w:hAnsi="Times New Roman" w:eastAsia="宋体" w:cs="Times New Roman"/>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4"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31696D">
                          <w:pPr>
                            <w:pStyle w:val="25"/>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3</w:t>
                          </w:r>
                          <w:r>
                            <w:rPr>
                              <w:rFonts w:ascii="Times New Roman" w:hAnsi="Times New Roman" w:eastAsia="宋体" w:cs="Times New Roman"/>
                            </w:rPr>
                            <w:fldChar w:fldCharType="end"/>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PSvFrLAQAAnAMAAA4AAAAAAAAAAQAgAAAAHgEAAGRycy9lMm9E&#10;b2MueG1sUEsFBgAAAAAGAAYAWQEAAFsFAAAAAA==&#10;">
              <v:fill on="f" focussize="0,0"/>
              <v:stroke on="f"/>
              <v:imagedata o:title=""/>
              <o:lock v:ext="edit" aspectratio="f"/>
              <v:textbox inset="0mm,0mm,0mm,0mm" style="mso-fit-shape-to-text:t;">
                <w:txbxContent>
                  <w:p w14:paraId="7731696D">
                    <w:pPr>
                      <w:pStyle w:val="25"/>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3</w:t>
                    </w:r>
                    <w:r>
                      <w:rPr>
                        <w:rFonts w:ascii="Times New Roman" w:hAnsi="Times New Roman" w:eastAsia="宋体"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C3EB2">
    <w:pPr>
      <w:pStyle w:val="25"/>
      <w:rPr>
        <w:rFonts w:ascii="Times New Roman" w:hAnsi="Times New Roman" w:eastAsia="宋体" w:cs="Times New Roman"/>
      </w:rPr>
    </w:pPr>
    <w:r>
      <w:rPr>
        <w:rFonts w:ascii="Times New Roman" w:hAnsi="Times New Roman" w:eastAsia="宋体" w:cs="Times New Roman"/>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9BE2E3">
                          <w:pPr>
                            <w:pStyle w:val="25"/>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p>
                      </w:txbxContent>
                    </wps:txbx>
                    <wps:bodyPr wrap="none" lIns="0" tIns="0" rIns="0" bIns="0" upright="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k7373LAQAAnAMAAA4AAAAAAAAAAQAgAAAAHgEAAGRycy9lMm9E&#10;b2MueG1sUEsFBgAAAAAGAAYAWQEAAFsFAAAAAA==&#10;">
              <v:fill on="f" focussize="0,0"/>
              <v:stroke on="f"/>
              <v:imagedata o:title=""/>
              <o:lock v:ext="edit" aspectratio="f"/>
              <v:textbox inset="0mm,0mm,0mm,0mm" style="mso-fit-shape-to-text:t;">
                <w:txbxContent>
                  <w:p w14:paraId="379BE2E3">
                    <w:pPr>
                      <w:pStyle w:val="25"/>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FAA1A">
    <w:pPr>
      <w:widowControl w:val="0"/>
      <w:tabs>
        <w:tab w:val="center" w:pos="4153"/>
      </w:tabs>
      <w:snapToGrid w:val="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2091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9" name="文本框 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3F9B9E">
                          <w:pPr>
                            <w:widowControl w:val="0"/>
                            <w:snapToGrid w:val="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 PAGE  \* MERGEFORMAT </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1</w:t>
                          </w:r>
                          <w:r>
                            <w:rPr>
                              <w:rFonts w:ascii="Times New Roman" w:hAnsi="Times New Roman" w:eastAsia="宋体" w:cs="Times New Roman"/>
                              <w:kern w:val="0"/>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13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gjnL8sBAACdAwAADgAAAGRycy9lMm9Eb2MueG1srVPNjtMwEL4j8Q6W&#10;79TZglCJ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NXLN5Q4bnHk558/zr/+nH9/&#10;J9mJEvUBasy8DZibhnd+wMWZ/YDOzHxQ0eYvciIYR4FPF4HlkIjIj1bL1arCkMDYfEF8dvc8REjv&#10;pbckGw2NOMEiLD9+hDSmzim5mvM32pgyReP+cyBm9rDc+9hjttKwGyZCO9+ekE+Pw2+ow12nxHxw&#10;qG3ek9mIs7GbjUOIet+VRcr1ILw9JGyi9JYrjLBTYZxaYTdtWF6Lf+8l6+6v2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YI5y/LAQAAnQMAAA4AAAAAAAAAAQAgAAAAHgEAAGRycy9lMm9E&#10;b2MueG1sUEsFBgAAAAAGAAYAWQEAAFsFAAAAAA==&#10;">
              <v:fill on="f" focussize="0,0"/>
              <v:stroke on="f"/>
              <v:imagedata o:title=""/>
              <o:lock v:ext="edit" aspectratio="f"/>
              <v:textbox inset="0mm,0mm,0mm,0mm" style="mso-fit-shape-to-text:t;">
                <w:txbxContent>
                  <w:p w14:paraId="4E3F9B9E">
                    <w:pPr>
                      <w:widowControl w:val="0"/>
                      <w:snapToGrid w:val="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 PAGE  \* MERGEFORMAT </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1</w:t>
                    </w:r>
                    <w:r>
                      <w:rPr>
                        <w:rFonts w:ascii="Times New Roman" w:hAnsi="Times New Roman" w:eastAsia="宋体" w:cs="Times New Roman"/>
                        <w:kern w:val="0"/>
                        <w:sz w:val="18"/>
                        <w:szCs w:val="18"/>
                        <w:lang w:val="en-US" w:eastAsia="zh-CN" w:bidi="ar-SA"/>
                      </w:rPr>
                      <w:fldChar w:fldCharType="end"/>
                    </w:r>
                  </w:p>
                </w:txbxContent>
              </v:textbox>
            </v:shape>
          </w:pict>
        </mc:Fallback>
      </mc:AlternateContent>
    </w:r>
    <w:r>
      <w:rPr>
        <w:rFonts w:hint="eastAsia" w:cs="Times New Roman"/>
        <w:kern w:val="0"/>
        <w:sz w:val="18"/>
        <w:szCs w:val="18"/>
        <w:lang w:val="en-US" w:eastAsia="zh-CN" w:bidi="ar-S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4E770">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Times New Roman" w:hAnsi="Times New Roman" w:eastAsia="宋体" w:cs="Times New Roman"/>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2"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256EC0">
                          <w:pPr>
                            <w:widowControl w:val="0"/>
                            <w:tabs>
                              <w:tab w:val="center" w:pos="4153"/>
                              <w:tab w:val="right" w:pos="8306"/>
                            </w:tabs>
                            <w:snapToGrid w:val="0"/>
                            <w:jc w:val="center"/>
                            <w:rPr>
                              <w:rFonts w:ascii="Times New Roman" w:hAnsi="Times New Roman" w:eastAsia="宋体" w:cs="Times New Roman"/>
                            </w:rP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3</w:t>
                          </w:r>
                          <w:r>
                            <w:rPr>
                              <w:rFonts w:ascii="Calibri" w:hAnsi="Calibri" w:eastAsia="宋体" w:cs="Calibri"/>
                              <w:kern w:val="2"/>
                              <w:sz w:val="18"/>
                              <w:szCs w:val="18"/>
                              <w:lang w:val="en-US" w:eastAsia="zh-CN" w:bidi="ar-SA"/>
                            </w:rPr>
                            <w:fldChar w:fldCharType="end"/>
                          </w:r>
                        </w:p>
                      </w:txbxContent>
                    </wps:txbx>
                    <wps:bodyPr wrap="none" lIns="0" tIns="0" rIns="0" bIns="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Bi5KgnLAQAAnAMAAA4AAAAAAAAAAQAgAAAAHgEAAGRycy9lMm9E&#10;b2MueG1sUEsFBgAAAAAGAAYAWQEAAFsFAAAAAA==&#10;">
              <v:fill on="f" focussize="0,0"/>
              <v:stroke on="f"/>
              <v:imagedata o:title=""/>
              <o:lock v:ext="edit" aspectratio="f"/>
              <v:textbox inset="0mm,0mm,0mm,0mm" style="mso-fit-shape-to-text:t;">
                <w:txbxContent>
                  <w:p w14:paraId="08256EC0">
                    <w:pPr>
                      <w:widowControl w:val="0"/>
                      <w:tabs>
                        <w:tab w:val="center" w:pos="4153"/>
                        <w:tab w:val="right" w:pos="8306"/>
                      </w:tabs>
                      <w:snapToGrid w:val="0"/>
                      <w:jc w:val="center"/>
                      <w:rPr>
                        <w:rFonts w:ascii="Times New Roman" w:hAnsi="Times New Roman" w:eastAsia="宋体" w:cs="Times New Roman"/>
                      </w:rP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3</w:t>
                    </w:r>
                    <w:r>
                      <w:rPr>
                        <w:rFonts w:ascii="Calibri" w:hAnsi="Calibri" w:eastAsia="宋体" w:cs="Calibri"/>
                        <w:kern w:val="2"/>
                        <w:sz w:val="18"/>
                        <w:szCs w:val="18"/>
                        <w:lang w:val="en-US" w:eastAsia="zh-CN" w:bidi="ar-SA"/>
                      </w:rPr>
                      <w:fldChar w:fldCharType="end"/>
                    </w:r>
                  </w:p>
                </w:txbxContent>
              </v:textbox>
            </v:shape>
          </w:pict>
        </mc:Fallback>
      </mc:AlternateContent>
    </w:r>
  </w:p>
  <w:p w14:paraId="2132560C">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6DAC9">
    <w:pPr>
      <w:pStyle w:val="25"/>
      <w:rPr>
        <w:rFonts w:ascii="Times New Roman" w:hAnsi="Times New Roman" w:eastAsia="宋体" w:cs="Times New Roman"/>
      </w:rPr>
    </w:pPr>
    <w:r>
      <w:rPr>
        <w:rFonts w:ascii="Times New Roman" w:hAnsi="Times New Roman" w:eastAsia="宋体" w:cs="Times New Roman"/>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3"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AD92E4">
                          <w:pPr>
                            <w:pStyle w:val="25"/>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p>
                      </w:txbxContent>
                    </wps:txbx>
                    <wps:bodyPr wrap="none" lIns="0" tIns="0" rIns="0" bIns="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myeWcsBAACcAwAADgAAAGRycy9lMm9Eb2MueG1srVPNjtMwEL4j8Q6W&#10;79TZLoIq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pt6Mvra0octzjy8/dv5x+/zj+/&#10;kuXrrFAfoMbEu4CpaXjrB9yb2Q/ozMQHFW3+IiWCcdT3dNFXDomI/Gi1XK0qDAmMzRfEZw/PQ4T0&#10;TnpLstHQiAMsuvLjB0hj6pySqzl/q40pQzTuLwdiZg/LvY89ZisNu2EitPPtCfn0OPuGOlx1Ssx7&#10;h9LmNZmNOBu72TiEqPdd2aNcD8KbQ8ImSm+5wgg7FcahFXbTguWt+PNesh5+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5snlnLAQAAnAMAAA4AAAAAAAAAAQAgAAAAHgEAAGRycy9lMm9E&#10;b2MueG1sUEsFBgAAAAAGAAYAWQEAAFsFAAAAAA==&#10;">
              <v:fill on="f" focussize="0,0"/>
              <v:stroke on="f"/>
              <v:imagedata o:title=""/>
              <o:lock v:ext="edit" aspectratio="f"/>
              <v:textbox inset="0mm,0mm,0mm,0mm" style="mso-fit-shape-to-text:t;">
                <w:txbxContent>
                  <w:p w14:paraId="21AD92E4">
                    <w:pPr>
                      <w:pStyle w:val="25"/>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230A1">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6" name="文本框 4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C8947">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145</w:t>
                          </w:r>
                          <w:r>
                            <w:rPr>
                              <w:rFonts w:ascii="Calibri" w:hAnsi="Calibri" w:eastAsia="宋体" w:cs="Calibri"/>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cDko0AgAAZQ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c3U0o0Uyj55fu3&#10;y49fl59fSTyERLX1c0TuLGJD89Y0aJzh3OMwMm8Kp+IXnAj8EPh8FVg0gfB4aTaZzVK4OHzDBvjJ&#10;43XrfHgnjCLRyKhDBVth2WnrQxc6hMRs2mwqKdsqSk3qjE5v3q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A5KNAIAAGUEAAAOAAAAAAAAAAEAIAAAAB8BAABkcnMvZTJvRG9jLnhtbFBL&#10;BQYAAAAABgAGAFkBAADFBQAAAAA=&#10;">
              <v:fill on="f" focussize="0,0"/>
              <v:stroke on="f" weight="0.5pt"/>
              <v:imagedata o:title=""/>
              <o:lock v:ext="edit" aspectratio="f"/>
              <v:textbox inset="0mm,0mm,0mm,0mm" style="mso-fit-shape-to-text:t;">
                <w:txbxContent>
                  <w:p w14:paraId="0D5C8947">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145</w:t>
                    </w:r>
                    <w:r>
                      <w:rPr>
                        <w:rFonts w:ascii="Calibri" w:hAnsi="Calibri" w:eastAsia="宋体" w:cs="Calibri"/>
                        <w:kern w:val="2"/>
                        <w:sz w:val="18"/>
                        <w:szCs w:val="18"/>
                        <w:lang w:val="en-US" w:eastAsia="zh-CN" w:bidi="ar-SA"/>
                      </w:rPr>
                      <w:fldChar w:fldCharType="end"/>
                    </w:r>
                  </w:p>
                </w:txbxContent>
              </v:textbox>
            </v:shape>
          </w:pict>
        </mc:Fallback>
      </mc:AlternateContent>
    </w:r>
  </w:p>
  <w:p w14:paraId="1EF5776C">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985D6">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7" name="文本框 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5F85A">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w:t>
                          </w:r>
                          <w:r>
                            <w:rPr>
                              <w:rFonts w:ascii="Calibri" w:hAnsi="Calibri" w:eastAsia="宋体" w:cs="Calibri"/>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gkNY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6+e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iCQ1jUCAABlBAAADgAAAAAAAAABACAAAAAfAQAAZHJzL2Uyb0RvYy54bWxQ&#10;SwUGAAAAAAYABgBZAQAAxgUAAAAA&#10;">
              <v:fill on="f" focussize="0,0"/>
              <v:stroke on="f" weight="0.5pt"/>
              <v:imagedata o:title=""/>
              <o:lock v:ext="edit" aspectratio="f"/>
              <v:textbox inset="0mm,0mm,0mm,0mm" style="mso-fit-shape-to-text:t;">
                <w:txbxContent>
                  <w:p w14:paraId="73A5F85A">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w:t>
                    </w:r>
                    <w:r>
                      <w:rPr>
                        <w:rFonts w:ascii="Calibri" w:hAnsi="Calibri" w:eastAsia="宋体" w:cs="Calibri"/>
                        <w:kern w:val="2"/>
                        <w:sz w:val="18"/>
                        <w:szCs w:val="18"/>
                        <w:lang w:val="en-US" w:eastAsia="zh-CN" w:bidi="ar-SA"/>
                      </w:rPr>
                      <w:fldChar w:fldCharType="end"/>
                    </w:r>
                  </w:p>
                </w:txbxContent>
              </v:textbox>
            </v:shape>
          </w:pict>
        </mc:Fallback>
      </mc:AlternateContent>
    </w:r>
  </w:p>
  <w:p w14:paraId="35B6B26B">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E166A">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B679BF">
                          <w:pPr>
                            <w:pStyle w:val="25"/>
                          </w:pPr>
                          <w:r>
                            <w:fldChar w:fldCharType="begin"/>
                          </w:r>
                          <w:r>
                            <w:instrText xml:space="preserve"> PAGE  \* MERGEFORMAT </w:instrText>
                          </w:r>
                          <w:r>
                            <w:fldChar w:fldCharType="separate"/>
                          </w:r>
                          <w:r>
                            <w:t>66</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LSYRfgAQAAwAMAAA4AAAAA&#10;AAAAAQAgAAAAHgEAAGRycy9lMm9Eb2MueG1sUEsFBgAAAAAGAAYAWQEAAHAFAAAAAA==&#10;">
              <v:fill on="f" focussize="0,0"/>
              <v:stroke on="f"/>
              <v:imagedata o:title=""/>
              <o:lock v:ext="edit" aspectratio="f"/>
              <v:textbox inset="0mm,0mm,0mm,0mm" style="mso-fit-shape-to-text:t;">
                <w:txbxContent>
                  <w:p w14:paraId="49B679BF">
                    <w:pPr>
                      <w:pStyle w:val="2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CF029">
    <w:pPr>
      <w:pStyle w:val="27"/>
      <w:pBdr>
        <w:bottom w:val="none" w:color="auto" w:sz="0" w:space="1"/>
      </w:pBdr>
      <w:rPr>
        <w:rFonts w:ascii="Times New Roman" w:hAnsi="Times New Roman" w:eastAsia="宋体"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27FAA8"/>
    <w:multiLevelType w:val="singleLevel"/>
    <w:tmpl w:val="A627FAA8"/>
    <w:lvl w:ilvl="0" w:tentative="0">
      <w:start w:val="1"/>
      <w:numFmt w:val="chineseCounting"/>
      <w:suff w:val="nothing"/>
      <w:lvlText w:val="（%1）"/>
      <w:lvlJc w:val="left"/>
      <w:pPr>
        <w:ind w:left="0" w:firstLine="420"/>
      </w:pPr>
      <w:rPr>
        <w:rFonts w:hint="eastAsia"/>
      </w:rPr>
    </w:lvl>
  </w:abstractNum>
  <w:abstractNum w:abstractNumId="1">
    <w:nsid w:val="B851896E"/>
    <w:multiLevelType w:val="singleLevel"/>
    <w:tmpl w:val="B851896E"/>
    <w:lvl w:ilvl="0" w:tentative="0">
      <w:start w:val="48"/>
      <w:numFmt w:val="decimal"/>
      <w:suff w:val="space"/>
      <w:lvlText w:val="%1."/>
      <w:lvlJc w:val="left"/>
    </w:lvl>
  </w:abstractNum>
  <w:abstractNum w:abstractNumId="2">
    <w:nsid w:val="B9DD5580"/>
    <w:multiLevelType w:val="singleLevel"/>
    <w:tmpl w:val="B9DD5580"/>
    <w:lvl w:ilvl="0" w:tentative="0">
      <w:start w:val="62"/>
      <w:numFmt w:val="decimal"/>
      <w:suff w:val="space"/>
      <w:lvlText w:val="%1."/>
      <w:lvlJc w:val="left"/>
    </w:lvl>
  </w:abstractNum>
  <w:abstractNum w:abstractNumId="3">
    <w:nsid w:val="D824A416"/>
    <w:multiLevelType w:val="singleLevel"/>
    <w:tmpl w:val="D824A416"/>
    <w:lvl w:ilvl="0" w:tentative="0">
      <w:start w:val="2"/>
      <w:numFmt w:val="chineseCounting"/>
      <w:suff w:val="nothing"/>
      <w:lvlText w:val="（%1）"/>
      <w:lvlJc w:val="left"/>
      <w:rPr>
        <w:rFonts w:hint="eastAsia"/>
      </w:rPr>
    </w:lvl>
  </w:abstractNum>
  <w:abstractNum w:abstractNumId="4">
    <w:nsid w:val="FA72C680"/>
    <w:multiLevelType w:val="singleLevel"/>
    <w:tmpl w:val="FA72C680"/>
    <w:lvl w:ilvl="0" w:tentative="0">
      <w:start w:val="2"/>
      <w:numFmt w:val="chineseCounting"/>
      <w:suff w:val="nothing"/>
      <w:lvlText w:val="（%1）"/>
      <w:lvlJc w:val="left"/>
      <w:rPr>
        <w:rFonts w:hint="eastAsia"/>
      </w:rPr>
    </w:lvl>
  </w:abstractNum>
  <w:abstractNum w:abstractNumId="5">
    <w:nsid w:val="027A3135"/>
    <w:multiLevelType w:val="singleLevel"/>
    <w:tmpl w:val="027A3135"/>
    <w:lvl w:ilvl="0" w:tentative="0">
      <w:start w:val="1"/>
      <w:numFmt w:val="chineseCounting"/>
      <w:suff w:val="nothing"/>
      <w:lvlText w:val="（%1）"/>
      <w:lvlJc w:val="left"/>
      <w:pPr>
        <w:ind w:left="0" w:firstLine="420"/>
      </w:pPr>
      <w:rPr>
        <w:rFonts w:hint="eastAsia"/>
      </w:rPr>
    </w:lvl>
  </w:abstractNum>
  <w:abstractNum w:abstractNumId="6">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194E6C37"/>
    <w:multiLevelType w:val="singleLevel"/>
    <w:tmpl w:val="194E6C37"/>
    <w:lvl w:ilvl="0" w:tentative="0">
      <w:start w:val="77"/>
      <w:numFmt w:val="decimal"/>
      <w:suff w:val="space"/>
      <w:lvlText w:val="%1."/>
      <w:lvlJc w:val="left"/>
    </w:lvl>
  </w:abstractNum>
  <w:abstractNum w:abstractNumId="8">
    <w:nsid w:val="259905B5"/>
    <w:multiLevelType w:val="multilevel"/>
    <w:tmpl w:val="259905B5"/>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pStyle w:val="6"/>
      <w:suff w:val="space"/>
      <w:lvlText w:val="%2.%3.%4"/>
      <w:lvlJc w:val="left"/>
      <w:pPr>
        <w:ind w:left="284" w:hanging="284"/>
      </w:pPr>
      <w:rPr>
        <w:rFonts w:hint="eastAsia" w:ascii="宋体" w:eastAsia="宋体"/>
        <w:b/>
        <w:i w:val="0"/>
        <w:sz w:val="28"/>
      </w:rPr>
    </w:lvl>
    <w:lvl w:ilvl="4" w:tentative="0">
      <w:start w:val="1"/>
      <w:numFmt w:val="decimal"/>
      <w:pStyle w:val="7"/>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9">
    <w:nsid w:val="37934594"/>
    <w:multiLevelType w:val="multilevel"/>
    <w:tmpl w:val="37934594"/>
    <w:lvl w:ilvl="0" w:tentative="0">
      <w:start w:val="1"/>
      <w:numFmt w:val="bullet"/>
      <w:pStyle w:val="79"/>
      <w:lvlText w:val=""/>
      <w:lvlJc w:val="left"/>
      <w:pPr>
        <w:tabs>
          <w:tab w:val="left" w:pos="1500"/>
        </w:tabs>
        <w:ind w:left="1500" w:hanging="420"/>
      </w:pPr>
      <w:rPr>
        <w:rFonts w:hint="default" w:ascii="Wingdings" w:hAnsi="Wingdings"/>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10">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58A6469F"/>
    <w:multiLevelType w:val="singleLevel"/>
    <w:tmpl w:val="58A6469F"/>
    <w:lvl w:ilvl="0" w:tentative="0">
      <w:start w:val="1"/>
      <w:numFmt w:val="decimal"/>
      <w:suff w:val="nothing"/>
      <w:lvlText w:val="（%1）"/>
      <w:lvlJc w:val="left"/>
    </w:lvl>
  </w:abstractNum>
  <w:abstractNum w:abstractNumId="13">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6114CA86"/>
    <w:multiLevelType w:val="singleLevel"/>
    <w:tmpl w:val="6114CA86"/>
    <w:lvl w:ilvl="0" w:tentative="0">
      <w:start w:val="57"/>
      <w:numFmt w:val="decimal"/>
      <w:suff w:val="space"/>
      <w:lvlText w:val="%1."/>
      <w:lvlJc w:val="left"/>
    </w:lvl>
  </w:abstractNum>
  <w:abstractNum w:abstractNumId="15">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8"/>
  </w:num>
  <w:num w:numId="2">
    <w:abstractNumId w:val="9"/>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2"/>
  </w:num>
  <w:num w:numId="11">
    <w:abstractNumId w:val="7"/>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4"/>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kMzdiYWI4M2NlMzI0NzhkM2U4MDNkYTJiYTgwYjgifQ=="/>
    <w:docVar w:name="KSO_WPS_MARK_KEY" w:val="30da16d8-495e-4be1-9fa1-36cbd870f8b6"/>
  </w:docVars>
  <w:rsids>
    <w:rsidRoot w:val="006C528A"/>
    <w:rsid w:val="0000106A"/>
    <w:rsid w:val="000011EC"/>
    <w:rsid w:val="00001F4D"/>
    <w:rsid w:val="00003900"/>
    <w:rsid w:val="0000591C"/>
    <w:rsid w:val="00006980"/>
    <w:rsid w:val="00007A01"/>
    <w:rsid w:val="000104F5"/>
    <w:rsid w:val="00011448"/>
    <w:rsid w:val="000135DF"/>
    <w:rsid w:val="000158FD"/>
    <w:rsid w:val="0001592C"/>
    <w:rsid w:val="00017189"/>
    <w:rsid w:val="00017F65"/>
    <w:rsid w:val="00020165"/>
    <w:rsid w:val="00020C21"/>
    <w:rsid w:val="00020E54"/>
    <w:rsid w:val="0002298F"/>
    <w:rsid w:val="00023CAC"/>
    <w:rsid w:val="000250AE"/>
    <w:rsid w:val="00026D37"/>
    <w:rsid w:val="0002719E"/>
    <w:rsid w:val="00027681"/>
    <w:rsid w:val="00027E91"/>
    <w:rsid w:val="000304E8"/>
    <w:rsid w:val="0003090E"/>
    <w:rsid w:val="0003114A"/>
    <w:rsid w:val="00033951"/>
    <w:rsid w:val="0003598E"/>
    <w:rsid w:val="00035A65"/>
    <w:rsid w:val="00035F0F"/>
    <w:rsid w:val="000367DE"/>
    <w:rsid w:val="00040EEA"/>
    <w:rsid w:val="000426E0"/>
    <w:rsid w:val="00044102"/>
    <w:rsid w:val="000441E8"/>
    <w:rsid w:val="000447E1"/>
    <w:rsid w:val="00047073"/>
    <w:rsid w:val="00047C6B"/>
    <w:rsid w:val="000532DC"/>
    <w:rsid w:val="000541B0"/>
    <w:rsid w:val="00056371"/>
    <w:rsid w:val="00060579"/>
    <w:rsid w:val="000618EE"/>
    <w:rsid w:val="00061E2B"/>
    <w:rsid w:val="0006269E"/>
    <w:rsid w:val="000631D6"/>
    <w:rsid w:val="0006600D"/>
    <w:rsid w:val="000703F8"/>
    <w:rsid w:val="00070A86"/>
    <w:rsid w:val="00070D0C"/>
    <w:rsid w:val="00072E6B"/>
    <w:rsid w:val="00073518"/>
    <w:rsid w:val="00073BE1"/>
    <w:rsid w:val="00073FF4"/>
    <w:rsid w:val="000761D8"/>
    <w:rsid w:val="00076703"/>
    <w:rsid w:val="000809E0"/>
    <w:rsid w:val="0008242A"/>
    <w:rsid w:val="000828DF"/>
    <w:rsid w:val="00083829"/>
    <w:rsid w:val="00086B85"/>
    <w:rsid w:val="00087268"/>
    <w:rsid w:val="000874E6"/>
    <w:rsid w:val="00091BCD"/>
    <w:rsid w:val="00091DAA"/>
    <w:rsid w:val="00092085"/>
    <w:rsid w:val="000922F2"/>
    <w:rsid w:val="00092526"/>
    <w:rsid w:val="0009296C"/>
    <w:rsid w:val="00093358"/>
    <w:rsid w:val="00095BEB"/>
    <w:rsid w:val="000A1C76"/>
    <w:rsid w:val="000A33F9"/>
    <w:rsid w:val="000A3EEF"/>
    <w:rsid w:val="000A6559"/>
    <w:rsid w:val="000A6B18"/>
    <w:rsid w:val="000B0A8B"/>
    <w:rsid w:val="000B0D53"/>
    <w:rsid w:val="000B20D3"/>
    <w:rsid w:val="000B21E1"/>
    <w:rsid w:val="000B2690"/>
    <w:rsid w:val="000B5FA0"/>
    <w:rsid w:val="000B706A"/>
    <w:rsid w:val="000C0083"/>
    <w:rsid w:val="000C45C5"/>
    <w:rsid w:val="000C52EF"/>
    <w:rsid w:val="000C542C"/>
    <w:rsid w:val="000C79A9"/>
    <w:rsid w:val="000C7E7F"/>
    <w:rsid w:val="000D358E"/>
    <w:rsid w:val="000D4B69"/>
    <w:rsid w:val="000D745C"/>
    <w:rsid w:val="000D798E"/>
    <w:rsid w:val="000D7F58"/>
    <w:rsid w:val="000E2A6E"/>
    <w:rsid w:val="000E364B"/>
    <w:rsid w:val="000E51FD"/>
    <w:rsid w:val="000F0998"/>
    <w:rsid w:val="000F1D7C"/>
    <w:rsid w:val="000F20F8"/>
    <w:rsid w:val="000F2422"/>
    <w:rsid w:val="000F2664"/>
    <w:rsid w:val="000F68E8"/>
    <w:rsid w:val="00100563"/>
    <w:rsid w:val="001035A4"/>
    <w:rsid w:val="00103751"/>
    <w:rsid w:val="00103EC1"/>
    <w:rsid w:val="001101F5"/>
    <w:rsid w:val="00115512"/>
    <w:rsid w:val="0011639B"/>
    <w:rsid w:val="0011697B"/>
    <w:rsid w:val="001206D3"/>
    <w:rsid w:val="0012343E"/>
    <w:rsid w:val="00126AA3"/>
    <w:rsid w:val="00127A7C"/>
    <w:rsid w:val="00132737"/>
    <w:rsid w:val="00132AA1"/>
    <w:rsid w:val="001331D3"/>
    <w:rsid w:val="00134D62"/>
    <w:rsid w:val="001357F4"/>
    <w:rsid w:val="00135F03"/>
    <w:rsid w:val="001366F4"/>
    <w:rsid w:val="00137BEB"/>
    <w:rsid w:val="001406D1"/>
    <w:rsid w:val="00140CF7"/>
    <w:rsid w:val="00144C37"/>
    <w:rsid w:val="00145150"/>
    <w:rsid w:val="00147125"/>
    <w:rsid w:val="00147995"/>
    <w:rsid w:val="00147A04"/>
    <w:rsid w:val="001513B9"/>
    <w:rsid w:val="0015229E"/>
    <w:rsid w:val="00152C85"/>
    <w:rsid w:val="00161BEB"/>
    <w:rsid w:val="00162AEB"/>
    <w:rsid w:val="00164BE8"/>
    <w:rsid w:val="00166B4E"/>
    <w:rsid w:val="0017082F"/>
    <w:rsid w:val="00174F81"/>
    <w:rsid w:val="00175411"/>
    <w:rsid w:val="0017692E"/>
    <w:rsid w:val="00181CFC"/>
    <w:rsid w:val="0018494B"/>
    <w:rsid w:val="0019024D"/>
    <w:rsid w:val="00195155"/>
    <w:rsid w:val="00196E15"/>
    <w:rsid w:val="00197679"/>
    <w:rsid w:val="001A1D81"/>
    <w:rsid w:val="001A5822"/>
    <w:rsid w:val="001A5BFC"/>
    <w:rsid w:val="001B060A"/>
    <w:rsid w:val="001B2DAC"/>
    <w:rsid w:val="001B3403"/>
    <w:rsid w:val="001B341A"/>
    <w:rsid w:val="001B4D12"/>
    <w:rsid w:val="001B51D2"/>
    <w:rsid w:val="001B6993"/>
    <w:rsid w:val="001C0BE8"/>
    <w:rsid w:val="001C21AC"/>
    <w:rsid w:val="001C2C1C"/>
    <w:rsid w:val="001C5079"/>
    <w:rsid w:val="001C64DF"/>
    <w:rsid w:val="001C6A03"/>
    <w:rsid w:val="001C6C88"/>
    <w:rsid w:val="001D16DF"/>
    <w:rsid w:val="001D2294"/>
    <w:rsid w:val="001D3B91"/>
    <w:rsid w:val="001D46EB"/>
    <w:rsid w:val="001D7254"/>
    <w:rsid w:val="001E3773"/>
    <w:rsid w:val="001E54EB"/>
    <w:rsid w:val="001E6C57"/>
    <w:rsid w:val="001E72E7"/>
    <w:rsid w:val="001F4283"/>
    <w:rsid w:val="001F59A0"/>
    <w:rsid w:val="00200DFA"/>
    <w:rsid w:val="00201588"/>
    <w:rsid w:val="0020187B"/>
    <w:rsid w:val="00201B1B"/>
    <w:rsid w:val="00202002"/>
    <w:rsid w:val="0020216A"/>
    <w:rsid w:val="00202CE9"/>
    <w:rsid w:val="00204073"/>
    <w:rsid w:val="002062F8"/>
    <w:rsid w:val="0021045D"/>
    <w:rsid w:val="002111BE"/>
    <w:rsid w:val="00211407"/>
    <w:rsid w:val="00215702"/>
    <w:rsid w:val="00216510"/>
    <w:rsid w:val="0021655A"/>
    <w:rsid w:val="002171FC"/>
    <w:rsid w:val="00217A5D"/>
    <w:rsid w:val="00222767"/>
    <w:rsid w:val="00223C54"/>
    <w:rsid w:val="00224488"/>
    <w:rsid w:val="002279B6"/>
    <w:rsid w:val="00227C3B"/>
    <w:rsid w:val="00233AB6"/>
    <w:rsid w:val="00233BDB"/>
    <w:rsid w:val="00235E27"/>
    <w:rsid w:val="002365F0"/>
    <w:rsid w:val="0023717C"/>
    <w:rsid w:val="002418BE"/>
    <w:rsid w:val="00244C52"/>
    <w:rsid w:val="00245A5B"/>
    <w:rsid w:val="002463B3"/>
    <w:rsid w:val="0025020C"/>
    <w:rsid w:val="00250782"/>
    <w:rsid w:val="00255D41"/>
    <w:rsid w:val="00255EBF"/>
    <w:rsid w:val="00256BCF"/>
    <w:rsid w:val="002600B6"/>
    <w:rsid w:val="002613C4"/>
    <w:rsid w:val="00261BF9"/>
    <w:rsid w:val="00264D5C"/>
    <w:rsid w:val="002656D7"/>
    <w:rsid w:val="00265EDF"/>
    <w:rsid w:val="00266C69"/>
    <w:rsid w:val="002671A9"/>
    <w:rsid w:val="002712C3"/>
    <w:rsid w:val="00272731"/>
    <w:rsid w:val="00272F33"/>
    <w:rsid w:val="0027313C"/>
    <w:rsid w:val="00275B9E"/>
    <w:rsid w:val="00275DCC"/>
    <w:rsid w:val="0027741A"/>
    <w:rsid w:val="0028046A"/>
    <w:rsid w:val="002813AD"/>
    <w:rsid w:val="0028268E"/>
    <w:rsid w:val="002826CB"/>
    <w:rsid w:val="002830D6"/>
    <w:rsid w:val="0028335F"/>
    <w:rsid w:val="00286BA6"/>
    <w:rsid w:val="002902BB"/>
    <w:rsid w:val="0029073F"/>
    <w:rsid w:val="002916AC"/>
    <w:rsid w:val="0029193E"/>
    <w:rsid w:val="00291C56"/>
    <w:rsid w:val="00291DA8"/>
    <w:rsid w:val="00291EDB"/>
    <w:rsid w:val="00294A3C"/>
    <w:rsid w:val="00295612"/>
    <w:rsid w:val="00295A4B"/>
    <w:rsid w:val="002A0ACC"/>
    <w:rsid w:val="002A0D56"/>
    <w:rsid w:val="002A1B57"/>
    <w:rsid w:val="002A2152"/>
    <w:rsid w:val="002A3891"/>
    <w:rsid w:val="002A3C4B"/>
    <w:rsid w:val="002A4587"/>
    <w:rsid w:val="002A4C49"/>
    <w:rsid w:val="002A7450"/>
    <w:rsid w:val="002B2BD0"/>
    <w:rsid w:val="002B3555"/>
    <w:rsid w:val="002C20A3"/>
    <w:rsid w:val="002C29E9"/>
    <w:rsid w:val="002C5A99"/>
    <w:rsid w:val="002C6AA7"/>
    <w:rsid w:val="002D17E0"/>
    <w:rsid w:val="002D3F6E"/>
    <w:rsid w:val="002D44D8"/>
    <w:rsid w:val="002D4610"/>
    <w:rsid w:val="002E41F6"/>
    <w:rsid w:val="002E430C"/>
    <w:rsid w:val="002F08FF"/>
    <w:rsid w:val="002F0F90"/>
    <w:rsid w:val="002F1E7B"/>
    <w:rsid w:val="002F3288"/>
    <w:rsid w:val="002F3CE0"/>
    <w:rsid w:val="002F66DE"/>
    <w:rsid w:val="002F6EDF"/>
    <w:rsid w:val="002F7225"/>
    <w:rsid w:val="002F7F78"/>
    <w:rsid w:val="00301973"/>
    <w:rsid w:val="00301F53"/>
    <w:rsid w:val="003023DE"/>
    <w:rsid w:val="00303A68"/>
    <w:rsid w:val="00304565"/>
    <w:rsid w:val="00306711"/>
    <w:rsid w:val="00306763"/>
    <w:rsid w:val="0030685B"/>
    <w:rsid w:val="0031379E"/>
    <w:rsid w:val="00313DEB"/>
    <w:rsid w:val="00314362"/>
    <w:rsid w:val="00315AEB"/>
    <w:rsid w:val="00317ED3"/>
    <w:rsid w:val="00320585"/>
    <w:rsid w:val="0032198F"/>
    <w:rsid w:val="0032219D"/>
    <w:rsid w:val="0032281F"/>
    <w:rsid w:val="00324FA7"/>
    <w:rsid w:val="00325C38"/>
    <w:rsid w:val="003268D5"/>
    <w:rsid w:val="0032696D"/>
    <w:rsid w:val="00330A19"/>
    <w:rsid w:val="00332A2D"/>
    <w:rsid w:val="003333B2"/>
    <w:rsid w:val="00336299"/>
    <w:rsid w:val="00336F4E"/>
    <w:rsid w:val="00341052"/>
    <w:rsid w:val="00341216"/>
    <w:rsid w:val="00341B79"/>
    <w:rsid w:val="00342015"/>
    <w:rsid w:val="003446AA"/>
    <w:rsid w:val="003450A0"/>
    <w:rsid w:val="003461A8"/>
    <w:rsid w:val="003524FC"/>
    <w:rsid w:val="003575C2"/>
    <w:rsid w:val="00357CC2"/>
    <w:rsid w:val="00357EBA"/>
    <w:rsid w:val="00360D42"/>
    <w:rsid w:val="00361A8B"/>
    <w:rsid w:val="00361CDE"/>
    <w:rsid w:val="00362115"/>
    <w:rsid w:val="00364EA6"/>
    <w:rsid w:val="00365C04"/>
    <w:rsid w:val="0037079E"/>
    <w:rsid w:val="003727E8"/>
    <w:rsid w:val="00372999"/>
    <w:rsid w:val="00373E72"/>
    <w:rsid w:val="003756A0"/>
    <w:rsid w:val="003774C2"/>
    <w:rsid w:val="00377D3A"/>
    <w:rsid w:val="00380310"/>
    <w:rsid w:val="00382351"/>
    <w:rsid w:val="00382B13"/>
    <w:rsid w:val="00382B6B"/>
    <w:rsid w:val="00384568"/>
    <w:rsid w:val="003858F0"/>
    <w:rsid w:val="0038689C"/>
    <w:rsid w:val="003908BA"/>
    <w:rsid w:val="003917BD"/>
    <w:rsid w:val="00394009"/>
    <w:rsid w:val="00396D99"/>
    <w:rsid w:val="003974CC"/>
    <w:rsid w:val="003A2295"/>
    <w:rsid w:val="003A42F5"/>
    <w:rsid w:val="003A6114"/>
    <w:rsid w:val="003A6245"/>
    <w:rsid w:val="003A6A89"/>
    <w:rsid w:val="003B034A"/>
    <w:rsid w:val="003B188E"/>
    <w:rsid w:val="003B25CF"/>
    <w:rsid w:val="003B3791"/>
    <w:rsid w:val="003B44FC"/>
    <w:rsid w:val="003B4A15"/>
    <w:rsid w:val="003C4CDB"/>
    <w:rsid w:val="003C6AC1"/>
    <w:rsid w:val="003D0386"/>
    <w:rsid w:val="003D3F4E"/>
    <w:rsid w:val="003D4AB9"/>
    <w:rsid w:val="003D4D60"/>
    <w:rsid w:val="003D69B7"/>
    <w:rsid w:val="003D6D7C"/>
    <w:rsid w:val="003E22A6"/>
    <w:rsid w:val="003E281E"/>
    <w:rsid w:val="003E35BE"/>
    <w:rsid w:val="003E40D7"/>
    <w:rsid w:val="003E6915"/>
    <w:rsid w:val="003F000D"/>
    <w:rsid w:val="003F0091"/>
    <w:rsid w:val="003F1625"/>
    <w:rsid w:val="003F1641"/>
    <w:rsid w:val="003F39E9"/>
    <w:rsid w:val="003F5D68"/>
    <w:rsid w:val="003F6716"/>
    <w:rsid w:val="003F6B53"/>
    <w:rsid w:val="00401DDA"/>
    <w:rsid w:val="00401EAD"/>
    <w:rsid w:val="004020A3"/>
    <w:rsid w:val="00403006"/>
    <w:rsid w:val="00403049"/>
    <w:rsid w:val="0040602F"/>
    <w:rsid w:val="004061C4"/>
    <w:rsid w:val="004065E6"/>
    <w:rsid w:val="00406E8C"/>
    <w:rsid w:val="00410432"/>
    <w:rsid w:val="004128EE"/>
    <w:rsid w:val="00412C70"/>
    <w:rsid w:val="00412CEF"/>
    <w:rsid w:val="004145C2"/>
    <w:rsid w:val="00415519"/>
    <w:rsid w:val="00415715"/>
    <w:rsid w:val="00415A03"/>
    <w:rsid w:val="00417BBD"/>
    <w:rsid w:val="00417F67"/>
    <w:rsid w:val="00421AD5"/>
    <w:rsid w:val="0042616F"/>
    <w:rsid w:val="00426191"/>
    <w:rsid w:val="00426346"/>
    <w:rsid w:val="004273E5"/>
    <w:rsid w:val="00430909"/>
    <w:rsid w:val="004327BF"/>
    <w:rsid w:val="00434090"/>
    <w:rsid w:val="00434668"/>
    <w:rsid w:val="00436173"/>
    <w:rsid w:val="00443D45"/>
    <w:rsid w:val="00444C05"/>
    <w:rsid w:val="00445D0A"/>
    <w:rsid w:val="00445E04"/>
    <w:rsid w:val="00447602"/>
    <w:rsid w:val="00451973"/>
    <w:rsid w:val="004526DC"/>
    <w:rsid w:val="004545D7"/>
    <w:rsid w:val="00454ED2"/>
    <w:rsid w:val="00455DBD"/>
    <w:rsid w:val="004576FB"/>
    <w:rsid w:val="00457855"/>
    <w:rsid w:val="00460831"/>
    <w:rsid w:val="004622B8"/>
    <w:rsid w:val="00462417"/>
    <w:rsid w:val="00462C45"/>
    <w:rsid w:val="00464136"/>
    <w:rsid w:val="00464CC5"/>
    <w:rsid w:val="00465E7B"/>
    <w:rsid w:val="0046642C"/>
    <w:rsid w:val="00467894"/>
    <w:rsid w:val="00467E20"/>
    <w:rsid w:val="00470C58"/>
    <w:rsid w:val="00470EA8"/>
    <w:rsid w:val="004711A8"/>
    <w:rsid w:val="004717D5"/>
    <w:rsid w:val="00472531"/>
    <w:rsid w:val="004734AB"/>
    <w:rsid w:val="00474A97"/>
    <w:rsid w:val="00475823"/>
    <w:rsid w:val="00475AED"/>
    <w:rsid w:val="0048185A"/>
    <w:rsid w:val="00481C3E"/>
    <w:rsid w:val="0048658C"/>
    <w:rsid w:val="004869D7"/>
    <w:rsid w:val="00487FF3"/>
    <w:rsid w:val="00490B5A"/>
    <w:rsid w:val="0049116C"/>
    <w:rsid w:val="004927F0"/>
    <w:rsid w:val="00492AB7"/>
    <w:rsid w:val="004933EA"/>
    <w:rsid w:val="00494935"/>
    <w:rsid w:val="004A0470"/>
    <w:rsid w:val="004A0E32"/>
    <w:rsid w:val="004A1CB0"/>
    <w:rsid w:val="004A3908"/>
    <w:rsid w:val="004A42B8"/>
    <w:rsid w:val="004A589F"/>
    <w:rsid w:val="004A71EE"/>
    <w:rsid w:val="004B1C93"/>
    <w:rsid w:val="004B2B6C"/>
    <w:rsid w:val="004B68AA"/>
    <w:rsid w:val="004C4A46"/>
    <w:rsid w:val="004C4DFC"/>
    <w:rsid w:val="004D03A0"/>
    <w:rsid w:val="004D0F3C"/>
    <w:rsid w:val="004D240E"/>
    <w:rsid w:val="004D585E"/>
    <w:rsid w:val="004D5BEC"/>
    <w:rsid w:val="004D5C3F"/>
    <w:rsid w:val="004D67F4"/>
    <w:rsid w:val="004D6993"/>
    <w:rsid w:val="004D6A6D"/>
    <w:rsid w:val="004D6B6A"/>
    <w:rsid w:val="004E07AA"/>
    <w:rsid w:val="004E1B4D"/>
    <w:rsid w:val="004E2F70"/>
    <w:rsid w:val="004E3732"/>
    <w:rsid w:val="004E4DCF"/>
    <w:rsid w:val="004E615F"/>
    <w:rsid w:val="004E7878"/>
    <w:rsid w:val="004F1C70"/>
    <w:rsid w:val="00500F8C"/>
    <w:rsid w:val="0050108E"/>
    <w:rsid w:val="00502963"/>
    <w:rsid w:val="00502F7F"/>
    <w:rsid w:val="00503238"/>
    <w:rsid w:val="00505334"/>
    <w:rsid w:val="005062CF"/>
    <w:rsid w:val="005065BE"/>
    <w:rsid w:val="00506942"/>
    <w:rsid w:val="00506BC7"/>
    <w:rsid w:val="00507850"/>
    <w:rsid w:val="005078DD"/>
    <w:rsid w:val="005109D3"/>
    <w:rsid w:val="00513283"/>
    <w:rsid w:val="00513561"/>
    <w:rsid w:val="00524B1B"/>
    <w:rsid w:val="005255B0"/>
    <w:rsid w:val="0052601A"/>
    <w:rsid w:val="0052658B"/>
    <w:rsid w:val="00527A6C"/>
    <w:rsid w:val="00531698"/>
    <w:rsid w:val="005344BC"/>
    <w:rsid w:val="00534E64"/>
    <w:rsid w:val="00535C0D"/>
    <w:rsid w:val="00536331"/>
    <w:rsid w:val="00536B35"/>
    <w:rsid w:val="00537C63"/>
    <w:rsid w:val="00540EAA"/>
    <w:rsid w:val="00544C5A"/>
    <w:rsid w:val="00545609"/>
    <w:rsid w:val="005458E9"/>
    <w:rsid w:val="00545FB5"/>
    <w:rsid w:val="00546F6B"/>
    <w:rsid w:val="00551E77"/>
    <w:rsid w:val="005521A1"/>
    <w:rsid w:val="005521AB"/>
    <w:rsid w:val="00553DC7"/>
    <w:rsid w:val="00556D04"/>
    <w:rsid w:val="00557649"/>
    <w:rsid w:val="00562724"/>
    <w:rsid w:val="005650E1"/>
    <w:rsid w:val="00571A79"/>
    <w:rsid w:val="00571BE9"/>
    <w:rsid w:val="00571C96"/>
    <w:rsid w:val="00574533"/>
    <w:rsid w:val="00574C33"/>
    <w:rsid w:val="00575CF8"/>
    <w:rsid w:val="005760C5"/>
    <w:rsid w:val="00576B4D"/>
    <w:rsid w:val="00577006"/>
    <w:rsid w:val="00580218"/>
    <w:rsid w:val="005806D7"/>
    <w:rsid w:val="00582E97"/>
    <w:rsid w:val="00583C23"/>
    <w:rsid w:val="005853C5"/>
    <w:rsid w:val="00585A7F"/>
    <w:rsid w:val="00585C13"/>
    <w:rsid w:val="00585DCD"/>
    <w:rsid w:val="00586127"/>
    <w:rsid w:val="00586362"/>
    <w:rsid w:val="005863B2"/>
    <w:rsid w:val="00586E08"/>
    <w:rsid w:val="005872BD"/>
    <w:rsid w:val="0058760B"/>
    <w:rsid w:val="00587FCE"/>
    <w:rsid w:val="00590BE7"/>
    <w:rsid w:val="005911FC"/>
    <w:rsid w:val="005919B1"/>
    <w:rsid w:val="00593B04"/>
    <w:rsid w:val="00594329"/>
    <w:rsid w:val="00594988"/>
    <w:rsid w:val="00594A23"/>
    <w:rsid w:val="00595049"/>
    <w:rsid w:val="00595427"/>
    <w:rsid w:val="00595611"/>
    <w:rsid w:val="00595DA7"/>
    <w:rsid w:val="00597003"/>
    <w:rsid w:val="005A3EFF"/>
    <w:rsid w:val="005A46B4"/>
    <w:rsid w:val="005A6FC8"/>
    <w:rsid w:val="005B079F"/>
    <w:rsid w:val="005B0BA1"/>
    <w:rsid w:val="005B4263"/>
    <w:rsid w:val="005B659A"/>
    <w:rsid w:val="005C2E33"/>
    <w:rsid w:val="005C52DE"/>
    <w:rsid w:val="005C5E2B"/>
    <w:rsid w:val="005C60F3"/>
    <w:rsid w:val="005C6200"/>
    <w:rsid w:val="005C7253"/>
    <w:rsid w:val="005C7363"/>
    <w:rsid w:val="005C7568"/>
    <w:rsid w:val="005C7BFF"/>
    <w:rsid w:val="005D4E65"/>
    <w:rsid w:val="005D6033"/>
    <w:rsid w:val="005D722F"/>
    <w:rsid w:val="005D7A38"/>
    <w:rsid w:val="005E1D20"/>
    <w:rsid w:val="005E1EEE"/>
    <w:rsid w:val="005E23F1"/>
    <w:rsid w:val="005E406A"/>
    <w:rsid w:val="005E4707"/>
    <w:rsid w:val="005E5791"/>
    <w:rsid w:val="005F16A2"/>
    <w:rsid w:val="005F1947"/>
    <w:rsid w:val="005F20D7"/>
    <w:rsid w:val="005F2DC2"/>
    <w:rsid w:val="005F3ADC"/>
    <w:rsid w:val="005F47A9"/>
    <w:rsid w:val="005F4B93"/>
    <w:rsid w:val="005F4D18"/>
    <w:rsid w:val="005F74AC"/>
    <w:rsid w:val="00601698"/>
    <w:rsid w:val="00602942"/>
    <w:rsid w:val="006050AA"/>
    <w:rsid w:val="0060544E"/>
    <w:rsid w:val="006054D7"/>
    <w:rsid w:val="0060559C"/>
    <w:rsid w:val="00605AC6"/>
    <w:rsid w:val="0060668C"/>
    <w:rsid w:val="00613B85"/>
    <w:rsid w:val="006141AD"/>
    <w:rsid w:val="00614783"/>
    <w:rsid w:val="006152A8"/>
    <w:rsid w:val="00616365"/>
    <w:rsid w:val="00617C50"/>
    <w:rsid w:val="00622AC5"/>
    <w:rsid w:val="00623109"/>
    <w:rsid w:val="00624619"/>
    <w:rsid w:val="00625120"/>
    <w:rsid w:val="0062596E"/>
    <w:rsid w:val="0062645A"/>
    <w:rsid w:val="0063015F"/>
    <w:rsid w:val="00631410"/>
    <w:rsid w:val="00635C82"/>
    <w:rsid w:val="0063671C"/>
    <w:rsid w:val="006369C6"/>
    <w:rsid w:val="006415C6"/>
    <w:rsid w:val="00642066"/>
    <w:rsid w:val="0064256A"/>
    <w:rsid w:val="00647451"/>
    <w:rsid w:val="00651A3B"/>
    <w:rsid w:val="0065273F"/>
    <w:rsid w:val="006528BE"/>
    <w:rsid w:val="00653F15"/>
    <w:rsid w:val="00655439"/>
    <w:rsid w:val="00656F98"/>
    <w:rsid w:val="00660933"/>
    <w:rsid w:val="00660F0F"/>
    <w:rsid w:val="00661574"/>
    <w:rsid w:val="006618EF"/>
    <w:rsid w:val="00661DAB"/>
    <w:rsid w:val="0066200A"/>
    <w:rsid w:val="00663190"/>
    <w:rsid w:val="00665801"/>
    <w:rsid w:val="006665F3"/>
    <w:rsid w:val="00670376"/>
    <w:rsid w:val="00673545"/>
    <w:rsid w:val="006739C4"/>
    <w:rsid w:val="006754FF"/>
    <w:rsid w:val="006771D7"/>
    <w:rsid w:val="00677686"/>
    <w:rsid w:val="00683146"/>
    <w:rsid w:val="00683559"/>
    <w:rsid w:val="00684AF4"/>
    <w:rsid w:val="006863AA"/>
    <w:rsid w:val="00687C4D"/>
    <w:rsid w:val="0069291A"/>
    <w:rsid w:val="00693511"/>
    <w:rsid w:val="00694FB7"/>
    <w:rsid w:val="00695433"/>
    <w:rsid w:val="006A004C"/>
    <w:rsid w:val="006A1270"/>
    <w:rsid w:val="006A1276"/>
    <w:rsid w:val="006A455E"/>
    <w:rsid w:val="006A6E82"/>
    <w:rsid w:val="006A7B4D"/>
    <w:rsid w:val="006A7E53"/>
    <w:rsid w:val="006B1B24"/>
    <w:rsid w:val="006B1BD2"/>
    <w:rsid w:val="006B3097"/>
    <w:rsid w:val="006B38B6"/>
    <w:rsid w:val="006B4190"/>
    <w:rsid w:val="006B5BA6"/>
    <w:rsid w:val="006C1398"/>
    <w:rsid w:val="006C528A"/>
    <w:rsid w:val="006C7290"/>
    <w:rsid w:val="006C7391"/>
    <w:rsid w:val="006D467B"/>
    <w:rsid w:val="006D748D"/>
    <w:rsid w:val="006D7AC7"/>
    <w:rsid w:val="006D7C42"/>
    <w:rsid w:val="006E031F"/>
    <w:rsid w:val="006E09E4"/>
    <w:rsid w:val="006E0C9A"/>
    <w:rsid w:val="006E1092"/>
    <w:rsid w:val="006E2182"/>
    <w:rsid w:val="006E2543"/>
    <w:rsid w:val="006E7627"/>
    <w:rsid w:val="006F047C"/>
    <w:rsid w:val="006F3767"/>
    <w:rsid w:val="006F5819"/>
    <w:rsid w:val="006F5CB6"/>
    <w:rsid w:val="006F7FD9"/>
    <w:rsid w:val="007019EA"/>
    <w:rsid w:val="00706283"/>
    <w:rsid w:val="007063A0"/>
    <w:rsid w:val="0070654C"/>
    <w:rsid w:val="00707428"/>
    <w:rsid w:val="00711BDB"/>
    <w:rsid w:val="00711EF3"/>
    <w:rsid w:val="00712EBC"/>
    <w:rsid w:val="00714478"/>
    <w:rsid w:val="00714886"/>
    <w:rsid w:val="00717276"/>
    <w:rsid w:val="00717FE0"/>
    <w:rsid w:val="0072260B"/>
    <w:rsid w:val="00724B64"/>
    <w:rsid w:val="00726559"/>
    <w:rsid w:val="007277C3"/>
    <w:rsid w:val="007303AC"/>
    <w:rsid w:val="00731455"/>
    <w:rsid w:val="00731B95"/>
    <w:rsid w:val="00733727"/>
    <w:rsid w:val="00733862"/>
    <w:rsid w:val="0073423B"/>
    <w:rsid w:val="00734671"/>
    <w:rsid w:val="0073512A"/>
    <w:rsid w:val="00742426"/>
    <w:rsid w:val="0074775B"/>
    <w:rsid w:val="007478FC"/>
    <w:rsid w:val="0075026E"/>
    <w:rsid w:val="00750AED"/>
    <w:rsid w:val="007512CF"/>
    <w:rsid w:val="00751F42"/>
    <w:rsid w:val="0075207E"/>
    <w:rsid w:val="00752ACB"/>
    <w:rsid w:val="007538FC"/>
    <w:rsid w:val="00756192"/>
    <w:rsid w:val="00757B10"/>
    <w:rsid w:val="00757DC5"/>
    <w:rsid w:val="00760E28"/>
    <w:rsid w:val="00761CBF"/>
    <w:rsid w:val="007623D7"/>
    <w:rsid w:val="007639E9"/>
    <w:rsid w:val="007648CC"/>
    <w:rsid w:val="00767277"/>
    <w:rsid w:val="00767441"/>
    <w:rsid w:val="00767972"/>
    <w:rsid w:val="007743D5"/>
    <w:rsid w:val="00774A4E"/>
    <w:rsid w:val="00777521"/>
    <w:rsid w:val="007810A7"/>
    <w:rsid w:val="00781AAB"/>
    <w:rsid w:val="00781B1D"/>
    <w:rsid w:val="00782100"/>
    <w:rsid w:val="0078213E"/>
    <w:rsid w:val="007835D9"/>
    <w:rsid w:val="00783750"/>
    <w:rsid w:val="0078393C"/>
    <w:rsid w:val="00784D88"/>
    <w:rsid w:val="00787E72"/>
    <w:rsid w:val="00787EE6"/>
    <w:rsid w:val="007918C4"/>
    <w:rsid w:val="007932CB"/>
    <w:rsid w:val="00793C74"/>
    <w:rsid w:val="0079585B"/>
    <w:rsid w:val="00796FFF"/>
    <w:rsid w:val="007A0036"/>
    <w:rsid w:val="007A2BB4"/>
    <w:rsid w:val="007A39F8"/>
    <w:rsid w:val="007A5114"/>
    <w:rsid w:val="007A597B"/>
    <w:rsid w:val="007A5B40"/>
    <w:rsid w:val="007A60D3"/>
    <w:rsid w:val="007A655E"/>
    <w:rsid w:val="007A74FD"/>
    <w:rsid w:val="007A7D3B"/>
    <w:rsid w:val="007A7ED4"/>
    <w:rsid w:val="007B0043"/>
    <w:rsid w:val="007B0A7B"/>
    <w:rsid w:val="007B0ADD"/>
    <w:rsid w:val="007B0CE7"/>
    <w:rsid w:val="007B1327"/>
    <w:rsid w:val="007B169C"/>
    <w:rsid w:val="007B16E9"/>
    <w:rsid w:val="007B56A5"/>
    <w:rsid w:val="007C23FA"/>
    <w:rsid w:val="007C2806"/>
    <w:rsid w:val="007C3564"/>
    <w:rsid w:val="007C59F3"/>
    <w:rsid w:val="007C64ED"/>
    <w:rsid w:val="007C6E07"/>
    <w:rsid w:val="007C7400"/>
    <w:rsid w:val="007C787C"/>
    <w:rsid w:val="007D0E5F"/>
    <w:rsid w:val="007D125A"/>
    <w:rsid w:val="007D1E18"/>
    <w:rsid w:val="007D2ED4"/>
    <w:rsid w:val="007D3792"/>
    <w:rsid w:val="007D5E31"/>
    <w:rsid w:val="007D7869"/>
    <w:rsid w:val="007D7A63"/>
    <w:rsid w:val="007E0905"/>
    <w:rsid w:val="007E28EF"/>
    <w:rsid w:val="007E4946"/>
    <w:rsid w:val="007E6AB9"/>
    <w:rsid w:val="007F0D5E"/>
    <w:rsid w:val="007F15EC"/>
    <w:rsid w:val="007F44F9"/>
    <w:rsid w:val="007F5615"/>
    <w:rsid w:val="007F6576"/>
    <w:rsid w:val="007F6F2E"/>
    <w:rsid w:val="007F79D6"/>
    <w:rsid w:val="00803D67"/>
    <w:rsid w:val="00804D43"/>
    <w:rsid w:val="00805787"/>
    <w:rsid w:val="00805A6B"/>
    <w:rsid w:val="00806F1D"/>
    <w:rsid w:val="00807DEB"/>
    <w:rsid w:val="00812FE3"/>
    <w:rsid w:val="008156AB"/>
    <w:rsid w:val="00815E9C"/>
    <w:rsid w:val="00821022"/>
    <w:rsid w:val="00822263"/>
    <w:rsid w:val="008223D2"/>
    <w:rsid w:val="00822B58"/>
    <w:rsid w:val="00824C3C"/>
    <w:rsid w:val="00825400"/>
    <w:rsid w:val="00834B2C"/>
    <w:rsid w:val="00836BCE"/>
    <w:rsid w:val="0084133F"/>
    <w:rsid w:val="00841474"/>
    <w:rsid w:val="008418C7"/>
    <w:rsid w:val="00842B15"/>
    <w:rsid w:val="008472AF"/>
    <w:rsid w:val="0084740F"/>
    <w:rsid w:val="00847475"/>
    <w:rsid w:val="00851774"/>
    <w:rsid w:val="00852C15"/>
    <w:rsid w:val="00853368"/>
    <w:rsid w:val="00854DF3"/>
    <w:rsid w:val="00855AA8"/>
    <w:rsid w:val="00861DAB"/>
    <w:rsid w:val="00861FD7"/>
    <w:rsid w:val="008644A2"/>
    <w:rsid w:val="00865783"/>
    <w:rsid w:val="00870983"/>
    <w:rsid w:val="00872885"/>
    <w:rsid w:val="00874B63"/>
    <w:rsid w:val="008759D7"/>
    <w:rsid w:val="00875D9D"/>
    <w:rsid w:val="00876312"/>
    <w:rsid w:val="0087766F"/>
    <w:rsid w:val="00877C7F"/>
    <w:rsid w:val="00880735"/>
    <w:rsid w:val="00881F10"/>
    <w:rsid w:val="00882DE5"/>
    <w:rsid w:val="00884A84"/>
    <w:rsid w:val="00886E32"/>
    <w:rsid w:val="0089208D"/>
    <w:rsid w:val="008921F1"/>
    <w:rsid w:val="008937B4"/>
    <w:rsid w:val="00896A1C"/>
    <w:rsid w:val="008A0A96"/>
    <w:rsid w:val="008A3236"/>
    <w:rsid w:val="008A45C4"/>
    <w:rsid w:val="008A6DF9"/>
    <w:rsid w:val="008B0764"/>
    <w:rsid w:val="008B117D"/>
    <w:rsid w:val="008C0164"/>
    <w:rsid w:val="008C344E"/>
    <w:rsid w:val="008C3EA5"/>
    <w:rsid w:val="008C4CC2"/>
    <w:rsid w:val="008C5091"/>
    <w:rsid w:val="008C55EC"/>
    <w:rsid w:val="008C6F53"/>
    <w:rsid w:val="008C79E8"/>
    <w:rsid w:val="008D04E1"/>
    <w:rsid w:val="008D44F4"/>
    <w:rsid w:val="008D4DB0"/>
    <w:rsid w:val="008D603D"/>
    <w:rsid w:val="008D748B"/>
    <w:rsid w:val="008E559C"/>
    <w:rsid w:val="008E5AD7"/>
    <w:rsid w:val="008E74EB"/>
    <w:rsid w:val="008E7929"/>
    <w:rsid w:val="008F7027"/>
    <w:rsid w:val="008F70E0"/>
    <w:rsid w:val="008F7A5A"/>
    <w:rsid w:val="009004DF"/>
    <w:rsid w:val="009051D6"/>
    <w:rsid w:val="009106E3"/>
    <w:rsid w:val="009112F6"/>
    <w:rsid w:val="0091446C"/>
    <w:rsid w:val="00915B67"/>
    <w:rsid w:val="009162CB"/>
    <w:rsid w:val="00917467"/>
    <w:rsid w:val="00917803"/>
    <w:rsid w:val="00917FEC"/>
    <w:rsid w:val="009251D2"/>
    <w:rsid w:val="00925D2D"/>
    <w:rsid w:val="009265E0"/>
    <w:rsid w:val="0092702E"/>
    <w:rsid w:val="00927779"/>
    <w:rsid w:val="00932BCF"/>
    <w:rsid w:val="009340E0"/>
    <w:rsid w:val="0093623B"/>
    <w:rsid w:val="00936953"/>
    <w:rsid w:val="00941C68"/>
    <w:rsid w:val="00943A11"/>
    <w:rsid w:val="00944A12"/>
    <w:rsid w:val="00944E4A"/>
    <w:rsid w:val="0094777D"/>
    <w:rsid w:val="00947CF7"/>
    <w:rsid w:val="00954DCD"/>
    <w:rsid w:val="00956032"/>
    <w:rsid w:val="00956A1E"/>
    <w:rsid w:val="00956A28"/>
    <w:rsid w:val="009602BF"/>
    <w:rsid w:val="00962885"/>
    <w:rsid w:val="00967CB6"/>
    <w:rsid w:val="00970DC8"/>
    <w:rsid w:val="00970E7E"/>
    <w:rsid w:val="0097346F"/>
    <w:rsid w:val="00974AAF"/>
    <w:rsid w:val="00974E5B"/>
    <w:rsid w:val="00980BD8"/>
    <w:rsid w:val="00981EFE"/>
    <w:rsid w:val="00982AC7"/>
    <w:rsid w:val="009830AF"/>
    <w:rsid w:val="0098370D"/>
    <w:rsid w:val="00984A39"/>
    <w:rsid w:val="00984D7E"/>
    <w:rsid w:val="009876A4"/>
    <w:rsid w:val="009950F1"/>
    <w:rsid w:val="009953CE"/>
    <w:rsid w:val="0099567A"/>
    <w:rsid w:val="009963B8"/>
    <w:rsid w:val="009977C7"/>
    <w:rsid w:val="00997A67"/>
    <w:rsid w:val="00997B26"/>
    <w:rsid w:val="00997F5A"/>
    <w:rsid w:val="009A0E2C"/>
    <w:rsid w:val="009A1EBF"/>
    <w:rsid w:val="009A3364"/>
    <w:rsid w:val="009A48F4"/>
    <w:rsid w:val="009A538D"/>
    <w:rsid w:val="009A5BC7"/>
    <w:rsid w:val="009A70EA"/>
    <w:rsid w:val="009B0B8A"/>
    <w:rsid w:val="009B2D42"/>
    <w:rsid w:val="009B3C64"/>
    <w:rsid w:val="009B424E"/>
    <w:rsid w:val="009B44F3"/>
    <w:rsid w:val="009B75C2"/>
    <w:rsid w:val="009B781A"/>
    <w:rsid w:val="009C0B2C"/>
    <w:rsid w:val="009C3449"/>
    <w:rsid w:val="009C3BB2"/>
    <w:rsid w:val="009C50CA"/>
    <w:rsid w:val="009C7FE9"/>
    <w:rsid w:val="009D2EB7"/>
    <w:rsid w:val="009D3048"/>
    <w:rsid w:val="009D35EA"/>
    <w:rsid w:val="009D3DF9"/>
    <w:rsid w:val="009D6688"/>
    <w:rsid w:val="009E6C85"/>
    <w:rsid w:val="009E7BEF"/>
    <w:rsid w:val="009F0915"/>
    <w:rsid w:val="009F0AE3"/>
    <w:rsid w:val="009F1A7D"/>
    <w:rsid w:val="009F1B2F"/>
    <w:rsid w:val="009F2361"/>
    <w:rsid w:val="009F2E4D"/>
    <w:rsid w:val="009F390C"/>
    <w:rsid w:val="009F3AB1"/>
    <w:rsid w:val="009F6004"/>
    <w:rsid w:val="009F7671"/>
    <w:rsid w:val="00A000CE"/>
    <w:rsid w:val="00A019E6"/>
    <w:rsid w:val="00A01CA1"/>
    <w:rsid w:val="00A02B21"/>
    <w:rsid w:val="00A03725"/>
    <w:rsid w:val="00A03CFD"/>
    <w:rsid w:val="00A03E48"/>
    <w:rsid w:val="00A04954"/>
    <w:rsid w:val="00A05E44"/>
    <w:rsid w:val="00A05E49"/>
    <w:rsid w:val="00A06365"/>
    <w:rsid w:val="00A10C31"/>
    <w:rsid w:val="00A11C3A"/>
    <w:rsid w:val="00A132F1"/>
    <w:rsid w:val="00A13337"/>
    <w:rsid w:val="00A14C77"/>
    <w:rsid w:val="00A21C9B"/>
    <w:rsid w:val="00A22542"/>
    <w:rsid w:val="00A237D9"/>
    <w:rsid w:val="00A24755"/>
    <w:rsid w:val="00A24779"/>
    <w:rsid w:val="00A26524"/>
    <w:rsid w:val="00A26A8C"/>
    <w:rsid w:val="00A2733D"/>
    <w:rsid w:val="00A30DDB"/>
    <w:rsid w:val="00A311CC"/>
    <w:rsid w:val="00A31F75"/>
    <w:rsid w:val="00A358BE"/>
    <w:rsid w:val="00A35F8C"/>
    <w:rsid w:val="00A36C0B"/>
    <w:rsid w:val="00A376FE"/>
    <w:rsid w:val="00A3797E"/>
    <w:rsid w:val="00A4133D"/>
    <w:rsid w:val="00A41C3D"/>
    <w:rsid w:val="00A44192"/>
    <w:rsid w:val="00A45178"/>
    <w:rsid w:val="00A52622"/>
    <w:rsid w:val="00A52722"/>
    <w:rsid w:val="00A53830"/>
    <w:rsid w:val="00A551F4"/>
    <w:rsid w:val="00A565EA"/>
    <w:rsid w:val="00A576A8"/>
    <w:rsid w:val="00A60360"/>
    <w:rsid w:val="00A6248F"/>
    <w:rsid w:val="00A627F1"/>
    <w:rsid w:val="00A62FA1"/>
    <w:rsid w:val="00A63424"/>
    <w:rsid w:val="00A644A8"/>
    <w:rsid w:val="00A64E66"/>
    <w:rsid w:val="00A656DC"/>
    <w:rsid w:val="00A664B3"/>
    <w:rsid w:val="00A669D6"/>
    <w:rsid w:val="00A6717C"/>
    <w:rsid w:val="00A70E79"/>
    <w:rsid w:val="00A72F4B"/>
    <w:rsid w:val="00A7737B"/>
    <w:rsid w:val="00A77FFD"/>
    <w:rsid w:val="00A80ABA"/>
    <w:rsid w:val="00A80C73"/>
    <w:rsid w:val="00A84BD8"/>
    <w:rsid w:val="00A85A65"/>
    <w:rsid w:val="00A85C3E"/>
    <w:rsid w:val="00A85C88"/>
    <w:rsid w:val="00A91910"/>
    <w:rsid w:val="00A9314F"/>
    <w:rsid w:val="00A9462F"/>
    <w:rsid w:val="00A949C8"/>
    <w:rsid w:val="00AA0083"/>
    <w:rsid w:val="00AA031B"/>
    <w:rsid w:val="00AA290A"/>
    <w:rsid w:val="00AA2AF9"/>
    <w:rsid w:val="00AA2E6F"/>
    <w:rsid w:val="00AA2E7E"/>
    <w:rsid w:val="00AA3A3E"/>
    <w:rsid w:val="00AA49BD"/>
    <w:rsid w:val="00AA592F"/>
    <w:rsid w:val="00AA6278"/>
    <w:rsid w:val="00AA72FB"/>
    <w:rsid w:val="00AA74B1"/>
    <w:rsid w:val="00AB1510"/>
    <w:rsid w:val="00AB3255"/>
    <w:rsid w:val="00AB3344"/>
    <w:rsid w:val="00AB41E7"/>
    <w:rsid w:val="00AB4C6F"/>
    <w:rsid w:val="00AB5B2D"/>
    <w:rsid w:val="00AB5C95"/>
    <w:rsid w:val="00AB7BCD"/>
    <w:rsid w:val="00AC04A9"/>
    <w:rsid w:val="00AC0662"/>
    <w:rsid w:val="00AC0FD2"/>
    <w:rsid w:val="00AC1622"/>
    <w:rsid w:val="00AC2E52"/>
    <w:rsid w:val="00AC43E0"/>
    <w:rsid w:val="00AC4B9F"/>
    <w:rsid w:val="00AC57C7"/>
    <w:rsid w:val="00AC6D55"/>
    <w:rsid w:val="00AD1AD0"/>
    <w:rsid w:val="00AD6439"/>
    <w:rsid w:val="00AD66FD"/>
    <w:rsid w:val="00AD6F37"/>
    <w:rsid w:val="00AE4534"/>
    <w:rsid w:val="00AE7238"/>
    <w:rsid w:val="00AE7500"/>
    <w:rsid w:val="00AE791F"/>
    <w:rsid w:val="00AF1467"/>
    <w:rsid w:val="00AF1C80"/>
    <w:rsid w:val="00AF2263"/>
    <w:rsid w:val="00AF243A"/>
    <w:rsid w:val="00AF5DC6"/>
    <w:rsid w:val="00B005BF"/>
    <w:rsid w:val="00B007D1"/>
    <w:rsid w:val="00B04E2B"/>
    <w:rsid w:val="00B06817"/>
    <w:rsid w:val="00B07607"/>
    <w:rsid w:val="00B107A8"/>
    <w:rsid w:val="00B108A2"/>
    <w:rsid w:val="00B12EFE"/>
    <w:rsid w:val="00B14DAB"/>
    <w:rsid w:val="00B17360"/>
    <w:rsid w:val="00B22021"/>
    <w:rsid w:val="00B22A01"/>
    <w:rsid w:val="00B23516"/>
    <w:rsid w:val="00B244CE"/>
    <w:rsid w:val="00B25605"/>
    <w:rsid w:val="00B25662"/>
    <w:rsid w:val="00B30F5F"/>
    <w:rsid w:val="00B3299C"/>
    <w:rsid w:val="00B335FF"/>
    <w:rsid w:val="00B359EA"/>
    <w:rsid w:val="00B3739A"/>
    <w:rsid w:val="00B374D7"/>
    <w:rsid w:val="00B40C5D"/>
    <w:rsid w:val="00B4183E"/>
    <w:rsid w:val="00B4401C"/>
    <w:rsid w:val="00B45330"/>
    <w:rsid w:val="00B45AA7"/>
    <w:rsid w:val="00B45C1E"/>
    <w:rsid w:val="00B45C7C"/>
    <w:rsid w:val="00B46233"/>
    <w:rsid w:val="00B528D9"/>
    <w:rsid w:val="00B53370"/>
    <w:rsid w:val="00B55877"/>
    <w:rsid w:val="00B603C7"/>
    <w:rsid w:val="00B607DC"/>
    <w:rsid w:val="00B61121"/>
    <w:rsid w:val="00B61940"/>
    <w:rsid w:val="00B61D5A"/>
    <w:rsid w:val="00B64095"/>
    <w:rsid w:val="00B644E0"/>
    <w:rsid w:val="00B657E4"/>
    <w:rsid w:val="00B65D04"/>
    <w:rsid w:val="00B67067"/>
    <w:rsid w:val="00B72113"/>
    <w:rsid w:val="00B725C0"/>
    <w:rsid w:val="00B736F6"/>
    <w:rsid w:val="00B73AED"/>
    <w:rsid w:val="00B74164"/>
    <w:rsid w:val="00B75B8B"/>
    <w:rsid w:val="00B7612B"/>
    <w:rsid w:val="00B761F7"/>
    <w:rsid w:val="00B76409"/>
    <w:rsid w:val="00B776E5"/>
    <w:rsid w:val="00B84CFD"/>
    <w:rsid w:val="00B859E2"/>
    <w:rsid w:val="00B87BAF"/>
    <w:rsid w:val="00B87DCE"/>
    <w:rsid w:val="00B91336"/>
    <w:rsid w:val="00B920AB"/>
    <w:rsid w:val="00B932A1"/>
    <w:rsid w:val="00B94790"/>
    <w:rsid w:val="00B953ED"/>
    <w:rsid w:val="00BA2A79"/>
    <w:rsid w:val="00BA4719"/>
    <w:rsid w:val="00BA5A5A"/>
    <w:rsid w:val="00BA6933"/>
    <w:rsid w:val="00BB0756"/>
    <w:rsid w:val="00BB1949"/>
    <w:rsid w:val="00BB2AEC"/>
    <w:rsid w:val="00BB3EB7"/>
    <w:rsid w:val="00BB4395"/>
    <w:rsid w:val="00BB5D21"/>
    <w:rsid w:val="00BB7315"/>
    <w:rsid w:val="00BC23D1"/>
    <w:rsid w:val="00BC2898"/>
    <w:rsid w:val="00BC3C3C"/>
    <w:rsid w:val="00BC6256"/>
    <w:rsid w:val="00BC6B78"/>
    <w:rsid w:val="00BD07CD"/>
    <w:rsid w:val="00BD20A2"/>
    <w:rsid w:val="00BD4D6B"/>
    <w:rsid w:val="00BD517A"/>
    <w:rsid w:val="00BD6A1B"/>
    <w:rsid w:val="00BD70BD"/>
    <w:rsid w:val="00BD73F2"/>
    <w:rsid w:val="00BD75DE"/>
    <w:rsid w:val="00BE1191"/>
    <w:rsid w:val="00BE226A"/>
    <w:rsid w:val="00BE2F9E"/>
    <w:rsid w:val="00BE6651"/>
    <w:rsid w:val="00BF1411"/>
    <w:rsid w:val="00BF2D3B"/>
    <w:rsid w:val="00BF39E4"/>
    <w:rsid w:val="00BF4B36"/>
    <w:rsid w:val="00BF665D"/>
    <w:rsid w:val="00BF7446"/>
    <w:rsid w:val="00BF7D67"/>
    <w:rsid w:val="00BF7D86"/>
    <w:rsid w:val="00C020A6"/>
    <w:rsid w:val="00C041C2"/>
    <w:rsid w:val="00C0445A"/>
    <w:rsid w:val="00C04B51"/>
    <w:rsid w:val="00C07899"/>
    <w:rsid w:val="00C10642"/>
    <w:rsid w:val="00C11419"/>
    <w:rsid w:val="00C11565"/>
    <w:rsid w:val="00C11AA0"/>
    <w:rsid w:val="00C12D3C"/>
    <w:rsid w:val="00C1496C"/>
    <w:rsid w:val="00C168AE"/>
    <w:rsid w:val="00C17C48"/>
    <w:rsid w:val="00C20F0F"/>
    <w:rsid w:val="00C21D9C"/>
    <w:rsid w:val="00C244CB"/>
    <w:rsid w:val="00C27E7C"/>
    <w:rsid w:val="00C30DD8"/>
    <w:rsid w:val="00C316DA"/>
    <w:rsid w:val="00C31DC8"/>
    <w:rsid w:val="00C32013"/>
    <w:rsid w:val="00C32136"/>
    <w:rsid w:val="00C32954"/>
    <w:rsid w:val="00C33630"/>
    <w:rsid w:val="00C358A8"/>
    <w:rsid w:val="00C35B49"/>
    <w:rsid w:val="00C35CB9"/>
    <w:rsid w:val="00C37347"/>
    <w:rsid w:val="00C41C47"/>
    <w:rsid w:val="00C42988"/>
    <w:rsid w:val="00C46061"/>
    <w:rsid w:val="00C4673C"/>
    <w:rsid w:val="00C52268"/>
    <w:rsid w:val="00C53312"/>
    <w:rsid w:val="00C53479"/>
    <w:rsid w:val="00C567C3"/>
    <w:rsid w:val="00C56C49"/>
    <w:rsid w:val="00C56CC6"/>
    <w:rsid w:val="00C574F5"/>
    <w:rsid w:val="00C637FE"/>
    <w:rsid w:val="00C655BB"/>
    <w:rsid w:val="00C7157A"/>
    <w:rsid w:val="00C73417"/>
    <w:rsid w:val="00C7701B"/>
    <w:rsid w:val="00C77182"/>
    <w:rsid w:val="00C80A2C"/>
    <w:rsid w:val="00C81FCF"/>
    <w:rsid w:val="00C82D6F"/>
    <w:rsid w:val="00C86ED1"/>
    <w:rsid w:val="00C87323"/>
    <w:rsid w:val="00C87C37"/>
    <w:rsid w:val="00C906EF"/>
    <w:rsid w:val="00C91726"/>
    <w:rsid w:val="00C93E1B"/>
    <w:rsid w:val="00C94756"/>
    <w:rsid w:val="00C94E3E"/>
    <w:rsid w:val="00C953C9"/>
    <w:rsid w:val="00C95514"/>
    <w:rsid w:val="00CA681E"/>
    <w:rsid w:val="00CA6AA4"/>
    <w:rsid w:val="00CA70AC"/>
    <w:rsid w:val="00CB043F"/>
    <w:rsid w:val="00CB0E3C"/>
    <w:rsid w:val="00CB254E"/>
    <w:rsid w:val="00CB453A"/>
    <w:rsid w:val="00CB6205"/>
    <w:rsid w:val="00CB7978"/>
    <w:rsid w:val="00CC058A"/>
    <w:rsid w:val="00CC0B67"/>
    <w:rsid w:val="00CC1556"/>
    <w:rsid w:val="00CC5EA5"/>
    <w:rsid w:val="00CC6E5D"/>
    <w:rsid w:val="00CC6EAB"/>
    <w:rsid w:val="00CC74E7"/>
    <w:rsid w:val="00CD1AA7"/>
    <w:rsid w:val="00CD44C6"/>
    <w:rsid w:val="00CD7960"/>
    <w:rsid w:val="00CD7A96"/>
    <w:rsid w:val="00CE016D"/>
    <w:rsid w:val="00CE0991"/>
    <w:rsid w:val="00CE216C"/>
    <w:rsid w:val="00CE38C9"/>
    <w:rsid w:val="00CE5ED6"/>
    <w:rsid w:val="00CE65EF"/>
    <w:rsid w:val="00CE7D05"/>
    <w:rsid w:val="00CF1C7B"/>
    <w:rsid w:val="00CF20DE"/>
    <w:rsid w:val="00CF33B6"/>
    <w:rsid w:val="00CF37EC"/>
    <w:rsid w:val="00CF6516"/>
    <w:rsid w:val="00CF7AED"/>
    <w:rsid w:val="00D013E1"/>
    <w:rsid w:val="00D013FA"/>
    <w:rsid w:val="00D0268A"/>
    <w:rsid w:val="00D04612"/>
    <w:rsid w:val="00D056CA"/>
    <w:rsid w:val="00D06687"/>
    <w:rsid w:val="00D12A06"/>
    <w:rsid w:val="00D13231"/>
    <w:rsid w:val="00D14DDA"/>
    <w:rsid w:val="00D2003B"/>
    <w:rsid w:val="00D20676"/>
    <w:rsid w:val="00D20760"/>
    <w:rsid w:val="00D20C89"/>
    <w:rsid w:val="00D20E6D"/>
    <w:rsid w:val="00D22D46"/>
    <w:rsid w:val="00D26D6B"/>
    <w:rsid w:val="00D27FF7"/>
    <w:rsid w:val="00D324B9"/>
    <w:rsid w:val="00D34D0F"/>
    <w:rsid w:val="00D35991"/>
    <w:rsid w:val="00D36081"/>
    <w:rsid w:val="00D36279"/>
    <w:rsid w:val="00D36571"/>
    <w:rsid w:val="00D37D1F"/>
    <w:rsid w:val="00D41895"/>
    <w:rsid w:val="00D41DD6"/>
    <w:rsid w:val="00D429E6"/>
    <w:rsid w:val="00D42BA5"/>
    <w:rsid w:val="00D4378D"/>
    <w:rsid w:val="00D439FD"/>
    <w:rsid w:val="00D45DCF"/>
    <w:rsid w:val="00D461B9"/>
    <w:rsid w:val="00D5044B"/>
    <w:rsid w:val="00D50D8E"/>
    <w:rsid w:val="00D50EE9"/>
    <w:rsid w:val="00D51863"/>
    <w:rsid w:val="00D52763"/>
    <w:rsid w:val="00D53659"/>
    <w:rsid w:val="00D55180"/>
    <w:rsid w:val="00D55DB2"/>
    <w:rsid w:val="00D56734"/>
    <w:rsid w:val="00D5772D"/>
    <w:rsid w:val="00D608C3"/>
    <w:rsid w:val="00D60B61"/>
    <w:rsid w:val="00D6299A"/>
    <w:rsid w:val="00D62EAE"/>
    <w:rsid w:val="00D6340C"/>
    <w:rsid w:val="00D63DBE"/>
    <w:rsid w:val="00D63DCC"/>
    <w:rsid w:val="00D6435D"/>
    <w:rsid w:val="00D65215"/>
    <w:rsid w:val="00D701EA"/>
    <w:rsid w:val="00D70D53"/>
    <w:rsid w:val="00D763D1"/>
    <w:rsid w:val="00D76A52"/>
    <w:rsid w:val="00D76FB5"/>
    <w:rsid w:val="00D80179"/>
    <w:rsid w:val="00D815D5"/>
    <w:rsid w:val="00D81C56"/>
    <w:rsid w:val="00D82432"/>
    <w:rsid w:val="00D83B8A"/>
    <w:rsid w:val="00D83E13"/>
    <w:rsid w:val="00D83F47"/>
    <w:rsid w:val="00D84E4B"/>
    <w:rsid w:val="00D85915"/>
    <w:rsid w:val="00D86A91"/>
    <w:rsid w:val="00D952B3"/>
    <w:rsid w:val="00D955B6"/>
    <w:rsid w:val="00DA3A10"/>
    <w:rsid w:val="00DA4DFD"/>
    <w:rsid w:val="00DA4FBC"/>
    <w:rsid w:val="00DA57F0"/>
    <w:rsid w:val="00DB09F1"/>
    <w:rsid w:val="00DB16D6"/>
    <w:rsid w:val="00DB4A24"/>
    <w:rsid w:val="00DB57DB"/>
    <w:rsid w:val="00DB6AD8"/>
    <w:rsid w:val="00DB6BC9"/>
    <w:rsid w:val="00DB724A"/>
    <w:rsid w:val="00DC208C"/>
    <w:rsid w:val="00DC264B"/>
    <w:rsid w:val="00DC77F2"/>
    <w:rsid w:val="00DD2B14"/>
    <w:rsid w:val="00DD4219"/>
    <w:rsid w:val="00DD461C"/>
    <w:rsid w:val="00DD6DFC"/>
    <w:rsid w:val="00DD6E52"/>
    <w:rsid w:val="00DD734E"/>
    <w:rsid w:val="00DD77E0"/>
    <w:rsid w:val="00DE084F"/>
    <w:rsid w:val="00DE1C46"/>
    <w:rsid w:val="00DE2499"/>
    <w:rsid w:val="00DE6F21"/>
    <w:rsid w:val="00DE7364"/>
    <w:rsid w:val="00DF1402"/>
    <w:rsid w:val="00DF3AA3"/>
    <w:rsid w:val="00DF3FEE"/>
    <w:rsid w:val="00DF7E28"/>
    <w:rsid w:val="00E01B0B"/>
    <w:rsid w:val="00E02958"/>
    <w:rsid w:val="00E03D7B"/>
    <w:rsid w:val="00E05A07"/>
    <w:rsid w:val="00E10310"/>
    <w:rsid w:val="00E10A80"/>
    <w:rsid w:val="00E13E59"/>
    <w:rsid w:val="00E147CA"/>
    <w:rsid w:val="00E1499F"/>
    <w:rsid w:val="00E15113"/>
    <w:rsid w:val="00E179E4"/>
    <w:rsid w:val="00E23073"/>
    <w:rsid w:val="00E234D3"/>
    <w:rsid w:val="00E26540"/>
    <w:rsid w:val="00E2692D"/>
    <w:rsid w:val="00E34AF9"/>
    <w:rsid w:val="00E401D6"/>
    <w:rsid w:val="00E40517"/>
    <w:rsid w:val="00E41962"/>
    <w:rsid w:val="00E4441B"/>
    <w:rsid w:val="00E46195"/>
    <w:rsid w:val="00E46BE7"/>
    <w:rsid w:val="00E46E81"/>
    <w:rsid w:val="00E476DA"/>
    <w:rsid w:val="00E53EB5"/>
    <w:rsid w:val="00E545AA"/>
    <w:rsid w:val="00E55155"/>
    <w:rsid w:val="00E56AC3"/>
    <w:rsid w:val="00E5707D"/>
    <w:rsid w:val="00E6332C"/>
    <w:rsid w:val="00E633DD"/>
    <w:rsid w:val="00E64B69"/>
    <w:rsid w:val="00E74194"/>
    <w:rsid w:val="00E7501C"/>
    <w:rsid w:val="00E779F8"/>
    <w:rsid w:val="00E80886"/>
    <w:rsid w:val="00E8123A"/>
    <w:rsid w:val="00E82B16"/>
    <w:rsid w:val="00E82E52"/>
    <w:rsid w:val="00E83080"/>
    <w:rsid w:val="00E83D35"/>
    <w:rsid w:val="00E840EC"/>
    <w:rsid w:val="00E8418F"/>
    <w:rsid w:val="00E84BEC"/>
    <w:rsid w:val="00E84E72"/>
    <w:rsid w:val="00E86589"/>
    <w:rsid w:val="00E8740C"/>
    <w:rsid w:val="00E90F0A"/>
    <w:rsid w:val="00E9106C"/>
    <w:rsid w:val="00E9466B"/>
    <w:rsid w:val="00EA0121"/>
    <w:rsid w:val="00EA17FA"/>
    <w:rsid w:val="00EA1A9B"/>
    <w:rsid w:val="00EA3C6D"/>
    <w:rsid w:val="00EA5F15"/>
    <w:rsid w:val="00EA641D"/>
    <w:rsid w:val="00EA7082"/>
    <w:rsid w:val="00EB1CD8"/>
    <w:rsid w:val="00EB44AA"/>
    <w:rsid w:val="00EB5183"/>
    <w:rsid w:val="00EB65AA"/>
    <w:rsid w:val="00EC2EAD"/>
    <w:rsid w:val="00EC3463"/>
    <w:rsid w:val="00EC52A8"/>
    <w:rsid w:val="00EC7D97"/>
    <w:rsid w:val="00ED3E2A"/>
    <w:rsid w:val="00ED4F63"/>
    <w:rsid w:val="00ED5D77"/>
    <w:rsid w:val="00ED60B8"/>
    <w:rsid w:val="00ED7149"/>
    <w:rsid w:val="00ED72D4"/>
    <w:rsid w:val="00ED7940"/>
    <w:rsid w:val="00EE1EC0"/>
    <w:rsid w:val="00EE2975"/>
    <w:rsid w:val="00EE3227"/>
    <w:rsid w:val="00EE3360"/>
    <w:rsid w:val="00EE425B"/>
    <w:rsid w:val="00EE6657"/>
    <w:rsid w:val="00EE7B82"/>
    <w:rsid w:val="00EE7DD8"/>
    <w:rsid w:val="00EF757D"/>
    <w:rsid w:val="00EF78DA"/>
    <w:rsid w:val="00F04A12"/>
    <w:rsid w:val="00F04AC8"/>
    <w:rsid w:val="00F07746"/>
    <w:rsid w:val="00F107CF"/>
    <w:rsid w:val="00F11735"/>
    <w:rsid w:val="00F13C50"/>
    <w:rsid w:val="00F1497C"/>
    <w:rsid w:val="00F2029E"/>
    <w:rsid w:val="00F2049B"/>
    <w:rsid w:val="00F20B66"/>
    <w:rsid w:val="00F23F11"/>
    <w:rsid w:val="00F25DC6"/>
    <w:rsid w:val="00F30DD1"/>
    <w:rsid w:val="00F313BF"/>
    <w:rsid w:val="00F32203"/>
    <w:rsid w:val="00F33839"/>
    <w:rsid w:val="00F36B2A"/>
    <w:rsid w:val="00F378AE"/>
    <w:rsid w:val="00F40D76"/>
    <w:rsid w:val="00F419EB"/>
    <w:rsid w:val="00F445DF"/>
    <w:rsid w:val="00F45FF2"/>
    <w:rsid w:val="00F46D54"/>
    <w:rsid w:val="00F47BD2"/>
    <w:rsid w:val="00F52255"/>
    <w:rsid w:val="00F524BE"/>
    <w:rsid w:val="00F535A9"/>
    <w:rsid w:val="00F56CA6"/>
    <w:rsid w:val="00F57072"/>
    <w:rsid w:val="00F63D00"/>
    <w:rsid w:val="00F717CA"/>
    <w:rsid w:val="00F72B26"/>
    <w:rsid w:val="00F73116"/>
    <w:rsid w:val="00F7499F"/>
    <w:rsid w:val="00F76E38"/>
    <w:rsid w:val="00F77985"/>
    <w:rsid w:val="00F77A92"/>
    <w:rsid w:val="00F80705"/>
    <w:rsid w:val="00F819B2"/>
    <w:rsid w:val="00F83695"/>
    <w:rsid w:val="00F8417F"/>
    <w:rsid w:val="00F86FF2"/>
    <w:rsid w:val="00F8750C"/>
    <w:rsid w:val="00F87AD2"/>
    <w:rsid w:val="00F9077D"/>
    <w:rsid w:val="00F92057"/>
    <w:rsid w:val="00F94134"/>
    <w:rsid w:val="00F94608"/>
    <w:rsid w:val="00F948BF"/>
    <w:rsid w:val="00F951AE"/>
    <w:rsid w:val="00F97FAC"/>
    <w:rsid w:val="00FA05A0"/>
    <w:rsid w:val="00FA11D2"/>
    <w:rsid w:val="00FA17EC"/>
    <w:rsid w:val="00FA2CD2"/>
    <w:rsid w:val="00FA2DD4"/>
    <w:rsid w:val="00FA5B16"/>
    <w:rsid w:val="00FB0A14"/>
    <w:rsid w:val="00FB0BD4"/>
    <w:rsid w:val="00FB3361"/>
    <w:rsid w:val="00FB36B9"/>
    <w:rsid w:val="00FB421F"/>
    <w:rsid w:val="00FB78E0"/>
    <w:rsid w:val="00FB7B1A"/>
    <w:rsid w:val="00FC0571"/>
    <w:rsid w:val="00FC0D7D"/>
    <w:rsid w:val="00FC1067"/>
    <w:rsid w:val="00FC308C"/>
    <w:rsid w:val="00FC3E99"/>
    <w:rsid w:val="00FC409E"/>
    <w:rsid w:val="00FC494B"/>
    <w:rsid w:val="00FC51A4"/>
    <w:rsid w:val="00FC78A7"/>
    <w:rsid w:val="00FD08BC"/>
    <w:rsid w:val="00FD1F9B"/>
    <w:rsid w:val="00FD23FC"/>
    <w:rsid w:val="00FD42C3"/>
    <w:rsid w:val="00FD4B5F"/>
    <w:rsid w:val="00FD5D49"/>
    <w:rsid w:val="00FD612D"/>
    <w:rsid w:val="00FE05CF"/>
    <w:rsid w:val="00FE0F6F"/>
    <w:rsid w:val="00FE1A60"/>
    <w:rsid w:val="00FE2870"/>
    <w:rsid w:val="00FE29F5"/>
    <w:rsid w:val="00FE33DE"/>
    <w:rsid w:val="00FE4684"/>
    <w:rsid w:val="00FE4718"/>
    <w:rsid w:val="00FF0AB7"/>
    <w:rsid w:val="00FF118F"/>
    <w:rsid w:val="00FF2543"/>
    <w:rsid w:val="00FF3918"/>
    <w:rsid w:val="00FF403D"/>
    <w:rsid w:val="00FF55CB"/>
    <w:rsid w:val="00FF5795"/>
    <w:rsid w:val="00FF585C"/>
    <w:rsid w:val="00FF5CE9"/>
    <w:rsid w:val="00FF78A2"/>
    <w:rsid w:val="00FF7B6E"/>
    <w:rsid w:val="011E642B"/>
    <w:rsid w:val="01853E11"/>
    <w:rsid w:val="01921BA4"/>
    <w:rsid w:val="01AB41AB"/>
    <w:rsid w:val="02FD7362"/>
    <w:rsid w:val="030A07F4"/>
    <w:rsid w:val="036A340E"/>
    <w:rsid w:val="037F66DB"/>
    <w:rsid w:val="03BB38E2"/>
    <w:rsid w:val="03EC4E6D"/>
    <w:rsid w:val="04151ED5"/>
    <w:rsid w:val="04294184"/>
    <w:rsid w:val="04485A17"/>
    <w:rsid w:val="046F7A33"/>
    <w:rsid w:val="04792C86"/>
    <w:rsid w:val="04F70669"/>
    <w:rsid w:val="056F5A3B"/>
    <w:rsid w:val="05721E18"/>
    <w:rsid w:val="05834B0B"/>
    <w:rsid w:val="0594571D"/>
    <w:rsid w:val="05BE6D92"/>
    <w:rsid w:val="05F94DCD"/>
    <w:rsid w:val="06DC789D"/>
    <w:rsid w:val="06FD2FAE"/>
    <w:rsid w:val="071B49CB"/>
    <w:rsid w:val="072C7B08"/>
    <w:rsid w:val="074D4940"/>
    <w:rsid w:val="07837BC5"/>
    <w:rsid w:val="07966B1A"/>
    <w:rsid w:val="07B75D45"/>
    <w:rsid w:val="07F524AE"/>
    <w:rsid w:val="081C5183"/>
    <w:rsid w:val="08275C22"/>
    <w:rsid w:val="084037EA"/>
    <w:rsid w:val="08BB636A"/>
    <w:rsid w:val="08C96EEC"/>
    <w:rsid w:val="092315F3"/>
    <w:rsid w:val="0946506D"/>
    <w:rsid w:val="0A5C305D"/>
    <w:rsid w:val="0AF13993"/>
    <w:rsid w:val="0B317C6D"/>
    <w:rsid w:val="0B5443FB"/>
    <w:rsid w:val="0B792311"/>
    <w:rsid w:val="0BE653F3"/>
    <w:rsid w:val="0C2D6D48"/>
    <w:rsid w:val="0C3A1068"/>
    <w:rsid w:val="0CA551E4"/>
    <w:rsid w:val="0CEF17A5"/>
    <w:rsid w:val="0D7C5E2C"/>
    <w:rsid w:val="0DD25C73"/>
    <w:rsid w:val="0DE9301E"/>
    <w:rsid w:val="0DEE2993"/>
    <w:rsid w:val="0DF201AC"/>
    <w:rsid w:val="0E4A343F"/>
    <w:rsid w:val="0E663F55"/>
    <w:rsid w:val="0E892740"/>
    <w:rsid w:val="0EA54ACC"/>
    <w:rsid w:val="0F3F5F47"/>
    <w:rsid w:val="0F437B1F"/>
    <w:rsid w:val="0F4A7DCF"/>
    <w:rsid w:val="0F892070"/>
    <w:rsid w:val="0F95565F"/>
    <w:rsid w:val="0FA26930"/>
    <w:rsid w:val="0FB21B33"/>
    <w:rsid w:val="0FEA4EDC"/>
    <w:rsid w:val="100430A1"/>
    <w:rsid w:val="100738A5"/>
    <w:rsid w:val="10172CFB"/>
    <w:rsid w:val="103F52DC"/>
    <w:rsid w:val="108917E2"/>
    <w:rsid w:val="10992BE4"/>
    <w:rsid w:val="10D40911"/>
    <w:rsid w:val="111D6407"/>
    <w:rsid w:val="119B0255"/>
    <w:rsid w:val="11F139CE"/>
    <w:rsid w:val="12103DC7"/>
    <w:rsid w:val="121648E5"/>
    <w:rsid w:val="12310F63"/>
    <w:rsid w:val="12325067"/>
    <w:rsid w:val="12397FCC"/>
    <w:rsid w:val="124E5F7C"/>
    <w:rsid w:val="12767C46"/>
    <w:rsid w:val="12C70453"/>
    <w:rsid w:val="12F866B3"/>
    <w:rsid w:val="12FD6E52"/>
    <w:rsid w:val="13103164"/>
    <w:rsid w:val="13434F63"/>
    <w:rsid w:val="138157AD"/>
    <w:rsid w:val="13AD241F"/>
    <w:rsid w:val="13DF527A"/>
    <w:rsid w:val="14427940"/>
    <w:rsid w:val="14537F96"/>
    <w:rsid w:val="14AC4CB6"/>
    <w:rsid w:val="1546531A"/>
    <w:rsid w:val="15915022"/>
    <w:rsid w:val="15CB6C95"/>
    <w:rsid w:val="15FE40E3"/>
    <w:rsid w:val="173B5246"/>
    <w:rsid w:val="17797B1C"/>
    <w:rsid w:val="18150FE8"/>
    <w:rsid w:val="18251A52"/>
    <w:rsid w:val="189E3676"/>
    <w:rsid w:val="18CB0D77"/>
    <w:rsid w:val="18E02F64"/>
    <w:rsid w:val="193A6A5D"/>
    <w:rsid w:val="19803C90"/>
    <w:rsid w:val="19962B4D"/>
    <w:rsid w:val="19D37FAF"/>
    <w:rsid w:val="19D87980"/>
    <w:rsid w:val="19F202B4"/>
    <w:rsid w:val="19F33BB6"/>
    <w:rsid w:val="1A6E148E"/>
    <w:rsid w:val="1A9D1F51"/>
    <w:rsid w:val="1AAE1971"/>
    <w:rsid w:val="1ABD4C12"/>
    <w:rsid w:val="1ACF322E"/>
    <w:rsid w:val="1B226473"/>
    <w:rsid w:val="1B6F295E"/>
    <w:rsid w:val="1BBD5992"/>
    <w:rsid w:val="1BDB3F90"/>
    <w:rsid w:val="1BE34298"/>
    <w:rsid w:val="1C1F4728"/>
    <w:rsid w:val="1C8557F6"/>
    <w:rsid w:val="1CE86EA5"/>
    <w:rsid w:val="1CF532DB"/>
    <w:rsid w:val="1CFF15F6"/>
    <w:rsid w:val="1CFF3ED8"/>
    <w:rsid w:val="1D472414"/>
    <w:rsid w:val="1D7F1775"/>
    <w:rsid w:val="1DBE2C17"/>
    <w:rsid w:val="1DF8314B"/>
    <w:rsid w:val="1E7053E4"/>
    <w:rsid w:val="1E77270B"/>
    <w:rsid w:val="1ED902C4"/>
    <w:rsid w:val="1EFB4579"/>
    <w:rsid w:val="1F237181"/>
    <w:rsid w:val="1F764F09"/>
    <w:rsid w:val="1F800FFF"/>
    <w:rsid w:val="1FCA360B"/>
    <w:rsid w:val="1FD46237"/>
    <w:rsid w:val="20012956"/>
    <w:rsid w:val="20547378"/>
    <w:rsid w:val="209445E1"/>
    <w:rsid w:val="20A62472"/>
    <w:rsid w:val="20AF2F4C"/>
    <w:rsid w:val="20B10778"/>
    <w:rsid w:val="20C31E08"/>
    <w:rsid w:val="20E83DA2"/>
    <w:rsid w:val="215B55B4"/>
    <w:rsid w:val="21B812A9"/>
    <w:rsid w:val="21BF1525"/>
    <w:rsid w:val="21DE7924"/>
    <w:rsid w:val="22AE2658"/>
    <w:rsid w:val="233E0D75"/>
    <w:rsid w:val="23503E27"/>
    <w:rsid w:val="24553C59"/>
    <w:rsid w:val="245A62F1"/>
    <w:rsid w:val="24804DBA"/>
    <w:rsid w:val="24DE3BB5"/>
    <w:rsid w:val="252E39FD"/>
    <w:rsid w:val="25C5704D"/>
    <w:rsid w:val="25EA1226"/>
    <w:rsid w:val="25F71B51"/>
    <w:rsid w:val="260E3C79"/>
    <w:rsid w:val="264216FA"/>
    <w:rsid w:val="26B32F8E"/>
    <w:rsid w:val="26BE2460"/>
    <w:rsid w:val="27053614"/>
    <w:rsid w:val="2743784F"/>
    <w:rsid w:val="274E2D73"/>
    <w:rsid w:val="2810627B"/>
    <w:rsid w:val="284D2370"/>
    <w:rsid w:val="287209D6"/>
    <w:rsid w:val="28966A2C"/>
    <w:rsid w:val="28DF6C90"/>
    <w:rsid w:val="28E96F99"/>
    <w:rsid w:val="290862B9"/>
    <w:rsid w:val="29762D56"/>
    <w:rsid w:val="297D524A"/>
    <w:rsid w:val="2A672282"/>
    <w:rsid w:val="2A972200"/>
    <w:rsid w:val="2AA358A6"/>
    <w:rsid w:val="2AC82BAD"/>
    <w:rsid w:val="2AE5458D"/>
    <w:rsid w:val="2B593A95"/>
    <w:rsid w:val="2BB71796"/>
    <w:rsid w:val="2BC76C50"/>
    <w:rsid w:val="2BD82C0B"/>
    <w:rsid w:val="2C024716"/>
    <w:rsid w:val="2C532DA0"/>
    <w:rsid w:val="2CBF4CB0"/>
    <w:rsid w:val="2CEA04B8"/>
    <w:rsid w:val="2CFB7349"/>
    <w:rsid w:val="2E0061A1"/>
    <w:rsid w:val="2E8A3AB1"/>
    <w:rsid w:val="2EFC0921"/>
    <w:rsid w:val="2F5B602D"/>
    <w:rsid w:val="2FA30577"/>
    <w:rsid w:val="2FEC07F3"/>
    <w:rsid w:val="309526E8"/>
    <w:rsid w:val="30C916BD"/>
    <w:rsid w:val="30EF1241"/>
    <w:rsid w:val="314E4A9B"/>
    <w:rsid w:val="31512285"/>
    <w:rsid w:val="3161509B"/>
    <w:rsid w:val="319F54C7"/>
    <w:rsid w:val="31BF3EB5"/>
    <w:rsid w:val="31DB0AD3"/>
    <w:rsid w:val="322F62DB"/>
    <w:rsid w:val="32375C06"/>
    <w:rsid w:val="325C2DD8"/>
    <w:rsid w:val="32CF4AD2"/>
    <w:rsid w:val="33092F9E"/>
    <w:rsid w:val="331E2470"/>
    <w:rsid w:val="335413AF"/>
    <w:rsid w:val="33562118"/>
    <w:rsid w:val="33664FA1"/>
    <w:rsid w:val="33750CB3"/>
    <w:rsid w:val="33B94A74"/>
    <w:rsid w:val="33C323F3"/>
    <w:rsid w:val="341C4194"/>
    <w:rsid w:val="343407F5"/>
    <w:rsid w:val="34654501"/>
    <w:rsid w:val="347F5A07"/>
    <w:rsid w:val="34960A9C"/>
    <w:rsid w:val="349F7A70"/>
    <w:rsid w:val="34B859B0"/>
    <w:rsid w:val="34E645EB"/>
    <w:rsid w:val="350431FF"/>
    <w:rsid w:val="35603151"/>
    <w:rsid w:val="35734800"/>
    <w:rsid w:val="3651120D"/>
    <w:rsid w:val="369E07B0"/>
    <w:rsid w:val="36B32C46"/>
    <w:rsid w:val="370A25C2"/>
    <w:rsid w:val="37251750"/>
    <w:rsid w:val="37294F53"/>
    <w:rsid w:val="37307DA0"/>
    <w:rsid w:val="3736112E"/>
    <w:rsid w:val="37370741"/>
    <w:rsid w:val="376932B2"/>
    <w:rsid w:val="37931F65"/>
    <w:rsid w:val="379B455C"/>
    <w:rsid w:val="388B3F91"/>
    <w:rsid w:val="38F060A7"/>
    <w:rsid w:val="391A2348"/>
    <w:rsid w:val="3923667E"/>
    <w:rsid w:val="3950323E"/>
    <w:rsid w:val="3A225850"/>
    <w:rsid w:val="3A503F9E"/>
    <w:rsid w:val="3A7A0F17"/>
    <w:rsid w:val="3A9932B0"/>
    <w:rsid w:val="3AC0768C"/>
    <w:rsid w:val="3AC54CA3"/>
    <w:rsid w:val="3AE852E3"/>
    <w:rsid w:val="3B8712DD"/>
    <w:rsid w:val="3B892A5B"/>
    <w:rsid w:val="3B97541C"/>
    <w:rsid w:val="3BAE3989"/>
    <w:rsid w:val="3BE71D20"/>
    <w:rsid w:val="3C025A83"/>
    <w:rsid w:val="3C3A6FCB"/>
    <w:rsid w:val="3C687F58"/>
    <w:rsid w:val="3C7C7815"/>
    <w:rsid w:val="3C7D62A8"/>
    <w:rsid w:val="3C9174B4"/>
    <w:rsid w:val="3CC61EB5"/>
    <w:rsid w:val="3CF61143"/>
    <w:rsid w:val="3DA2751D"/>
    <w:rsid w:val="3DAC1354"/>
    <w:rsid w:val="3DD9640B"/>
    <w:rsid w:val="3E564C85"/>
    <w:rsid w:val="3E95498C"/>
    <w:rsid w:val="3EBC661A"/>
    <w:rsid w:val="3EE5277C"/>
    <w:rsid w:val="3EFC65AC"/>
    <w:rsid w:val="3F40206E"/>
    <w:rsid w:val="3F571271"/>
    <w:rsid w:val="3F797C95"/>
    <w:rsid w:val="3FA04B3F"/>
    <w:rsid w:val="3FD55988"/>
    <w:rsid w:val="3FDD192D"/>
    <w:rsid w:val="40635C59"/>
    <w:rsid w:val="40AA75A3"/>
    <w:rsid w:val="40CC56BE"/>
    <w:rsid w:val="41483F38"/>
    <w:rsid w:val="418652B3"/>
    <w:rsid w:val="41B163EE"/>
    <w:rsid w:val="41DF435E"/>
    <w:rsid w:val="41FE22DD"/>
    <w:rsid w:val="420D168D"/>
    <w:rsid w:val="42643BB9"/>
    <w:rsid w:val="4278617C"/>
    <w:rsid w:val="4290203A"/>
    <w:rsid w:val="429F1BBE"/>
    <w:rsid w:val="42C763A1"/>
    <w:rsid w:val="42CD3B2C"/>
    <w:rsid w:val="42D82EBF"/>
    <w:rsid w:val="43481B3D"/>
    <w:rsid w:val="43AB4DE8"/>
    <w:rsid w:val="43D55BB2"/>
    <w:rsid w:val="43D87484"/>
    <w:rsid w:val="43E738C0"/>
    <w:rsid w:val="442607AE"/>
    <w:rsid w:val="442865FA"/>
    <w:rsid w:val="457D163A"/>
    <w:rsid w:val="460431A2"/>
    <w:rsid w:val="465F2029"/>
    <w:rsid w:val="465F56D9"/>
    <w:rsid w:val="46770DD1"/>
    <w:rsid w:val="479E2B03"/>
    <w:rsid w:val="47AF6D10"/>
    <w:rsid w:val="47C821C4"/>
    <w:rsid w:val="47D613CB"/>
    <w:rsid w:val="47FF4F57"/>
    <w:rsid w:val="48853CC3"/>
    <w:rsid w:val="48AE321A"/>
    <w:rsid w:val="491A08B0"/>
    <w:rsid w:val="492B1C6E"/>
    <w:rsid w:val="49D62454"/>
    <w:rsid w:val="4AE0506C"/>
    <w:rsid w:val="4AE7564F"/>
    <w:rsid w:val="4B670C10"/>
    <w:rsid w:val="4B67174A"/>
    <w:rsid w:val="4B7378D8"/>
    <w:rsid w:val="4B893813"/>
    <w:rsid w:val="4BCD3726"/>
    <w:rsid w:val="4C1A1FF5"/>
    <w:rsid w:val="4C2F01CE"/>
    <w:rsid w:val="4CE00EA7"/>
    <w:rsid w:val="4CF35A24"/>
    <w:rsid w:val="4CF66172"/>
    <w:rsid w:val="4D4C1C68"/>
    <w:rsid w:val="4D6245D3"/>
    <w:rsid w:val="4DB017E2"/>
    <w:rsid w:val="4DEE511A"/>
    <w:rsid w:val="4E4B5418"/>
    <w:rsid w:val="4E504D26"/>
    <w:rsid w:val="4F2B54D3"/>
    <w:rsid w:val="4F8B1BBF"/>
    <w:rsid w:val="4FA6711E"/>
    <w:rsid w:val="4FD42A5E"/>
    <w:rsid w:val="50264230"/>
    <w:rsid w:val="50347F26"/>
    <w:rsid w:val="503A0AC9"/>
    <w:rsid w:val="50A04A8E"/>
    <w:rsid w:val="50E747A7"/>
    <w:rsid w:val="516E3F71"/>
    <w:rsid w:val="51754BAA"/>
    <w:rsid w:val="517B4E7F"/>
    <w:rsid w:val="518C7E71"/>
    <w:rsid w:val="518F4562"/>
    <w:rsid w:val="51987BE7"/>
    <w:rsid w:val="519C4558"/>
    <w:rsid w:val="51A2659D"/>
    <w:rsid w:val="51B24299"/>
    <w:rsid w:val="520B127C"/>
    <w:rsid w:val="521D4F6D"/>
    <w:rsid w:val="522517F9"/>
    <w:rsid w:val="526B252E"/>
    <w:rsid w:val="526D59A8"/>
    <w:rsid w:val="5296536E"/>
    <w:rsid w:val="52F83A10"/>
    <w:rsid w:val="536C4B14"/>
    <w:rsid w:val="538D72DB"/>
    <w:rsid w:val="53B04C7E"/>
    <w:rsid w:val="53C861C5"/>
    <w:rsid w:val="5429434F"/>
    <w:rsid w:val="5438608E"/>
    <w:rsid w:val="547C7759"/>
    <w:rsid w:val="547F3CBD"/>
    <w:rsid w:val="555D6932"/>
    <w:rsid w:val="56227986"/>
    <w:rsid w:val="562403AC"/>
    <w:rsid w:val="5653625D"/>
    <w:rsid w:val="5671492A"/>
    <w:rsid w:val="56F22ED6"/>
    <w:rsid w:val="57105A47"/>
    <w:rsid w:val="57870DBF"/>
    <w:rsid w:val="57E83D72"/>
    <w:rsid w:val="580E5806"/>
    <w:rsid w:val="581B1F4E"/>
    <w:rsid w:val="5846701E"/>
    <w:rsid w:val="58594D8E"/>
    <w:rsid w:val="586D0E69"/>
    <w:rsid w:val="58FB4698"/>
    <w:rsid w:val="59205A6E"/>
    <w:rsid w:val="594B296A"/>
    <w:rsid w:val="595C36D8"/>
    <w:rsid w:val="596559B6"/>
    <w:rsid w:val="596F771C"/>
    <w:rsid w:val="5A1E2E6C"/>
    <w:rsid w:val="5A3A15EA"/>
    <w:rsid w:val="5A6403B7"/>
    <w:rsid w:val="5AE47B1A"/>
    <w:rsid w:val="5AE900E2"/>
    <w:rsid w:val="5B0D3DD0"/>
    <w:rsid w:val="5B8A74D1"/>
    <w:rsid w:val="5B9D64E3"/>
    <w:rsid w:val="5BB938D6"/>
    <w:rsid w:val="5BDB384C"/>
    <w:rsid w:val="5C5D30F4"/>
    <w:rsid w:val="5C7822E3"/>
    <w:rsid w:val="5CF71B8D"/>
    <w:rsid w:val="5D9E40A8"/>
    <w:rsid w:val="5DAE1930"/>
    <w:rsid w:val="5DF70C36"/>
    <w:rsid w:val="5E1216FE"/>
    <w:rsid w:val="5E437EC4"/>
    <w:rsid w:val="5E75045B"/>
    <w:rsid w:val="5E7E3306"/>
    <w:rsid w:val="5E9873D5"/>
    <w:rsid w:val="5F1F30BC"/>
    <w:rsid w:val="5F7356D4"/>
    <w:rsid w:val="5F806400"/>
    <w:rsid w:val="5FB51E90"/>
    <w:rsid w:val="5FF22A28"/>
    <w:rsid w:val="603C1216"/>
    <w:rsid w:val="604535AE"/>
    <w:rsid w:val="606F3595"/>
    <w:rsid w:val="60987545"/>
    <w:rsid w:val="60B14C63"/>
    <w:rsid w:val="61466511"/>
    <w:rsid w:val="616F5D86"/>
    <w:rsid w:val="617A018D"/>
    <w:rsid w:val="618D4C15"/>
    <w:rsid w:val="619107CD"/>
    <w:rsid w:val="61F161AB"/>
    <w:rsid w:val="61F44167"/>
    <w:rsid w:val="62471E33"/>
    <w:rsid w:val="62491EA6"/>
    <w:rsid w:val="62E16A60"/>
    <w:rsid w:val="631657EC"/>
    <w:rsid w:val="63A61512"/>
    <w:rsid w:val="63AC75D8"/>
    <w:rsid w:val="63DF02D4"/>
    <w:rsid w:val="63DF7C76"/>
    <w:rsid w:val="6419097C"/>
    <w:rsid w:val="644A63A5"/>
    <w:rsid w:val="646C44CA"/>
    <w:rsid w:val="64943AA3"/>
    <w:rsid w:val="649A1EA7"/>
    <w:rsid w:val="64BD2497"/>
    <w:rsid w:val="64C319A4"/>
    <w:rsid w:val="64E9731B"/>
    <w:rsid w:val="652D42A7"/>
    <w:rsid w:val="65407435"/>
    <w:rsid w:val="65C81F43"/>
    <w:rsid w:val="661F1FFD"/>
    <w:rsid w:val="66225F0D"/>
    <w:rsid w:val="66697AF2"/>
    <w:rsid w:val="66872F15"/>
    <w:rsid w:val="6695111E"/>
    <w:rsid w:val="66DC0E73"/>
    <w:rsid w:val="67097757"/>
    <w:rsid w:val="67395F4D"/>
    <w:rsid w:val="675A4BE6"/>
    <w:rsid w:val="679A4D20"/>
    <w:rsid w:val="67CE48E7"/>
    <w:rsid w:val="67D9140E"/>
    <w:rsid w:val="681D2141"/>
    <w:rsid w:val="68E4616F"/>
    <w:rsid w:val="69937B96"/>
    <w:rsid w:val="69B64E01"/>
    <w:rsid w:val="69BF7A7D"/>
    <w:rsid w:val="6A0D2989"/>
    <w:rsid w:val="6B0C5486"/>
    <w:rsid w:val="6BC73CF4"/>
    <w:rsid w:val="6BED613A"/>
    <w:rsid w:val="6BFD481D"/>
    <w:rsid w:val="6C4A1B20"/>
    <w:rsid w:val="6C4B06C0"/>
    <w:rsid w:val="6CD819E2"/>
    <w:rsid w:val="6CF85EC5"/>
    <w:rsid w:val="6D0668D1"/>
    <w:rsid w:val="6D1C1317"/>
    <w:rsid w:val="6D27796E"/>
    <w:rsid w:val="6D344464"/>
    <w:rsid w:val="6D6E51D0"/>
    <w:rsid w:val="6E1F5E9D"/>
    <w:rsid w:val="6EA56B66"/>
    <w:rsid w:val="6F0039EF"/>
    <w:rsid w:val="6F42324D"/>
    <w:rsid w:val="6F5B35C2"/>
    <w:rsid w:val="6F5F3107"/>
    <w:rsid w:val="6F7F05B8"/>
    <w:rsid w:val="6FA056A7"/>
    <w:rsid w:val="6FDC0997"/>
    <w:rsid w:val="6FEC580E"/>
    <w:rsid w:val="6FED6CAD"/>
    <w:rsid w:val="70671426"/>
    <w:rsid w:val="70C9625F"/>
    <w:rsid w:val="710A123C"/>
    <w:rsid w:val="715400D7"/>
    <w:rsid w:val="715A7DFE"/>
    <w:rsid w:val="71F3217D"/>
    <w:rsid w:val="721567E5"/>
    <w:rsid w:val="722621B2"/>
    <w:rsid w:val="725453F3"/>
    <w:rsid w:val="7270316B"/>
    <w:rsid w:val="72A52837"/>
    <w:rsid w:val="72CA573F"/>
    <w:rsid w:val="73527874"/>
    <w:rsid w:val="735C28C7"/>
    <w:rsid w:val="73A424B1"/>
    <w:rsid w:val="744B031E"/>
    <w:rsid w:val="749B58C3"/>
    <w:rsid w:val="74A60C87"/>
    <w:rsid w:val="74BC70A7"/>
    <w:rsid w:val="74EB7541"/>
    <w:rsid w:val="756B19C7"/>
    <w:rsid w:val="757E079E"/>
    <w:rsid w:val="758328BE"/>
    <w:rsid w:val="7638487F"/>
    <w:rsid w:val="76396FCB"/>
    <w:rsid w:val="76795B5C"/>
    <w:rsid w:val="7690185E"/>
    <w:rsid w:val="76CC38ED"/>
    <w:rsid w:val="76D93CE7"/>
    <w:rsid w:val="76DE6E96"/>
    <w:rsid w:val="76F45263"/>
    <w:rsid w:val="77451A06"/>
    <w:rsid w:val="7746449A"/>
    <w:rsid w:val="7778661E"/>
    <w:rsid w:val="784B0587"/>
    <w:rsid w:val="78C10DBD"/>
    <w:rsid w:val="79584959"/>
    <w:rsid w:val="798D48A8"/>
    <w:rsid w:val="7A44151C"/>
    <w:rsid w:val="7A5137BE"/>
    <w:rsid w:val="7ABD45E6"/>
    <w:rsid w:val="7ADD7BA9"/>
    <w:rsid w:val="7B2644B9"/>
    <w:rsid w:val="7B6104D8"/>
    <w:rsid w:val="7B7D11C8"/>
    <w:rsid w:val="7BD304FC"/>
    <w:rsid w:val="7C817D22"/>
    <w:rsid w:val="7CA80172"/>
    <w:rsid w:val="7CD33A40"/>
    <w:rsid w:val="7CD40450"/>
    <w:rsid w:val="7D2A39C3"/>
    <w:rsid w:val="7D651C3D"/>
    <w:rsid w:val="7D8B3C8C"/>
    <w:rsid w:val="7E066731"/>
    <w:rsid w:val="7E0D5D06"/>
    <w:rsid w:val="7E3820DA"/>
    <w:rsid w:val="7E473E05"/>
    <w:rsid w:val="7EC215F9"/>
    <w:rsid w:val="7F256EBB"/>
    <w:rsid w:val="7F600035"/>
    <w:rsid w:val="FDBF8E8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qFormat="1" w:unhideWhenUsed="0" w:uiPriority="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9"/>
    <w:qFormat/>
    <w:uiPriority w:val="0"/>
    <w:pPr>
      <w:keepNext/>
      <w:keepLines/>
      <w:spacing w:before="0" w:after="0" w:line="360" w:lineRule="auto"/>
      <w:jc w:val="center"/>
      <w:outlineLvl w:val="0"/>
    </w:pPr>
    <w:rPr>
      <w:rFonts w:ascii="Times New Roman" w:hAnsi="Times New Roman" w:eastAsia="黑体"/>
      <w:b/>
      <w:bCs/>
      <w:kern w:val="44"/>
      <w:sz w:val="32"/>
      <w:szCs w:val="44"/>
    </w:rPr>
  </w:style>
  <w:style w:type="paragraph" w:styleId="3">
    <w:name w:val="heading 2"/>
    <w:basedOn w:val="1"/>
    <w:next w:val="4"/>
    <w:link w:val="50"/>
    <w:qFormat/>
    <w:uiPriority w:val="0"/>
    <w:pPr>
      <w:keepNext/>
      <w:keepLines/>
      <w:spacing w:before="260" w:after="260" w:line="415" w:lineRule="auto"/>
      <w:jc w:val="center"/>
      <w:outlineLvl w:val="1"/>
    </w:pPr>
    <w:rPr>
      <w:rFonts w:ascii="黑体" w:hAnsi="黑体" w:eastAsia="黑体"/>
      <w:sz w:val="30"/>
      <w:szCs w:val="30"/>
    </w:rPr>
  </w:style>
  <w:style w:type="paragraph" w:styleId="5">
    <w:name w:val="heading 3"/>
    <w:basedOn w:val="1"/>
    <w:next w:val="1"/>
    <w:link w:val="51"/>
    <w:qFormat/>
    <w:uiPriority w:val="9"/>
    <w:pPr>
      <w:keepNext/>
      <w:keepLines/>
      <w:spacing w:before="260" w:after="260" w:line="416" w:lineRule="auto"/>
      <w:outlineLvl w:val="2"/>
    </w:pPr>
    <w:rPr>
      <w:b/>
      <w:bCs/>
      <w:kern w:val="0"/>
      <w:sz w:val="32"/>
      <w:szCs w:val="32"/>
    </w:rPr>
  </w:style>
  <w:style w:type="paragraph" w:styleId="6">
    <w:name w:val="heading 4"/>
    <w:basedOn w:val="5"/>
    <w:next w:val="4"/>
    <w:link w:val="52"/>
    <w:qFormat/>
    <w:uiPriority w:val="0"/>
    <w:pPr>
      <w:numPr>
        <w:ilvl w:val="3"/>
        <w:numId w:val="1"/>
      </w:numPr>
      <w:spacing w:before="156" w:beforeLines="50" w:after="156" w:afterLines="50" w:line="360" w:lineRule="auto"/>
      <w:jc w:val="center"/>
      <w:outlineLvl w:val="3"/>
    </w:pPr>
    <w:rPr>
      <w:rFonts w:ascii="Arial" w:hAnsi="Arial"/>
      <w:b w:val="0"/>
      <w:bCs w:val="0"/>
      <w:color w:val="000000"/>
      <w:sz w:val="24"/>
      <w:szCs w:val="24"/>
    </w:rPr>
  </w:style>
  <w:style w:type="paragraph" w:styleId="7">
    <w:name w:val="heading 5"/>
    <w:basedOn w:val="6"/>
    <w:next w:val="4"/>
    <w:link w:val="53"/>
    <w:qFormat/>
    <w:uiPriority w:val="0"/>
    <w:pPr>
      <w:numPr>
        <w:ilvl w:val="4"/>
      </w:numPr>
      <w:spacing w:line="240" w:lineRule="exact"/>
      <w:outlineLvl w:val="4"/>
    </w:pPr>
  </w:style>
  <w:style w:type="paragraph" w:styleId="8">
    <w:name w:val="heading 6"/>
    <w:basedOn w:val="1"/>
    <w:next w:val="1"/>
    <w:link w:val="54"/>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szCs w:val="24"/>
    </w:rPr>
  </w:style>
  <w:style w:type="paragraph" w:styleId="9">
    <w:name w:val="heading 7"/>
    <w:basedOn w:val="1"/>
    <w:next w:val="4"/>
    <w:link w:val="55"/>
    <w:qFormat/>
    <w:uiPriority w:val="0"/>
    <w:pPr>
      <w:keepNext/>
      <w:keepLines/>
      <w:numPr>
        <w:ilvl w:val="6"/>
        <w:numId w:val="1"/>
      </w:numPr>
      <w:spacing w:before="240" w:after="64" w:line="320" w:lineRule="auto"/>
      <w:outlineLvl w:val="6"/>
    </w:pPr>
    <w:rPr>
      <w:rFonts w:ascii="Times New Roman" w:hAnsi="Times New Roman"/>
      <w:b/>
      <w:kern w:val="0"/>
      <w:sz w:val="24"/>
      <w:szCs w:val="20"/>
    </w:rPr>
  </w:style>
  <w:style w:type="paragraph" w:styleId="10">
    <w:name w:val="heading 8"/>
    <w:basedOn w:val="1"/>
    <w:next w:val="4"/>
    <w:link w:val="56"/>
    <w:qFormat/>
    <w:uiPriority w:val="0"/>
    <w:pPr>
      <w:keepNext/>
      <w:keepLines/>
      <w:numPr>
        <w:ilvl w:val="7"/>
        <w:numId w:val="1"/>
      </w:numPr>
      <w:spacing w:before="240" w:after="64" w:line="320" w:lineRule="auto"/>
      <w:outlineLvl w:val="7"/>
    </w:pPr>
    <w:rPr>
      <w:rFonts w:ascii="Arial" w:hAnsi="Arial" w:eastAsia="黑体"/>
      <w:kern w:val="0"/>
      <w:sz w:val="24"/>
      <w:szCs w:val="20"/>
    </w:rPr>
  </w:style>
  <w:style w:type="paragraph" w:styleId="11">
    <w:name w:val="heading 9"/>
    <w:basedOn w:val="1"/>
    <w:next w:val="4"/>
    <w:link w:val="57"/>
    <w:qFormat/>
    <w:uiPriority w:val="0"/>
    <w:pPr>
      <w:keepNext/>
      <w:keepLines/>
      <w:numPr>
        <w:ilvl w:val="8"/>
        <w:numId w:val="1"/>
      </w:numPr>
      <w:spacing w:before="240" w:after="64" w:line="320" w:lineRule="auto"/>
      <w:outlineLvl w:val="8"/>
    </w:pPr>
    <w:rPr>
      <w:rFonts w:ascii="Arial" w:hAnsi="Arial" w:eastAsia="黑体"/>
      <w:kern w:val="0"/>
      <w:sz w:val="20"/>
      <w:szCs w:val="20"/>
    </w:rPr>
  </w:style>
  <w:style w:type="character" w:default="1" w:styleId="42">
    <w:name w:val="Default Paragraph Font"/>
    <w:unhideWhenUsed/>
    <w:qFormat/>
    <w:uiPriority w:val="1"/>
  </w:style>
  <w:style w:type="table" w:default="1" w:styleId="38">
    <w:name w:val="Normal Table"/>
    <w:unhideWhenUsed/>
    <w:qFormat/>
    <w:uiPriority w:val="99"/>
    <w:tblPr>
      <w:tblCellMar>
        <w:top w:w="0" w:type="dxa"/>
        <w:left w:w="108" w:type="dxa"/>
        <w:bottom w:w="0" w:type="dxa"/>
        <w:right w:w="108" w:type="dxa"/>
      </w:tblCellMar>
    </w:tblPr>
  </w:style>
  <w:style w:type="paragraph" w:styleId="4">
    <w:name w:val="Normal Indent"/>
    <w:basedOn w:val="1"/>
    <w:next w:val="1"/>
    <w:unhideWhenUsed/>
    <w:qFormat/>
    <w:uiPriority w:val="0"/>
    <w:pPr>
      <w:ind w:firstLine="420" w:firstLineChars="200"/>
    </w:pPr>
  </w:style>
  <w:style w:type="paragraph" w:styleId="12">
    <w:name w:val="Document Map"/>
    <w:basedOn w:val="1"/>
    <w:link w:val="58"/>
    <w:semiHidden/>
    <w:qFormat/>
    <w:uiPriority w:val="0"/>
    <w:pPr>
      <w:shd w:val="clear" w:color="auto" w:fill="000080"/>
    </w:pPr>
    <w:rPr>
      <w:rFonts w:ascii="Times New Roman" w:hAnsi="Times New Roman"/>
      <w:kern w:val="0"/>
      <w:sz w:val="20"/>
      <w:szCs w:val="24"/>
    </w:rPr>
  </w:style>
  <w:style w:type="paragraph" w:styleId="13">
    <w:name w:val="annotation text"/>
    <w:basedOn w:val="1"/>
    <w:next w:val="1"/>
    <w:link w:val="59"/>
    <w:unhideWhenUsed/>
    <w:qFormat/>
    <w:uiPriority w:val="99"/>
    <w:pPr>
      <w:jc w:val="left"/>
    </w:pPr>
  </w:style>
  <w:style w:type="paragraph" w:styleId="14">
    <w:name w:val="Body Text 3"/>
    <w:basedOn w:val="1"/>
    <w:link w:val="60"/>
    <w:unhideWhenUsed/>
    <w:qFormat/>
    <w:uiPriority w:val="99"/>
    <w:pPr>
      <w:spacing w:after="120"/>
    </w:pPr>
    <w:rPr>
      <w:kern w:val="0"/>
      <w:sz w:val="16"/>
      <w:szCs w:val="16"/>
    </w:rPr>
  </w:style>
  <w:style w:type="paragraph" w:styleId="15">
    <w:name w:val="Body Text"/>
    <w:basedOn w:val="1"/>
    <w:next w:val="1"/>
    <w:link w:val="61"/>
    <w:unhideWhenUsed/>
    <w:qFormat/>
    <w:uiPriority w:val="0"/>
    <w:pPr>
      <w:spacing w:after="120"/>
    </w:pPr>
  </w:style>
  <w:style w:type="paragraph" w:styleId="16">
    <w:name w:val="Body Text Indent"/>
    <w:basedOn w:val="1"/>
    <w:next w:val="17"/>
    <w:link w:val="62"/>
    <w:qFormat/>
    <w:uiPriority w:val="0"/>
    <w:pPr>
      <w:spacing w:after="120"/>
      <w:ind w:left="420" w:leftChars="200"/>
    </w:pPr>
    <w:rPr>
      <w:rFonts w:ascii="Times New Roman" w:hAnsi="Times New Roman"/>
      <w:kern w:val="0"/>
      <w:sz w:val="20"/>
      <w:szCs w:val="24"/>
    </w:rPr>
  </w:style>
  <w:style w:type="paragraph" w:customStyle="1" w:styleId="17">
    <w:name w:val="Default"/>
    <w:next w:val="18"/>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8">
    <w:name w:val="footnote text"/>
    <w:basedOn w:val="1"/>
    <w:qFormat/>
    <w:uiPriority w:val="0"/>
    <w:pPr>
      <w:snapToGrid w:val="0"/>
      <w:jc w:val="left"/>
    </w:pPr>
    <w:rPr>
      <w:sz w:val="18"/>
    </w:rPr>
  </w:style>
  <w:style w:type="paragraph" w:styleId="19">
    <w:name w:val="toc 3"/>
    <w:basedOn w:val="1"/>
    <w:next w:val="1"/>
    <w:unhideWhenUsed/>
    <w:qFormat/>
    <w:uiPriority w:val="39"/>
    <w:pPr>
      <w:ind w:left="840" w:leftChars="400"/>
    </w:pPr>
  </w:style>
  <w:style w:type="paragraph" w:styleId="20">
    <w:name w:val="Plain Text"/>
    <w:basedOn w:val="1"/>
    <w:next w:val="1"/>
    <w:link w:val="63"/>
    <w:qFormat/>
    <w:uiPriority w:val="99"/>
    <w:rPr>
      <w:rFonts w:ascii="宋体" w:hAnsi="Courier New" w:eastAsia="楷体_GB2312"/>
      <w:kern w:val="0"/>
      <w:sz w:val="20"/>
      <w:szCs w:val="24"/>
    </w:rPr>
  </w:style>
  <w:style w:type="paragraph" w:styleId="21">
    <w:name w:val="Date"/>
    <w:basedOn w:val="1"/>
    <w:next w:val="1"/>
    <w:link w:val="64"/>
    <w:qFormat/>
    <w:uiPriority w:val="0"/>
    <w:rPr>
      <w:rFonts w:ascii="Times New Roman" w:hAnsi="Times New Roman"/>
      <w:kern w:val="0"/>
      <w:sz w:val="24"/>
      <w:szCs w:val="20"/>
    </w:rPr>
  </w:style>
  <w:style w:type="paragraph" w:styleId="22">
    <w:name w:val="Body Text Indent 2"/>
    <w:basedOn w:val="1"/>
    <w:link w:val="65"/>
    <w:qFormat/>
    <w:uiPriority w:val="0"/>
    <w:pPr>
      <w:spacing w:after="120" w:line="480" w:lineRule="auto"/>
      <w:ind w:left="420" w:leftChars="200"/>
    </w:pPr>
    <w:rPr>
      <w:rFonts w:ascii="Times New Roman" w:hAnsi="Times New Roman"/>
      <w:kern w:val="0"/>
      <w:sz w:val="20"/>
      <w:szCs w:val="24"/>
    </w:rPr>
  </w:style>
  <w:style w:type="paragraph" w:styleId="23">
    <w:name w:val="endnote text"/>
    <w:basedOn w:val="1"/>
    <w:link w:val="66"/>
    <w:unhideWhenUsed/>
    <w:qFormat/>
    <w:uiPriority w:val="99"/>
    <w:pPr>
      <w:snapToGrid w:val="0"/>
      <w:jc w:val="left"/>
    </w:pPr>
  </w:style>
  <w:style w:type="paragraph" w:styleId="24">
    <w:name w:val="Balloon Text"/>
    <w:basedOn w:val="1"/>
    <w:link w:val="67"/>
    <w:unhideWhenUsed/>
    <w:qFormat/>
    <w:uiPriority w:val="99"/>
    <w:rPr>
      <w:kern w:val="0"/>
      <w:sz w:val="18"/>
      <w:szCs w:val="18"/>
    </w:rPr>
  </w:style>
  <w:style w:type="paragraph" w:styleId="25">
    <w:name w:val="footer"/>
    <w:basedOn w:val="1"/>
    <w:link w:val="68"/>
    <w:unhideWhenUsed/>
    <w:qFormat/>
    <w:uiPriority w:val="99"/>
    <w:pPr>
      <w:tabs>
        <w:tab w:val="center" w:pos="4153"/>
        <w:tab w:val="right" w:pos="8306"/>
      </w:tabs>
      <w:snapToGrid w:val="0"/>
      <w:jc w:val="left"/>
    </w:pPr>
    <w:rPr>
      <w:kern w:val="0"/>
      <w:sz w:val="18"/>
      <w:szCs w:val="18"/>
    </w:rPr>
  </w:style>
  <w:style w:type="paragraph" w:styleId="26">
    <w:name w:val="envelope return"/>
    <w:basedOn w:val="1"/>
    <w:qFormat/>
    <w:uiPriority w:val="0"/>
    <w:pPr>
      <w:snapToGrid w:val="0"/>
    </w:pPr>
    <w:rPr>
      <w:rFonts w:ascii="Arial" w:hAnsi="Arial"/>
    </w:rPr>
  </w:style>
  <w:style w:type="paragraph" w:styleId="27">
    <w:name w:val="header"/>
    <w:basedOn w:val="1"/>
    <w:link w:val="69"/>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8">
    <w:name w:val="toc 1"/>
    <w:basedOn w:val="1"/>
    <w:next w:val="1"/>
    <w:qFormat/>
    <w:uiPriority w:val="39"/>
    <w:pPr>
      <w:tabs>
        <w:tab w:val="right" w:leader="dot" w:pos="9060"/>
      </w:tabs>
      <w:spacing w:before="120" w:after="120"/>
      <w:jc w:val="center"/>
    </w:pPr>
    <w:rPr>
      <w:rFonts w:ascii="Times New Roman" w:hAnsi="Times New Roman" w:eastAsia="宋体" w:cs="Times New Roman"/>
      <w:b/>
      <w:bCs/>
      <w:caps/>
      <w:sz w:val="24"/>
      <w:szCs w:val="24"/>
    </w:rPr>
  </w:style>
  <w:style w:type="paragraph" w:styleId="29">
    <w:name w:val="Body Text Indent 3"/>
    <w:basedOn w:val="1"/>
    <w:link w:val="70"/>
    <w:qFormat/>
    <w:uiPriority w:val="0"/>
    <w:pPr>
      <w:spacing w:after="120"/>
      <w:ind w:left="420" w:leftChars="200"/>
    </w:pPr>
    <w:rPr>
      <w:rFonts w:ascii="Times New Roman" w:hAnsi="Times New Roman"/>
      <w:kern w:val="0"/>
      <w:sz w:val="16"/>
      <w:szCs w:val="16"/>
    </w:rPr>
  </w:style>
  <w:style w:type="paragraph" w:styleId="30">
    <w:name w:val="toc 2"/>
    <w:basedOn w:val="1"/>
    <w:next w:val="1"/>
    <w:qFormat/>
    <w:uiPriority w:val="39"/>
    <w:pPr>
      <w:tabs>
        <w:tab w:val="right" w:leader="dot" w:pos="8302"/>
      </w:tabs>
      <w:ind w:left="210"/>
      <w:jc w:val="left"/>
    </w:pPr>
    <w:rPr>
      <w:rFonts w:ascii="Times New Roman" w:hAnsi="Times New Roman" w:eastAsia="宋体" w:cs="Times New Roman"/>
      <w:smallCaps/>
      <w:sz w:val="20"/>
      <w:szCs w:val="20"/>
    </w:rPr>
  </w:style>
  <w:style w:type="paragraph" w:styleId="31">
    <w:name w:val="Body Text 2"/>
    <w:basedOn w:val="1"/>
    <w:link w:val="71"/>
    <w:unhideWhenUsed/>
    <w:qFormat/>
    <w:uiPriority w:val="0"/>
    <w:rPr>
      <w:rFonts w:ascii="宋体" w:hAnsi="宋体" w:eastAsia="楷体_GB2312"/>
      <w:kern w:val="0"/>
      <w:sz w:val="20"/>
      <w:szCs w:val="24"/>
      <w:u w:val="single"/>
    </w:rPr>
  </w:style>
  <w:style w:type="paragraph" w:styleId="32">
    <w:name w:val="Normal (Web)"/>
    <w:basedOn w:val="1"/>
    <w:qFormat/>
    <w:uiPriority w:val="99"/>
    <w:pPr>
      <w:widowControl/>
      <w:spacing w:before="100" w:beforeAutospacing="1" w:after="100" w:afterAutospacing="1"/>
      <w:jc w:val="left"/>
    </w:pPr>
    <w:rPr>
      <w:rFonts w:ascii="Times New Roman" w:hAnsi="Times New Roman" w:eastAsia="宋体" w:cs="Times New Roman"/>
      <w:kern w:val="0"/>
      <w:sz w:val="24"/>
      <w:szCs w:val="24"/>
    </w:rPr>
  </w:style>
  <w:style w:type="paragraph" w:styleId="33">
    <w:name w:val="index 1"/>
    <w:basedOn w:val="1"/>
    <w:next w:val="1"/>
    <w:semiHidden/>
    <w:qFormat/>
    <w:uiPriority w:val="0"/>
    <w:pPr>
      <w:spacing w:line="220" w:lineRule="exact"/>
      <w:jc w:val="center"/>
    </w:pPr>
    <w:rPr>
      <w:rFonts w:ascii="仿宋_GB2312" w:hAnsi="Times New Roman" w:eastAsia="仿宋_GB2312" w:cs="Times New Roman"/>
      <w:szCs w:val="21"/>
    </w:rPr>
  </w:style>
  <w:style w:type="paragraph" w:styleId="34">
    <w:name w:val="Title"/>
    <w:basedOn w:val="1"/>
    <w:link w:val="72"/>
    <w:qFormat/>
    <w:uiPriority w:val="0"/>
    <w:pPr>
      <w:spacing w:before="120" w:after="60"/>
      <w:jc w:val="center"/>
    </w:pPr>
    <w:rPr>
      <w:rFonts w:ascii="Arial" w:hAnsi="Arial" w:eastAsia="楷体_GB2312"/>
      <w:b/>
      <w:kern w:val="0"/>
      <w:sz w:val="44"/>
      <w:szCs w:val="20"/>
    </w:rPr>
  </w:style>
  <w:style w:type="paragraph" w:styleId="35">
    <w:name w:val="annotation subject"/>
    <w:basedOn w:val="13"/>
    <w:next w:val="13"/>
    <w:link w:val="73"/>
    <w:unhideWhenUsed/>
    <w:qFormat/>
    <w:uiPriority w:val="99"/>
    <w:rPr>
      <w:b/>
      <w:bCs/>
      <w:kern w:val="0"/>
      <w:sz w:val="20"/>
      <w:szCs w:val="20"/>
    </w:rPr>
  </w:style>
  <w:style w:type="paragraph" w:styleId="36">
    <w:name w:val="Body Text First Indent"/>
    <w:basedOn w:val="15"/>
    <w:link w:val="74"/>
    <w:qFormat/>
    <w:uiPriority w:val="0"/>
    <w:pPr>
      <w:ind w:firstLine="420"/>
    </w:pPr>
    <w:rPr>
      <w:rFonts w:ascii="Times New Roman" w:hAnsi="Times New Roman" w:eastAsia="楷体_GB2312"/>
      <w:kern w:val="0"/>
      <w:sz w:val="20"/>
      <w:szCs w:val="20"/>
    </w:rPr>
  </w:style>
  <w:style w:type="paragraph" w:styleId="37">
    <w:name w:val="Body Text First Indent 2"/>
    <w:basedOn w:val="16"/>
    <w:next w:val="36"/>
    <w:qFormat/>
    <w:uiPriority w:val="0"/>
    <w:pPr>
      <w:adjustRightInd w:val="0"/>
      <w:spacing w:line="360" w:lineRule="auto"/>
      <w:ind w:left="0" w:leftChars="0" w:firstLine="420"/>
      <w:textAlignment w:val="baseline"/>
    </w:pPr>
    <w:rPr>
      <w:color w:val="000000"/>
    </w:rPr>
  </w:style>
  <w:style w:type="table" w:styleId="39">
    <w:name w:val="Table Grid"/>
    <w:basedOn w:val="3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0">
    <w:name w:val="Table Theme"/>
    <w:basedOn w:val="3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1">
    <w:name w:val="Table Professional"/>
    <w:basedOn w:val="38"/>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43">
    <w:name w:val="Strong"/>
    <w:qFormat/>
    <w:uiPriority w:val="22"/>
    <w:rPr>
      <w:rFonts w:eastAsia="宋体"/>
      <w:b/>
      <w:bCs/>
      <w:kern w:val="2"/>
      <w:sz w:val="24"/>
      <w:szCs w:val="24"/>
      <w:lang w:val="en-US" w:eastAsia="zh-CN" w:bidi="ar-SA"/>
    </w:rPr>
  </w:style>
  <w:style w:type="character" w:styleId="44">
    <w:name w:val="endnote reference"/>
    <w:semiHidden/>
    <w:qFormat/>
    <w:uiPriority w:val="0"/>
    <w:rPr>
      <w:rFonts w:eastAsia="宋体"/>
      <w:kern w:val="2"/>
      <w:sz w:val="24"/>
      <w:szCs w:val="24"/>
      <w:vertAlign w:val="superscript"/>
      <w:lang w:val="en-US" w:eastAsia="zh-CN" w:bidi="ar-SA"/>
    </w:rPr>
  </w:style>
  <w:style w:type="character" w:styleId="45">
    <w:name w:val="page number"/>
    <w:qFormat/>
    <w:uiPriority w:val="0"/>
    <w:rPr>
      <w:rFonts w:ascii="Arial" w:hAnsi="Arial" w:eastAsia="黑体"/>
      <w:kern w:val="2"/>
      <w:sz w:val="21"/>
      <w:szCs w:val="21"/>
      <w:lang w:val="en-US" w:eastAsia="zh-CN" w:bidi="ar-SA"/>
    </w:rPr>
  </w:style>
  <w:style w:type="character" w:styleId="46">
    <w:name w:val="FollowedHyperlink"/>
    <w:qFormat/>
    <w:uiPriority w:val="0"/>
    <w:rPr>
      <w:rFonts w:ascii="Arial" w:hAnsi="Arial" w:eastAsia="黑体"/>
      <w:color w:val="800080"/>
      <w:kern w:val="2"/>
      <w:sz w:val="21"/>
      <w:szCs w:val="21"/>
      <w:u w:val="single"/>
      <w:lang w:val="en-US" w:eastAsia="zh-CN" w:bidi="ar-SA"/>
    </w:rPr>
  </w:style>
  <w:style w:type="character" w:styleId="47">
    <w:name w:val="Hyperlink"/>
    <w:qFormat/>
    <w:uiPriority w:val="99"/>
    <w:rPr>
      <w:rFonts w:ascii="Arial" w:hAnsi="Arial" w:eastAsia="黑体"/>
      <w:color w:val="0000FF"/>
      <w:kern w:val="2"/>
      <w:sz w:val="21"/>
      <w:szCs w:val="21"/>
      <w:u w:val="single"/>
      <w:lang w:val="en-US" w:eastAsia="zh-CN" w:bidi="ar-SA"/>
    </w:rPr>
  </w:style>
  <w:style w:type="character" w:styleId="48">
    <w:name w:val="annotation reference"/>
    <w:unhideWhenUsed/>
    <w:qFormat/>
    <w:uiPriority w:val="99"/>
    <w:rPr>
      <w:sz w:val="21"/>
      <w:szCs w:val="21"/>
    </w:rPr>
  </w:style>
  <w:style w:type="character" w:customStyle="1" w:styleId="49">
    <w:name w:val="标题 1 Char"/>
    <w:link w:val="2"/>
    <w:qFormat/>
    <w:uiPriority w:val="0"/>
    <w:rPr>
      <w:rFonts w:ascii="Times New Roman" w:hAnsi="Times New Roman" w:eastAsia="黑体"/>
      <w:b/>
      <w:bCs/>
      <w:kern w:val="44"/>
      <w:sz w:val="32"/>
      <w:szCs w:val="44"/>
    </w:rPr>
  </w:style>
  <w:style w:type="character" w:customStyle="1" w:styleId="50">
    <w:name w:val="标题 2 Char"/>
    <w:link w:val="3"/>
    <w:qFormat/>
    <w:uiPriority w:val="0"/>
    <w:rPr>
      <w:rFonts w:ascii="黑体" w:hAnsi="黑体" w:eastAsia="黑体"/>
      <w:kern w:val="2"/>
      <w:sz w:val="30"/>
      <w:szCs w:val="30"/>
    </w:rPr>
  </w:style>
  <w:style w:type="character" w:customStyle="1" w:styleId="51">
    <w:name w:val="标题 3 Char"/>
    <w:link w:val="5"/>
    <w:semiHidden/>
    <w:qFormat/>
    <w:uiPriority w:val="9"/>
    <w:rPr>
      <w:b/>
      <w:bCs/>
      <w:sz w:val="32"/>
      <w:szCs w:val="32"/>
    </w:rPr>
  </w:style>
  <w:style w:type="character" w:customStyle="1" w:styleId="52">
    <w:name w:val="标题 4 Char"/>
    <w:link w:val="6"/>
    <w:qFormat/>
    <w:uiPriority w:val="0"/>
    <w:rPr>
      <w:rFonts w:ascii="Arial" w:hAnsi="Arial" w:eastAsia="宋体" w:cs="Times New Roman"/>
      <w:color w:val="000000"/>
      <w:sz w:val="24"/>
      <w:szCs w:val="24"/>
    </w:rPr>
  </w:style>
  <w:style w:type="character" w:customStyle="1" w:styleId="53">
    <w:name w:val="标题 5 Char"/>
    <w:link w:val="7"/>
    <w:qFormat/>
    <w:uiPriority w:val="0"/>
    <w:rPr>
      <w:rFonts w:ascii="Arial" w:hAnsi="Arial" w:eastAsia="宋体" w:cs="Times New Roman"/>
      <w:color w:val="000000"/>
      <w:sz w:val="24"/>
      <w:szCs w:val="24"/>
    </w:rPr>
  </w:style>
  <w:style w:type="character" w:customStyle="1" w:styleId="54">
    <w:name w:val="标题 6 Char"/>
    <w:link w:val="8"/>
    <w:qFormat/>
    <w:uiPriority w:val="0"/>
    <w:rPr>
      <w:rFonts w:ascii="Arial" w:hAnsi="Arial" w:eastAsia="黑体" w:cs="Times New Roman"/>
      <w:b/>
      <w:bCs/>
      <w:kern w:val="0"/>
      <w:sz w:val="24"/>
      <w:szCs w:val="24"/>
    </w:rPr>
  </w:style>
  <w:style w:type="character" w:customStyle="1" w:styleId="55">
    <w:name w:val="标题 7 Char"/>
    <w:link w:val="9"/>
    <w:qFormat/>
    <w:uiPriority w:val="0"/>
    <w:rPr>
      <w:rFonts w:ascii="Times New Roman" w:hAnsi="Times New Roman" w:eastAsia="宋体" w:cs="Times New Roman"/>
      <w:b/>
      <w:sz w:val="24"/>
      <w:szCs w:val="20"/>
    </w:rPr>
  </w:style>
  <w:style w:type="character" w:customStyle="1" w:styleId="56">
    <w:name w:val="标题 8 Char"/>
    <w:link w:val="10"/>
    <w:qFormat/>
    <w:uiPriority w:val="0"/>
    <w:rPr>
      <w:rFonts w:ascii="Arial" w:hAnsi="Arial" w:eastAsia="黑体" w:cs="Times New Roman"/>
      <w:sz w:val="24"/>
      <w:szCs w:val="20"/>
    </w:rPr>
  </w:style>
  <w:style w:type="character" w:customStyle="1" w:styleId="57">
    <w:name w:val="标题 9 Char"/>
    <w:link w:val="11"/>
    <w:qFormat/>
    <w:uiPriority w:val="0"/>
    <w:rPr>
      <w:rFonts w:ascii="Arial" w:hAnsi="Arial" w:eastAsia="黑体" w:cs="Times New Roman"/>
      <w:szCs w:val="20"/>
    </w:rPr>
  </w:style>
  <w:style w:type="character" w:customStyle="1" w:styleId="58">
    <w:name w:val="文档结构图 Char"/>
    <w:link w:val="12"/>
    <w:semiHidden/>
    <w:qFormat/>
    <w:uiPriority w:val="0"/>
    <w:rPr>
      <w:rFonts w:ascii="Times New Roman" w:hAnsi="Times New Roman" w:eastAsia="宋体" w:cs="Times New Roman"/>
      <w:szCs w:val="24"/>
      <w:shd w:val="clear" w:color="auto" w:fill="000080"/>
    </w:rPr>
  </w:style>
  <w:style w:type="character" w:customStyle="1" w:styleId="59">
    <w:name w:val="批注文字 Char"/>
    <w:basedOn w:val="42"/>
    <w:link w:val="13"/>
    <w:semiHidden/>
    <w:qFormat/>
    <w:uiPriority w:val="99"/>
  </w:style>
  <w:style w:type="character" w:customStyle="1" w:styleId="60">
    <w:name w:val="正文文本 3 Char"/>
    <w:link w:val="14"/>
    <w:semiHidden/>
    <w:qFormat/>
    <w:uiPriority w:val="99"/>
    <w:rPr>
      <w:sz w:val="16"/>
      <w:szCs w:val="16"/>
    </w:rPr>
  </w:style>
  <w:style w:type="character" w:customStyle="1" w:styleId="61">
    <w:name w:val="正文文本 Char"/>
    <w:basedOn w:val="42"/>
    <w:link w:val="15"/>
    <w:semiHidden/>
    <w:qFormat/>
    <w:uiPriority w:val="99"/>
  </w:style>
  <w:style w:type="character" w:customStyle="1" w:styleId="62">
    <w:name w:val="正文文本缩进 Char"/>
    <w:link w:val="16"/>
    <w:qFormat/>
    <w:uiPriority w:val="0"/>
    <w:rPr>
      <w:rFonts w:ascii="Times New Roman" w:hAnsi="Times New Roman" w:eastAsia="宋体" w:cs="Times New Roman"/>
      <w:szCs w:val="24"/>
    </w:rPr>
  </w:style>
  <w:style w:type="character" w:customStyle="1" w:styleId="63">
    <w:name w:val="纯文本 Char"/>
    <w:link w:val="20"/>
    <w:qFormat/>
    <w:locked/>
    <w:uiPriority w:val="99"/>
    <w:rPr>
      <w:rFonts w:ascii="宋体" w:hAnsi="Courier New" w:eastAsia="楷体_GB2312"/>
      <w:szCs w:val="24"/>
    </w:rPr>
  </w:style>
  <w:style w:type="character" w:customStyle="1" w:styleId="64">
    <w:name w:val="日期 Char"/>
    <w:link w:val="21"/>
    <w:qFormat/>
    <w:uiPriority w:val="0"/>
    <w:rPr>
      <w:rFonts w:ascii="Times New Roman" w:hAnsi="Times New Roman" w:eastAsia="宋体" w:cs="Times New Roman"/>
      <w:sz w:val="24"/>
      <w:szCs w:val="20"/>
    </w:rPr>
  </w:style>
  <w:style w:type="character" w:customStyle="1" w:styleId="65">
    <w:name w:val="正文文本缩进 2 Char"/>
    <w:link w:val="22"/>
    <w:qFormat/>
    <w:uiPriority w:val="0"/>
    <w:rPr>
      <w:rFonts w:ascii="Times New Roman" w:hAnsi="Times New Roman" w:eastAsia="宋体" w:cs="Times New Roman"/>
      <w:szCs w:val="24"/>
    </w:rPr>
  </w:style>
  <w:style w:type="character" w:customStyle="1" w:styleId="66">
    <w:name w:val="尾注文本 Char"/>
    <w:basedOn w:val="42"/>
    <w:link w:val="23"/>
    <w:semiHidden/>
    <w:qFormat/>
    <w:uiPriority w:val="99"/>
  </w:style>
  <w:style w:type="character" w:customStyle="1" w:styleId="67">
    <w:name w:val="批注框文本 Char"/>
    <w:link w:val="24"/>
    <w:semiHidden/>
    <w:qFormat/>
    <w:uiPriority w:val="99"/>
    <w:rPr>
      <w:sz w:val="18"/>
      <w:szCs w:val="18"/>
    </w:rPr>
  </w:style>
  <w:style w:type="character" w:customStyle="1" w:styleId="68">
    <w:name w:val="页脚 Char"/>
    <w:link w:val="25"/>
    <w:qFormat/>
    <w:uiPriority w:val="99"/>
    <w:rPr>
      <w:sz w:val="18"/>
      <w:szCs w:val="18"/>
    </w:rPr>
  </w:style>
  <w:style w:type="character" w:customStyle="1" w:styleId="69">
    <w:name w:val="页眉 Char"/>
    <w:link w:val="27"/>
    <w:qFormat/>
    <w:uiPriority w:val="99"/>
    <w:rPr>
      <w:sz w:val="18"/>
      <w:szCs w:val="18"/>
    </w:rPr>
  </w:style>
  <w:style w:type="character" w:customStyle="1" w:styleId="70">
    <w:name w:val="正文文本缩进 3 Char"/>
    <w:link w:val="29"/>
    <w:qFormat/>
    <w:uiPriority w:val="0"/>
    <w:rPr>
      <w:rFonts w:ascii="Times New Roman" w:hAnsi="Times New Roman" w:eastAsia="宋体" w:cs="Times New Roman"/>
      <w:sz w:val="16"/>
      <w:szCs w:val="16"/>
    </w:rPr>
  </w:style>
  <w:style w:type="character" w:customStyle="1" w:styleId="71">
    <w:name w:val="正文文本 2 Char"/>
    <w:link w:val="31"/>
    <w:semiHidden/>
    <w:qFormat/>
    <w:uiPriority w:val="0"/>
    <w:rPr>
      <w:rFonts w:ascii="宋体" w:hAnsi="宋体" w:eastAsia="楷体_GB2312" w:cs="Times New Roman"/>
      <w:szCs w:val="24"/>
      <w:u w:val="single"/>
    </w:rPr>
  </w:style>
  <w:style w:type="character" w:customStyle="1" w:styleId="72">
    <w:name w:val="标题 Char"/>
    <w:link w:val="34"/>
    <w:qFormat/>
    <w:uiPriority w:val="0"/>
    <w:rPr>
      <w:rFonts w:ascii="Arial" w:hAnsi="Arial" w:eastAsia="楷体_GB2312" w:cs="Times New Roman"/>
      <w:b/>
      <w:sz w:val="44"/>
      <w:szCs w:val="20"/>
    </w:rPr>
  </w:style>
  <w:style w:type="character" w:customStyle="1" w:styleId="73">
    <w:name w:val="批注主题 Char"/>
    <w:link w:val="35"/>
    <w:semiHidden/>
    <w:qFormat/>
    <w:uiPriority w:val="99"/>
    <w:rPr>
      <w:b/>
      <w:bCs/>
    </w:rPr>
  </w:style>
  <w:style w:type="character" w:customStyle="1" w:styleId="74">
    <w:name w:val="正文首行缩进 Char"/>
    <w:link w:val="36"/>
    <w:qFormat/>
    <w:uiPriority w:val="0"/>
    <w:rPr>
      <w:rFonts w:ascii="Times New Roman" w:hAnsi="Times New Roman" w:eastAsia="楷体_GB2312" w:cs="Times New Roman"/>
      <w:szCs w:val="20"/>
    </w:rPr>
  </w:style>
  <w:style w:type="character" w:customStyle="1" w:styleId="75">
    <w:name w:val="font5 Char"/>
    <w:link w:val="76"/>
    <w:qFormat/>
    <w:uiPriority w:val="0"/>
    <w:rPr>
      <w:rFonts w:ascii="宋体" w:hAnsi="宋体" w:eastAsia="宋体" w:cs="Times New Roman"/>
      <w:kern w:val="0"/>
      <w:sz w:val="24"/>
      <w:szCs w:val="24"/>
    </w:rPr>
  </w:style>
  <w:style w:type="paragraph" w:customStyle="1" w:styleId="76">
    <w:name w:val="font5"/>
    <w:basedOn w:val="1"/>
    <w:link w:val="75"/>
    <w:qFormat/>
    <w:uiPriority w:val="0"/>
    <w:pPr>
      <w:widowControl/>
      <w:spacing w:before="100" w:beforeAutospacing="1" w:after="100" w:afterAutospacing="1"/>
      <w:jc w:val="left"/>
    </w:pPr>
    <w:rPr>
      <w:rFonts w:ascii="宋体" w:hAnsi="宋体"/>
      <w:kern w:val="0"/>
      <w:sz w:val="24"/>
      <w:szCs w:val="24"/>
    </w:rPr>
  </w:style>
  <w:style w:type="character" w:customStyle="1" w:styleId="77">
    <w:name w:val="font161"/>
    <w:qFormat/>
    <w:uiPriority w:val="0"/>
    <w:rPr>
      <w:rFonts w:ascii="Arial" w:hAnsi="Arial" w:eastAsia="黑体"/>
      <w:b/>
      <w:bCs/>
      <w:kern w:val="2"/>
      <w:sz w:val="32"/>
      <w:szCs w:val="32"/>
      <w:lang w:val="en-US" w:eastAsia="zh-CN" w:bidi="ar-SA"/>
    </w:rPr>
  </w:style>
  <w:style w:type="character" w:customStyle="1" w:styleId="78">
    <w:name w:val="纯文本 Char1"/>
    <w:semiHidden/>
    <w:qFormat/>
    <w:uiPriority w:val="99"/>
    <w:rPr>
      <w:rFonts w:ascii="宋体" w:hAnsi="Courier New" w:eastAsia="宋体" w:cs="Courier New"/>
      <w:szCs w:val="21"/>
    </w:rPr>
  </w:style>
  <w:style w:type="paragraph" w:customStyle="1" w:styleId="79">
    <w:name w:val="Char"/>
    <w:basedOn w:val="1"/>
    <w:qFormat/>
    <w:uiPriority w:val="0"/>
    <w:pPr>
      <w:numPr>
        <w:ilvl w:val="0"/>
        <w:numId w:val="2"/>
      </w:numPr>
    </w:pPr>
    <w:rPr>
      <w:rFonts w:ascii="Times New Roman" w:hAnsi="Times New Roman" w:eastAsia="宋体" w:cs="Times New Roman"/>
      <w:sz w:val="24"/>
      <w:szCs w:val="24"/>
    </w:rPr>
  </w:style>
  <w:style w:type="paragraph" w:customStyle="1" w:styleId="80">
    <w:name w:val="样式 标题 2 + Times New Roman 四号 非加粗 段前: 5 磅 段后: 0 磅 行距: 固定值 20..."/>
    <w:basedOn w:val="3"/>
    <w:qFormat/>
    <w:uiPriority w:val="0"/>
    <w:pPr>
      <w:spacing w:before="100" w:after="0"/>
    </w:pPr>
    <w:rPr>
      <w:rFonts w:ascii="Times New Roman" w:hAnsi="Times New Roman"/>
      <w:sz w:val="28"/>
      <w:szCs w:val="20"/>
    </w:rPr>
  </w:style>
  <w:style w:type="paragraph" w:customStyle="1" w:styleId="81">
    <w:name w:val="表格2"/>
    <w:basedOn w:val="1"/>
    <w:qFormat/>
    <w:uiPriority w:val="0"/>
    <w:pPr>
      <w:adjustRightInd w:val="0"/>
      <w:spacing w:before="60" w:after="60"/>
      <w:jc w:val="center"/>
    </w:pPr>
    <w:rPr>
      <w:rFonts w:ascii="宋体" w:hAnsi="Times New Roman" w:eastAsia="宋体" w:cs="Times New Roman"/>
      <w:color w:val="000000"/>
      <w:kern w:val="0"/>
      <w:sz w:val="24"/>
      <w:szCs w:val="20"/>
    </w:rPr>
  </w:style>
  <w:style w:type="paragraph" w:customStyle="1" w:styleId="82">
    <w:name w:val="p0"/>
    <w:basedOn w:val="1"/>
    <w:qFormat/>
    <w:uiPriority w:val="0"/>
    <w:pPr>
      <w:widowControl/>
      <w:spacing w:before="75" w:after="75"/>
      <w:jc w:val="left"/>
    </w:pPr>
    <w:rPr>
      <w:rFonts w:ascii="宋体" w:hAnsi="宋体" w:cs="宋体"/>
      <w:kern w:val="0"/>
      <w:sz w:val="24"/>
      <w:szCs w:val="24"/>
    </w:rPr>
  </w:style>
  <w:style w:type="paragraph" w:customStyle="1" w:styleId="83">
    <w:name w:val="表格"/>
    <w:basedOn w:val="1"/>
    <w:qFormat/>
    <w:uiPriority w:val="0"/>
    <w:pPr>
      <w:jc w:val="center"/>
      <w:textAlignment w:val="center"/>
    </w:pPr>
    <w:rPr>
      <w:rFonts w:ascii="华文细黑" w:hAnsi="华文细黑" w:eastAsia="宋体" w:cs="Times New Roman"/>
      <w:kern w:val="0"/>
      <w:szCs w:val="20"/>
    </w:rPr>
  </w:style>
  <w:style w:type="paragraph" w:styleId="84">
    <w:name w:val="List Paragraph"/>
    <w:basedOn w:val="1"/>
    <w:qFormat/>
    <w:uiPriority w:val="34"/>
    <w:pPr>
      <w:ind w:firstLine="420" w:firstLineChars="200"/>
    </w:pPr>
  </w:style>
  <w:style w:type="paragraph" w:customStyle="1" w:styleId="85">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86">
    <w:name w:val="普通 (Web)"/>
    <w:basedOn w:val="1"/>
    <w:qFormat/>
    <w:uiPriority w:val="0"/>
    <w:pPr>
      <w:widowControl/>
      <w:spacing w:before="100" w:after="100"/>
      <w:jc w:val="left"/>
    </w:pPr>
    <w:rPr>
      <w:rFonts w:ascii="Arial Unicode MS" w:hAnsi="Arial Unicode MS" w:eastAsia="Arial Unicode MS" w:cs="Times New Roman"/>
      <w:kern w:val="0"/>
      <w:sz w:val="24"/>
      <w:szCs w:val="20"/>
    </w:rPr>
  </w:style>
  <w:style w:type="paragraph" w:customStyle="1" w:styleId="87">
    <w:name w:val="表格文字"/>
    <w:basedOn w:val="1"/>
    <w:qFormat/>
    <w:uiPriority w:val="0"/>
    <w:pPr>
      <w:adjustRightInd w:val="0"/>
      <w:spacing w:line="420" w:lineRule="atLeast"/>
      <w:jc w:val="left"/>
      <w:textAlignment w:val="baseline"/>
    </w:pPr>
    <w:rPr>
      <w:rFonts w:ascii="Times New Roman" w:hAnsi="Times New Roman" w:eastAsia="宋体" w:cs="Times New Roman"/>
      <w:kern w:val="0"/>
      <w:szCs w:val="20"/>
    </w:rPr>
  </w:style>
  <w:style w:type="paragraph" w:customStyle="1" w:styleId="88">
    <w:name w:val="1"/>
    <w:basedOn w:val="1"/>
    <w:qFormat/>
    <w:uiPriority w:val="0"/>
    <w:rPr>
      <w:rFonts w:ascii="Times New Roman" w:hAnsi="Times New Roman" w:eastAsia="宋体" w:cs="Times New Roman"/>
      <w:szCs w:val="24"/>
    </w:rPr>
  </w:style>
  <w:style w:type="paragraph" w:customStyle="1" w:styleId="8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90">
    <w:name w:val="正文缩进1"/>
    <w:basedOn w:val="91"/>
    <w:unhideWhenUsed/>
    <w:qFormat/>
    <w:uiPriority w:val="0"/>
    <w:pPr>
      <w:spacing w:beforeLines="0" w:afterLines="0" w:line="360" w:lineRule="auto"/>
      <w:ind w:firstLine="200" w:firstLineChars="200"/>
      <w:jc w:val="both"/>
    </w:pPr>
    <w:rPr>
      <w:rFonts w:hint="eastAsia" w:ascii="Times New Roman" w:hAnsi="Times New Roman" w:eastAsia="Times New Roman" w:cs="Times New Roman"/>
      <w:kern w:val="2"/>
      <w:sz w:val="24"/>
      <w:szCs w:val="22"/>
      <w:lang w:val="en-US" w:eastAsia="zh-CN" w:bidi="ar"/>
    </w:rPr>
  </w:style>
  <w:style w:type="paragraph" w:customStyle="1" w:styleId="91">
    <w:name w:val="正文1"/>
    <w:basedOn w:val="1"/>
    <w:unhideWhenUsed/>
    <w:qFormat/>
    <w:uiPriority w:val="0"/>
    <w:pPr>
      <w:spacing w:beforeLines="0" w:afterLines="0" w:line="240" w:lineRule="atLeast"/>
      <w:jc w:val="center"/>
      <w:textAlignment w:val="baseline"/>
    </w:pPr>
    <w:rPr>
      <w:rFonts w:hint="default" w:ascii="Tahoma" w:hAnsi="Tahoma" w:eastAsia="宋体"/>
      <w:sz w:val="24"/>
      <w:szCs w:val="24"/>
    </w:rPr>
  </w:style>
  <w:style w:type="paragraph" w:customStyle="1" w:styleId="92">
    <w:name w:val="_Style 91"/>
    <w:basedOn w:val="2"/>
    <w:next w:val="1"/>
    <w:qFormat/>
    <w:uiPriority w:val="39"/>
    <w:pPr>
      <w:widowControl/>
      <w:spacing w:before="240" w:after="0" w:line="259" w:lineRule="auto"/>
      <w:jc w:val="left"/>
      <w:outlineLvl w:val="9"/>
    </w:pPr>
    <w:rPr>
      <w:rFonts w:ascii="Calibri Light" w:hAnsi="Calibri Light" w:eastAsia="宋体" w:cs="Times New Roman"/>
      <w:b w:val="0"/>
      <w:bCs w:val="0"/>
      <w:color w:val="2E74B5"/>
      <w:kern w:val="0"/>
      <w:sz w:val="32"/>
      <w:szCs w:val="32"/>
    </w:rPr>
  </w:style>
  <w:style w:type="paragraph" w:customStyle="1" w:styleId="93">
    <w:name w:val="font7"/>
    <w:basedOn w:val="1"/>
    <w:qFormat/>
    <w:uiPriority w:val="0"/>
    <w:pPr>
      <w:widowControl/>
      <w:spacing w:before="100" w:beforeAutospacing="1" w:after="100" w:afterAutospacing="1"/>
      <w:jc w:val="left"/>
    </w:pPr>
    <w:rPr>
      <w:rFonts w:hint="eastAsia" w:ascii="宋体" w:hAnsi="宋体" w:eastAsia="宋体" w:cs="Times New Roman"/>
      <w:kern w:val="0"/>
      <w:sz w:val="28"/>
      <w:szCs w:val="28"/>
    </w:rPr>
  </w:style>
  <w:style w:type="paragraph" w:customStyle="1" w:styleId="94">
    <w:name w:val="样式 标题 3 + (中文) 黑体 小四 非加粗 段前: 7.8 磅 段后: 0 磅 行距: 固定值 20 磅"/>
    <w:basedOn w:val="5"/>
    <w:qFormat/>
    <w:uiPriority w:val="0"/>
    <w:pPr>
      <w:spacing w:before="0" w:after="0" w:line="400" w:lineRule="exact"/>
      <w:jc w:val="left"/>
    </w:pPr>
    <w:rPr>
      <w:rFonts w:ascii="宋体" w:hAnsi="宋体" w:eastAsia="黑体" w:cs="宋体"/>
      <w:b w:val="0"/>
      <w:bCs w:val="0"/>
      <w:sz w:val="24"/>
      <w:szCs w:val="20"/>
    </w:rPr>
  </w:style>
  <w:style w:type="paragraph" w:customStyle="1" w:styleId="95">
    <w:name w:val="xl47"/>
    <w:basedOn w:val="1"/>
    <w:qFormat/>
    <w:uiPriority w:val="0"/>
    <w:pPr>
      <w:widowControl/>
      <w:spacing w:before="100" w:beforeAutospacing="1" w:after="100" w:afterAutospacing="1"/>
      <w:jc w:val="center"/>
    </w:pPr>
    <w:rPr>
      <w:rFonts w:ascii="宋体" w:hAnsi="宋体" w:eastAsia="宋体" w:cs="Times New Roman"/>
      <w:kern w:val="0"/>
      <w:sz w:val="28"/>
      <w:szCs w:val="28"/>
    </w:rPr>
  </w:style>
  <w:style w:type="paragraph" w:customStyle="1" w:styleId="96">
    <w:name w:val="_Style 95"/>
    <w:semiHidden/>
    <w:qFormat/>
    <w:uiPriority w:val="99"/>
    <w:rPr>
      <w:rFonts w:ascii="Times New Roman" w:hAnsi="Times New Roman" w:eastAsia="宋体" w:cs="Times New Roman"/>
      <w:kern w:val="2"/>
      <w:sz w:val="21"/>
      <w:szCs w:val="22"/>
      <w:lang w:val="en-US" w:eastAsia="zh-CN" w:bidi="ar-SA"/>
    </w:rPr>
  </w:style>
  <w:style w:type="paragraph" w:customStyle="1" w:styleId="97">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98">
    <w:name w:val="xl31"/>
    <w:basedOn w:val="1"/>
    <w:qFormat/>
    <w:uiPriority w:val="0"/>
    <w:pPr>
      <w:widowControl/>
      <w:spacing w:before="100" w:beforeAutospacing="1" w:after="100" w:afterAutospacing="1"/>
      <w:jc w:val="center"/>
    </w:pPr>
    <w:rPr>
      <w:rFonts w:ascii="宋体" w:hAnsi="宋体" w:eastAsia="宋体" w:cs="Times New Roman"/>
      <w:kern w:val="0"/>
      <w:sz w:val="24"/>
      <w:szCs w:val="24"/>
    </w:rPr>
  </w:style>
  <w:style w:type="paragraph" w:customStyle="1" w:styleId="99">
    <w:name w:val="6'"/>
    <w:basedOn w:val="1"/>
    <w:qFormat/>
    <w:uiPriority w:val="0"/>
    <w:pPr>
      <w:autoSpaceDE w:val="0"/>
      <w:autoSpaceDN w:val="0"/>
      <w:adjustRightInd w:val="0"/>
      <w:snapToGrid w:val="0"/>
      <w:spacing w:line="320" w:lineRule="exact"/>
      <w:jc w:val="center"/>
      <w:textAlignment w:val="baseline"/>
    </w:pPr>
    <w:rPr>
      <w:rFonts w:ascii="Times New Roman" w:hAnsi="Times New Roman" w:eastAsia="宋体" w:cs="Times New Roman"/>
      <w:spacing w:val="20"/>
      <w:kern w:val="28"/>
      <w:szCs w:val="20"/>
    </w:rPr>
  </w:style>
  <w:style w:type="paragraph" w:customStyle="1" w:styleId="100">
    <w:name w:val="标题2"/>
    <w:basedOn w:val="3"/>
    <w:next w:val="1"/>
    <w:qFormat/>
    <w:uiPriority w:val="0"/>
    <w:pPr>
      <w:snapToGrid w:val="0"/>
      <w:spacing w:before="120" w:line="240" w:lineRule="auto"/>
      <w:jc w:val="left"/>
    </w:pPr>
    <w:rPr>
      <w:rFonts w:ascii="Arial" w:hAnsi="Arial" w:cs="Times New Roman"/>
      <w:sz w:val="21"/>
      <w:szCs w:val="21"/>
    </w:rPr>
  </w:style>
  <w:style w:type="paragraph" w:customStyle="1" w:styleId="101">
    <w:name w:val="发文落款"/>
    <w:basedOn w:val="85"/>
    <w:qFormat/>
    <w:uiPriority w:val="99"/>
    <w:pPr>
      <w:ind w:left="4094" w:right="607" w:firstLine="0"/>
      <w:jc w:val="center"/>
    </w:pPr>
    <w:rPr>
      <w:rFonts w:cs="仿宋_GB2312"/>
      <w:szCs w:val="32"/>
    </w:rPr>
  </w:style>
  <w:style w:type="paragraph" w:customStyle="1" w:styleId="102">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158"/>
    <customShpInfo spid="_x0000_s4159"/>
    <customShpInfo spid="_x0000_s4162"/>
    <customShpInfo spid="_x0000_s41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251</Pages>
  <Words>10057</Words>
  <Characters>11618</Characters>
  <Lines>420</Lines>
  <Paragraphs>118</Paragraphs>
  <TotalTime>4</TotalTime>
  <ScaleCrop>false</ScaleCrop>
  <LinksUpToDate>false</LinksUpToDate>
  <CharactersWithSpaces>11882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2019-10-14T11:35:00Z</dcterms:created>
  <dc:creator>msb</dc:creator>
  <cp:lastModifiedBy>Zzz</cp:lastModifiedBy>
  <cp:lastPrinted>2014-07-03T17:08:00Z</cp:lastPrinted>
  <dcterms:modified xsi:type="dcterms:W3CDTF">2026-02-14T03:22:26Z</dcterms:modified>
  <dc:title>广州市水务工程施工公开招标</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3D1D652FE892456F87198290E61F9578_13</vt:lpwstr>
  </property>
  <property fmtid="{D5CDD505-2E9C-101B-9397-08002B2CF9AE}" pid="4" name="KSOTemplateDocerSaveRecord">
    <vt:lpwstr>eyJoZGlkIjoiZDhiZTgwOWE4NDgzMThhYzZjNDEzMWUxOTZjMWU0OWEiLCJ1c2VySWQiOiIzMjU5MTMwODYifQ==</vt:lpwstr>
  </property>
</Properties>
</file>