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4B3A8">
      <w:pPr>
        <w:spacing w:line="360" w:lineRule="auto"/>
        <w:jc w:val="center"/>
        <w:rPr>
          <w:rFonts w:ascii="宋体" w:hAnsi="宋体" w:cs="宋体"/>
          <w:b/>
          <w:bCs/>
          <w:color w:val="auto"/>
          <w:sz w:val="44"/>
          <w:szCs w:val="44"/>
        </w:rPr>
      </w:pPr>
      <w:r>
        <w:rPr>
          <w:rFonts w:hint="eastAsia" w:ascii="宋体" w:hAnsi="宋体" w:cs="宋体"/>
          <w:b/>
          <w:bCs/>
          <w:color w:val="auto"/>
          <w:sz w:val="44"/>
          <w:szCs w:val="44"/>
        </w:rPr>
        <w:t>云南师范大学经济学院实验室建设采购项目</w:t>
      </w:r>
    </w:p>
    <w:p w14:paraId="6A8EE821">
      <w:pPr>
        <w:spacing w:line="360" w:lineRule="auto"/>
        <w:jc w:val="center"/>
        <w:rPr>
          <w:rFonts w:hint="eastAsia" w:ascii="宋体" w:hAnsi="宋体" w:cs="宋体"/>
          <w:b/>
          <w:bCs/>
          <w:color w:val="auto"/>
          <w:sz w:val="36"/>
          <w:szCs w:val="36"/>
        </w:rPr>
      </w:pPr>
    </w:p>
    <w:p w14:paraId="500F19BC">
      <w:pPr>
        <w:spacing w:line="360" w:lineRule="auto"/>
        <w:jc w:val="center"/>
        <w:rPr>
          <w:rFonts w:hint="eastAsia" w:ascii="宋体" w:hAnsi="宋体" w:eastAsia="宋体" w:cs="宋体"/>
          <w:b/>
          <w:bCs/>
          <w:color w:val="auto"/>
          <w:sz w:val="36"/>
          <w:szCs w:val="36"/>
          <w:lang w:eastAsia="zh-CN"/>
        </w:rPr>
      </w:pPr>
      <w:bookmarkStart w:id="552" w:name="_GoBack"/>
      <w:bookmarkEnd w:id="552"/>
      <w:r>
        <w:rPr>
          <w:rFonts w:hint="eastAsia" w:ascii="宋体" w:hAnsi="宋体" w:cs="宋体"/>
          <w:b/>
          <w:bCs/>
          <w:color w:val="auto"/>
          <w:sz w:val="36"/>
          <w:szCs w:val="36"/>
        </w:rPr>
        <w:t>项目编号：</w:t>
      </w:r>
      <w:r>
        <w:rPr>
          <w:rFonts w:hint="eastAsia" w:ascii="宋体" w:hAnsi="宋体" w:cs="宋体"/>
          <w:b/>
          <w:bCs/>
          <w:color w:val="auto"/>
          <w:sz w:val="36"/>
          <w:szCs w:val="36"/>
          <w:lang w:eastAsia="zh-CN"/>
        </w:rPr>
        <w:t>YNZC2025-G1-07525-YNGR-0415</w:t>
      </w:r>
    </w:p>
    <w:p w14:paraId="55AC2038">
      <w:pPr>
        <w:spacing w:line="360" w:lineRule="auto"/>
        <w:jc w:val="center"/>
        <w:rPr>
          <w:rFonts w:ascii="宋体" w:hAnsi="宋体" w:cs="宋体"/>
          <w:b/>
          <w:bCs/>
          <w:color w:val="auto"/>
          <w:sz w:val="44"/>
          <w:szCs w:val="44"/>
        </w:rPr>
      </w:pPr>
    </w:p>
    <w:p w14:paraId="4171F67C">
      <w:pPr>
        <w:spacing w:line="360" w:lineRule="auto"/>
        <w:jc w:val="center"/>
        <w:rPr>
          <w:rFonts w:ascii="宋体" w:hAnsi="宋体" w:cs="宋体"/>
          <w:b/>
          <w:bCs/>
          <w:color w:val="auto"/>
          <w:sz w:val="52"/>
          <w:szCs w:val="52"/>
        </w:rPr>
      </w:pPr>
    </w:p>
    <w:p w14:paraId="6D79C071">
      <w:pPr>
        <w:pStyle w:val="12"/>
        <w:ind w:firstLine="0"/>
        <w:rPr>
          <w:rFonts w:ascii="宋体" w:hAnsi="宋体" w:cs="宋体"/>
          <w:b/>
          <w:bCs/>
          <w:color w:val="auto"/>
          <w:sz w:val="52"/>
          <w:szCs w:val="52"/>
        </w:rPr>
      </w:pPr>
    </w:p>
    <w:p w14:paraId="620107A0">
      <w:pPr>
        <w:spacing w:line="360" w:lineRule="auto"/>
        <w:jc w:val="center"/>
        <w:rPr>
          <w:rFonts w:ascii="宋体" w:hAnsi="宋体" w:cs="宋体"/>
          <w:color w:val="auto"/>
          <w:sz w:val="112"/>
          <w:szCs w:val="112"/>
        </w:rPr>
      </w:pPr>
      <w:r>
        <w:rPr>
          <w:rFonts w:hint="eastAsia" w:ascii="宋体" w:hAnsi="宋体" w:cs="宋体"/>
          <w:b/>
          <w:color w:val="auto"/>
          <w:sz w:val="112"/>
          <w:szCs w:val="112"/>
        </w:rPr>
        <w:t>招标文件</w:t>
      </w:r>
    </w:p>
    <w:p w14:paraId="43A812AE">
      <w:pPr>
        <w:spacing w:line="360" w:lineRule="auto"/>
        <w:jc w:val="center"/>
        <w:rPr>
          <w:rFonts w:ascii="宋体" w:hAnsi="宋体" w:cs="宋体"/>
          <w:b/>
          <w:bCs/>
          <w:color w:val="auto"/>
          <w:sz w:val="32"/>
          <w:szCs w:val="32"/>
        </w:rPr>
      </w:pPr>
      <w:bookmarkStart w:id="0" w:name="_Toc14712"/>
    </w:p>
    <w:bookmarkEnd w:id="0"/>
    <w:p w14:paraId="77423EC1">
      <w:pPr>
        <w:spacing w:line="360" w:lineRule="auto"/>
        <w:jc w:val="center"/>
        <w:rPr>
          <w:rFonts w:ascii="宋体" w:hAnsi="宋体" w:cs="宋体"/>
          <w:b/>
          <w:bCs/>
          <w:color w:val="auto"/>
          <w:sz w:val="32"/>
          <w:szCs w:val="32"/>
          <w:highlight w:val="yellow"/>
        </w:rPr>
      </w:pPr>
    </w:p>
    <w:p w14:paraId="176D0E7A">
      <w:pPr>
        <w:pStyle w:val="55"/>
        <w:spacing w:line="360" w:lineRule="auto"/>
        <w:jc w:val="center"/>
        <w:rPr>
          <w:rFonts w:ascii="宋体" w:hAnsi="宋体" w:cs="宋体"/>
          <w:b/>
          <w:bCs/>
          <w:color w:val="auto"/>
          <w:sz w:val="32"/>
          <w:szCs w:val="32"/>
        </w:rPr>
      </w:pPr>
      <w:bookmarkStart w:id="1" w:name="_Toc15767"/>
    </w:p>
    <w:p w14:paraId="65AFD51A">
      <w:pPr>
        <w:spacing w:line="360" w:lineRule="auto"/>
        <w:jc w:val="center"/>
        <w:rPr>
          <w:rFonts w:ascii="宋体" w:hAnsi="宋体" w:cs="宋体"/>
          <w:b/>
          <w:bCs/>
          <w:color w:val="auto"/>
          <w:sz w:val="32"/>
          <w:szCs w:val="32"/>
        </w:rPr>
      </w:pPr>
    </w:p>
    <w:p w14:paraId="13B57A20">
      <w:pPr>
        <w:spacing w:line="360" w:lineRule="auto"/>
        <w:jc w:val="center"/>
        <w:rPr>
          <w:rFonts w:ascii="宋体" w:hAnsi="宋体" w:cs="宋体"/>
          <w:b/>
          <w:bCs/>
          <w:color w:val="auto"/>
          <w:sz w:val="32"/>
          <w:szCs w:val="32"/>
        </w:rPr>
      </w:pPr>
    </w:p>
    <w:p w14:paraId="0DDAC47D">
      <w:pPr>
        <w:spacing w:line="360" w:lineRule="auto"/>
        <w:jc w:val="center"/>
        <w:rPr>
          <w:rFonts w:ascii="宋体" w:hAnsi="宋体" w:cs="宋体"/>
          <w:b/>
          <w:bCs/>
          <w:color w:val="auto"/>
          <w:sz w:val="40"/>
          <w:szCs w:val="40"/>
        </w:rPr>
      </w:pPr>
    </w:p>
    <w:p w14:paraId="4403E25E">
      <w:pPr>
        <w:spacing w:line="360" w:lineRule="auto"/>
        <w:jc w:val="center"/>
        <w:rPr>
          <w:rFonts w:ascii="宋体" w:hAnsi="宋体" w:cs="宋体"/>
          <w:b/>
          <w:bCs/>
          <w:color w:val="auto"/>
          <w:sz w:val="36"/>
          <w:szCs w:val="36"/>
        </w:rPr>
      </w:pPr>
      <w:r>
        <w:rPr>
          <w:rFonts w:hint="eastAsia" w:ascii="宋体" w:hAnsi="宋体" w:cs="宋体"/>
          <w:b/>
          <w:bCs/>
          <w:color w:val="auto"/>
          <w:sz w:val="36"/>
          <w:szCs w:val="36"/>
        </w:rPr>
        <w:t>采购人：</w:t>
      </w:r>
      <w:bookmarkEnd w:id="1"/>
      <w:r>
        <w:rPr>
          <w:rFonts w:hint="eastAsia" w:ascii="宋体" w:hAnsi="宋体" w:cs="宋体"/>
          <w:b/>
          <w:bCs/>
          <w:color w:val="auto"/>
          <w:sz w:val="36"/>
          <w:szCs w:val="36"/>
        </w:rPr>
        <w:t>云南师范大学</w:t>
      </w:r>
    </w:p>
    <w:p w14:paraId="65430CC9">
      <w:pPr>
        <w:spacing w:line="360" w:lineRule="auto"/>
        <w:jc w:val="center"/>
        <w:rPr>
          <w:rFonts w:ascii="宋体" w:hAnsi="宋体" w:cs="宋体"/>
          <w:b/>
          <w:bCs/>
          <w:color w:val="auto"/>
          <w:sz w:val="36"/>
          <w:szCs w:val="36"/>
        </w:rPr>
      </w:pPr>
      <w:bookmarkStart w:id="2" w:name="_Toc137"/>
      <w:r>
        <w:rPr>
          <w:rFonts w:hint="eastAsia" w:ascii="宋体" w:hAnsi="宋体" w:cs="宋体"/>
          <w:b/>
          <w:bCs/>
          <w:color w:val="auto"/>
          <w:sz w:val="36"/>
          <w:szCs w:val="36"/>
        </w:rPr>
        <w:t>采购代理机构：</w:t>
      </w:r>
      <w:bookmarkEnd w:id="2"/>
      <w:r>
        <w:rPr>
          <w:rFonts w:hint="eastAsia" w:ascii="宋体" w:hAnsi="宋体" w:cs="宋体"/>
          <w:b/>
          <w:bCs/>
          <w:color w:val="auto"/>
          <w:sz w:val="36"/>
          <w:szCs w:val="36"/>
        </w:rPr>
        <w:t>云南冠睿咨询有限公司</w:t>
      </w:r>
    </w:p>
    <w:p w14:paraId="6F6021F0">
      <w:pPr>
        <w:spacing w:line="360" w:lineRule="auto"/>
        <w:jc w:val="center"/>
        <w:rPr>
          <w:rFonts w:ascii="宋体" w:hAnsi="宋体" w:cs="宋体"/>
          <w:b/>
          <w:bCs/>
          <w:color w:val="auto"/>
          <w:sz w:val="36"/>
          <w:szCs w:val="36"/>
        </w:rPr>
      </w:pPr>
      <w:r>
        <w:rPr>
          <w:rFonts w:hint="eastAsia" w:ascii="宋体" w:hAnsi="宋体" w:cs="宋体"/>
          <w:b/>
          <w:bCs/>
          <w:color w:val="auto"/>
          <w:sz w:val="36"/>
          <w:szCs w:val="36"/>
        </w:rPr>
        <w:t>2025年11月</w:t>
      </w:r>
      <w:bookmarkStart w:id="3" w:name="_Toc25875"/>
    </w:p>
    <w:p w14:paraId="2239675F">
      <w:pPr>
        <w:pStyle w:val="113"/>
        <w:jc w:val="center"/>
        <w:rPr>
          <w:rFonts w:ascii="宋体" w:hAnsi="宋体" w:eastAsia="宋体" w:cs="宋体"/>
          <w:b w:val="0"/>
          <w:bCs w:val="0"/>
          <w:color w:val="auto"/>
          <w:kern w:val="2"/>
          <w:sz w:val="21"/>
          <w:szCs w:val="20"/>
          <w:lang w:val="zh-CN"/>
        </w:rPr>
        <w:sectPr>
          <w:headerReference r:id="rId3" w:type="default"/>
          <w:pgSz w:w="12240" w:h="15840"/>
          <w:pgMar w:top="1440" w:right="1800" w:bottom="1440" w:left="1800" w:header="567" w:footer="567" w:gutter="0"/>
          <w:pgNumType w:start="0"/>
          <w:cols w:space="720" w:num="1"/>
        </w:sectPr>
      </w:pPr>
    </w:p>
    <w:p w14:paraId="6454F848">
      <w:pPr>
        <w:pStyle w:val="27"/>
        <w:tabs>
          <w:tab w:val="right" w:leader="dot" w:pos="8640"/>
          <w:tab w:val="clear" w:pos="9663"/>
        </w:tabs>
        <w:spacing w:before="0" w:after="0"/>
        <w:rPr>
          <w:color w:val="auto"/>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p>
    <w:p w14:paraId="1A2E8F42">
      <w:pPr>
        <w:pStyle w:val="27"/>
        <w:tabs>
          <w:tab w:val="right" w:leader="dot" w:pos="8640"/>
          <w:tab w:val="clear" w:pos="9663"/>
        </w:tabs>
        <w:spacing w:before="0" w:after="0"/>
        <w:jc w:val="center"/>
        <w:rPr>
          <w:rFonts w:ascii="宋体" w:hAnsi="宋体" w:cs="宋体"/>
          <w:color w:val="auto"/>
        </w:rPr>
      </w:pPr>
      <w:r>
        <w:rPr>
          <w:rFonts w:hint="eastAsia" w:ascii="宋体" w:hAnsi="宋体" w:cs="宋体"/>
          <w:color w:val="auto"/>
          <w:lang w:val="zh-CN"/>
        </w:rPr>
        <w:t>目录</w:t>
      </w:r>
    </w:p>
    <w:p w14:paraId="10F91434">
      <w:pPr>
        <w:spacing w:line="360" w:lineRule="auto"/>
        <w:jc w:val="center"/>
        <w:rPr>
          <w:rFonts w:ascii="宋体" w:hAnsi="宋体" w:cs="宋体"/>
          <w:b/>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TOC \o "1-2" \h \u </w:instrText>
      </w:r>
      <w:r>
        <w:rPr>
          <w:rFonts w:hint="eastAsia" w:ascii="宋体" w:hAnsi="宋体" w:cs="宋体"/>
          <w:color w:val="auto"/>
          <w:sz w:val="28"/>
          <w:szCs w:val="28"/>
        </w:rPr>
        <w:fldChar w:fldCharType="separate"/>
      </w:r>
    </w:p>
    <w:p w14:paraId="241687E0">
      <w:pPr>
        <w:pStyle w:val="174"/>
        <w:tabs>
          <w:tab w:val="right" w:leader="dot" w:pos="8640"/>
        </w:tabs>
        <w:spacing w:line="480" w:lineRule="auto"/>
        <w:rPr>
          <w:rFonts w:ascii="宋体" w:hAnsi="宋体" w:cs="宋体"/>
          <w:bCs/>
          <w:color w:val="auto"/>
          <w:sz w:val="24"/>
          <w:szCs w:val="24"/>
        </w:rPr>
      </w:pPr>
      <w:r>
        <w:rPr>
          <w:color w:val="auto"/>
        </w:rPr>
        <w:fldChar w:fldCharType="begin"/>
      </w:r>
      <w:r>
        <w:rPr>
          <w:color w:val="auto"/>
        </w:rPr>
        <w:instrText xml:space="preserve"> HYPERLINK \l "_Toc21234" </w:instrText>
      </w:r>
      <w:r>
        <w:rPr>
          <w:color w:val="auto"/>
        </w:rPr>
        <w:fldChar w:fldCharType="separate"/>
      </w:r>
      <w:r>
        <w:rPr>
          <w:rFonts w:hint="eastAsia" w:ascii="宋体" w:hAnsi="宋体" w:cs="宋体"/>
          <w:bCs/>
          <w:color w:val="auto"/>
          <w:sz w:val="24"/>
          <w:szCs w:val="24"/>
        </w:rPr>
        <w:t>第一章  公开招标公告</w:t>
      </w:r>
      <w:r>
        <w:rPr>
          <w:rFonts w:hint="eastAsia" w:ascii="宋体" w:hAnsi="宋体" w:cs="宋体"/>
          <w:bCs/>
          <w:color w:val="auto"/>
          <w:sz w:val="24"/>
          <w:szCs w:val="24"/>
        </w:rPr>
        <w:tab/>
      </w: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PAGEREF _Toc21234 \h </w:instrText>
      </w:r>
      <w:r>
        <w:rPr>
          <w:rFonts w:hint="eastAsia" w:ascii="宋体" w:hAnsi="宋体" w:cs="宋体"/>
          <w:bCs/>
          <w:color w:val="auto"/>
          <w:sz w:val="24"/>
          <w:szCs w:val="24"/>
        </w:rPr>
        <w:fldChar w:fldCharType="separate"/>
      </w:r>
      <w:r>
        <w:rPr>
          <w:rFonts w:hint="eastAsia" w:ascii="宋体" w:hAnsi="宋体" w:cs="宋体"/>
          <w:bCs/>
          <w:color w:val="auto"/>
          <w:sz w:val="24"/>
          <w:szCs w:val="24"/>
        </w:rPr>
        <w:t>1</w:t>
      </w:r>
      <w:r>
        <w:rPr>
          <w:rFonts w:hint="eastAsia" w:ascii="宋体" w:hAnsi="宋体" w:cs="宋体"/>
          <w:bCs/>
          <w:color w:val="auto"/>
          <w:sz w:val="24"/>
          <w:szCs w:val="24"/>
        </w:rPr>
        <w:fldChar w:fldCharType="end"/>
      </w:r>
      <w:r>
        <w:rPr>
          <w:rFonts w:hint="eastAsia" w:ascii="宋体" w:hAnsi="宋体" w:cs="宋体"/>
          <w:bCs/>
          <w:color w:val="auto"/>
          <w:sz w:val="24"/>
          <w:szCs w:val="24"/>
        </w:rPr>
        <w:fldChar w:fldCharType="end"/>
      </w:r>
    </w:p>
    <w:p w14:paraId="6A0B1482">
      <w:pPr>
        <w:pStyle w:val="174"/>
        <w:tabs>
          <w:tab w:val="right" w:leader="dot" w:pos="8640"/>
        </w:tabs>
        <w:spacing w:line="480" w:lineRule="auto"/>
        <w:rPr>
          <w:rFonts w:ascii="宋体" w:hAnsi="宋体" w:cs="宋体"/>
          <w:bCs/>
          <w:color w:val="auto"/>
          <w:sz w:val="24"/>
          <w:szCs w:val="24"/>
        </w:rPr>
      </w:pPr>
      <w:r>
        <w:rPr>
          <w:color w:val="auto"/>
        </w:rPr>
        <w:fldChar w:fldCharType="begin"/>
      </w:r>
      <w:r>
        <w:rPr>
          <w:color w:val="auto"/>
        </w:rPr>
        <w:instrText xml:space="preserve"> HYPERLINK \l "_Toc14382" </w:instrText>
      </w:r>
      <w:r>
        <w:rPr>
          <w:color w:val="auto"/>
        </w:rPr>
        <w:fldChar w:fldCharType="separate"/>
      </w:r>
      <w:r>
        <w:rPr>
          <w:rFonts w:hint="eastAsia" w:ascii="宋体" w:hAnsi="宋体" w:cs="宋体"/>
          <w:bCs/>
          <w:color w:val="auto"/>
          <w:sz w:val="24"/>
          <w:szCs w:val="24"/>
        </w:rPr>
        <w:t>第二章  投标人须知</w:t>
      </w:r>
      <w:r>
        <w:rPr>
          <w:rFonts w:hint="eastAsia" w:ascii="宋体" w:hAnsi="宋体" w:cs="宋体"/>
          <w:bCs/>
          <w:color w:val="auto"/>
          <w:sz w:val="24"/>
          <w:szCs w:val="24"/>
        </w:rPr>
        <w:tab/>
      </w: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PAGEREF _Toc14382 \h </w:instrText>
      </w:r>
      <w:r>
        <w:rPr>
          <w:rFonts w:hint="eastAsia" w:ascii="宋体" w:hAnsi="宋体" w:cs="宋体"/>
          <w:bCs/>
          <w:color w:val="auto"/>
          <w:sz w:val="24"/>
          <w:szCs w:val="24"/>
        </w:rPr>
        <w:fldChar w:fldCharType="separate"/>
      </w:r>
      <w:r>
        <w:rPr>
          <w:rFonts w:hint="eastAsia" w:ascii="宋体" w:hAnsi="宋体" w:cs="宋体"/>
          <w:bCs/>
          <w:color w:val="auto"/>
          <w:sz w:val="24"/>
          <w:szCs w:val="24"/>
        </w:rPr>
        <w:t>8</w:t>
      </w:r>
      <w:r>
        <w:rPr>
          <w:rFonts w:hint="eastAsia" w:ascii="宋体" w:hAnsi="宋体" w:cs="宋体"/>
          <w:bCs/>
          <w:color w:val="auto"/>
          <w:sz w:val="24"/>
          <w:szCs w:val="24"/>
        </w:rPr>
        <w:fldChar w:fldCharType="end"/>
      </w:r>
      <w:r>
        <w:rPr>
          <w:rFonts w:hint="eastAsia" w:ascii="宋体" w:hAnsi="宋体" w:cs="宋体"/>
          <w:bCs/>
          <w:color w:val="auto"/>
          <w:sz w:val="24"/>
          <w:szCs w:val="24"/>
        </w:rPr>
        <w:fldChar w:fldCharType="end"/>
      </w:r>
    </w:p>
    <w:p w14:paraId="70824FC9">
      <w:pPr>
        <w:pStyle w:val="175"/>
        <w:tabs>
          <w:tab w:val="right" w:leader="dot" w:pos="8640"/>
        </w:tabs>
        <w:spacing w:line="480" w:lineRule="auto"/>
        <w:ind w:left="420"/>
        <w:rPr>
          <w:rFonts w:ascii="宋体" w:hAnsi="宋体" w:cs="宋体"/>
          <w:bCs/>
          <w:color w:val="auto"/>
          <w:sz w:val="24"/>
          <w:szCs w:val="24"/>
        </w:rPr>
      </w:pPr>
      <w:r>
        <w:rPr>
          <w:color w:val="auto"/>
        </w:rPr>
        <w:fldChar w:fldCharType="begin"/>
      </w:r>
      <w:r>
        <w:rPr>
          <w:color w:val="auto"/>
        </w:rPr>
        <w:instrText xml:space="preserve"> HYPERLINK \l "_Toc13457" </w:instrText>
      </w:r>
      <w:r>
        <w:rPr>
          <w:color w:val="auto"/>
        </w:rPr>
        <w:fldChar w:fldCharType="separate"/>
      </w:r>
      <w:r>
        <w:rPr>
          <w:rFonts w:hint="eastAsia" w:ascii="宋体" w:hAnsi="宋体" w:cs="宋体"/>
          <w:bCs/>
          <w:color w:val="auto"/>
          <w:sz w:val="24"/>
          <w:szCs w:val="24"/>
        </w:rPr>
        <w:t>投标人须知前附表</w:t>
      </w:r>
      <w:r>
        <w:rPr>
          <w:rFonts w:hint="eastAsia" w:ascii="宋体" w:hAnsi="宋体" w:cs="宋体"/>
          <w:bCs/>
          <w:color w:val="auto"/>
          <w:sz w:val="24"/>
          <w:szCs w:val="24"/>
        </w:rPr>
        <w:tab/>
      </w: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PAGEREF _Toc13457 \h </w:instrText>
      </w:r>
      <w:r>
        <w:rPr>
          <w:rFonts w:hint="eastAsia" w:ascii="宋体" w:hAnsi="宋体" w:cs="宋体"/>
          <w:bCs/>
          <w:color w:val="auto"/>
          <w:sz w:val="24"/>
          <w:szCs w:val="24"/>
        </w:rPr>
        <w:fldChar w:fldCharType="separate"/>
      </w:r>
      <w:r>
        <w:rPr>
          <w:rFonts w:hint="eastAsia" w:ascii="宋体" w:hAnsi="宋体" w:cs="宋体"/>
          <w:bCs/>
          <w:color w:val="auto"/>
          <w:sz w:val="24"/>
          <w:szCs w:val="24"/>
        </w:rPr>
        <w:t>8</w:t>
      </w:r>
      <w:r>
        <w:rPr>
          <w:rFonts w:hint="eastAsia" w:ascii="宋体" w:hAnsi="宋体" w:cs="宋体"/>
          <w:bCs/>
          <w:color w:val="auto"/>
          <w:sz w:val="24"/>
          <w:szCs w:val="24"/>
        </w:rPr>
        <w:fldChar w:fldCharType="end"/>
      </w:r>
      <w:r>
        <w:rPr>
          <w:rFonts w:hint="eastAsia" w:ascii="宋体" w:hAnsi="宋体" w:cs="宋体"/>
          <w:bCs/>
          <w:color w:val="auto"/>
          <w:sz w:val="24"/>
          <w:szCs w:val="24"/>
        </w:rPr>
        <w:fldChar w:fldCharType="end"/>
      </w:r>
    </w:p>
    <w:p w14:paraId="3DA7C7E3">
      <w:pPr>
        <w:pStyle w:val="174"/>
        <w:tabs>
          <w:tab w:val="right" w:leader="dot" w:pos="8640"/>
        </w:tabs>
        <w:spacing w:line="480" w:lineRule="auto"/>
        <w:rPr>
          <w:rFonts w:ascii="宋体" w:hAnsi="宋体" w:cs="宋体"/>
          <w:bCs/>
          <w:color w:val="auto"/>
          <w:sz w:val="24"/>
          <w:szCs w:val="24"/>
        </w:rPr>
      </w:pPr>
      <w:r>
        <w:rPr>
          <w:color w:val="auto"/>
        </w:rPr>
        <w:fldChar w:fldCharType="begin"/>
      </w:r>
      <w:r>
        <w:rPr>
          <w:color w:val="auto"/>
        </w:rPr>
        <w:instrText xml:space="preserve"> HYPERLINK \l "_Toc3050" </w:instrText>
      </w:r>
      <w:r>
        <w:rPr>
          <w:color w:val="auto"/>
        </w:rPr>
        <w:fldChar w:fldCharType="separate"/>
      </w:r>
      <w:r>
        <w:rPr>
          <w:rFonts w:hint="eastAsia" w:ascii="宋体" w:hAnsi="宋体" w:cs="宋体"/>
          <w:bCs/>
          <w:color w:val="auto"/>
          <w:sz w:val="24"/>
          <w:szCs w:val="24"/>
        </w:rPr>
        <w:t>第三章  合同书样式及主要条款</w:t>
      </w:r>
      <w:r>
        <w:rPr>
          <w:rFonts w:hint="eastAsia" w:ascii="宋体" w:hAnsi="宋体" w:cs="宋体"/>
          <w:bCs/>
          <w:color w:val="auto"/>
          <w:sz w:val="24"/>
          <w:szCs w:val="24"/>
        </w:rPr>
        <w:tab/>
      </w: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PAGEREF _Toc3050 \h </w:instrText>
      </w:r>
      <w:r>
        <w:rPr>
          <w:rFonts w:hint="eastAsia" w:ascii="宋体" w:hAnsi="宋体" w:cs="宋体"/>
          <w:bCs/>
          <w:color w:val="auto"/>
          <w:sz w:val="24"/>
          <w:szCs w:val="24"/>
        </w:rPr>
        <w:fldChar w:fldCharType="separate"/>
      </w:r>
      <w:r>
        <w:rPr>
          <w:rFonts w:hint="eastAsia" w:ascii="宋体" w:hAnsi="宋体" w:cs="宋体"/>
          <w:bCs/>
          <w:color w:val="auto"/>
          <w:sz w:val="24"/>
          <w:szCs w:val="24"/>
        </w:rPr>
        <w:t>29</w:t>
      </w:r>
      <w:r>
        <w:rPr>
          <w:rFonts w:hint="eastAsia" w:ascii="宋体" w:hAnsi="宋体" w:cs="宋体"/>
          <w:bCs/>
          <w:color w:val="auto"/>
          <w:sz w:val="24"/>
          <w:szCs w:val="24"/>
        </w:rPr>
        <w:fldChar w:fldCharType="end"/>
      </w:r>
      <w:r>
        <w:rPr>
          <w:rFonts w:hint="eastAsia" w:ascii="宋体" w:hAnsi="宋体" w:cs="宋体"/>
          <w:bCs/>
          <w:color w:val="auto"/>
          <w:sz w:val="24"/>
          <w:szCs w:val="24"/>
        </w:rPr>
        <w:fldChar w:fldCharType="end"/>
      </w:r>
    </w:p>
    <w:p w14:paraId="5701BB79">
      <w:pPr>
        <w:pStyle w:val="174"/>
        <w:tabs>
          <w:tab w:val="right" w:leader="dot" w:pos="8640"/>
        </w:tabs>
        <w:spacing w:line="480" w:lineRule="auto"/>
        <w:rPr>
          <w:rFonts w:ascii="宋体" w:hAnsi="宋体" w:cs="宋体"/>
          <w:bCs/>
          <w:color w:val="auto"/>
          <w:sz w:val="24"/>
          <w:szCs w:val="24"/>
        </w:rPr>
      </w:pPr>
      <w:r>
        <w:rPr>
          <w:color w:val="auto"/>
        </w:rPr>
        <w:fldChar w:fldCharType="begin"/>
      </w:r>
      <w:r>
        <w:rPr>
          <w:color w:val="auto"/>
        </w:rPr>
        <w:instrText xml:space="preserve"> HYPERLINK \l "_Toc9500" </w:instrText>
      </w:r>
      <w:r>
        <w:rPr>
          <w:color w:val="auto"/>
        </w:rPr>
        <w:fldChar w:fldCharType="separate"/>
      </w:r>
      <w:r>
        <w:rPr>
          <w:rFonts w:hint="eastAsia" w:ascii="宋体" w:hAnsi="宋体" w:cs="宋体"/>
          <w:bCs/>
          <w:color w:val="auto"/>
          <w:sz w:val="24"/>
          <w:szCs w:val="24"/>
        </w:rPr>
        <w:t>第四章  投标文件格式</w:t>
      </w:r>
      <w:r>
        <w:rPr>
          <w:rFonts w:hint="eastAsia" w:ascii="宋体" w:hAnsi="宋体" w:cs="宋体"/>
          <w:bCs/>
          <w:color w:val="auto"/>
          <w:sz w:val="24"/>
          <w:szCs w:val="24"/>
        </w:rPr>
        <w:tab/>
      </w: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PAGEREF _Toc9500 \h </w:instrText>
      </w:r>
      <w:r>
        <w:rPr>
          <w:rFonts w:hint="eastAsia" w:ascii="宋体" w:hAnsi="宋体" w:cs="宋体"/>
          <w:bCs/>
          <w:color w:val="auto"/>
          <w:sz w:val="24"/>
          <w:szCs w:val="24"/>
        </w:rPr>
        <w:fldChar w:fldCharType="separate"/>
      </w:r>
      <w:r>
        <w:rPr>
          <w:rFonts w:hint="eastAsia" w:ascii="宋体" w:hAnsi="宋体" w:cs="宋体"/>
          <w:bCs/>
          <w:color w:val="auto"/>
          <w:sz w:val="24"/>
          <w:szCs w:val="24"/>
        </w:rPr>
        <w:t>41</w:t>
      </w:r>
      <w:r>
        <w:rPr>
          <w:rFonts w:hint="eastAsia" w:ascii="宋体" w:hAnsi="宋体" w:cs="宋体"/>
          <w:bCs/>
          <w:color w:val="auto"/>
          <w:sz w:val="24"/>
          <w:szCs w:val="24"/>
        </w:rPr>
        <w:fldChar w:fldCharType="end"/>
      </w:r>
      <w:r>
        <w:rPr>
          <w:rFonts w:hint="eastAsia" w:ascii="宋体" w:hAnsi="宋体" w:cs="宋体"/>
          <w:bCs/>
          <w:color w:val="auto"/>
          <w:sz w:val="24"/>
          <w:szCs w:val="24"/>
        </w:rPr>
        <w:fldChar w:fldCharType="end"/>
      </w:r>
    </w:p>
    <w:p w14:paraId="2B354D24">
      <w:pPr>
        <w:pStyle w:val="174"/>
        <w:tabs>
          <w:tab w:val="right" w:leader="dot" w:pos="8640"/>
        </w:tabs>
        <w:spacing w:line="480" w:lineRule="auto"/>
        <w:rPr>
          <w:rFonts w:ascii="宋体" w:hAnsi="宋体" w:cs="宋体"/>
          <w:bCs/>
          <w:color w:val="auto"/>
          <w:sz w:val="24"/>
          <w:szCs w:val="24"/>
        </w:rPr>
      </w:pPr>
      <w:r>
        <w:rPr>
          <w:color w:val="auto"/>
        </w:rPr>
        <w:fldChar w:fldCharType="begin"/>
      </w:r>
      <w:r>
        <w:rPr>
          <w:color w:val="auto"/>
        </w:rPr>
        <w:instrText xml:space="preserve"> HYPERLINK \l "_Toc31992" </w:instrText>
      </w:r>
      <w:r>
        <w:rPr>
          <w:color w:val="auto"/>
        </w:rPr>
        <w:fldChar w:fldCharType="separate"/>
      </w:r>
      <w:r>
        <w:rPr>
          <w:rFonts w:hint="eastAsia" w:ascii="宋体" w:hAnsi="宋体" w:cs="宋体"/>
          <w:bCs/>
          <w:color w:val="auto"/>
          <w:sz w:val="24"/>
          <w:szCs w:val="24"/>
        </w:rPr>
        <w:t>第五章  采购需求</w:t>
      </w:r>
      <w:r>
        <w:rPr>
          <w:rFonts w:hint="eastAsia" w:ascii="宋体" w:hAnsi="宋体" w:cs="宋体"/>
          <w:bCs/>
          <w:color w:val="auto"/>
          <w:sz w:val="24"/>
          <w:szCs w:val="24"/>
        </w:rPr>
        <w:tab/>
      </w: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PAGEREF _Toc31992 \h </w:instrText>
      </w:r>
      <w:r>
        <w:rPr>
          <w:rFonts w:hint="eastAsia" w:ascii="宋体" w:hAnsi="宋体" w:cs="宋体"/>
          <w:bCs/>
          <w:color w:val="auto"/>
          <w:sz w:val="24"/>
          <w:szCs w:val="24"/>
        </w:rPr>
        <w:fldChar w:fldCharType="separate"/>
      </w:r>
      <w:r>
        <w:rPr>
          <w:rFonts w:hint="eastAsia" w:ascii="宋体" w:hAnsi="宋体" w:cs="宋体"/>
          <w:bCs/>
          <w:color w:val="auto"/>
          <w:sz w:val="24"/>
          <w:szCs w:val="24"/>
        </w:rPr>
        <w:t>92</w:t>
      </w:r>
      <w:r>
        <w:rPr>
          <w:rFonts w:hint="eastAsia" w:ascii="宋体" w:hAnsi="宋体" w:cs="宋体"/>
          <w:bCs/>
          <w:color w:val="auto"/>
          <w:sz w:val="24"/>
          <w:szCs w:val="24"/>
        </w:rPr>
        <w:fldChar w:fldCharType="end"/>
      </w:r>
      <w:r>
        <w:rPr>
          <w:rFonts w:hint="eastAsia" w:ascii="宋体" w:hAnsi="宋体" w:cs="宋体"/>
          <w:bCs/>
          <w:color w:val="auto"/>
          <w:sz w:val="24"/>
          <w:szCs w:val="24"/>
        </w:rPr>
        <w:fldChar w:fldCharType="end"/>
      </w:r>
    </w:p>
    <w:p w14:paraId="0EF3E3BB">
      <w:pPr>
        <w:pStyle w:val="174"/>
        <w:tabs>
          <w:tab w:val="right" w:leader="dot" w:pos="8640"/>
        </w:tabs>
        <w:spacing w:line="480" w:lineRule="auto"/>
        <w:rPr>
          <w:rFonts w:ascii="宋体" w:hAnsi="宋体" w:cs="宋体"/>
          <w:bCs/>
          <w:color w:val="auto"/>
          <w:sz w:val="24"/>
          <w:szCs w:val="24"/>
        </w:rPr>
      </w:pPr>
      <w:r>
        <w:rPr>
          <w:color w:val="auto"/>
        </w:rPr>
        <w:fldChar w:fldCharType="begin"/>
      </w:r>
      <w:r>
        <w:rPr>
          <w:color w:val="auto"/>
        </w:rPr>
        <w:instrText xml:space="preserve"> HYPERLINK \l "_Toc14295" </w:instrText>
      </w:r>
      <w:r>
        <w:rPr>
          <w:color w:val="auto"/>
        </w:rPr>
        <w:fldChar w:fldCharType="separate"/>
      </w:r>
      <w:r>
        <w:rPr>
          <w:rFonts w:hint="eastAsia" w:ascii="宋体" w:hAnsi="宋体" w:cs="宋体"/>
          <w:bCs/>
          <w:color w:val="auto"/>
          <w:sz w:val="24"/>
          <w:szCs w:val="24"/>
        </w:rPr>
        <w:t>第六章  资格审查</w:t>
      </w:r>
      <w:r>
        <w:rPr>
          <w:rFonts w:hint="eastAsia" w:ascii="宋体" w:hAnsi="宋体" w:cs="宋体"/>
          <w:bCs/>
          <w:color w:val="auto"/>
          <w:sz w:val="24"/>
          <w:szCs w:val="24"/>
        </w:rPr>
        <w:tab/>
      </w: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PAGEREF _Toc14295 \h </w:instrText>
      </w:r>
      <w:r>
        <w:rPr>
          <w:rFonts w:hint="eastAsia" w:ascii="宋体" w:hAnsi="宋体" w:cs="宋体"/>
          <w:bCs/>
          <w:color w:val="auto"/>
          <w:sz w:val="24"/>
          <w:szCs w:val="24"/>
        </w:rPr>
        <w:fldChar w:fldCharType="separate"/>
      </w:r>
      <w:r>
        <w:rPr>
          <w:rFonts w:hint="eastAsia" w:ascii="宋体" w:hAnsi="宋体" w:cs="宋体"/>
          <w:bCs/>
          <w:color w:val="auto"/>
          <w:sz w:val="24"/>
          <w:szCs w:val="24"/>
        </w:rPr>
        <w:t>127</w:t>
      </w:r>
      <w:r>
        <w:rPr>
          <w:rFonts w:hint="eastAsia" w:ascii="宋体" w:hAnsi="宋体" w:cs="宋体"/>
          <w:bCs/>
          <w:color w:val="auto"/>
          <w:sz w:val="24"/>
          <w:szCs w:val="24"/>
        </w:rPr>
        <w:fldChar w:fldCharType="end"/>
      </w:r>
      <w:r>
        <w:rPr>
          <w:rFonts w:hint="eastAsia" w:ascii="宋体" w:hAnsi="宋体" w:cs="宋体"/>
          <w:bCs/>
          <w:color w:val="auto"/>
          <w:sz w:val="24"/>
          <w:szCs w:val="24"/>
        </w:rPr>
        <w:fldChar w:fldCharType="end"/>
      </w:r>
    </w:p>
    <w:p w14:paraId="78A512AA">
      <w:pPr>
        <w:pStyle w:val="175"/>
        <w:tabs>
          <w:tab w:val="right" w:leader="dot" w:pos="8640"/>
        </w:tabs>
        <w:spacing w:line="480" w:lineRule="auto"/>
        <w:ind w:left="420"/>
        <w:rPr>
          <w:rFonts w:ascii="宋体" w:hAnsi="宋体" w:cs="宋体"/>
          <w:bCs/>
          <w:color w:val="auto"/>
          <w:sz w:val="24"/>
          <w:szCs w:val="24"/>
        </w:rPr>
      </w:pPr>
      <w:r>
        <w:rPr>
          <w:color w:val="auto"/>
        </w:rPr>
        <w:fldChar w:fldCharType="begin"/>
      </w:r>
      <w:r>
        <w:rPr>
          <w:color w:val="auto"/>
        </w:rPr>
        <w:instrText xml:space="preserve"> HYPERLINK \l "_Toc21544" </w:instrText>
      </w:r>
      <w:r>
        <w:rPr>
          <w:color w:val="auto"/>
        </w:rPr>
        <w:fldChar w:fldCharType="separate"/>
      </w:r>
      <w:r>
        <w:rPr>
          <w:rFonts w:hint="eastAsia" w:ascii="宋体" w:hAnsi="宋体" w:cs="宋体"/>
          <w:bCs/>
          <w:caps/>
          <w:color w:val="auto"/>
          <w:sz w:val="24"/>
          <w:szCs w:val="24"/>
        </w:rPr>
        <w:t>投标人资格要求前附表</w:t>
      </w:r>
      <w:r>
        <w:rPr>
          <w:rFonts w:hint="eastAsia" w:ascii="宋体" w:hAnsi="宋体" w:cs="宋体"/>
          <w:bCs/>
          <w:color w:val="auto"/>
          <w:sz w:val="24"/>
          <w:szCs w:val="24"/>
        </w:rPr>
        <w:tab/>
      </w: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PAGEREF _Toc21544 \h </w:instrText>
      </w:r>
      <w:r>
        <w:rPr>
          <w:rFonts w:hint="eastAsia" w:ascii="宋体" w:hAnsi="宋体" w:cs="宋体"/>
          <w:bCs/>
          <w:color w:val="auto"/>
          <w:sz w:val="24"/>
          <w:szCs w:val="24"/>
        </w:rPr>
        <w:fldChar w:fldCharType="separate"/>
      </w:r>
      <w:r>
        <w:rPr>
          <w:rFonts w:hint="eastAsia" w:ascii="宋体" w:hAnsi="宋体" w:cs="宋体"/>
          <w:bCs/>
          <w:color w:val="auto"/>
          <w:sz w:val="24"/>
          <w:szCs w:val="24"/>
        </w:rPr>
        <w:t>127</w:t>
      </w:r>
      <w:r>
        <w:rPr>
          <w:rFonts w:hint="eastAsia" w:ascii="宋体" w:hAnsi="宋体" w:cs="宋体"/>
          <w:bCs/>
          <w:color w:val="auto"/>
          <w:sz w:val="24"/>
          <w:szCs w:val="24"/>
        </w:rPr>
        <w:fldChar w:fldCharType="end"/>
      </w:r>
      <w:r>
        <w:rPr>
          <w:rFonts w:hint="eastAsia" w:ascii="宋体" w:hAnsi="宋体" w:cs="宋体"/>
          <w:bCs/>
          <w:color w:val="auto"/>
          <w:sz w:val="24"/>
          <w:szCs w:val="24"/>
        </w:rPr>
        <w:fldChar w:fldCharType="end"/>
      </w:r>
    </w:p>
    <w:p w14:paraId="3020CAA0">
      <w:pPr>
        <w:pStyle w:val="174"/>
        <w:tabs>
          <w:tab w:val="right" w:leader="dot" w:pos="8640"/>
        </w:tabs>
        <w:spacing w:line="480" w:lineRule="auto"/>
        <w:rPr>
          <w:rFonts w:ascii="宋体" w:hAnsi="宋体" w:cs="宋体"/>
          <w:bCs/>
          <w:color w:val="auto"/>
          <w:sz w:val="24"/>
          <w:szCs w:val="24"/>
        </w:rPr>
      </w:pPr>
      <w:r>
        <w:rPr>
          <w:color w:val="auto"/>
        </w:rPr>
        <w:fldChar w:fldCharType="begin"/>
      </w:r>
      <w:r>
        <w:rPr>
          <w:color w:val="auto"/>
        </w:rPr>
        <w:instrText xml:space="preserve"> HYPERLINK \l "_Toc29737" </w:instrText>
      </w:r>
      <w:r>
        <w:rPr>
          <w:color w:val="auto"/>
        </w:rPr>
        <w:fldChar w:fldCharType="separate"/>
      </w:r>
      <w:r>
        <w:rPr>
          <w:rFonts w:hint="eastAsia" w:ascii="宋体" w:hAnsi="宋体" w:cs="宋体"/>
          <w:bCs/>
          <w:color w:val="auto"/>
          <w:sz w:val="24"/>
          <w:szCs w:val="24"/>
        </w:rPr>
        <w:t>第七章  评标方法（综合评分法）</w:t>
      </w:r>
      <w:r>
        <w:rPr>
          <w:rFonts w:hint="eastAsia" w:ascii="宋体" w:hAnsi="宋体" w:cs="宋体"/>
          <w:bCs/>
          <w:color w:val="auto"/>
          <w:sz w:val="24"/>
          <w:szCs w:val="24"/>
        </w:rPr>
        <w:tab/>
      </w: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PAGEREF _Toc29737 \h </w:instrText>
      </w:r>
      <w:r>
        <w:rPr>
          <w:rFonts w:hint="eastAsia" w:ascii="宋体" w:hAnsi="宋体" w:cs="宋体"/>
          <w:bCs/>
          <w:color w:val="auto"/>
          <w:sz w:val="24"/>
          <w:szCs w:val="24"/>
        </w:rPr>
        <w:fldChar w:fldCharType="separate"/>
      </w:r>
      <w:r>
        <w:rPr>
          <w:rFonts w:hint="eastAsia" w:ascii="宋体" w:hAnsi="宋体" w:cs="宋体"/>
          <w:bCs/>
          <w:color w:val="auto"/>
          <w:sz w:val="24"/>
          <w:szCs w:val="24"/>
        </w:rPr>
        <w:t>130</w:t>
      </w:r>
      <w:r>
        <w:rPr>
          <w:rFonts w:hint="eastAsia" w:ascii="宋体" w:hAnsi="宋体" w:cs="宋体"/>
          <w:bCs/>
          <w:color w:val="auto"/>
          <w:sz w:val="24"/>
          <w:szCs w:val="24"/>
        </w:rPr>
        <w:fldChar w:fldCharType="end"/>
      </w:r>
      <w:r>
        <w:rPr>
          <w:rFonts w:hint="eastAsia" w:ascii="宋体" w:hAnsi="宋体" w:cs="宋体"/>
          <w:bCs/>
          <w:color w:val="auto"/>
          <w:sz w:val="24"/>
          <w:szCs w:val="24"/>
        </w:rPr>
        <w:fldChar w:fldCharType="end"/>
      </w:r>
    </w:p>
    <w:p w14:paraId="00D36ED3">
      <w:pPr>
        <w:pStyle w:val="175"/>
        <w:tabs>
          <w:tab w:val="right" w:leader="dot" w:pos="8640"/>
        </w:tabs>
        <w:spacing w:line="480" w:lineRule="auto"/>
        <w:ind w:left="420"/>
        <w:rPr>
          <w:rFonts w:ascii="宋体" w:hAnsi="宋体" w:cs="宋体"/>
          <w:bCs/>
          <w:color w:val="auto"/>
          <w:sz w:val="24"/>
          <w:szCs w:val="24"/>
        </w:rPr>
      </w:pPr>
      <w:r>
        <w:rPr>
          <w:color w:val="auto"/>
        </w:rPr>
        <w:fldChar w:fldCharType="begin"/>
      </w:r>
      <w:r>
        <w:rPr>
          <w:color w:val="auto"/>
        </w:rPr>
        <w:instrText xml:space="preserve"> HYPERLINK \l "_Toc3327" </w:instrText>
      </w:r>
      <w:r>
        <w:rPr>
          <w:color w:val="auto"/>
        </w:rPr>
        <w:fldChar w:fldCharType="separate"/>
      </w:r>
      <w:r>
        <w:rPr>
          <w:rFonts w:hint="eastAsia" w:ascii="宋体" w:hAnsi="宋体" w:cs="宋体"/>
          <w:bCs/>
          <w:color w:val="auto"/>
          <w:sz w:val="24"/>
          <w:szCs w:val="24"/>
        </w:rPr>
        <w:t>评标方法前附表</w:t>
      </w:r>
      <w:r>
        <w:rPr>
          <w:rFonts w:hint="eastAsia" w:ascii="宋体" w:hAnsi="宋体" w:cs="宋体"/>
          <w:bCs/>
          <w:color w:val="auto"/>
          <w:sz w:val="24"/>
          <w:szCs w:val="24"/>
        </w:rPr>
        <w:tab/>
      </w: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PAGEREF _Toc3327 \h </w:instrText>
      </w:r>
      <w:r>
        <w:rPr>
          <w:rFonts w:hint="eastAsia" w:ascii="宋体" w:hAnsi="宋体" w:cs="宋体"/>
          <w:bCs/>
          <w:color w:val="auto"/>
          <w:sz w:val="24"/>
          <w:szCs w:val="24"/>
        </w:rPr>
        <w:fldChar w:fldCharType="separate"/>
      </w:r>
      <w:r>
        <w:rPr>
          <w:rFonts w:hint="eastAsia" w:ascii="宋体" w:hAnsi="宋体" w:cs="宋体"/>
          <w:bCs/>
          <w:color w:val="auto"/>
          <w:sz w:val="24"/>
          <w:szCs w:val="24"/>
        </w:rPr>
        <w:t>130</w:t>
      </w:r>
      <w:r>
        <w:rPr>
          <w:rFonts w:hint="eastAsia" w:ascii="宋体" w:hAnsi="宋体" w:cs="宋体"/>
          <w:bCs/>
          <w:color w:val="auto"/>
          <w:sz w:val="24"/>
          <w:szCs w:val="24"/>
        </w:rPr>
        <w:fldChar w:fldCharType="end"/>
      </w:r>
      <w:r>
        <w:rPr>
          <w:rFonts w:hint="eastAsia" w:ascii="宋体" w:hAnsi="宋体" w:cs="宋体"/>
          <w:bCs/>
          <w:color w:val="auto"/>
          <w:sz w:val="24"/>
          <w:szCs w:val="24"/>
        </w:rPr>
        <w:fldChar w:fldCharType="end"/>
      </w:r>
    </w:p>
    <w:p w14:paraId="230D6C10">
      <w:pPr>
        <w:spacing w:line="360" w:lineRule="auto"/>
        <w:rPr>
          <w:rFonts w:ascii="宋体" w:hAnsi="宋体" w:cs="宋体"/>
          <w:color w:val="auto"/>
          <w:sz w:val="22"/>
          <w:szCs w:val="21"/>
        </w:rPr>
      </w:pPr>
      <w:r>
        <w:rPr>
          <w:rFonts w:hint="eastAsia" w:ascii="宋体" w:hAnsi="宋体" w:cs="宋体"/>
          <w:b/>
          <w:color w:val="auto"/>
          <w:sz w:val="28"/>
          <w:szCs w:val="28"/>
        </w:rPr>
        <w:fldChar w:fldCharType="end"/>
      </w:r>
      <w:r>
        <w:rPr>
          <w:rFonts w:hint="eastAsia" w:ascii="宋体" w:hAnsi="宋体" w:cs="宋体"/>
          <w:color w:val="auto"/>
          <w:szCs w:val="28"/>
        </w:rPr>
        <w:fldChar w:fldCharType="end"/>
      </w:r>
    </w:p>
    <w:bookmarkEnd w:id="3"/>
    <w:p w14:paraId="17C4F4F2">
      <w:pPr>
        <w:pStyle w:val="2"/>
        <w:rPr>
          <w:rFonts w:ascii="宋体" w:hAnsi="宋体" w:cs="宋体"/>
          <w:color w:val="auto"/>
          <w:szCs w:val="32"/>
        </w:rPr>
        <w:sectPr>
          <w:footerReference r:id="rId4" w:type="default"/>
          <w:pgSz w:w="12240" w:h="15840"/>
          <w:pgMar w:top="1440" w:right="1800" w:bottom="1440" w:left="1800" w:header="567" w:footer="567" w:gutter="0"/>
          <w:cols w:space="720" w:num="1"/>
        </w:sectPr>
      </w:pPr>
      <w:bookmarkStart w:id="4" w:name="_Toc480817641"/>
      <w:bookmarkStart w:id="5" w:name="_Toc26061"/>
      <w:bookmarkStart w:id="6" w:name="_Toc378239348"/>
      <w:bookmarkStart w:id="7" w:name="_Toc489145701"/>
      <w:bookmarkStart w:id="8" w:name="_Toc29379732"/>
      <w:bookmarkStart w:id="9" w:name="_Toc213908411"/>
    </w:p>
    <w:p w14:paraId="1B71F4EE">
      <w:pPr>
        <w:pStyle w:val="2"/>
        <w:spacing w:before="0" w:after="0" w:line="500" w:lineRule="exact"/>
        <w:rPr>
          <w:rFonts w:ascii="宋体" w:hAnsi="宋体" w:cs="宋体"/>
          <w:color w:val="auto"/>
          <w:szCs w:val="32"/>
        </w:rPr>
      </w:pPr>
      <w:bookmarkStart w:id="10" w:name="_Toc21234"/>
      <w:bookmarkStart w:id="11" w:name="_Toc10539"/>
      <w:r>
        <w:rPr>
          <w:rFonts w:hint="eastAsia" w:ascii="宋体" w:hAnsi="宋体" w:cs="宋体"/>
          <w:color w:val="auto"/>
          <w:szCs w:val="32"/>
        </w:rPr>
        <w:t>第一章</w:t>
      </w:r>
      <w:bookmarkStart w:id="12" w:name="_Toc28359001"/>
      <w:bookmarkStart w:id="13" w:name="_Toc35393789"/>
      <w:r>
        <w:rPr>
          <w:rFonts w:hint="eastAsia" w:ascii="宋体" w:hAnsi="宋体" w:cs="宋体"/>
          <w:color w:val="auto"/>
          <w:szCs w:val="32"/>
        </w:rPr>
        <w:t xml:space="preserve">  </w:t>
      </w:r>
      <w:bookmarkEnd w:id="10"/>
      <w:bookmarkEnd w:id="11"/>
      <w:bookmarkEnd w:id="12"/>
      <w:bookmarkEnd w:id="13"/>
      <w:r>
        <w:rPr>
          <w:rFonts w:hint="eastAsia" w:ascii="宋体" w:hAnsi="宋体" w:cs="宋体"/>
          <w:color w:val="auto"/>
          <w:szCs w:val="32"/>
        </w:rPr>
        <w:t>公开招标公告</w:t>
      </w:r>
    </w:p>
    <w:p w14:paraId="29693B2E">
      <w:pPr>
        <w:pBdr>
          <w:top w:val="single" w:color="auto" w:sz="4" w:space="1"/>
          <w:left w:val="single" w:color="auto" w:sz="4" w:space="4"/>
          <w:bottom w:val="single" w:color="auto" w:sz="4" w:space="1"/>
          <w:right w:val="single" w:color="auto" w:sz="4" w:space="4"/>
        </w:pBdr>
        <w:spacing w:line="500" w:lineRule="exact"/>
        <w:ind w:firstLine="420" w:firstLineChars="200"/>
        <w:jc w:val="center"/>
        <w:rPr>
          <w:rFonts w:ascii="宋体" w:hAnsi="宋体" w:cs="宋体"/>
          <w:color w:val="auto"/>
          <w:szCs w:val="21"/>
        </w:rPr>
      </w:pPr>
      <w:r>
        <w:rPr>
          <w:rFonts w:hint="eastAsia" w:ascii="宋体" w:hAnsi="宋体" w:cs="宋体"/>
          <w:color w:val="auto"/>
          <w:szCs w:val="21"/>
        </w:rPr>
        <w:t>项目概况</w:t>
      </w:r>
    </w:p>
    <w:p w14:paraId="55193E58">
      <w:pPr>
        <w:pBdr>
          <w:top w:val="single" w:color="auto" w:sz="4" w:space="1"/>
          <w:left w:val="single" w:color="auto" w:sz="4" w:space="4"/>
          <w:bottom w:val="single" w:color="auto" w:sz="4" w:space="1"/>
          <w:right w:val="single" w:color="auto" w:sz="4" w:space="4"/>
        </w:pBdr>
        <w:wordWrap w:val="0"/>
        <w:spacing w:line="500" w:lineRule="exact"/>
        <w:ind w:firstLine="420" w:firstLineChars="200"/>
        <w:rPr>
          <w:rFonts w:ascii="宋体" w:hAnsi="宋体" w:cs="宋体"/>
          <w:color w:val="auto"/>
          <w:szCs w:val="21"/>
        </w:rPr>
      </w:pPr>
      <w:r>
        <w:rPr>
          <w:rFonts w:hint="eastAsia" w:ascii="宋体" w:hAnsi="宋体" w:cs="宋体"/>
          <w:color w:val="auto"/>
          <w:szCs w:val="21"/>
        </w:rPr>
        <w:t>云南师范大学经济学院实验室建设采购项目的潜在投标人应在政采云平台（https://www.zcygov.cn/）获取招标文件，并于2025年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w:t>
      </w:r>
      <w:r>
        <w:rPr>
          <w:rFonts w:hint="eastAsia" w:ascii="宋体" w:hAnsi="宋体" w:cs="宋体"/>
          <w:color w:val="auto"/>
          <w:szCs w:val="21"/>
          <w:lang w:val="en-US" w:eastAsia="zh-CN"/>
        </w:rPr>
        <w:t>10</w:t>
      </w:r>
      <w:r>
        <w:rPr>
          <w:rFonts w:hint="eastAsia" w:ascii="宋体" w:hAnsi="宋体" w:cs="宋体"/>
          <w:color w:val="auto"/>
          <w:szCs w:val="21"/>
        </w:rPr>
        <w:t>点</w:t>
      </w:r>
      <w:r>
        <w:rPr>
          <w:rFonts w:hint="eastAsia" w:ascii="宋体" w:hAnsi="宋体" w:cs="宋体"/>
          <w:color w:val="auto"/>
          <w:szCs w:val="21"/>
          <w:lang w:val="en-US" w:eastAsia="zh-CN"/>
        </w:rPr>
        <w:t>00</w:t>
      </w:r>
      <w:r>
        <w:rPr>
          <w:rFonts w:hint="eastAsia" w:ascii="宋体" w:hAnsi="宋体" w:cs="宋体"/>
          <w:color w:val="auto"/>
          <w:szCs w:val="21"/>
        </w:rPr>
        <w:t>分（北京时间）前递交投标文件。</w:t>
      </w:r>
    </w:p>
    <w:p w14:paraId="5BAF5972">
      <w:pPr>
        <w:spacing w:line="500" w:lineRule="exact"/>
        <w:rPr>
          <w:rFonts w:ascii="宋体" w:hAnsi="宋体" w:cs="宋体"/>
          <w:b/>
          <w:color w:val="auto"/>
          <w:sz w:val="30"/>
          <w:szCs w:val="30"/>
        </w:rPr>
      </w:pPr>
      <w:bookmarkStart w:id="14" w:name="_Toc35393790"/>
      <w:bookmarkStart w:id="15" w:name="_Toc35393621"/>
      <w:bookmarkStart w:id="16" w:name="_Toc11883"/>
      <w:bookmarkStart w:id="17" w:name="_Toc28359002"/>
      <w:bookmarkStart w:id="18" w:name="_Toc4139"/>
      <w:bookmarkStart w:id="19" w:name="_Toc20963"/>
      <w:bookmarkStart w:id="20" w:name="_Toc28359079"/>
      <w:bookmarkStart w:id="21" w:name="_Toc1428"/>
      <w:bookmarkStart w:id="22" w:name="_Hlk24379207"/>
      <w:r>
        <w:rPr>
          <w:rFonts w:hint="eastAsia" w:ascii="宋体" w:hAnsi="宋体" w:cs="宋体"/>
          <w:b/>
          <w:color w:val="auto"/>
          <w:sz w:val="30"/>
          <w:szCs w:val="30"/>
        </w:rPr>
        <w:t>一、项目基本情况</w:t>
      </w:r>
      <w:bookmarkEnd w:id="14"/>
      <w:bookmarkEnd w:id="15"/>
      <w:bookmarkEnd w:id="16"/>
      <w:bookmarkEnd w:id="17"/>
      <w:bookmarkEnd w:id="18"/>
      <w:bookmarkEnd w:id="19"/>
      <w:bookmarkEnd w:id="20"/>
      <w:bookmarkEnd w:id="21"/>
    </w:p>
    <w:bookmarkEnd w:id="22"/>
    <w:p w14:paraId="4727CBB5">
      <w:pPr>
        <w:spacing w:line="500" w:lineRule="exact"/>
        <w:ind w:firstLine="420" w:firstLineChars="200"/>
        <w:rPr>
          <w:rFonts w:hint="eastAsia" w:ascii="宋体" w:hAnsi="宋体" w:eastAsia="宋体" w:cs="宋体"/>
          <w:color w:val="auto"/>
          <w:szCs w:val="21"/>
          <w:u w:val="single"/>
          <w:lang w:eastAsia="zh-CN"/>
        </w:rPr>
      </w:pPr>
      <w:bookmarkStart w:id="23" w:name="_Toc28359080"/>
      <w:bookmarkStart w:id="24" w:name="_Toc35393791"/>
      <w:bookmarkStart w:id="25" w:name="_Toc35393622"/>
      <w:bookmarkStart w:id="26" w:name="_Toc28359003"/>
      <w:r>
        <w:rPr>
          <w:rFonts w:hint="eastAsia" w:ascii="宋体" w:hAnsi="宋体" w:cs="宋体"/>
          <w:color w:val="auto"/>
          <w:szCs w:val="21"/>
        </w:rPr>
        <w:t>1.项目编号：</w:t>
      </w:r>
      <w:r>
        <w:rPr>
          <w:rFonts w:hint="eastAsia" w:ascii="宋体" w:hAnsi="宋体" w:cs="宋体"/>
          <w:color w:val="auto"/>
          <w:szCs w:val="21"/>
          <w:lang w:eastAsia="zh-CN"/>
        </w:rPr>
        <w:t>YNZC2025-G1-07525-YNGR-0415</w:t>
      </w:r>
    </w:p>
    <w:p w14:paraId="2CE3FC50">
      <w:pPr>
        <w:spacing w:line="500" w:lineRule="exact"/>
        <w:ind w:firstLine="420" w:firstLineChars="200"/>
        <w:rPr>
          <w:rFonts w:ascii="宋体" w:hAnsi="宋体" w:cs="宋体"/>
          <w:color w:val="auto"/>
          <w:szCs w:val="21"/>
        </w:rPr>
      </w:pPr>
      <w:r>
        <w:rPr>
          <w:rFonts w:hint="eastAsia" w:ascii="宋体" w:hAnsi="宋体" w:cs="宋体"/>
          <w:color w:val="auto"/>
          <w:szCs w:val="21"/>
        </w:rPr>
        <w:t>2.项目名称：云南师范大学经济学院实验室建设采购项目</w:t>
      </w:r>
    </w:p>
    <w:p w14:paraId="43BCDA02">
      <w:pPr>
        <w:spacing w:line="500" w:lineRule="exact"/>
        <w:ind w:firstLine="420" w:firstLineChars="200"/>
        <w:rPr>
          <w:rFonts w:ascii="宋体" w:hAnsi="宋体" w:cs="宋体"/>
          <w:color w:val="auto"/>
          <w:szCs w:val="21"/>
          <w:u w:val="single"/>
        </w:rPr>
      </w:pPr>
      <w:r>
        <w:rPr>
          <w:rFonts w:hint="eastAsia" w:ascii="宋体" w:hAnsi="宋体" w:cs="宋体"/>
          <w:color w:val="auto"/>
          <w:szCs w:val="21"/>
        </w:rPr>
        <w:t>3.预算金额：265.008万元；</w:t>
      </w:r>
    </w:p>
    <w:p w14:paraId="0A70D18C">
      <w:pPr>
        <w:spacing w:line="500" w:lineRule="exact"/>
        <w:ind w:firstLine="420" w:firstLineChars="200"/>
        <w:rPr>
          <w:rFonts w:ascii="宋体" w:hAnsi="宋体" w:cs="宋体"/>
          <w:color w:val="auto"/>
          <w:szCs w:val="21"/>
          <w:u w:val="single"/>
        </w:rPr>
      </w:pPr>
      <w:r>
        <w:rPr>
          <w:rFonts w:hint="eastAsia" w:ascii="宋体" w:hAnsi="宋体" w:cs="宋体"/>
          <w:color w:val="auto"/>
          <w:szCs w:val="21"/>
        </w:rPr>
        <w:t>4.最高限价：265.008万元；</w:t>
      </w:r>
    </w:p>
    <w:p w14:paraId="5F5FBAD6">
      <w:pPr>
        <w:spacing w:line="500" w:lineRule="exact"/>
        <w:ind w:firstLine="420" w:firstLineChars="200"/>
        <w:rPr>
          <w:rFonts w:ascii="宋体" w:hAnsi="宋体" w:cs="宋体"/>
          <w:color w:val="auto"/>
          <w:szCs w:val="21"/>
        </w:rPr>
      </w:pPr>
      <w:r>
        <w:rPr>
          <w:rFonts w:hint="eastAsia" w:ascii="宋体" w:hAnsi="宋体" w:cs="宋体"/>
          <w:color w:val="auto"/>
          <w:szCs w:val="21"/>
        </w:rPr>
        <w:t>5.采购需求：</w:t>
      </w:r>
    </w:p>
    <w:tbl>
      <w:tblPr>
        <w:tblStyle w:val="41"/>
        <w:tblW w:w="85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760"/>
        <w:gridCol w:w="1984"/>
        <w:gridCol w:w="650"/>
        <w:gridCol w:w="680"/>
        <w:gridCol w:w="1516"/>
        <w:gridCol w:w="2948"/>
      </w:tblGrid>
      <w:tr w14:paraId="0F049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63" w:hRule="atLeast"/>
          <w:jc w:val="center"/>
        </w:trPr>
        <w:tc>
          <w:tcPr>
            <w:tcW w:w="760" w:type="dxa"/>
            <w:tcBorders>
              <w:tl2br w:val="nil"/>
              <w:tr2bl w:val="nil"/>
            </w:tcBorders>
            <w:tcMar>
              <w:top w:w="0" w:type="dxa"/>
              <w:left w:w="108" w:type="dxa"/>
              <w:bottom w:w="0" w:type="dxa"/>
              <w:right w:w="108" w:type="dxa"/>
            </w:tcMar>
            <w:vAlign w:val="center"/>
          </w:tcPr>
          <w:p w14:paraId="5AA5A119">
            <w:pPr>
              <w:pStyle w:val="37"/>
              <w:spacing w:line="440" w:lineRule="atLeast"/>
              <w:jc w:val="center"/>
              <w:rPr>
                <w:rFonts w:cs="宋体"/>
                <w:b/>
                <w:color w:val="auto"/>
                <w:sz w:val="21"/>
                <w:szCs w:val="21"/>
              </w:rPr>
            </w:pPr>
            <w:r>
              <w:rPr>
                <w:rFonts w:hint="eastAsia" w:cs="宋体"/>
                <w:b/>
                <w:color w:val="auto"/>
                <w:sz w:val="21"/>
                <w:szCs w:val="21"/>
              </w:rPr>
              <w:t>序号</w:t>
            </w:r>
          </w:p>
        </w:tc>
        <w:tc>
          <w:tcPr>
            <w:tcW w:w="1984" w:type="dxa"/>
            <w:tcBorders>
              <w:tl2br w:val="nil"/>
              <w:tr2bl w:val="nil"/>
            </w:tcBorders>
            <w:tcMar>
              <w:top w:w="0" w:type="dxa"/>
              <w:left w:w="108" w:type="dxa"/>
              <w:bottom w:w="0" w:type="dxa"/>
              <w:right w:w="108" w:type="dxa"/>
            </w:tcMar>
            <w:vAlign w:val="center"/>
          </w:tcPr>
          <w:p w14:paraId="40FF2720">
            <w:pPr>
              <w:pStyle w:val="37"/>
              <w:spacing w:line="440" w:lineRule="atLeast"/>
              <w:jc w:val="center"/>
              <w:rPr>
                <w:rFonts w:cs="宋体"/>
                <w:b/>
                <w:color w:val="auto"/>
                <w:sz w:val="21"/>
                <w:szCs w:val="21"/>
              </w:rPr>
            </w:pPr>
            <w:r>
              <w:rPr>
                <w:rFonts w:hint="eastAsia" w:cs="宋体"/>
                <w:b/>
                <w:color w:val="auto"/>
                <w:sz w:val="21"/>
                <w:szCs w:val="21"/>
              </w:rPr>
              <w:t>项目（标的）名称</w:t>
            </w:r>
          </w:p>
        </w:tc>
        <w:tc>
          <w:tcPr>
            <w:tcW w:w="650" w:type="dxa"/>
            <w:tcBorders>
              <w:tl2br w:val="nil"/>
              <w:tr2bl w:val="nil"/>
            </w:tcBorders>
            <w:tcMar>
              <w:top w:w="0" w:type="dxa"/>
              <w:left w:w="108" w:type="dxa"/>
              <w:bottom w:w="0" w:type="dxa"/>
              <w:right w:w="108" w:type="dxa"/>
            </w:tcMar>
            <w:vAlign w:val="center"/>
          </w:tcPr>
          <w:p w14:paraId="17E55E76">
            <w:pPr>
              <w:pStyle w:val="37"/>
              <w:spacing w:line="440" w:lineRule="atLeast"/>
              <w:jc w:val="center"/>
              <w:rPr>
                <w:rFonts w:cs="宋体"/>
                <w:color w:val="auto"/>
                <w:sz w:val="21"/>
                <w:szCs w:val="21"/>
              </w:rPr>
            </w:pPr>
            <w:r>
              <w:rPr>
                <w:rStyle w:val="44"/>
                <w:rFonts w:hint="eastAsia" w:cs="宋体"/>
                <w:color w:val="auto"/>
                <w:sz w:val="21"/>
                <w:szCs w:val="21"/>
              </w:rPr>
              <w:t>数量</w:t>
            </w:r>
          </w:p>
        </w:tc>
        <w:tc>
          <w:tcPr>
            <w:tcW w:w="680" w:type="dxa"/>
            <w:tcBorders>
              <w:tl2br w:val="nil"/>
              <w:tr2bl w:val="nil"/>
            </w:tcBorders>
            <w:tcMar>
              <w:top w:w="0" w:type="dxa"/>
              <w:left w:w="108" w:type="dxa"/>
              <w:bottom w:w="0" w:type="dxa"/>
              <w:right w:w="108" w:type="dxa"/>
            </w:tcMar>
            <w:vAlign w:val="center"/>
          </w:tcPr>
          <w:p w14:paraId="2E51A515">
            <w:pPr>
              <w:pStyle w:val="37"/>
              <w:spacing w:line="440" w:lineRule="atLeast"/>
              <w:jc w:val="center"/>
              <w:rPr>
                <w:rFonts w:cs="宋体"/>
                <w:color w:val="auto"/>
                <w:sz w:val="21"/>
                <w:szCs w:val="21"/>
              </w:rPr>
            </w:pPr>
            <w:r>
              <w:rPr>
                <w:rStyle w:val="44"/>
                <w:rFonts w:hint="eastAsia" w:cs="宋体"/>
                <w:color w:val="auto"/>
                <w:sz w:val="21"/>
                <w:szCs w:val="21"/>
              </w:rPr>
              <w:t>计量单位</w:t>
            </w:r>
          </w:p>
        </w:tc>
        <w:tc>
          <w:tcPr>
            <w:tcW w:w="1516" w:type="dxa"/>
            <w:tcBorders>
              <w:tl2br w:val="nil"/>
              <w:tr2bl w:val="nil"/>
            </w:tcBorders>
            <w:tcMar>
              <w:top w:w="0" w:type="dxa"/>
              <w:left w:w="108" w:type="dxa"/>
              <w:bottom w:w="0" w:type="dxa"/>
              <w:right w:w="108" w:type="dxa"/>
            </w:tcMar>
            <w:vAlign w:val="center"/>
          </w:tcPr>
          <w:p w14:paraId="6C3AAD00">
            <w:pPr>
              <w:pStyle w:val="37"/>
              <w:spacing w:line="440" w:lineRule="atLeast"/>
              <w:jc w:val="center"/>
              <w:rPr>
                <w:rStyle w:val="44"/>
                <w:rFonts w:cs="宋体"/>
                <w:color w:val="auto"/>
                <w:sz w:val="21"/>
                <w:szCs w:val="21"/>
              </w:rPr>
            </w:pPr>
            <w:r>
              <w:rPr>
                <w:rStyle w:val="44"/>
                <w:rFonts w:hint="eastAsia" w:cs="宋体"/>
                <w:color w:val="auto"/>
                <w:sz w:val="21"/>
                <w:szCs w:val="21"/>
              </w:rPr>
              <w:t>预算单价（元）</w:t>
            </w:r>
          </w:p>
        </w:tc>
        <w:tc>
          <w:tcPr>
            <w:tcW w:w="2948" w:type="dxa"/>
            <w:tcBorders>
              <w:tl2br w:val="nil"/>
              <w:tr2bl w:val="nil"/>
            </w:tcBorders>
            <w:tcMar>
              <w:top w:w="0" w:type="dxa"/>
              <w:left w:w="108" w:type="dxa"/>
              <w:bottom w:w="0" w:type="dxa"/>
              <w:right w:w="108" w:type="dxa"/>
            </w:tcMar>
            <w:vAlign w:val="center"/>
          </w:tcPr>
          <w:p w14:paraId="6A39200D">
            <w:pPr>
              <w:pStyle w:val="37"/>
              <w:spacing w:line="440" w:lineRule="atLeast"/>
              <w:jc w:val="center"/>
              <w:rPr>
                <w:rStyle w:val="44"/>
                <w:rFonts w:cs="宋体"/>
                <w:color w:val="auto"/>
                <w:sz w:val="21"/>
                <w:szCs w:val="21"/>
              </w:rPr>
            </w:pPr>
            <w:r>
              <w:rPr>
                <w:rStyle w:val="44"/>
                <w:rFonts w:hint="eastAsia" w:cs="宋体"/>
                <w:color w:val="auto"/>
                <w:sz w:val="21"/>
                <w:szCs w:val="21"/>
              </w:rPr>
              <w:t>简要技术需求或服务要求</w:t>
            </w:r>
          </w:p>
        </w:tc>
      </w:tr>
      <w:tr w14:paraId="45E553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55EC3F32">
            <w:pPr>
              <w:widowControl/>
              <w:jc w:val="center"/>
              <w:textAlignment w:val="center"/>
              <w:rPr>
                <w:rFonts w:ascii="宋体" w:hAnsi="宋体" w:cs="宋体"/>
                <w:color w:val="auto"/>
                <w:kern w:val="0"/>
                <w:szCs w:val="21"/>
              </w:rPr>
            </w:pPr>
            <w:r>
              <w:rPr>
                <w:rFonts w:hint="eastAsia" w:ascii="宋体" w:hAnsi="宋体" w:cs="宋体"/>
                <w:color w:val="auto"/>
                <w:kern w:val="0"/>
                <w:szCs w:val="21"/>
              </w:rPr>
              <w:t>1</w:t>
            </w:r>
          </w:p>
        </w:tc>
        <w:tc>
          <w:tcPr>
            <w:tcW w:w="1984" w:type="dxa"/>
            <w:tcBorders>
              <w:tl2br w:val="nil"/>
              <w:tr2bl w:val="nil"/>
            </w:tcBorders>
            <w:tcMar>
              <w:top w:w="0" w:type="dxa"/>
              <w:left w:w="108" w:type="dxa"/>
              <w:bottom w:w="0" w:type="dxa"/>
              <w:right w:w="108" w:type="dxa"/>
            </w:tcMar>
            <w:vAlign w:val="center"/>
          </w:tcPr>
          <w:p w14:paraId="7DB02AAB">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孪生教研教学空间系统</w:t>
            </w:r>
          </w:p>
        </w:tc>
        <w:tc>
          <w:tcPr>
            <w:tcW w:w="650" w:type="dxa"/>
            <w:tcBorders>
              <w:tl2br w:val="nil"/>
              <w:tr2bl w:val="nil"/>
            </w:tcBorders>
            <w:tcMar>
              <w:top w:w="0" w:type="dxa"/>
              <w:left w:w="108" w:type="dxa"/>
              <w:bottom w:w="0" w:type="dxa"/>
              <w:right w:w="108" w:type="dxa"/>
            </w:tcMar>
            <w:vAlign w:val="center"/>
          </w:tcPr>
          <w:p w14:paraId="68615D2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80" w:type="dxa"/>
            <w:tcBorders>
              <w:tl2br w:val="nil"/>
              <w:tr2bl w:val="nil"/>
            </w:tcBorders>
            <w:tcMar>
              <w:top w:w="0" w:type="dxa"/>
              <w:left w:w="108" w:type="dxa"/>
              <w:bottom w:w="0" w:type="dxa"/>
              <w:right w:w="108" w:type="dxa"/>
            </w:tcMar>
            <w:vAlign w:val="center"/>
          </w:tcPr>
          <w:p w14:paraId="33B1F641">
            <w:pPr>
              <w:widowControl/>
              <w:jc w:val="center"/>
              <w:textAlignment w:val="center"/>
              <w:rPr>
                <w:rFonts w:ascii="宋体" w:hAnsi="宋体" w:cs="宋体"/>
                <w:color w:val="auto"/>
                <w:kern w:val="0"/>
                <w:szCs w:val="21"/>
              </w:rPr>
            </w:pPr>
            <w:r>
              <w:rPr>
                <w:rFonts w:hint="eastAsia" w:ascii="宋体" w:hAnsi="宋体" w:cs="宋体"/>
                <w:color w:val="auto"/>
                <w:szCs w:val="21"/>
              </w:rPr>
              <w:t>套</w:t>
            </w:r>
          </w:p>
        </w:tc>
        <w:tc>
          <w:tcPr>
            <w:tcW w:w="1516" w:type="dxa"/>
            <w:tcBorders>
              <w:tl2br w:val="nil"/>
              <w:tr2bl w:val="nil"/>
            </w:tcBorders>
            <w:tcMar>
              <w:top w:w="0" w:type="dxa"/>
              <w:left w:w="108" w:type="dxa"/>
              <w:bottom w:w="0" w:type="dxa"/>
              <w:right w:w="108" w:type="dxa"/>
            </w:tcMar>
            <w:vAlign w:val="center"/>
          </w:tcPr>
          <w:p w14:paraId="518943A4">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98000.00</w:t>
            </w:r>
          </w:p>
        </w:tc>
        <w:tc>
          <w:tcPr>
            <w:tcW w:w="2948" w:type="dxa"/>
            <w:vMerge w:val="restart"/>
            <w:tcBorders>
              <w:tl2br w:val="nil"/>
              <w:tr2bl w:val="nil"/>
            </w:tcBorders>
            <w:tcMar>
              <w:top w:w="0" w:type="dxa"/>
              <w:left w:w="108" w:type="dxa"/>
              <w:bottom w:w="0" w:type="dxa"/>
              <w:right w:w="108" w:type="dxa"/>
            </w:tcMar>
            <w:vAlign w:val="center"/>
          </w:tcPr>
          <w:p w14:paraId="186F474F">
            <w:pPr>
              <w:pStyle w:val="37"/>
              <w:wordWrap w:val="0"/>
              <w:spacing w:before="0" w:beforeAutospacing="0" w:after="0" w:afterAutospacing="0"/>
              <w:textAlignment w:val="center"/>
              <w:rPr>
                <w:rFonts w:cs="宋体"/>
                <w:color w:val="auto"/>
                <w:sz w:val="21"/>
                <w:szCs w:val="21"/>
              </w:rPr>
            </w:pPr>
            <w:r>
              <w:rPr>
                <w:rFonts w:hint="eastAsia" w:cs="宋体"/>
                <w:color w:val="auto"/>
                <w:sz w:val="21"/>
                <w:szCs w:val="21"/>
              </w:rPr>
              <w:t>(1)金融科技实验室</w:t>
            </w:r>
          </w:p>
          <w:p w14:paraId="5543A83E">
            <w:pPr>
              <w:pStyle w:val="37"/>
              <w:wordWrap w:val="0"/>
              <w:spacing w:before="0" w:beforeAutospacing="0" w:after="0" w:afterAutospacing="0"/>
              <w:textAlignment w:val="center"/>
              <w:rPr>
                <w:rFonts w:cs="宋体"/>
                <w:color w:val="auto"/>
                <w:sz w:val="21"/>
                <w:szCs w:val="21"/>
              </w:rPr>
            </w:pPr>
            <w:r>
              <w:rPr>
                <w:rFonts w:hint="eastAsia" w:cs="宋体"/>
                <w:color w:val="auto"/>
                <w:sz w:val="21"/>
                <w:szCs w:val="21"/>
              </w:rPr>
              <w:t>为金融科技、量化交易、证券投资、期货期权交易等实验教学及配套系统建设高质量的云桌面算力及存储资源池，建设多媒体教学、实验管理、实验室开放、安防门禁等智能化软硬件设备，构建支持动态配置、虚拟仿真、多场景、全时空开放的实验教学、实验室管理软硬件基础设施。可面向金融学本科生和研究生、金融专业硕士开设《金融工程》《数字金融》《金融科技》《量化投资》《证券投资模拟》《金融大数据分析与挖掘》等实验课程和相关实验项目，支持学科竞赛，孵化省级、国家级高水平课程。</w:t>
            </w:r>
          </w:p>
          <w:p w14:paraId="3259E760">
            <w:pPr>
              <w:pStyle w:val="37"/>
              <w:wordWrap w:val="0"/>
              <w:spacing w:before="0" w:beforeAutospacing="0" w:after="0" w:afterAutospacing="0"/>
              <w:textAlignment w:val="center"/>
              <w:rPr>
                <w:rFonts w:cs="宋体"/>
                <w:color w:val="auto"/>
                <w:sz w:val="21"/>
                <w:szCs w:val="21"/>
              </w:rPr>
            </w:pPr>
            <w:r>
              <w:rPr>
                <w:rFonts w:hint="eastAsia" w:cs="宋体"/>
                <w:color w:val="auto"/>
                <w:sz w:val="21"/>
                <w:szCs w:val="21"/>
              </w:rPr>
              <w:t>(2)数字经济实验室</w:t>
            </w:r>
          </w:p>
          <w:p w14:paraId="28002B2B">
            <w:pPr>
              <w:pStyle w:val="37"/>
              <w:wordWrap w:val="0"/>
              <w:spacing w:before="0" w:beforeAutospacing="0" w:after="0" w:afterAutospacing="0"/>
              <w:textAlignment w:val="center"/>
              <w:rPr>
                <w:rFonts w:cs="宋体"/>
                <w:color w:val="auto"/>
                <w:sz w:val="21"/>
                <w:szCs w:val="21"/>
              </w:rPr>
            </w:pPr>
            <w:r>
              <w:rPr>
                <w:rFonts w:hint="eastAsia" w:cs="宋体"/>
                <w:color w:val="auto"/>
                <w:sz w:val="21"/>
                <w:szCs w:val="21"/>
              </w:rPr>
              <w:t>为开设数字经济、经济大数据采集、经济大数据分析、Python程序设计、数据挖掘、区块链应用等专业实验项目和实验课程，以及开展跨专业实验项目、学科交叉科研训练和多学科融合科研创新建设云桌面算力及存储资源池，建设多媒体教学、实验管理、实验室开放、安防门禁等智能化软硬件设备，构建支持动态配置、虚拟仿真、多场景、全时空开放的实验教学、实验室管理软硬件基础设施。可面向经济学、数字经济、金融学等本科生和区域经济学、产业经济学研究生开设《经济大数据分析》《数据挖掘》《数据治理》《数据资产》《大数据分析与应用》等实验课程和相关实验项目，支持学科竞赛，孵化省级、国家级高水平课程。</w:t>
            </w:r>
          </w:p>
          <w:p w14:paraId="7C525710">
            <w:pPr>
              <w:pStyle w:val="37"/>
              <w:wordWrap w:val="0"/>
              <w:spacing w:before="0" w:beforeAutospacing="0" w:after="0" w:afterAutospacing="0"/>
              <w:textAlignment w:val="center"/>
              <w:rPr>
                <w:rFonts w:cs="宋体"/>
                <w:color w:val="auto"/>
                <w:sz w:val="21"/>
                <w:szCs w:val="21"/>
              </w:rPr>
            </w:pPr>
            <w:r>
              <w:rPr>
                <w:rFonts w:hint="eastAsia" w:cs="宋体"/>
                <w:color w:val="auto"/>
                <w:sz w:val="21"/>
                <w:szCs w:val="21"/>
              </w:rPr>
              <w:t>(3)科研创新实训室</w:t>
            </w:r>
          </w:p>
          <w:p w14:paraId="255F8285">
            <w:pPr>
              <w:pStyle w:val="37"/>
              <w:wordWrap w:val="0"/>
              <w:spacing w:before="0" w:beforeAutospacing="0" w:after="0" w:afterAutospacing="0"/>
              <w:textAlignment w:val="center"/>
              <w:rPr>
                <w:rFonts w:cs="宋体"/>
                <w:color w:val="auto"/>
                <w:sz w:val="21"/>
                <w:szCs w:val="21"/>
              </w:rPr>
            </w:pPr>
            <w:r>
              <w:rPr>
                <w:rFonts w:hint="eastAsia" w:cs="宋体"/>
                <w:color w:val="auto"/>
                <w:sz w:val="21"/>
                <w:szCs w:val="21"/>
              </w:rPr>
              <w:t>为保障师生积极开展科研创新，支持自有知识产权的科研数据库建设、大数据分析任务、数据挖掘任务、AI+科研和持续性有组织科研等，建设可动态分配和远程访问的算力及存储资源池及配套的模块化后台管理系统，建设多媒体交互、实训室开放、安防门禁等智能化软硬件设备，可面向全院师生动态开放全时空可访问的个性化、数智化的科研创新软硬件环境，提升科研工作效率。</w:t>
            </w:r>
          </w:p>
          <w:p w14:paraId="79F798F9">
            <w:pPr>
              <w:pStyle w:val="37"/>
              <w:wordWrap w:val="0"/>
              <w:spacing w:before="0" w:beforeAutospacing="0" w:after="0" w:afterAutospacing="0"/>
              <w:textAlignment w:val="center"/>
              <w:rPr>
                <w:rFonts w:cs="宋体"/>
                <w:color w:val="auto"/>
                <w:sz w:val="21"/>
                <w:szCs w:val="21"/>
              </w:rPr>
            </w:pPr>
            <w:r>
              <w:rPr>
                <w:rFonts w:hint="eastAsia" w:cs="宋体"/>
                <w:color w:val="auto"/>
                <w:sz w:val="21"/>
                <w:szCs w:val="21"/>
              </w:rPr>
              <w:t>(4)精品录播教室</w:t>
            </w:r>
          </w:p>
          <w:p w14:paraId="25059F2B">
            <w:pPr>
              <w:pStyle w:val="37"/>
              <w:wordWrap w:val="0"/>
              <w:spacing w:before="0" w:beforeAutospacing="0" w:after="0" w:afterAutospacing="0"/>
              <w:textAlignment w:val="center"/>
              <w:rPr>
                <w:rFonts w:cs="宋体"/>
                <w:color w:val="auto"/>
                <w:sz w:val="21"/>
                <w:szCs w:val="21"/>
              </w:rPr>
            </w:pPr>
            <w:r>
              <w:rPr>
                <w:rFonts w:hint="eastAsia" w:cs="宋体"/>
                <w:color w:val="auto"/>
                <w:sz w:val="21"/>
                <w:szCs w:val="21"/>
              </w:rPr>
              <w:t>建设一套支持高质量音视频录制、多机位、多通道的智能化课程录制系统及声学降噪、多媒体交互、开放管理、安防门禁等配套设施，实现课程录制一键开启、统一管理、集中控制、智能跟踪，提升录课效率和智能化程度，支持高水平课程建设。</w:t>
            </w:r>
          </w:p>
          <w:p w14:paraId="7D71E1E1">
            <w:pPr>
              <w:pStyle w:val="37"/>
              <w:wordWrap w:val="0"/>
              <w:spacing w:before="0" w:beforeAutospacing="0" w:after="0" w:afterAutospacing="0"/>
              <w:textAlignment w:val="center"/>
              <w:rPr>
                <w:rFonts w:cs="宋体"/>
                <w:color w:val="auto"/>
                <w:sz w:val="21"/>
                <w:szCs w:val="21"/>
              </w:rPr>
            </w:pPr>
            <w:r>
              <w:rPr>
                <w:rFonts w:hint="eastAsia" w:cs="宋体"/>
                <w:color w:val="auto"/>
                <w:sz w:val="21"/>
                <w:szCs w:val="21"/>
              </w:rPr>
              <w:t>(5)中心机房</w:t>
            </w:r>
          </w:p>
          <w:p w14:paraId="6589BA36">
            <w:pPr>
              <w:pStyle w:val="37"/>
              <w:wordWrap w:val="0"/>
              <w:spacing w:before="0" w:beforeAutospacing="0" w:after="0" w:afterAutospacing="0"/>
              <w:textAlignment w:val="center"/>
              <w:rPr>
                <w:rFonts w:cs="宋体"/>
                <w:color w:val="auto"/>
                <w:sz w:val="21"/>
                <w:szCs w:val="21"/>
              </w:rPr>
            </w:pPr>
            <w:r>
              <w:rPr>
                <w:rFonts w:hint="eastAsia" w:cs="宋体"/>
                <w:color w:val="auto"/>
                <w:sz w:val="21"/>
                <w:szCs w:val="21"/>
              </w:rPr>
              <w:t>更新现有中心机房设施设备，对利旧设备升级关键部件以提升容量和性能，配置环境监控系统、消防报警系统、气体灭火装置、监控和门禁系统，建设动态资源配置、智能化安防、远程化管理的数智化基础设施。具体要求等详见本招标文件第五章 采购需求。</w:t>
            </w:r>
          </w:p>
        </w:tc>
      </w:tr>
      <w:tr w14:paraId="55DDED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197FD5A9">
            <w:pPr>
              <w:widowControl/>
              <w:jc w:val="center"/>
              <w:textAlignment w:val="center"/>
              <w:rPr>
                <w:rFonts w:ascii="宋体" w:hAnsi="宋体" w:cs="宋体"/>
                <w:color w:val="auto"/>
                <w:kern w:val="0"/>
                <w:szCs w:val="21"/>
              </w:rPr>
            </w:pPr>
            <w:r>
              <w:rPr>
                <w:rFonts w:hint="eastAsia" w:ascii="宋体" w:hAnsi="宋体" w:cs="宋体"/>
                <w:color w:val="auto"/>
                <w:kern w:val="0"/>
                <w:szCs w:val="21"/>
              </w:rPr>
              <w:t>2</w:t>
            </w:r>
          </w:p>
        </w:tc>
        <w:tc>
          <w:tcPr>
            <w:tcW w:w="1984" w:type="dxa"/>
            <w:tcBorders>
              <w:tl2br w:val="nil"/>
              <w:tr2bl w:val="nil"/>
            </w:tcBorders>
            <w:tcMar>
              <w:top w:w="0" w:type="dxa"/>
              <w:left w:w="108" w:type="dxa"/>
              <w:bottom w:w="0" w:type="dxa"/>
              <w:right w:w="108" w:type="dxa"/>
            </w:tcMar>
            <w:vAlign w:val="center"/>
          </w:tcPr>
          <w:p w14:paraId="354B11C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孪生教研接入系统</w:t>
            </w:r>
          </w:p>
        </w:tc>
        <w:tc>
          <w:tcPr>
            <w:tcW w:w="650" w:type="dxa"/>
            <w:tcBorders>
              <w:tl2br w:val="nil"/>
              <w:tr2bl w:val="nil"/>
            </w:tcBorders>
            <w:tcMar>
              <w:top w:w="0" w:type="dxa"/>
              <w:left w:w="108" w:type="dxa"/>
              <w:bottom w:w="0" w:type="dxa"/>
              <w:right w:w="108" w:type="dxa"/>
            </w:tcMar>
            <w:vAlign w:val="center"/>
          </w:tcPr>
          <w:p w14:paraId="7286EAD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40</w:t>
            </w:r>
          </w:p>
        </w:tc>
        <w:tc>
          <w:tcPr>
            <w:tcW w:w="680" w:type="dxa"/>
            <w:tcBorders>
              <w:tl2br w:val="nil"/>
              <w:tr2bl w:val="nil"/>
            </w:tcBorders>
            <w:tcMar>
              <w:top w:w="0" w:type="dxa"/>
              <w:left w:w="108" w:type="dxa"/>
              <w:bottom w:w="0" w:type="dxa"/>
              <w:right w:w="108" w:type="dxa"/>
            </w:tcMar>
            <w:vAlign w:val="center"/>
          </w:tcPr>
          <w:p w14:paraId="2A46C7B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点</w:t>
            </w:r>
          </w:p>
        </w:tc>
        <w:tc>
          <w:tcPr>
            <w:tcW w:w="1516" w:type="dxa"/>
            <w:tcBorders>
              <w:tl2br w:val="nil"/>
              <w:tr2bl w:val="nil"/>
            </w:tcBorders>
            <w:tcMar>
              <w:top w:w="0" w:type="dxa"/>
              <w:left w:w="108" w:type="dxa"/>
              <w:bottom w:w="0" w:type="dxa"/>
              <w:right w:w="108" w:type="dxa"/>
            </w:tcMar>
            <w:vAlign w:val="center"/>
          </w:tcPr>
          <w:p w14:paraId="21CB704C">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1850.00</w:t>
            </w:r>
          </w:p>
        </w:tc>
        <w:tc>
          <w:tcPr>
            <w:tcW w:w="2948" w:type="dxa"/>
            <w:vMerge w:val="continue"/>
            <w:tcBorders>
              <w:tl2br w:val="nil"/>
              <w:tr2bl w:val="nil"/>
            </w:tcBorders>
            <w:tcMar>
              <w:top w:w="0" w:type="dxa"/>
              <w:left w:w="108" w:type="dxa"/>
              <w:bottom w:w="0" w:type="dxa"/>
              <w:right w:w="108" w:type="dxa"/>
            </w:tcMar>
            <w:vAlign w:val="center"/>
          </w:tcPr>
          <w:p w14:paraId="1600A2C8">
            <w:pPr>
              <w:pStyle w:val="37"/>
              <w:wordWrap w:val="0"/>
              <w:spacing w:before="0" w:beforeAutospacing="0" w:after="0" w:afterAutospacing="0"/>
              <w:textAlignment w:val="center"/>
              <w:rPr>
                <w:rFonts w:cs="宋体"/>
                <w:color w:val="auto"/>
                <w:sz w:val="21"/>
                <w:szCs w:val="21"/>
              </w:rPr>
            </w:pPr>
          </w:p>
        </w:tc>
      </w:tr>
      <w:tr w14:paraId="5248D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72FC3233">
            <w:pPr>
              <w:widowControl/>
              <w:jc w:val="center"/>
              <w:textAlignment w:val="center"/>
              <w:rPr>
                <w:rFonts w:ascii="宋体" w:hAnsi="宋体" w:cs="宋体"/>
                <w:color w:val="auto"/>
                <w:kern w:val="0"/>
                <w:szCs w:val="21"/>
              </w:rPr>
            </w:pPr>
            <w:r>
              <w:rPr>
                <w:rFonts w:hint="eastAsia" w:ascii="宋体" w:hAnsi="宋体" w:cs="宋体"/>
                <w:color w:val="auto"/>
                <w:kern w:val="0"/>
                <w:szCs w:val="21"/>
              </w:rPr>
              <w:t>3</w:t>
            </w:r>
          </w:p>
        </w:tc>
        <w:tc>
          <w:tcPr>
            <w:tcW w:w="1984" w:type="dxa"/>
            <w:tcBorders>
              <w:tl2br w:val="nil"/>
              <w:tr2bl w:val="nil"/>
            </w:tcBorders>
            <w:tcMar>
              <w:top w:w="0" w:type="dxa"/>
              <w:left w:w="108" w:type="dxa"/>
              <w:bottom w:w="0" w:type="dxa"/>
              <w:right w:w="108" w:type="dxa"/>
            </w:tcMar>
            <w:vAlign w:val="center"/>
          </w:tcPr>
          <w:p w14:paraId="1111F59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教研实训交互系统</w:t>
            </w:r>
          </w:p>
        </w:tc>
        <w:tc>
          <w:tcPr>
            <w:tcW w:w="650" w:type="dxa"/>
            <w:tcBorders>
              <w:tl2br w:val="nil"/>
              <w:tr2bl w:val="nil"/>
            </w:tcBorders>
            <w:tcMar>
              <w:top w:w="0" w:type="dxa"/>
              <w:left w:w="108" w:type="dxa"/>
              <w:bottom w:w="0" w:type="dxa"/>
              <w:right w:w="108" w:type="dxa"/>
            </w:tcMar>
            <w:vAlign w:val="center"/>
          </w:tcPr>
          <w:p w14:paraId="6E5294B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40</w:t>
            </w:r>
          </w:p>
        </w:tc>
        <w:tc>
          <w:tcPr>
            <w:tcW w:w="680" w:type="dxa"/>
            <w:tcBorders>
              <w:tl2br w:val="nil"/>
              <w:tr2bl w:val="nil"/>
            </w:tcBorders>
            <w:tcMar>
              <w:top w:w="0" w:type="dxa"/>
              <w:left w:w="108" w:type="dxa"/>
              <w:bottom w:w="0" w:type="dxa"/>
              <w:right w:w="108" w:type="dxa"/>
            </w:tcMar>
            <w:vAlign w:val="center"/>
          </w:tcPr>
          <w:p w14:paraId="2A245A7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29544293">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2690.00</w:t>
            </w:r>
          </w:p>
        </w:tc>
        <w:tc>
          <w:tcPr>
            <w:tcW w:w="2948" w:type="dxa"/>
            <w:vMerge w:val="continue"/>
            <w:tcBorders>
              <w:tl2br w:val="nil"/>
              <w:tr2bl w:val="nil"/>
            </w:tcBorders>
            <w:tcMar>
              <w:top w:w="0" w:type="dxa"/>
              <w:left w:w="108" w:type="dxa"/>
              <w:bottom w:w="0" w:type="dxa"/>
              <w:right w:w="108" w:type="dxa"/>
            </w:tcMar>
            <w:vAlign w:val="center"/>
          </w:tcPr>
          <w:p w14:paraId="34FDC4E6">
            <w:pPr>
              <w:pStyle w:val="37"/>
              <w:wordWrap w:val="0"/>
              <w:spacing w:before="0" w:beforeAutospacing="0" w:after="0" w:afterAutospacing="0"/>
              <w:textAlignment w:val="center"/>
              <w:rPr>
                <w:rFonts w:cs="宋体"/>
                <w:color w:val="auto"/>
                <w:sz w:val="21"/>
                <w:szCs w:val="21"/>
              </w:rPr>
            </w:pPr>
          </w:p>
        </w:tc>
      </w:tr>
      <w:tr w14:paraId="350DF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56B7FFD2">
            <w:pPr>
              <w:widowControl/>
              <w:jc w:val="center"/>
              <w:textAlignment w:val="center"/>
              <w:rPr>
                <w:rFonts w:ascii="宋体" w:hAnsi="宋体" w:cs="宋体"/>
                <w:color w:val="auto"/>
                <w:kern w:val="0"/>
                <w:szCs w:val="21"/>
              </w:rPr>
            </w:pPr>
            <w:r>
              <w:rPr>
                <w:rFonts w:hint="eastAsia" w:ascii="宋体" w:hAnsi="宋体" w:cs="宋体"/>
                <w:color w:val="auto"/>
                <w:kern w:val="0"/>
                <w:szCs w:val="21"/>
              </w:rPr>
              <w:t>4</w:t>
            </w:r>
          </w:p>
        </w:tc>
        <w:tc>
          <w:tcPr>
            <w:tcW w:w="1984" w:type="dxa"/>
            <w:tcBorders>
              <w:tl2br w:val="nil"/>
              <w:tr2bl w:val="nil"/>
            </w:tcBorders>
            <w:tcMar>
              <w:top w:w="0" w:type="dxa"/>
              <w:left w:w="108" w:type="dxa"/>
              <w:bottom w:w="0" w:type="dxa"/>
              <w:right w:w="108" w:type="dxa"/>
            </w:tcMar>
            <w:vAlign w:val="center"/>
          </w:tcPr>
          <w:p w14:paraId="48233CDB">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教研智算分析系统模块</w:t>
            </w:r>
          </w:p>
        </w:tc>
        <w:tc>
          <w:tcPr>
            <w:tcW w:w="650" w:type="dxa"/>
            <w:tcBorders>
              <w:tl2br w:val="nil"/>
              <w:tr2bl w:val="nil"/>
            </w:tcBorders>
            <w:tcMar>
              <w:top w:w="0" w:type="dxa"/>
              <w:left w:w="108" w:type="dxa"/>
              <w:bottom w:w="0" w:type="dxa"/>
              <w:right w:w="108" w:type="dxa"/>
            </w:tcMar>
            <w:vAlign w:val="center"/>
          </w:tcPr>
          <w:p w14:paraId="337C9C3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w:t>
            </w:r>
          </w:p>
        </w:tc>
        <w:tc>
          <w:tcPr>
            <w:tcW w:w="680" w:type="dxa"/>
            <w:tcBorders>
              <w:tl2br w:val="nil"/>
              <w:tr2bl w:val="nil"/>
            </w:tcBorders>
            <w:tcMar>
              <w:top w:w="0" w:type="dxa"/>
              <w:left w:w="108" w:type="dxa"/>
              <w:bottom w:w="0" w:type="dxa"/>
              <w:right w:w="108" w:type="dxa"/>
            </w:tcMar>
            <w:vAlign w:val="center"/>
          </w:tcPr>
          <w:p w14:paraId="2B09B6E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40921FC1">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138000.00</w:t>
            </w:r>
          </w:p>
        </w:tc>
        <w:tc>
          <w:tcPr>
            <w:tcW w:w="2948" w:type="dxa"/>
            <w:vMerge w:val="continue"/>
            <w:tcBorders>
              <w:tl2br w:val="nil"/>
              <w:tr2bl w:val="nil"/>
            </w:tcBorders>
            <w:tcMar>
              <w:top w:w="0" w:type="dxa"/>
              <w:left w:w="108" w:type="dxa"/>
              <w:bottom w:w="0" w:type="dxa"/>
              <w:right w:w="108" w:type="dxa"/>
            </w:tcMar>
            <w:vAlign w:val="center"/>
          </w:tcPr>
          <w:p w14:paraId="7B854DBD">
            <w:pPr>
              <w:pStyle w:val="37"/>
              <w:wordWrap w:val="0"/>
              <w:spacing w:before="0" w:beforeAutospacing="0" w:after="0" w:afterAutospacing="0"/>
              <w:textAlignment w:val="center"/>
              <w:rPr>
                <w:rFonts w:cs="宋体"/>
                <w:color w:val="auto"/>
                <w:sz w:val="21"/>
                <w:szCs w:val="21"/>
              </w:rPr>
            </w:pPr>
          </w:p>
        </w:tc>
      </w:tr>
      <w:tr w14:paraId="0A854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5B002BCF">
            <w:pPr>
              <w:widowControl/>
              <w:jc w:val="center"/>
              <w:textAlignment w:val="center"/>
              <w:rPr>
                <w:rFonts w:ascii="宋体" w:hAnsi="宋体" w:cs="宋体"/>
                <w:color w:val="auto"/>
                <w:kern w:val="0"/>
                <w:szCs w:val="21"/>
              </w:rPr>
            </w:pPr>
            <w:r>
              <w:rPr>
                <w:rFonts w:hint="eastAsia" w:ascii="宋体" w:hAnsi="宋体" w:cs="宋体"/>
                <w:color w:val="auto"/>
                <w:kern w:val="0"/>
                <w:szCs w:val="21"/>
              </w:rPr>
              <w:t>5</w:t>
            </w:r>
          </w:p>
        </w:tc>
        <w:tc>
          <w:tcPr>
            <w:tcW w:w="1984" w:type="dxa"/>
            <w:tcBorders>
              <w:tl2br w:val="nil"/>
              <w:tr2bl w:val="nil"/>
            </w:tcBorders>
            <w:tcMar>
              <w:top w:w="0" w:type="dxa"/>
              <w:left w:w="108" w:type="dxa"/>
              <w:bottom w:w="0" w:type="dxa"/>
              <w:right w:w="108" w:type="dxa"/>
            </w:tcMar>
            <w:vAlign w:val="center"/>
          </w:tcPr>
          <w:p w14:paraId="4AC489D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数字化教学设备</w:t>
            </w:r>
          </w:p>
        </w:tc>
        <w:tc>
          <w:tcPr>
            <w:tcW w:w="650" w:type="dxa"/>
            <w:tcBorders>
              <w:tl2br w:val="nil"/>
              <w:tr2bl w:val="nil"/>
            </w:tcBorders>
            <w:tcMar>
              <w:top w:w="0" w:type="dxa"/>
              <w:left w:w="108" w:type="dxa"/>
              <w:bottom w:w="0" w:type="dxa"/>
              <w:right w:w="108" w:type="dxa"/>
            </w:tcMar>
            <w:vAlign w:val="center"/>
          </w:tcPr>
          <w:p w14:paraId="2890BB4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w:t>
            </w:r>
          </w:p>
        </w:tc>
        <w:tc>
          <w:tcPr>
            <w:tcW w:w="680" w:type="dxa"/>
            <w:tcBorders>
              <w:tl2br w:val="nil"/>
              <w:tr2bl w:val="nil"/>
            </w:tcBorders>
            <w:tcMar>
              <w:top w:w="0" w:type="dxa"/>
              <w:left w:w="108" w:type="dxa"/>
              <w:bottom w:w="0" w:type="dxa"/>
              <w:right w:w="108" w:type="dxa"/>
            </w:tcMar>
            <w:vAlign w:val="center"/>
          </w:tcPr>
          <w:p w14:paraId="7950E7A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0271950A">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6000.00</w:t>
            </w:r>
          </w:p>
        </w:tc>
        <w:tc>
          <w:tcPr>
            <w:tcW w:w="2948" w:type="dxa"/>
            <w:vMerge w:val="continue"/>
            <w:tcBorders>
              <w:tl2br w:val="nil"/>
              <w:tr2bl w:val="nil"/>
            </w:tcBorders>
            <w:tcMar>
              <w:top w:w="0" w:type="dxa"/>
              <w:left w:w="108" w:type="dxa"/>
              <w:bottom w:w="0" w:type="dxa"/>
              <w:right w:w="108" w:type="dxa"/>
            </w:tcMar>
            <w:vAlign w:val="center"/>
          </w:tcPr>
          <w:p w14:paraId="190F2606">
            <w:pPr>
              <w:pStyle w:val="37"/>
              <w:wordWrap w:val="0"/>
              <w:spacing w:before="0" w:beforeAutospacing="0" w:after="0" w:afterAutospacing="0"/>
              <w:textAlignment w:val="center"/>
              <w:rPr>
                <w:rFonts w:cs="宋体"/>
                <w:color w:val="auto"/>
                <w:sz w:val="21"/>
                <w:szCs w:val="21"/>
              </w:rPr>
            </w:pPr>
          </w:p>
        </w:tc>
      </w:tr>
      <w:tr w14:paraId="741330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598A04ED">
            <w:pPr>
              <w:widowControl/>
              <w:jc w:val="center"/>
              <w:textAlignment w:val="center"/>
              <w:rPr>
                <w:rFonts w:ascii="宋体" w:hAnsi="宋体" w:cs="宋体"/>
                <w:color w:val="auto"/>
                <w:kern w:val="0"/>
                <w:szCs w:val="21"/>
              </w:rPr>
            </w:pPr>
            <w:r>
              <w:rPr>
                <w:rFonts w:hint="eastAsia" w:ascii="宋体" w:hAnsi="宋体" w:cs="宋体"/>
                <w:color w:val="auto"/>
                <w:kern w:val="0"/>
                <w:szCs w:val="21"/>
              </w:rPr>
              <w:t>6</w:t>
            </w:r>
          </w:p>
        </w:tc>
        <w:tc>
          <w:tcPr>
            <w:tcW w:w="1984" w:type="dxa"/>
            <w:tcBorders>
              <w:tl2br w:val="nil"/>
              <w:tr2bl w:val="nil"/>
            </w:tcBorders>
            <w:tcMar>
              <w:top w:w="0" w:type="dxa"/>
              <w:left w:w="108" w:type="dxa"/>
              <w:bottom w:w="0" w:type="dxa"/>
              <w:right w:w="108" w:type="dxa"/>
            </w:tcMar>
            <w:vAlign w:val="center"/>
          </w:tcPr>
          <w:p w14:paraId="2387C58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云端智算系统模块</w:t>
            </w:r>
          </w:p>
        </w:tc>
        <w:tc>
          <w:tcPr>
            <w:tcW w:w="650" w:type="dxa"/>
            <w:tcBorders>
              <w:tl2br w:val="nil"/>
              <w:tr2bl w:val="nil"/>
            </w:tcBorders>
            <w:tcMar>
              <w:top w:w="0" w:type="dxa"/>
              <w:left w:w="108" w:type="dxa"/>
              <w:bottom w:w="0" w:type="dxa"/>
              <w:right w:w="108" w:type="dxa"/>
            </w:tcMar>
            <w:vAlign w:val="center"/>
          </w:tcPr>
          <w:p w14:paraId="7AD5DD6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120</w:t>
            </w:r>
          </w:p>
        </w:tc>
        <w:tc>
          <w:tcPr>
            <w:tcW w:w="680" w:type="dxa"/>
            <w:tcBorders>
              <w:tl2br w:val="nil"/>
              <w:tr2bl w:val="nil"/>
            </w:tcBorders>
            <w:tcMar>
              <w:top w:w="0" w:type="dxa"/>
              <w:left w:w="108" w:type="dxa"/>
              <w:bottom w:w="0" w:type="dxa"/>
              <w:right w:w="108" w:type="dxa"/>
            </w:tcMar>
            <w:vAlign w:val="center"/>
          </w:tcPr>
          <w:p w14:paraId="3E35C5AB">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6932936E">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2690.00</w:t>
            </w:r>
          </w:p>
        </w:tc>
        <w:tc>
          <w:tcPr>
            <w:tcW w:w="2948" w:type="dxa"/>
            <w:vMerge w:val="continue"/>
            <w:tcBorders>
              <w:tl2br w:val="nil"/>
              <w:tr2bl w:val="nil"/>
            </w:tcBorders>
            <w:tcMar>
              <w:top w:w="0" w:type="dxa"/>
              <w:left w:w="108" w:type="dxa"/>
              <w:bottom w:w="0" w:type="dxa"/>
              <w:right w:w="108" w:type="dxa"/>
            </w:tcMar>
            <w:vAlign w:val="center"/>
          </w:tcPr>
          <w:p w14:paraId="2ECFFFE3">
            <w:pPr>
              <w:pStyle w:val="37"/>
              <w:wordWrap w:val="0"/>
              <w:spacing w:before="0" w:beforeAutospacing="0" w:after="0" w:afterAutospacing="0"/>
              <w:textAlignment w:val="center"/>
              <w:rPr>
                <w:rFonts w:cs="宋体"/>
                <w:color w:val="auto"/>
                <w:sz w:val="21"/>
                <w:szCs w:val="21"/>
              </w:rPr>
            </w:pPr>
          </w:p>
        </w:tc>
      </w:tr>
      <w:tr w14:paraId="6A09F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107C3E9A">
            <w:pPr>
              <w:widowControl/>
              <w:jc w:val="center"/>
              <w:textAlignment w:val="center"/>
              <w:rPr>
                <w:rFonts w:ascii="宋体" w:hAnsi="宋体" w:cs="宋体"/>
                <w:color w:val="auto"/>
                <w:kern w:val="0"/>
                <w:szCs w:val="21"/>
              </w:rPr>
            </w:pPr>
            <w:r>
              <w:rPr>
                <w:rFonts w:hint="eastAsia" w:ascii="宋体" w:hAnsi="宋体" w:cs="宋体"/>
                <w:color w:val="auto"/>
                <w:kern w:val="0"/>
                <w:szCs w:val="21"/>
              </w:rPr>
              <w:t>7</w:t>
            </w:r>
          </w:p>
        </w:tc>
        <w:tc>
          <w:tcPr>
            <w:tcW w:w="1984" w:type="dxa"/>
            <w:tcBorders>
              <w:tl2br w:val="nil"/>
              <w:tr2bl w:val="nil"/>
            </w:tcBorders>
            <w:tcMar>
              <w:top w:w="0" w:type="dxa"/>
              <w:left w:w="108" w:type="dxa"/>
              <w:bottom w:w="0" w:type="dxa"/>
              <w:right w:w="108" w:type="dxa"/>
            </w:tcMar>
            <w:vAlign w:val="center"/>
          </w:tcPr>
          <w:p w14:paraId="3F6BD4E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桌面云软件</w:t>
            </w:r>
          </w:p>
        </w:tc>
        <w:tc>
          <w:tcPr>
            <w:tcW w:w="650" w:type="dxa"/>
            <w:tcBorders>
              <w:tl2br w:val="nil"/>
              <w:tr2bl w:val="nil"/>
            </w:tcBorders>
            <w:tcMar>
              <w:top w:w="0" w:type="dxa"/>
              <w:left w:w="108" w:type="dxa"/>
              <w:bottom w:w="0" w:type="dxa"/>
              <w:right w:w="108" w:type="dxa"/>
            </w:tcMar>
            <w:vAlign w:val="center"/>
          </w:tcPr>
          <w:p w14:paraId="0D62C00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123</w:t>
            </w:r>
          </w:p>
        </w:tc>
        <w:tc>
          <w:tcPr>
            <w:tcW w:w="680" w:type="dxa"/>
            <w:tcBorders>
              <w:tl2br w:val="nil"/>
              <w:tr2bl w:val="nil"/>
            </w:tcBorders>
            <w:tcMar>
              <w:top w:w="0" w:type="dxa"/>
              <w:left w:w="108" w:type="dxa"/>
              <w:bottom w:w="0" w:type="dxa"/>
              <w:right w:w="108" w:type="dxa"/>
            </w:tcMar>
            <w:vAlign w:val="center"/>
          </w:tcPr>
          <w:p w14:paraId="19A42D5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点</w:t>
            </w:r>
          </w:p>
        </w:tc>
        <w:tc>
          <w:tcPr>
            <w:tcW w:w="1516" w:type="dxa"/>
            <w:tcBorders>
              <w:tl2br w:val="nil"/>
              <w:tr2bl w:val="nil"/>
            </w:tcBorders>
            <w:tcMar>
              <w:top w:w="0" w:type="dxa"/>
              <w:left w:w="108" w:type="dxa"/>
              <w:bottom w:w="0" w:type="dxa"/>
              <w:right w:w="108" w:type="dxa"/>
            </w:tcMar>
            <w:vAlign w:val="center"/>
          </w:tcPr>
          <w:p w14:paraId="31FF52FA">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1400.00</w:t>
            </w:r>
          </w:p>
        </w:tc>
        <w:tc>
          <w:tcPr>
            <w:tcW w:w="2948" w:type="dxa"/>
            <w:vMerge w:val="continue"/>
            <w:tcBorders>
              <w:tl2br w:val="nil"/>
              <w:tr2bl w:val="nil"/>
            </w:tcBorders>
            <w:tcMar>
              <w:top w:w="0" w:type="dxa"/>
              <w:left w:w="108" w:type="dxa"/>
              <w:bottom w:w="0" w:type="dxa"/>
              <w:right w:w="108" w:type="dxa"/>
            </w:tcMar>
            <w:vAlign w:val="center"/>
          </w:tcPr>
          <w:p w14:paraId="2393B0D1">
            <w:pPr>
              <w:pStyle w:val="37"/>
              <w:wordWrap w:val="0"/>
              <w:spacing w:before="0" w:beforeAutospacing="0" w:after="0" w:afterAutospacing="0"/>
              <w:textAlignment w:val="center"/>
              <w:rPr>
                <w:rFonts w:cs="宋体"/>
                <w:color w:val="auto"/>
                <w:sz w:val="21"/>
                <w:szCs w:val="21"/>
              </w:rPr>
            </w:pPr>
          </w:p>
        </w:tc>
      </w:tr>
      <w:tr w14:paraId="11DE8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005FC2ED">
            <w:pPr>
              <w:widowControl/>
              <w:jc w:val="center"/>
              <w:textAlignment w:val="center"/>
              <w:rPr>
                <w:rFonts w:ascii="宋体" w:hAnsi="宋体" w:cs="宋体"/>
                <w:color w:val="auto"/>
                <w:kern w:val="0"/>
                <w:szCs w:val="21"/>
              </w:rPr>
            </w:pPr>
            <w:r>
              <w:rPr>
                <w:rFonts w:hint="eastAsia" w:ascii="宋体" w:hAnsi="宋体" w:cs="宋体"/>
                <w:color w:val="auto"/>
                <w:kern w:val="0"/>
                <w:szCs w:val="21"/>
              </w:rPr>
              <w:t>8</w:t>
            </w:r>
          </w:p>
        </w:tc>
        <w:tc>
          <w:tcPr>
            <w:tcW w:w="1984" w:type="dxa"/>
            <w:tcBorders>
              <w:tl2br w:val="nil"/>
              <w:tr2bl w:val="nil"/>
            </w:tcBorders>
            <w:tcMar>
              <w:top w:w="0" w:type="dxa"/>
              <w:left w:w="108" w:type="dxa"/>
              <w:bottom w:w="0" w:type="dxa"/>
              <w:right w:w="108" w:type="dxa"/>
            </w:tcMar>
            <w:vAlign w:val="center"/>
          </w:tcPr>
          <w:p w14:paraId="28229E3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终端高可用容灾系统</w:t>
            </w:r>
          </w:p>
        </w:tc>
        <w:tc>
          <w:tcPr>
            <w:tcW w:w="650" w:type="dxa"/>
            <w:tcBorders>
              <w:tl2br w:val="nil"/>
              <w:tr2bl w:val="nil"/>
            </w:tcBorders>
            <w:tcMar>
              <w:top w:w="0" w:type="dxa"/>
              <w:left w:w="108" w:type="dxa"/>
              <w:bottom w:w="0" w:type="dxa"/>
              <w:right w:w="108" w:type="dxa"/>
            </w:tcMar>
            <w:vAlign w:val="center"/>
          </w:tcPr>
          <w:p w14:paraId="7BFE8E6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122</w:t>
            </w:r>
          </w:p>
        </w:tc>
        <w:tc>
          <w:tcPr>
            <w:tcW w:w="680" w:type="dxa"/>
            <w:tcBorders>
              <w:tl2br w:val="nil"/>
              <w:tr2bl w:val="nil"/>
            </w:tcBorders>
            <w:tcMar>
              <w:top w:w="0" w:type="dxa"/>
              <w:left w:w="108" w:type="dxa"/>
              <w:bottom w:w="0" w:type="dxa"/>
              <w:right w:w="108" w:type="dxa"/>
            </w:tcMar>
            <w:vAlign w:val="center"/>
          </w:tcPr>
          <w:p w14:paraId="24CD5C8D">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点</w:t>
            </w:r>
          </w:p>
        </w:tc>
        <w:tc>
          <w:tcPr>
            <w:tcW w:w="1516" w:type="dxa"/>
            <w:tcBorders>
              <w:tl2br w:val="nil"/>
              <w:tr2bl w:val="nil"/>
            </w:tcBorders>
            <w:tcMar>
              <w:top w:w="0" w:type="dxa"/>
              <w:left w:w="108" w:type="dxa"/>
              <w:bottom w:w="0" w:type="dxa"/>
              <w:right w:w="108" w:type="dxa"/>
            </w:tcMar>
            <w:vAlign w:val="center"/>
          </w:tcPr>
          <w:p w14:paraId="7CC14DC0">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640.00</w:t>
            </w:r>
          </w:p>
        </w:tc>
        <w:tc>
          <w:tcPr>
            <w:tcW w:w="2948" w:type="dxa"/>
            <w:vMerge w:val="continue"/>
            <w:tcBorders>
              <w:tl2br w:val="nil"/>
              <w:tr2bl w:val="nil"/>
            </w:tcBorders>
            <w:tcMar>
              <w:top w:w="0" w:type="dxa"/>
              <w:left w:w="108" w:type="dxa"/>
              <w:bottom w:w="0" w:type="dxa"/>
              <w:right w:w="108" w:type="dxa"/>
            </w:tcMar>
            <w:vAlign w:val="center"/>
          </w:tcPr>
          <w:p w14:paraId="702D4878">
            <w:pPr>
              <w:pStyle w:val="37"/>
              <w:wordWrap w:val="0"/>
              <w:spacing w:before="0" w:beforeAutospacing="0" w:after="0" w:afterAutospacing="0"/>
              <w:textAlignment w:val="center"/>
              <w:rPr>
                <w:rFonts w:cs="宋体"/>
                <w:color w:val="auto"/>
                <w:sz w:val="21"/>
                <w:szCs w:val="21"/>
              </w:rPr>
            </w:pPr>
          </w:p>
        </w:tc>
      </w:tr>
      <w:tr w14:paraId="0E4731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5CFE89A9">
            <w:pPr>
              <w:widowControl/>
              <w:jc w:val="center"/>
              <w:textAlignment w:val="center"/>
              <w:rPr>
                <w:rFonts w:ascii="宋体" w:hAnsi="宋体" w:cs="宋体"/>
                <w:color w:val="auto"/>
                <w:kern w:val="0"/>
                <w:szCs w:val="21"/>
              </w:rPr>
            </w:pPr>
            <w:r>
              <w:rPr>
                <w:rFonts w:hint="eastAsia" w:ascii="宋体" w:hAnsi="宋体" w:cs="宋体"/>
                <w:color w:val="auto"/>
                <w:kern w:val="0"/>
                <w:szCs w:val="21"/>
              </w:rPr>
              <w:t>9</w:t>
            </w:r>
          </w:p>
        </w:tc>
        <w:tc>
          <w:tcPr>
            <w:tcW w:w="1984" w:type="dxa"/>
            <w:tcBorders>
              <w:tl2br w:val="nil"/>
              <w:tr2bl w:val="nil"/>
            </w:tcBorders>
            <w:tcMar>
              <w:top w:w="0" w:type="dxa"/>
              <w:left w:w="108" w:type="dxa"/>
              <w:bottom w:w="0" w:type="dxa"/>
              <w:right w:w="108" w:type="dxa"/>
            </w:tcMar>
            <w:vAlign w:val="center"/>
          </w:tcPr>
          <w:p w14:paraId="7FB3531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课堂教学互动管理系统</w:t>
            </w:r>
          </w:p>
        </w:tc>
        <w:tc>
          <w:tcPr>
            <w:tcW w:w="650" w:type="dxa"/>
            <w:tcBorders>
              <w:tl2br w:val="nil"/>
              <w:tr2bl w:val="nil"/>
            </w:tcBorders>
            <w:tcMar>
              <w:top w:w="0" w:type="dxa"/>
              <w:left w:w="108" w:type="dxa"/>
              <w:bottom w:w="0" w:type="dxa"/>
              <w:right w:w="108" w:type="dxa"/>
            </w:tcMar>
            <w:vAlign w:val="center"/>
          </w:tcPr>
          <w:p w14:paraId="0E3C1D5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w:t>
            </w:r>
          </w:p>
        </w:tc>
        <w:tc>
          <w:tcPr>
            <w:tcW w:w="680" w:type="dxa"/>
            <w:tcBorders>
              <w:tl2br w:val="nil"/>
              <w:tr2bl w:val="nil"/>
            </w:tcBorders>
            <w:tcMar>
              <w:top w:w="0" w:type="dxa"/>
              <w:left w:w="108" w:type="dxa"/>
              <w:bottom w:w="0" w:type="dxa"/>
              <w:right w:w="108" w:type="dxa"/>
            </w:tcMar>
            <w:vAlign w:val="center"/>
          </w:tcPr>
          <w:p w14:paraId="17D3083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7C29B373">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3800.00</w:t>
            </w:r>
          </w:p>
        </w:tc>
        <w:tc>
          <w:tcPr>
            <w:tcW w:w="2948" w:type="dxa"/>
            <w:vMerge w:val="continue"/>
            <w:tcBorders>
              <w:tl2br w:val="nil"/>
              <w:tr2bl w:val="nil"/>
            </w:tcBorders>
            <w:tcMar>
              <w:top w:w="0" w:type="dxa"/>
              <w:left w:w="108" w:type="dxa"/>
              <w:bottom w:w="0" w:type="dxa"/>
              <w:right w:w="108" w:type="dxa"/>
            </w:tcMar>
            <w:vAlign w:val="center"/>
          </w:tcPr>
          <w:p w14:paraId="4E4E885F">
            <w:pPr>
              <w:pStyle w:val="37"/>
              <w:wordWrap w:val="0"/>
              <w:spacing w:before="0" w:beforeAutospacing="0" w:after="0" w:afterAutospacing="0"/>
              <w:textAlignment w:val="center"/>
              <w:rPr>
                <w:rFonts w:cs="宋体"/>
                <w:color w:val="auto"/>
                <w:sz w:val="21"/>
                <w:szCs w:val="21"/>
              </w:rPr>
            </w:pPr>
          </w:p>
        </w:tc>
      </w:tr>
      <w:tr w14:paraId="7FFA22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0D0A7716">
            <w:pPr>
              <w:widowControl/>
              <w:jc w:val="center"/>
              <w:textAlignment w:val="center"/>
              <w:rPr>
                <w:rFonts w:ascii="宋体" w:hAnsi="宋体" w:cs="宋体"/>
                <w:color w:val="auto"/>
                <w:kern w:val="0"/>
                <w:szCs w:val="21"/>
              </w:rPr>
            </w:pPr>
            <w:r>
              <w:rPr>
                <w:rFonts w:hint="eastAsia" w:ascii="宋体" w:hAnsi="宋体" w:cs="宋体"/>
                <w:color w:val="auto"/>
                <w:kern w:val="0"/>
                <w:szCs w:val="21"/>
              </w:rPr>
              <w:t>10</w:t>
            </w:r>
          </w:p>
        </w:tc>
        <w:tc>
          <w:tcPr>
            <w:tcW w:w="1984" w:type="dxa"/>
            <w:tcBorders>
              <w:tl2br w:val="nil"/>
              <w:tr2bl w:val="nil"/>
            </w:tcBorders>
            <w:tcMar>
              <w:top w:w="0" w:type="dxa"/>
              <w:left w:w="108" w:type="dxa"/>
              <w:bottom w:w="0" w:type="dxa"/>
              <w:right w:w="108" w:type="dxa"/>
            </w:tcMar>
            <w:vAlign w:val="center"/>
          </w:tcPr>
          <w:p w14:paraId="31A8E48D">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服务器硬盘</w:t>
            </w:r>
          </w:p>
        </w:tc>
        <w:tc>
          <w:tcPr>
            <w:tcW w:w="650" w:type="dxa"/>
            <w:tcBorders>
              <w:tl2br w:val="nil"/>
              <w:tr2bl w:val="nil"/>
            </w:tcBorders>
            <w:tcMar>
              <w:top w:w="0" w:type="dxa"/>
              <w:left w:w="108" w:type="dxa"/>
              <w:bottom w:w="0" w:type="dxa"/>
              <w:right w:w="108" w:type="dxa"/>
            </w:tcMar>
            <w:vAlign w:val="center"/>
          </w:tcPr>
          <w:p w14:paraId="6E9B42E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6</w:t>
            </w:r>
          </w:p>
        </w:tc>
        <w:tc>
          <w:tcPr>
            <w:tcW w:w="680" w:type="dxa"/>
            <w:tcBorders>
              <w:tl2br w:val="nil"/>
              <w:tr2bl w:val="nil"/>
            </w:tcBorders>
            <w:tcMar>
              <w:top w:w="0" w:type="dxa"/>
              <w:left w:w="108" w:type="dxa"/>
              <w:bottom w:w="0" w:type="dxa"/>
              <w:right w:w="108" w:type="dxa"/>
            </w:tcMar>
            <w:vAlign w:val="center"/>
          </w:tcPr>
          <w:p w14:paraId="31F7966D">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块</w:t>
            </w:r>
          </w:p>
        </w:tc>
        <w:tc>
          <w:tcPr>
            <w:tcW w:w="1516" w:type="dxa"/>
            <w:tcBorders>
              <w:tl2br w:val="nil"/>
              <w:tr2bl w:val="nil"/>
            </w:tcBorders>
            <w:tcMar>
              <w:top w:w="0" w:type="dxa"/>
              <w:left w:w="108" w:type="dxa"/>
              <w:bottom w:w="0" w:type="dxa"/>
              <w:right w:w="108" w:type="dxa"/>
            </w:tcMar>
            <w:vAlign w:val="center"/>
          </w:tcPr>
          <w:p w14:paraId="37146BE9">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3000.00</w:t>
            </w:r>
          </w:p>
        </w:tc>
        <w:tc>
          <w:tcPr>
            <w:tcW w:w="2948" w:type="dxa"/>
            <w:vMerge w:val="continue"/>
            <w:tcBorders>
              <w:tl2br w:val="nil"/>
              <w:tr2bl w:val="nil"/>
            </w:tcBorders>
            <w:tcMar>
              <w:top w:w="0" w:type="dxa"/>
              <w:left w:w="108" w:type="dxa"/>
              <w:bottom w:w="0" w:type="dxa"/>
              <w:right w:w="108" w:type="dxa"/>
            </w:tcMar>
            <w:vAlign w:val="center"/>
          </w:tcPr>
          <w:p w14:paraId="47E6D95E">
            <w:pPr>
              <w:pStyle w:val="37"/>
              <w:wordWrap w:val="0"/>
              <w:spacing w:before="0" w:beforeAutospacing="0" w:after="0" w:afterAutospacing="0"/>
              <w:textAlignment w:val="center"/>
              <w:rPr>
                <w:rFonts w:cs="宋体"/>
                <w:color w:val="auto"/>
                <w:sz w:val="21"/>
                <w:szCs w:val="21"/>
              </w:rPr>
            </w:pPr>
          </w:p>
        </w:tc>
      </w:tr>
      <w:tr w14:paraId="2DC81F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38D0CDCC">
            <w:pPr>
              <w:widowControl/>
              <w:jc w:val="center"/>
              <w:textAlignment w:val="center"/>
              <w:rPr>
                <w:rFonts w:ascii="宋体" w:hAnsi="宋体" w:cs="宋体"/>
                <w:color w:val="auto"/>
                <w:kern w:val="0"/>
                <w:szCs w:val="21"/>
              </w:rPr>
            </w:pPr>
            <w:r>
              <w:rPr>
                <w:rFonts w:hint="eastAsia" w:ascii="宋体" w:hAnsi="宋体" w:cs="宋体"/>
                <w:color w:val="auto"/>
                <w:kern w:val="0"/>
                <w:szCs w:val="21"/>
              </w:rPr>
              <w:t>11</w:t>
            </w:r>
          </w:p>
        </w:tc>
        <w:tc>
          <w:tcPr>
            <w:tcW w:w="1984" w:type="dxa"/>
            <w:tcBorders>
              <w:tl2br w:val="nil"/>
              <w:tr2bl w:val="nil"/>
            </w:tcBorders>
            <w:tcMar>
              <w:top w:w="0" w:type="dxa"/>
              <w:left w:w="108" w:type="dxa"/>
              <w:bottom w:w="0" w:type="dxa"/>
              <w:right w:w="108" w:type="dxa"/>
            </w:tcMar>
            <w:vAlign w:val="center"/>
          </w:tcPr>
          <w:p w14:paraId="1A841DED">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服务器内存</w:t>
            </w:r>
          </w:p>
        </w:tc>
        <w:tc>
          <w:tcPr>
            <w:tcW w:w="650" w:type="dxa"/>
            <w:tcBorders>
              <w:tl2br w:val="nil"/>
              <w:tr2bl w:val="nil"/>
            </w:tcBorders>
            <w:tcMar>
              <w:top w:w="0" w:type="dxa"/>
              <w:left w:w="108" w:type="dxa"/>
              <w:bottom w:w="0" w:type="dxa"/>
              <w:right w:w="108" w:type="dxa"/>
            </w:tcMar>
            <w:vAlign w:val="center"/>
          </w:tcPr>
          <w:p w14:paraId="34EAA6F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24</w:t>
            </w:r>
          </w:p>
        </w:tc>
        <w:tc>
          <w:tcPr>
            <w:tcW w:w="680" w:type="dxa"/>
            <w:tcBorders>
              <w:tl2br w:val="nil"/>
              <w:tr2bl w:val="nil"/>
            </w:tcBorders>
            <w:tcMar>
              <w:top w:w="0" w:type="dxa"/>
              <w:left w:w="108" w:type="dxa"/>
              <w:bottom w:w="0" w:type="dxa"/>
              <w:right w:w="108" w:type="dxa"/>
            </w:tcMar>
            <w:vAlign w:val="center"/>
          </w:tcPr>
          <w:p w14:paraId="155DEC5B">
            <w:pPr>
              <w:widowControl/>
              <w:jc w:val="center"/>
              <w:textAlignment w:val="center"/>
              <w:rPr>
                <w:rFonts w:ascii="宋体" w:hAnsi="宋体" w:cs="宋体"/>
                <w:color w:val="auto"/>
                <w:kern w:val="0"/>
                <w:szCs w:val="21"/>
              </w:rPr>
            </w:pPr>
            <w:r>
              <w:rPr>
                <w:rFonts w:hint="eastAsia" w:ascii="宋体" w:hAnsi="宋体" w:cs="宋体"/>
                <w:color w:val="auto"/>
                <w:szCs w:val="21"/>
              </w:rPr>
              <w:t>条</w:t>
            </w:r>
          </w:p>
        </w:tc>
        <w:tc>
          <w:tcPr>
            <w:tcW w:w="1516" w:type="dxa"/>
            <w:tcBorders>
              <w:tl2br w:val="nil"/>
              <w:tr2bl w:val="nil"/>
            </w:tcBorders>
            <w:tcMar>
              <w:top w:w="0" w:type="dxa"/>
              <w:left w:w="108" w:type="dxa"/>
              <w:bottom w:w="0" w:type="dxa"/>
              <w:right w:w="108" w:type="dxa"/>
            </w:tcMar>
            <w:vAlign w:val="center"/>
          </w:tcPr>
          <w:p w14:paraId="05A1E3E6">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600.00</w:t>
            </w:r>
          </w:p>
        </w:tc>
        <w:tc>
          <w:tcPr>
            <w:tcW w:w="2948" w:type="dxa"/>
            <w:vMerge w:val="continue"/>
            <w:tcBorders>
              <w:tl2br w:val="nil"/>
              <w:tr2bl w:val="nil"/>
            </w:tcBorders>
            <w:tcMar>
              <w:top w:w="0" w:type="dxa"/>
              <w:left w:w="108" w:type="dxa"/>
              <w:bottom w:w="0" w:type="dxa"/>
              <w:right w:w="108" w:type="dxa"/>
            </w:tcMar>
            <w:vAlign w:val="center"/>
          </w:tcPr>
          <w:p w14:paraId="01C1CD05">
            <w:pPr>
              <w:pStyle w:val="37"/>
              <w:wordWrap w:val="0"/>
              <w:spacing w:before="0" w:beforeAutospacing="0" w:after="0" w:afterAutospacing="0"/>
              <w:textAlignment w:val="center"/>
              <w:rPr>
                <w:rFonts w:cs="宋体"/>
                <w:color w:val="auto"/>
                <w:sz w:val="21"/>
                <w:szCs w:val="21"/>
              </w:rPr>
            </w:pPr>
          </w:p>
        </w:tc>
      </w:tr>
      <w:tr w14:paraId="12B32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3703344F">
            <w:pPr>
              <w:widowControl/>
              <w:jc w:val="center"/>
              <w:textAlignment w:val="center"/>
              <w:rPr>
                <w:rFonts w:ascii="宋体" w:hAnsi="宋体" w:cs="宋体"/>
                <w:color w:val="auto"/>
                <w:kern w:val="0"/>
                <w:szCs w:val="21"/>
              </w:rPr>
            </w:pPr>
            <w:r>
              <w:rPr>
                <w:rFonts w:hint="eastAsia" w:ascii="宋体" w:hAnsi="宋体" w:cs="宋体"/>
                <w:color w:val="auto"/>
                <w:kern w:val="0"/>
                <w:szCs w:val="21"/>
              </w:rPr>
              <w:t>12</w:t>
            </w:r>
          </w:p>
        </w:tc>
        <w:tc>
          <w:tcPr>
            <w:tcW w:w="1984" w:type="dxa"/>
            <w:tcBorders>
              <w:tl2br w:val="nil"/>
              <w:tr2bl w:val="nil"/>
            </w:tcBorders>
            <w:tcMar>
              <w:top w:w="0" w:type="dxa"/>
              <w:left w:w="108" w:type="dxa"/>
              <w:bottom w:w="0" w:type="dxa"/>
              <w:right w:w="108" w:type="dxa"/>
            </w:tcMar>
            <w:vAlign w:val="center"/>
          </w:tcPr>
          <w:p w14:paraId="215D593D">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教学实训扩容模块</w:t>
            </w:r>
          </w:p>
        </w:tc>
        <w:tc>
          <w:tcPr>
            <w:tcW w:w="650" w:type="dxa"/>
            <w:tcBorders>
              <w:tl2br w:val="nil"/>
              <w:tr2bl w:val="nil"/>
            </w:tcBorders>
            <w:tcMar>
              <w:top w:w="0" w:type="dxa"/>
              <w:left w:w="108" w:type="dxa"/>
              <w:bottom w:w="0" w:type="dxa"/>
              <w:right w:w="108" w:type="dxa"/>
            </w:tcMar>
            <w:vAlign w:val="center"/>
          </w:tcPr>
          <w:p w14:paraId="3F656A8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w:t>
            </w:r>
          </w:p>
        </w:tc>
        <w:tc>
          <w:tcPr>
            <w:tcW w:w="680" w:type="dxa"/>
            <w:tcBorders>
              <w:tl2br w:val="nil"/>
              <w:tr2bl w:val="nil"/>
            </w:tcBorders>
            <w:tcMar>
              <w:top w:w="0" w:type="dxa"/>
              <w:left w:w="108" w:type="dxa"/>
              <w:bottom w:w="0" w:type="dxa"/>
              <w:right w:w="108" w:type="dxa"/>
            </w:tcMar>
            <w:vAlign w:val="center"/>
          </w:tcPr>
          <w:p w14:paraId="7FC85D8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0AFE3B4F">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82000.00</w:t>
            </w:r>
          </w:p>
        </w:tc>
        <w:tc>
          <w:tcPr>
            <w:tcW w:w="2948" w:type="dxa"/>
            <w:vMerge w:val="continue"/>
            <w:tcBorders>
              <w:tl2br w:val="nil"/>
              <w:tr2bl w:val="nil"/>
            </w:tcBorders>
            <w:tcMar>
              <w:top w:w="0" w:type="dxa"/>
              <w:left w:w="108" w:type="dxa"/>
              <w:bottom w:w="0" w:type="dxa"/>
              <w:right w:w="108" w:type="dxa"/>
            </w:tcMar>
            <w:vAlign w:val="center"/>
          </w:tcPr>
          <w:p w14:paraId="7A7CB290">
            <w:pPr>
              <w:pStyle w:val="37"/>
              <w:wordWrap w:val="0"/>
              <w:spacing w:before="0" w:beforeAutospacing="0" w:after="0" w:afterAutospacing="0"/>
              <w:textAlignment w:val="center"/>
              <w:rPr>
                <w:rFonts w:cs="宋体"/>
                <w:color w:val="auto"/>
                <w:sz w:val="21"/>
                <w:szCs w:val="21"/>
              </w:rPr>
            </w:pPr>
          </w:p>
        </w:tc>
      </w:tr>
      <w:tr w14:paraId="31C9D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445E7F3D">
            <w:pPr>
              <w:widowControl/>
              <w:jc w:val="center"/>
              <w:textAlignment w:val="center"/>
              <w:rPr>
                <w:rFonts w:ascii="宋体" w:hAnsi="宋体" w:cs="宋体"/>
                <w:color w:val="auto"/>
                <w:kern w:val="0"/>
                <w:szCs w:val="21"/>
              </w:rPr>
            </w:pPr>
            <w:r>
              <w:rPr>
                <w:rFonts w:hint="eastAsia" w:ascii="宋体" w:hAnsi="宋体" w:cs="宋体"/>
                <w:color w:val="auto"/>
                <w:kern w:val="0"/>
                <w:szCs w:val="21"/>
              </w:rPr>
              <w:t>13</w:t>
            </w:r>
          </w:p>
        </w:tc>
        <w:tc>
          <w:tcPr>
            <w:tcW w:w="1984" w:type="dxa"/>
            <w:tcBorders>
              <w:tl2br w:val="nil"/>
              <w:tr2bl w:val="nil"/>
            </w:tcBorders>
            <w:tcMar>
              <w:top w:w="0" w:type="dxa"/>
              <w:left w:w="108" w:type="dxa"/>
              <w:bottom w:w="0" w:type="dxa"/>
              <w:right w:w="108" w:type="dxa"/>
            </w:tcMar>
            <w:vAlign w:val="center"/>
          </w:tcPr>
          <w:p w14:paraId="156FD9B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服务器汇聚交换机</w:t>
            </w:r>
          </w:p>
        </w:tc>
        <w:tc>
          <w:tcPr>
            <w:tcW w:w="650" w:type="dxa"/>
            <w:tcBorders>
              <w:tl2br w:val="nil"/>
              <w:tr2bl w:val="nil"/>
            </w:tcBorders>
            <w:tcMar>
              <w:top w:w="0" w:type="dxa"/>
              <w:left w:w="108" w:type="dxa"/>
              <w:bottom w:w="0" w:type="dxa"/>
              <w:right w:w="108" w:type="dxa"/>
            </w:tcMar>
            <w:vAlign w:val="center"/>
          </w:tcPr>
          <w:p w14:paraId="5EB035F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80" w:type="dxa"/>
            <w:tcBorders>
              <w:tl2br w:val="nil"/>
              <w:tr2bl w:val="nil"/>
            </w:tcBorders>
            <w:tcMar>
              <w:top w:w="0" w:type="dxa"/>
              <w:left w:w="108" w:type="dxa"/>
              <w:bottom w:w="0" w:type="dxa"/>
              <w:right w:w="108" w:type="dxa"/>
            </w:tcMar>
            <w:vAlign w:val="center"/>
          </w:tcPr>
          <w:p w14:paraId="3EF93BC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0F8945EF">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12800.00</w:t>
            </w:r>
          </w:p>
        </w:tc>
        <w:tc>
          <w:tcPr>
            <w:tcW w:w="2948" w:type="dxa"/>
            <w:vMerge w:val="continue"/>
            <w:tcBorders>
              <w:tl2br w:val="nil"/>
              <w:tr2bl w:val="nil"/>
            </w:tcBorders>
            <w:tcMar>
              <w:top w:w="0" w:type="dxa"/>
              <w:left w:w="108" w:type="dxa"/>
              <w:bottom w:w="0" w:type="dxa"/>
              <w:right w:w="108" w:type="dxa"/>
            </w:tcMar>
            <w:vAlign w:val="center"/>
          </w:tcPr>
          <w:p w14:paraId="47C0CE83">
            <w:pPr>
              <w:pStyle w:val="37"/>
              <w:wordWrap w:val="0"/>
              <w:spacing w:before="0" w:beforeAutospacing="0" w:after="0" w:afterAutospacing="0"/>
              <w:textAlignment w:val="center"/>
              <w:rPr>
                <w:rFonts w:cs="宋体"/>
                <w:color w:val="auto"/>
                <w:sz w:val="21"/>
                <w:szCs w:val="21"/>
              </w:rPr>
            </w:pPr>
          </w:p>
        </w:tc>
      </w:tr>
      <w:tr w14:paraId="1F59B2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36C6DF8A">
            <w:pPr>
              <w:widowControl/>
              <w:jc w:val="center"/>
              <w:textAlignment w:val="center"/>
              <w:rPr>
                <w:rFonts w:ascii="宋体" w:hAnsi="宋体" w:cs="宋体"/>
                <w:color w:val="auto"/>
                <w:kern w:val="0"/>
                <w:szCs w:val="21"/>
              </w:rPr>
            </w:pPr>
            <w:r>
              <w:rPr>
                <w:rFonts w:hint="eastAsia" w:ascii="宋体" w:hAnsi="宋体" w:cs="宋体"/>
                <w:color w:val="auto"/>
                <w:kern w:val="0"/>
                <w:szCs w:val="21"/>
              </w:rPr>
              <w:t>14</w:t>
            </w:r>
          </w:p>
        </w:tc>
        <w:tc>
          <w:tcPr>
            <w:tcW w:w="1984" w:type="dxa"/>
            <w:tcBorders>
              <w:tl2br w:val="nil"/>
              <w:tr2bl w:val="nil"/>
            </w:tcBorders>
            <w:tcMar>
              <w:top w:w="0" w:type="dxa"/>
              <w:left w:w="108" w:type="dxa"/>
              <w:bottom w:w="0" w:type="dxa"/>
              <w:right w:w="108" w:type="dxa"/>
            </w:tcMar>
            <w:vAlign w:val="center"/>
          </w:tcPr>
          <w:p w14:paraId="333DA60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教学机房接入上行交换机</w:t>
            </w:r>
          </w:p>
        </w:tc>
        <w:tc>
          <w:tcPr>
            <w:tcW w:w="650" w:type="dxa"/>
            <w:tcBorders>
              <w:tl2br w:val="nil"/>
              <w:tr2bl w:val="nil"/>
            </w:tcBorders>
            <w:tcMar>
              <w:top w:w="0" w:type="dxa"/>
              <w:left w:w="108" w:type="dxa"/>
              <w:bottom w:w="0" w:type="dxa"/>
              <w:right w:w="108" w:type="dxa"/>
            </w:tcMar>
            <w:vAlign w:val="center"/>
          </w:tcPr>
          <w:p w14:paraId="69F444C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11</w:t>
            </w:r>
          </w:p>
        </w:tc>
        <w:tc>
          <w:tcPr>
            <w:tcW w:w="680" w:type="dxa"/>
            <w:tcBorders>
              <w:tl2br w:val="nil"/>
              <w:tr2bl w:val="nil"/>
            </w:tcBorders>
            <w:tcMar>
              <w:top w:w="0" w:type="dxa"/>
              <w:left w:w="108" w:type="dxa"/>
              <w:bottom w:w="0" w:type="dxa"/>
              <w:right w:w="108" w:type="dxa"/>
            </w:tcMar>
            <w:vAlign w:val="center"/>
          </w:tcPr>
          <w:p w14:paraId="5E6DF63D">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2620DFAA">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3000.00</w:t>
            </w:r>
          </w:p>
        </w:tc>
        <w:tc>
          <w:tcPr>
            <w:tcW w:w="2948" w:type="dxa"/>
            <w:vMerge w:val="continue"/>
            <w:tcBorders>
              <w:tl2br w:val="nil"/>
              <w:tr2bl w:val="nil"/>
            </w:tcBorders>
            <w:tcMar>
              <w:top w:w="0" w:type="dxa"/>
              <w:left w:w="108" w:type="dxa"/>
              <w:bottom w:w="0" w:type="dxa"/>
              <w:right w:w="108" w:type="dxa"/>
            </w:tcMar>
            <w:vAlign w:val="center"/>
          </w:tcPr>
          <w:p w14:paraId="7057B75D">
            <w:pPr>
              <w:pStyle w:val="37"/>
              <w:wordWrap w:val="0"/>
              <w:spacing w:before="0" w:beforeAutospacing="0" w:after="0" w:afterAutospacing="0"/>
              <w:textAlignment w:val="center"/>
              <w:rPr>
                <w:rFonts w:cs="宋体"/>
                <w:color w:val="auto"/>
                <w:sz w:val="21"/>
                <w:szCs w:val="21"/>
              </w:rPr>
            </w:pPr>
          </w:p>
        </w:tc>
      </w:tr>
      <w:tr w14:paraId="3CC5E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6B302C52">
            <w:pPr>
              <w:widowControl/>
              <w:jc w:val="center"/>
              <w:textAlignment w:val="center"/>
              <w:rPr>
                <w:rFonts w:ascii="宋体" w:hAnsi="宋体" w:cs="宋体"/>
                <w:color w:val="auto"/>
                <w:kern w:val="0"/>
                <w:szCs w:val="21"/>
              </w:rPr>
            </w:pPr>
            <w:r>
              <w:rPr>
                <w:rFonts w:hint="eastAsia" w:ascii="宋体" w:hAnsi="宋体" w:cs="宋体"/>
                <w:color w:val="auto"/>
                <w:kern w:val="0"/>
                <w:szCs w:val="21"/>
              </w:rPr>
              <w:t>15</w:t>
            </w:r>
          </w:p>
        </w:tc>
        <w:tc>
          <w:tcPr>
            <w:tcW w:w="1984" w:type="dxa"/>
            <w:tcBorders>
              <w:tl2br w:val="nil"/>
              <w:tr2bl w:val="nil"/>
            </w:tcBorders>
            <w:tcMar>
              <w:top w:w="0" w:type="dxa"/>
              <w:left w:w="108" w:type="dxa"/>
              <w:bottom w:w="0" w:type="dxa"/>
              <w:right w:w="108" w:type="dxa"/>
            </w:tcMar>
            <w:vAlign w:val="center"/>
          </w:tcPr>
          <w:p w14:paraId="08710BF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教学机房接入交换机</w:t>
            </w:r>
          </w:p>
        </w:tc>
        <w:tc>
          <w:tcPr>
            <w:tcW w:w="650" w:type="dxa"/>
            <w:tcBorders>
              <w:tl2br w:val="nil"/>
              <w:tr2bl w:val="nil"/>
            </w:tcBorders>
            <w:tcMar>
              <w:top w:w="0" w:type="dxa"/>
              <w:left w:w="108" w:type="dxa"/>
              <w:bottom w:w="0" w:type="dxa"/>
              <w:right w:w="108" w:type="dxa"/>
            </w:tcMar>
            <w:vAlign w:val="center"/>
          </w:tcPr>
          <w:p w14:paraId="5571847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w:t>
            </w:r>
          </w:p>
        </w:tc>
        <w:tc>
          <w:tcPr>
            <w:tcW w:w="680" w:type="dxa"/>
            <w:tcBorders>
              <w:tl2br w:val="nil"/>
              <w:tr2bl w:val="nil"/>
            </w:tcBorders>
            <w:tcMar>
              <w:top w:w="0" w:type="dxa"/>
              <w:left w:w="108" w:type="dxa"/>
              <w:bottom w:w="0" w:type="dxa"/>
              <w:right w:w="108" w:type="dxa"/>
            </w:tcMar>
            <w:vAlign w:val="center"/>
          </w:tcPr>
          <w:p w14:paraId="3A9AC2D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00A6479B">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3500.00</w:t>
            </w:r>
          </w:p>
        </w:tc>
        <w:tc>
          <w:tcPr>
            <w:tcW w:w="2948" w:type="dxa"/>
            <w:vMerge w:val="continue"/>
            <w:tcBorders>
              <w:tl2br w:val="nil"/>
              <w:tr2bl w:val="nil"/>
            </w:tcBorders>
            <w:tcMar>
              <w:top w:w="0" w:type="dxa"/>
              <w:left w:w="108" w:type="dxa"/>
              <w:bottom w:w="0" w:type="dxa"/>
              <w:right w:w="108" w:type="dxa"/>
            </w:tcMar>
            <w:vAlign w:val="center"/>
          </w:tcPr>
          <w:p w14:paraId="4B55D3AB">
            <w:pPr>
              <w:pStyle w:val="37"/>
              <w:wordWrap w:val="0"/>
              <w:spacing w:before="0" w:beforeAutospacing="0" w:after="0" w:afterAutospacing="0"/>
              <w:textAlignment w:val="center"/>
              <w:rPr>
                <w:rFonts w:cs="宋体"/>
                <w:color w:val="auto"/>
                <w:sz w:val="21"/>
                <w:szCs w:val="21"/>
              </w:rPr>
            </w:pPr>
          </w:p>
        </w:tc>
      </w:tr>
      <w:tr w14:paraId="3A1840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1B3EF357">
            <w:pPr>
              <w:widowControl/>
              <w:jc w:val="center"/>
              <w:textAlignment w:val="center"/>
              <w:rPr>
                <w:rFonts w:ascii="宋体" w:hAnsi="宋体" w:cs="宋体"/>
                <w:color w:val="auto"/>
                <w:kern w:val="0"/>
                <w:szCs w:val="21"/>
              </w:rPr>
            </w:pPr>
            <w:r>
              <w:rPr>
                <w:rFonts w:hint="eastAsia" w:ascii="宋体" w:hAnsi="宋体" w:cs="宋体"/>
                <w:color w:val="auto"/>
                <w:kern w:val="0"/>
                <w:szCs w:val="21"/>
              </w:rPr>
              <w:t>16</w:t>
            </w:r>
          </w:p>
        </w:tc>
        <w:tc>
          <w:tcPr>
            <w:tcW w:w="1984" w:type="dxa"/>
            <w:tcBorders>
              <w:tl2br w:val="nil"/>
              <w:tr2bl w:val="nil"/>
            </w:tcBorders>
            <w:tcMar>
              <w:top w:w="0" w:type="dxa"/>
              <w:left w:w="108" w:type="dxa"/>
              <w:bottom w:w="0" w:type="dxa"/>
              <w:right w:w="108" w:type="dxa"/>
            </w:tcMar>
            <w:vAlign w:val="center"/>
          </w:tcPr>
          <w:p w14:paraId="2C5B688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智能显示协同终端</w:t>
            </w:r>
          </w:p>
        </w:tc>
        <w:tc>
          <w:tcPr>
            <w:tcW w:w="650" w:type="dxa"/>
            <w:tcBorders>
              <w:tl2br w:val="nil"/>
              <w:tr2bl w:val="nil"/>
            </w:tcBorders>
            <w:tcMar>
              <w:top w:w="0" w:type="dxa"/>
              <w:left w:w="108" w:type="dxa"/>
              <w:bottom w:w="0" w:type="dxa"/>
              <w:right w:w="108" w:type="dxa"/>
            </w:tcMar>
            <w:vAlign w:val="center"/>
          </w:tcPr>
          <w:p w14:paraId="57408D7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7</w:t>
            </w:r>
          </w:p>
        </w:tc>
        <w:tc>
          <w:tcPr>
            <w:tcW w:w="680" w:type="dxa"/>
            <w:tcBorders>
              <w:tl2br w:val="nil"/>
              <w:tr2bl w:val="nil"/>
            </w:tcBorders>
            <w:tcMar>
              <w:top w:w="0" w:type="dxa"/>
              <w:left w:w="108" w:type="dxa"/>
              <w:bottom w:w="0" w:type="dxa"/>
              <w:right w:w="108" w:type="dxa"/>
            </w:tcMar>
            <w:vAlign w:val="center"/>
          </w:tcPr>
          <w:p w14:paraId="5209EA0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43687982">
            <w:pPr>
              <w:widowControl/>
              <w:jc w:val="center"/>
              <w:textAlignment w:val="center"/>
              <w:rPr>
                <w:rFonts w:ascii="宋体" w:hAnsi="宋体" w:cs="Arial"/>
                <w:color w:val="auto"/>
                <w:kern w:val="0"/>
                <w:szCs w:val="21"/>
              </w:rPr>
            </w:pPr>
            <w:r>
              <w:rPr>
                <w:rFonts w:ascii="宋体" w:hAnsi="宋体" w:cs="宋体"/>
                <w:color w:val="auto"/>
                <w:kern w:val="0"/>
                <w:sz w:val="20"/>
                <w:lang w:bidi="ar"/>
              </w:rPr>
              <w:t>32</w:t>
            </w:r>
            <w:r>
              <w:rPr>
                <w:rFonts w:hint="eastAsia" w:ascii="宋体" w:hAnsi="宋体" w:cs="宋体"/>
                <w:color w:val="auto"/>
                <w:kern w:val="0"/>
                <w:sz w:val="20"/>
                <w:lang w:bidi="ar"/>
              </w:rPr>
              <w:t>000.00</w:t>
            </w:r>
          </w:p>
        </w:tc>
        <w:tc>
          <w:tcPr>
            <w:tcW w:w="2948" w:type="dxa"/>
            <w:vMerge w:val="continue"/>
            <w:tcBorders>
              <w:tl2br w:val="nil"/>
              <w:tr2bl w:val="nil"/>
            </w:tcBorders>
            <w:tcMar>
              <w:top w:w="0" w:type="dxa"/>
              <w:left w:w="108" w:type="dxa"/>
              <w:bottom w:w="0" w:type="dxa"/>
              <w:right w:w="108" w:type="dxa"/>
            </w:tcMar>
            <w:vAlign w:val="center"/>
          </w:tcPr>
          <w:p w14:paraId="064F5D83">
            <w:pPr>
              <w:pStyle w:val="37"/>
              <w:wordWrap w:val="0"/>
              <w:spacing w:before="0" w:beforeAutospacing="0" w:after="0" w:afterAutospacing="0"/>
              <w:textAlignment w:val="center"/>
              <w:rPr>
                <w:rFonts w:cs="宋体"/>
                <w:color w:val="auto"/>
                <w:sz w:val="21"/>
                <w:szCs w:val="21"/>
              </w:rPr>
            </w:pPr>
          </w:p>
        </w:tc>
      </w:tr>
      <w:tr w14:paraId="509916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7F28A7EF">
            <w:pPr>
              <w:widowControl/>
              <w:jc w:val="center"/>
              <w:textAlignment w:val="center"/>
              <w:rPr>
                <w:rFonts w:ascii="宋体" w:hAnsi="宋体" w:cs="宋体"/>
                <w:color w:val="auto"/>
                <w:kern w:val="0"/>
                <w:szCs w:val="21"/>
              </w:rPr>
            </w:pPr>
            <w:r>
              <w:rPr>
                <w:rFonts w:hint="eastAsia" w:ascii="宋体" w:hAnsi="宋体" w:cs="宋体"/>
                <w:color w:val="auto"/>
                <w:kern w:val="0"/>
                <w:szCs w:val="21"/>
              </w:rPr>
              <w:t>17</w:t>
            </w:r>
          </w:p>
        </w:tc>
        <w:tc>
          <w:tcPr>
            <w:tcW w:w="1984" w:type="dxa"/>
            <w:tcBorders>
              <w:tl2br w:val="nil"/>
              <w:tr2bl w:val="nil"/>
            </w:tcBorders>
            <w:tcMar>
              <w:top w:w="0" w:type="dxa"/>
              <w:left w:w="108" w:type="dxa"/>
              <w:bottom w:w="0" w:type="dxa"/>
              <w:right w:w="108" w:type="dxa"/>
            </w:tcMar>
            <w:vAlign w:val="center"/>
          </w:tcPr>
          <w:p w14:paraId="38266AE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光能黑板</w:t>
            </w:r>
          </w:p>
        </w:tc>
        <w:tc>
          <w:tcPr>
            <w:tcW w:w="650" w:type="dxa"/>
            <w:tcBorders>
              <w:tl2br w:val="nil"/>
              <w:tr2bl w:val="nil"/>
            </w:tcBorders>
            <w:tcMar>
              <w:top w:w="0" w:type="dxa"/>
              <w:left w:w="108" w:type="dxa"/>
              <w:bottom w:w="0" w:type="dxa"/>
              <w:right w:w="108" w:type="dxa"/>
            </w:tcMar>
            <w:vAlign w:val="center"/>
          </w:tcPr>
          <w:p w14:paraId="046D6983">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w:t>
            </w:r>
          </w:p>
        </w:tc>
        <w:tc>
          <w:tcPr>
            <w:tcW w:w="680" w:type="dxa"/>
            <w:tcBorders>
              <w:tl2br w:val="nil"/>
              <w:tr2bl w:val="nil"/>
            </w:tcBorders>
            <w:tcMar>
              <w:top w:w="0" w:type="dxa"/>
              <w:left w:w="108" w:type="dxa"/>
              <w:bottom w:w="0" w:type="dxa"/>
              <w:right w:w="108" w:type="dxa"/>
            </w:tcMar>
            <w:vAlign w:val="center"/>
          </w:tcPr>
          <w:p w14:paraId="490A9A13">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块</w:t>
            </w:r>
          </w:p>
        </w:tc>
        <w:tc>
          <w:tcPr>
            <w:tcW w:w="1516" w:type="dxa"/>
            <w:tcBorders>
              <w:tl2br w:val="nil"/>
              <w:tr2bl w:val="nil"/>
            </w:tcBorders>
            <w:tcMar>
              <w:top w:w="0" w:type="dxa"/>
              <w:left w:w="108" w:type="dxa"/>
              <w:bottom w:w="0" w:type="dxa"/>
              <w:right w:w="108" w:type="dxa"/>
            </w:tcMar>
            <w:vAlign w:val="center"/>
          </w:tcPr>
          <w:p w14:paraId="3946239C">
            <w:pPr>
              <w:widowControl/>
              <w:jc w:val="center"/>
              <w:textAlignment w:val="center"/>
              <w:rPr>
                <w:rFonts w:ascii="宋体" w:hAnsi="宋体" w:cs="宋体"/>
                <w:color w:val="auto"/>
                <w:kern w:val="0"/>
                <w:sz w:val="20"/>
                <w:lang w:bidi="ar"/>
              </w:rPr>
            </w:pPr>
            <w:r>
              <w:rPr>
                <w:rFonts w:ascii="宋体" w:hAnsi="宋体" w:cs="宋体"/>
                <w:color w:val="auto"/>
                <w:kern w:val="0"/>
                <w:szCs w:val="21"/>
              </w:rPr>
              <w:t>8000.00</w:t>
            </w:r>
          </w:p>
        </w:tc>
        <w:tc>
          <w:tcPr>
            <w:tcW w:w="2948" w:type="dxa"/>
            <w:vMerge w:val="continue"/>
            <w:tcBorders>
              <w:tl2br w:val="nil"/>
              <w:tr2bl w:val="nil"/>
            </w:tcBorders>
            <w:tcMar>
              <w:top w:w="0" w:type="dxa"/>
              <w:left w:w="108" w:type="dxa"/>
              <w:bottom w:w="0" w:type="dxa"/>
              <w:right w:w="108" w:type="dxa"/>
            </w:tcMar>
            <w:vAlign w:val="center"/>
          </w:tcPr>
          <w:p w14:paraId="0C7A5867">
            <w:pPr>
              <w:pStyle w:val="37"/>
              <w:wordWrap w:val="0"/>
              <w:spacing w:before="0" w:beforeAutospacing="0" w:after="0" w:afterAutospacing="0"/>
              <w:textAlignment w:val="center"/>
              <w:rPr>
                <w:rFonts w:cs="宋体"/>
                <w:color w:val="auto"/>
                <w:sz w:val="21"/>
                <w:szCs w:val="21"/>
              </w:rPr>
            </w:pPr>
          </w:p>
        </w:tc>
      </w:tr>
      <w:tr w14:paraId="6D4682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1DC5AA6F">
            <w:pPr>
              <w:widowControl/>
              <w:jc w:val="center"/>
              <w:textAlignment w:val="center"/>
              <w:rPr>
                <w:rFonts w:ascii="宋体" w:hAnsi="宋体" w:cs="宋体"/>
                <w:color w:val="auto"/>
                <w:kern w:val="0"/>
                <w:szCs w:val="21"/>
              </w:rPr>
            </w:pPr>
            <w:r>
              <w:rPr>
                <w:rFonts w:hint="eastAsia" w:ascii="宋体" w:hAnsi="宋体" w:cs="宋体"/>
                <w:color w:val="auto"/>
                <w:kern w:val="0"/>
                <w:szCs w:val="21"/>
              </w:rPr>
              <w:t>18</w:t>
            </w:r>
          </w:p>
        </w:tc>
        <w:tc>
          <w:tcPr>
            <w:tcW w:w="1984" w:type="dxa"/>
            <w:tcBorders>
              <w:tl2br w:val="nil"/>
              <w:tr2bl w:val="nil"/>
            </w:tcBorders>
            <w:tcMar>
              <w:top w:w="0" w:type="dxa"/>
              <w:left w:w="108" w:type="dxa"/>
              <w:bottom w:w="0" w:type="dxa"/>
              <w:right w:w="108" w:type="dxa"/>
            </w:tcMar>
            <w:vAlign w:val="center"/>
          </w:tcPr>
          <w:p w14:paraId="6FD6F5F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一体化多媒体设备柜</w:t>
            </w:r>
          </w:p>
        </w:tc>
        <w:tc>
          <w:tcPr>
            <w:tcW w:w="650" w:type="dxa"/>
            <w:tcBorders>
              <w:tl2br w:val="nil"/>
              <w:tr2bl w:val="nil"/>
            </w:tcBorders>
            <w:tcMar>
              <w:top w:w="0" w:type="dxa"/>
              <w:left w:w="108" w:type="dxa"/>
              <w:bottom w:w="0" w:type="dxa"/>
              <w:right w:w="108" w:type="dxa"/>
            </w:tcMar>
            <w:vAlign w:val="center"/>
          </w:tcPr>
          <w:p w14:paraId="67B7147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80" w:type="dxa"/>
            <w:tcBorders>
              <w:tl2br w:val="nil"/>
              <w:tr2bl w:val="nil"/>
            </w:tcBorders>
            <w:tcMar>
              <w:top w:w="0" w:type="dxa"/>
              <w:left w:w="108" w:type="dxa"/>
              <w:bottom w:w="0" w:type="dxa"/>
              <w:right w:w="108" w:type="dxa"/>
            </w:tcMar>
            <w:vAlign w:val="center"/>
          </w:tcPr>
          <w:p w14:paraId="1F0DB03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7CBE8375">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2760.00</w:t>
            </w:r>
          </w:p>
        </w:tc>
        <w:tc>
          <w:tcPr>
            <w:tcW w:w="2948" w:type="dxa"/>
            <w:vMerge w:val="continue"/>
            <w:tcBorders>
              <w:tl2br w:val="nil"/>
              <w:tr2bl w:val="nil"/>
            </w:tcBorders>
            <w:tcMar>
              <w:top w:w="0" w:type="dxa"/>
              <w:left w:w="108" w:type="dxa"/>
              <w:bottom w:w="0" w:type="dxa"/>
              <w:right w:w="108" w:type="dxa"/>
            </w:tcMar>
            <w:vAlign w:val="center"/>
          </w:tcPr>
          <w:p w14:paraId="71C2A926">
            <w:pPr>
              <w:pStyle w:val="37"/>
              <w:wordWrap w:val="0"/>
              <w:spacing w:before="0" w:beforeAutospacing="0" w:after="0" w:afterAutospacing="0"/>
              <w:textAlignment w:val="center"/>
              <w:rPr>
                <w:rFonts w:cs="宋体"/>
                <w:color w:val="auto"/>
                <w:sz w:val="21"/>
                <w:szCs w:val="21"/>
              </w:rPr>
            </w:pPr>
          </w:p>
        </w:tc>
      </w:tr>
      <w:tr w14:paraId="0E9CEE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2599777A">
            <w:pPr>
              <w:widowControl/>
              <w:jc w:val="center"/>
              <w:textAlignment w:val="center"/>
              <w:rPr>
                <w:rFonts w:ascii="宋体" w:hAnsi="宋体" w:cs="宋体"/>
                <w:color w:val="auto"/>
                <w:kern w:val="0"/>
                <w:szCs w:val="21"/>
              </w:rPr>
            </w:pPr>
            <w:r>
              <w:rPr>
                <w:rFonts w:hint="eastAsia" w:ascii="宋体" w:hAnsi="宋体" w:cs="宋体"/>
                <w:color w:val="auto"/>
                <w:kern w:val="0"/>
                <w:szCs w:val="21"/>
              </w:rPr>
              <w:t>19</w:t>
            </w:r>
          </w:p>
        </w:tc>
        <w:tc>
          <w:tcPr>
            <w:tcW w:w="1984" w:type="dxa"/>
            <w:tcBorders>
              <w:tl2br w:val="nil"/>
              <w:tr2bl w:val="nil"/>
            </w:tcBorders>
            <w:tcMar>
              <w:top w:w="0" w:type="dxa"/>
              <w:left w:w="108" w:type="dxa"/>
              <w:bottom w:w="0" w:type="dxa"/>
              <w:right w:w="108" w:type="dxa"/>
            </w:tcMar>
            <w:vAlign w:val="center"/>
          </w:tcPr>
          <w:p w14:paraId="77D8B76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拾音扩声主机</w:t>
            </w:r>
          </w:p>
        </w:tc>
        <w:tc>
          <w:tcPr>
            <w:tcW w:w="650" w:type="dxa"/>
            <w:tcBorders>
              <w:tl2br w:val="nil"/>
              <w:tr2bl w:val="nil"/>
            </w:tcBorders>
            <w:tcMar>
              <w:top w:w="0" w:type="dxa"/>
              <w:left w:w="108" w:type="dxa"/>
              <w:bottom w:w="0" w:type="dxa"/>
              <w:right w:w="108" w:type="dxa"/>
            </w:tcMar>
            <w:vAlign w:val="center"/>
          </w:tcPr>
          <w:p w14:paraId="32C1BD5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80" w:type="dxa"/>
            <w:tcBorders>
              <w:tl2br w:val="nil"/>
              <w:tr2bl w:val="nil"/>
            </w:tcBorders>
            <w:tcMar>
              <w:top w:w="0" w:type="dxa"/>
              <w:left w:w="108" w:type="dxa"/>
              <w:bottom w:w="0" w:type="dxa"/>
              <w:right w:w="108" w:type="dxa"/>
            </w:tcMar>
            <w:vAlign w:val="center"/>
          </w:tcPr>
          <w:p w14:paraId="595D096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5E0F7923">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5850.00</w:t>
            </w:r>
          </w:p>
        </w:tc>
        <w:tc>
          <w:tcPr>
            <w:tcW w:w="2948" w:type="dxa"/>
            <w:vMerge w:val="continue"/>
            <w:tcBorders>
              <w:tl2br w:val="nil"/>
              <w:tr2bl w:val="nil"/>
            </w:tcBorders>
            <w:tcMar>
              <w:top w:w="0" w:type="dxa"/>
              <w:left w:w="108" w:type="dxa"/>
              <w:bottom w:w="0" w:type="dxa"/>
              <w:right w:w="108" w:type="dxa"/>
            </w:tcMar>
            <w:vAlign w:val="center"/>
          </w:tcPr>
          <w:p w14:paraId="6CD9B371">
            <w:pPr>
              <w:pStyle w:val="37"/>
              <w:wordWrap w:val="0"/>
              <w:spacing w:before="0" w:beforeAutospacing="0" w:after="0" w:afterAutospacing="0"/>
              <w:textAlignment w:val="center"/>
              <w:rPr>
                <w:rFonts w:cs="宋体"/>
                <w:color w:val="auto"/>
                <w:sz w:val="21"/>
                <w:szCs w:val="21"/>
              </w:rPr>
            </w:pPr>
          </w:p>
        </w:tc>
      </w:tr>
      <w:tr w14:paraId="7D013A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7767D855">
            <w:pPr>
              <w:widowControl/>
              <w:jc w:val="center"/>
              <w:textAlignment w:val="center"/>
              <w:rPr>
                <w:rFonts w:ascii="宋体" w:hAnsi="宋体" w:cs="宋体"/>
                <w:color w:val="auto"/>
                <w:kern w:val="0"/>
                <w:szCs w:val="21"/>
              </w:rPr>
            </w:pPr>
            <w:r>
              <w:rPr>
                <w:rFonts w:hint="eastAsia" w:ascii="宋体" w:hAnsi="宋体" w:cs="宋体"/>
                <w:color w:val="auto"/>
                <w:kern w:val="0"/>
                <w:szCs w:val="21"/>
              </w:rPr>
              <w:t>20</w:t>
            </w:r>
          </w:p>
        </w:tc>
        <w:tc>
          <w:tcPr>
            <w:tcW w:w="1984" w:type="dxa"/>
            <w:tcBorders>
              <w:tl2br w:val="nil"/>
              <w:tr2bl w:val="nil"/>
            </w:tcBorders>
            <w:tcMar>
              <w:top w:w="0" w:type="dxa"/>
              <w:left w:w="108" w:type="dxa"/>
              <w:bottom w:w="0" w:type="dxa"/>
              <w:right w:w="108" w:type="dxa"/>
            </w:tcMar>
            <w:vAlign w:val="center"/>
          </w:tcPr>
          <w:p w14:paraId="2858D0ED">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音柱</w:t>
            </w:r>
          </w:p>
        </w:tc>
        <w:tc>
          <w:tcPr>
            <w:tcW w:w="650" w:type="dxa"/>
            <w:tcBorders>
              <w:tl2br w:val="nil"/>
              <w:tr2bl w:val="nil"/>
            </w:tcBorders>
            <w:tcMar>
              <w:top w:w="0" w:type="dxa"/>
              <w:left w:w="108" w:type="dxa"/>
              <w:bottom w:w="0" w:type="dxa"/>
              <w:right w:w="108" w:type="dxa"/>
            </w:tcMar>
            <w:vAlign w:val="center"/>
          </w:tcPr>
          <w:p w14:paraId="20F8D6A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12</w:t>
            </w:r>
          </w:p>
        </w:tc>
        <w:tc>
          <w:tcPr>
            <w:tcW w:w="680" w:type="dxa"/>
            <w:tcBorders>
              <w:tl2br w:val="nil"/>
              <w:tr2bl w:val="nil"/>
            </w:tcBorders>
            <w:tcMar>
              <w:top w:w="0" w:type="dxa"/>
              <w:left w:w="108" w:type="dxa"/>
              <w:bottom w:w="0" w:type="dxa"/>
              <w:right w:w="108" w:type="dxa"/>
            </w:tcMar>
            <w:vAlign w:val="center"/>
          </w:tcPr>
          <w:p w14:paraId="06CF4BF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只</w:t>
            </w:r>
          </w:p>
        </w:tc>
        <w:tc>
          <w:tcPr>
            <w:tcW w:w="1516" w:type="dxa"/>
            <w:tcBorders>
              <w:tl2br w:val="nil"/>
              <w:tr2bl w:val="nil"/>
            </w:tcBorders>
            <w:tcMar>
              <w:top w:w="0" w:type="dxa"/>
              <w:left w:w="108" w:type="dxa"/>
              <w:bottom w:w="0" w:type="dxa"/>
              <w:right w:w="108" w:type="dxa"/>
            </w:tcMar>
            <w:vAlign w:val="center"/>
          </w:tcPr>
          <w:p w14:paraId="060C1F30">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1200.00</w:t>
            </w:r>
          </w:p>
        </w:tc>
        <w:tc>
          <w:tcPr>
            <w:tcW w:w="2948" w:type="dxa"/>
            <w:vMerge w:val="continue"/>
            <w:tcBorders>
              <w:tl2br w:val="nil"/>
              <w:tr2bl w:val="nil"/>
            </w:tcBorders>
            <w:tcMar>
              <w:top w:w="0" w:type="dxa"/>
              <w:left w:w="108" w:type="dxa"/>
              <w:bottom w:w="0" w:type="dxa"/>
              <w:right w:w="108" w:type="dxa"/>
            </w:tcMar>
            <w:vAlign w:val="center"/>
          </w:tcPr>
          <w:p w14:paraId="760C020C">
            <w:pPr>
              <w:pStyle w:val="37"/>
              <w:wordWrap w:val="0"/>
              <w:spacing w:before="0" w:beforeAutospacing="0" w:after="0" w:afterAutospacing="0"/>
              <w:textAlignment w:val="center"/>
              <w:rPr>
                <w:rFonts w:cs="宋体"/>
                <w:color w:val="auto"/>
                <w:sz w:val="21"/>
                <w:szCs w:val="21"/>
              </w:rPr>
            </w:pPr>
          </w:p>
        </w:tc>
      </w:tr>
      <w:tr w14:paraId="6929DF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286D0FC5">
            <w:pPr>
              <w:widowControl/>
              <w:jc w:val="center"/>
              <w:textAlignment w:val="center"/>
              <w:rPr>
                <w:rFonts w:ascii="宋体" w:hAnsi="宋体" w:cs="宋体"/>
                <w:color w:val="auto"/>
                <w:kern w:val="0"/>
                <w:szCs w:val="21"/>
              </w:rPr>
            </w:pPr>
            <w:r>
              <w:rPr>
                <w:rFonts w:hint="eastAsia" w:ascii="宋体" w:hAnsi="宋体" w:cs="宋体"/>
                <w:color w:val="auto"/>
                <w:kern w:val="0"/>
                <w:szCs w:val="21"/>
              </w:rPr>
              <w:t>21</w:t>
            </w:r>
          </w:p>
        </w:tc>
        <w:tc>
          <w:tcPr>
            <w:tcW w:w="1984" w:type="dxa"/>
            <w:tcBorders>
              <w:tl2br w:val="nil"/>
              <w:tr2bl w:val="nil"/>
            </w:tcBorders>
            <w:tcMar>
              <w:top w:w="0" w:type="dxa"/>
              <w:left w:w="108" w:type="dxa"/>
              <w:bottom w:w="0" w:type="dxa"/>
              <w:right w:w="108" w:type="dxa"/>
            </w:tcMar>
            <w:vAlign w:val="center"/>
          </w:tcPr>
          <w:p w14:paraId="1F4D1F5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充电底座</w:t>
            </w:r>
          </w:p>
        </w:tc>
        <w:tc>
          <w:tcPr>
            <w:tcW w:w="650" w:type="dxa"/>
            <w:tcBorders>
              <w:tl2br w:val="nil"/>
              <w:tr2bl w:val="nil"/>
            </w:tcBorders>
            <w:tcMar>
              <w:top w:w="0" w:type="dxa"/>
              <w:left w:w="108" w:type="dxa"/>
              <w:bottom w:w="0" w:type="dxa"/>
              <w:right w:w="108" w:type="dxa"/>
            </w:tcMar>
            <w:vAlign w:val="center"/>
          </w:tcPr>
          <w:p w14:paraId="55C80CB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80" w:type="dxa"/>
            <w:tcBorders>
              <w:tl2br w:val="nil"/>
              <w:tr2bl w:val="nil"/>
            </w:tcBorders>
            <w:tcMar>
              <w:top w:w="0" w:type="dxa"/>
              <w:left w:w="108" w:type="dxa"/>
              <w:bottom w:w="0" w:type="dxa"/>
              <w:right w:w="108" w:type="dxa"/>
            </w:tcMar>
            <w:vAlign w:val="center"/>
          </w:tcPr>
          <w:p w14:paraId="37A1ACD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69641681">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550.00</w:t>
            </w:r>
          </w:p>
        </w:tc>
        <w:tc>
          <w:tcPr>
            <w:tcW w:w="2948" w:type="dxa"/>
            <w:vMerge w:val="continue"/>
            <w:tcBorders>
              <w:tl2br w:val="nil"/>
              <w:tr2bl w:val="nil"/>
            </w:tcBorders>
            <w:tcMar>
              <w:top w:w="0" w:type="dxa"/>
              <w:left w:w="108" w:type="dxa"/>
              <w:bottom w:w="0" w:type="dxa"/>
              <w:right w:w="108" w:type="dxa"/>
            </w:tcMar>
            <w:vAlign w:val="center"/>
          </w:tcPr>
          <w:p w14:paraId="393F9377">
            <w:pPr>
              <w:pStyle w:val="37"/>
              <w:wordWrap w:val="0"/>
              <w:spacing w:before="0" w:beforeAutospacing="0" w:after="0" w:afterAutospacing="0"/>
              <w:textAlignment w:val="center"/>
              <w:rPr>
                <w:rFonts w:cs="宋体"/>
                <w:color w:val="auto"/>
                <w:sz w:val="21"/>
                <w:szCs w:val="21"/>
              </w:rPr>
            </w:pPr>
          </w:p>
        </w:tc>
      </w:tr>
      <w:tr w14:paraId="0164E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7EFC9C33">
            <w:pPr>
              <w:widowControl/>
              <w:jc w:val="center"/>
              <w:textAlignment w:val="center"/>
              <w:rPr>
                <w:rFonts w:ascii="宋体" w:hAnsi="宋体" w:cs="宋体"/>
                <w:color w:val="auto"/>
                <w:kern w:val="0"/>
                <w:szCs w:val="21"/>
              </w:rPr>
            </w:pPr>
            <w:r>
              <w:rPr>
                <w:rFonts w:hint="eastAsia" w:ascii="宋体" w:hAnsi="宋体" w:cs="宋体"/>
                <w:color w:val="auto"/>
                <w:kern w:val="0"/>
                <w:szCs w:val="21"/>
              </w:rPr>
              <w:t>22</w:t>
            </w:r>
          </w:p>
        </w:tc>
        <w:tc>
          <w:tcPr>
            <w:tcW w:w="1984" w:type="dxa"/>
            <w:tcBorders>
              <w:tl2br w:val="nil"/>
              <w:tr2bl w:val="nil"/>
            </w:tcBorders>
            <w:tcMar>
              <w:top w:w="0" w:type="dxa"/>
              <w:left w:w="108" w:type="dxa"/>
              <w:bottom w:w="0" w:type="dxa"/>
              <w:right w:w="108" w:type="dxa"/>
            </w:tcMar>
            <w:vAlign w:val="center"/>
          </w:tcPr>
          <w:p w14:paraId="1C1BB94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吊装式麦克风</w:t>
            </w:r>
          </w:p>
        </w:tc>
        <w:tc>
          <w:tcPr>
            <w:tcW w:w="650" w:type="dxa"/>
            <w:tcBorders>
              <w:tl2br w:val="nil"/>
              <w:tr2bl w:val="nil"/>
            </w:tcBorders>
            <w:tcMar>
              <w:top w:w="0" w:type="dxa"/>
              <w:left w:w="108" w:type="dxa"/>
              <w:bottom w:w="0" w:type="dxa"/>
              <w:right w:w="108" w:type="dxa"/>
            </w:tcMar>
            <w:vAlign w:val="center"/>
          </w:tcPr>
          <w:p w14:paraId="3BAD8F7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6</w:t>
            </w:r>
          </w:p>
        </w:tc>
        <w:tc>
          <w:tcPr>
            <w:tcW w:w="680" w:type="dxa"/>
            <w:tcBorders>
              <w:tl2br w:val="nil"/>
              <w:tr2bl w:val="nil"/>
            </w:tcBorders>
            <w:tcMar>
              <w:top w:w="0" w:type="dxa"/>
              <w:left w:w="108" w:type="dxa"/>
              <w:bottom w:w="0" w:type="dxa"/>
              <w:right w:w="108" w:type="dxa"/>
            </w:tcMar>
            <w:vAlign w:val="center"/>
          </w:tcPr>
          <w:p w14:paraId="20137A9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支</w:t>
            </w:r>
          </w:p>
        </w:tc>
        <w:tc>
          <w:tcPr>
            <w:tcW w:w="1516" w:type="dxa"/>
            <w:tcBorders>
              <w:tl2br w:val="nil"/>
              <w:tr2bl w:val="nil"/>
            </w:tcBorders>
            <w:tcMar>
              <w:top w:w="0" w:type="dxa"/>
              <w:left w:w="108" w:type="dxa"/>
              <w:bottom w:w="0" w:type="dxa"/>
              <w:right w:w="108" w:type="dxa"/>
            </w:tcMar>
            <w:vAlign w:val="center"/>
          </w:tcPr>
          <w:p w14:paraId="5615F3DF">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850.00</w:t>
            </w:r>
          </w:p>
        </w:tc>
        <w:tc>
          <w:tcPr>
            <w:tcW w:w="2948" w:type="dxa"/>
            <w:vMerge w:val="continue"/>
            <w:tcBorders>
              <w:tl2br w:val="nil"/>
              <w:tr2bl w:val="nil"/>
            </w:tcBorders>
            <w:tcMar>
              <w:top w:w="0" w:type="dxa"/>
              <w:left w:w="108" w:type="dxa"/>
              <w:bottom w:w="0" w:type="dxa"/>
              <w:right w:w="108" w:type="dxa"/>
            </w:tcMar>
            <w:vAlign w:val="center"/>
          </w:tcPr>
          <w:p w14:paraId="0457D5AF">
            <w:pPr>
              <w:pStyle w:val="37"/>
              <w:wordWrap w:val="0"/>
              <w:spacing w:before="0" w:beforeAutospacing="0" w:after="0" w:afterAutospacing="0"/>
              <w:textAlignment w:val="center"/>
              <w:rPr>
                <w:rFonts w:cs="宋体"/>
                <w:color w:val="auto"/>
                <w:sz w:val="21"/>
                <w:szCs w:val="21"/>
              </w:rPr>
            </w:pPr>
          </w:p>
        </w:tc>
      </w:tr>
      <w:tr w14:paraId="755650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6D1D37FA">
            <w:pPr>
              <w:widowControl/>
              <w:jc w:val="center"/>
              <w:textAlignment w:val="center"/>
              <w:rPr>
                <w:rFonts w:ascii="宋体" w:hAnsi="宋体" w:cs="宋体"/>
                <w:color w:val="auto"/>
                <w:kern w:val="0"/>
                <w:szCs w:val="21"/>
              </w:rPr>
            </w:pPr>
            <w:r>
              <w:rPr>
                <w:rFonts w:hint="eastAsia" w:ascii="宋体" w:hAnsi="宋体" w:cs="宋体"/>
                <w:color w:val="auto"/>
                <w:kern w:val="0"/>
                <w:szCs w:val="21"/>
              </w:rPr>
              <w:t>23</w:t>
            </w:r>
          </w:p>
        </w:tc>
        <w:tc>
          <w:tcPr>
            <w:tcW w:w="1984" w:type="dxa"/>
            <w:tcBorders>
              <w:tl2br w:val="nil"/>
              <w:tr2bl w:val="nil"/>
            </w:tcBorders>
            <w:tcMar>
              <w:top w:w="0" w:type="dxa"/>
              <w:left w:w="108" w:type="dxa"/>
              <w:bottom w:w="0" w:type="dxa"/>
              <w:right w:w="108" w:type="dxa"/>
            </w:tcMar>
            <w:vAlign w:val="center"/>
          </w:tcPr>
          <w:p w14:paraId="7116E5F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无线麦克风</w:t>
            </w:r>
          </w:p>
        </w:tc>
        <w:tc>
          <w:tcPr>
            <w:tcW w:w="650" w:type="dxa"/>
            <w:tcBorders>
              <w:tl2br w:val="nil"/>
              <w:tr2bl w:val="nil"/>
            </w:tcBorders>
            <w:tcMar>
              <w:top w:w="0" w:type="dxa"/>
              <w:left w:w="108" w:type="dxa"/>
              <w:bottom w:w="0" w:type="dxa"/>
              <w:right w:w="108" w:type="dxa"/>
            </w:tcMar>
            <w:vAlign w:val="center"/>
          </w:tcPr>
          <w:p w14:paraId="297A343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80" w:type="dxa"/>
            <w:tcBorders>
              <w:tl2br w:val="nil"/>
              <w:tr2bl w:val="nil"/>
            </w:tcBorders>
            <w:tcMar>
              <w:top w:w="0" w:type="dxa"/>
              <w:left w:w="108" w:type="dxa"/>
              <w:bottom w:w="0" w:type="dxa"/>
              <w:right w:w="108" w:type="dxa"/>
            </w:tcMar>
            <w:vAlign w:val="center"/>
          </w:tcPr>
          <w:p w14:paraId="7A6FCDC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支</w:t>
            </w:r>
          </w:p>
        </w:tc>
        <w:tc>
          <w:tcPr>
            <w:tcW w:w="1516" w:type="dxa"/>
            <w:tcBorders>
              <w:tl2br w:val="nil"/>
              <w:tr2bl w:val="nil"/>
            </w:tcBorders>
            <w:tcMar>
              <w:top w:w="0" w:type="dxa"/>
              <w:left w:w="108" w:type="dxa"/>
              <w:bottom w:w="0" w:type="dxa"/>
              <w:right w:w="108" w:type="dxa"/>
            </w:tcMar>
            <w:vAlign w:val="center"/>
          </w:tcPr>
          <w:p w14:paraId="0CB2E1FB">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900.00</w:t>
            </w:r>
          </w:p>
        </w:tc>
        <w:tc>
          <w:tcPr>
            <w:tcW w:w="2948" w:type="dxa"/>
            <w:vMerge w:val="continue"/>
            <w:tcBorders>
              <w:tl2br w:val="nil"/>
              <w:tr2bl w:val="nil"/>
            </w:tcBorders>
            <w:tcMar>
              <w:top w:w="0" w:type="dxa"/>
              <w:left w:w="108" w:type="dxa"/>
              <w:bottom w:w="0" w:type="dxa"/>
              <w:right w:w="108" w:type="dxa"/>
            </w:tcMar>
            <w:vAlign w:val="center"/>
          </w:tcPr>
          <w:p w14:paraId="51037AE4">
            <w:pPr>
              <w:pStyle w:val="37"/>
              <w:wordWrap w:val="0"/>
              <w:spacing w:before="0" w:beforeAutospacing="0" w:after="0" w:afterAutospacing="0"/>
              <w:textAlignment w:val="center"/>
              <w:rPr>
                <w:rFonts w:cs="宋体"/>
                <w:color w:val="auto"/>
                <w:sz w:val="21"/>
                <w:szCs w:val="21"/>
              </w:rPr>
            </w:pPr>
          </w:p>
        </w:tc>
      </w:tr>
      <w:tr w14:paraId="51FDD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251B7017">
            <w:pPr>
              <w:widowControl/>
              <w:jc w:val="center"/>
              <w:textAlignment w:val="center"/>
              <w:rPr>
                <w:rFonts w:ascii="宋体" w:hAnsi="宋体" w:cs="宋体"/>
                <w:color w:val="auto"/>
                <w:kern w:val="0"/>
                <w:szCs w:val="21"/>
              </w:rPr>
            </w:pPr>
            <w:r>
              <w:rPr>
                <w:rFonts w:hint="eastAsia" w:ascii="宋体" w:hAnsi="宋体" w:cs="宋体"/>
                <w:color w:val="auto"/>
                <w:kern w:val="0"/>
                <w:szCs w:val="21"/>
              </w:rPr>
              <w:t>24</w:t>
            </w:r>
          </w:p>
        </w:tc>
        <w:tc>
          <w:tcPr>
            <w:tcW w:w="1984" w:type="dxa"/>
            <w:tcBorders>
              <w:tl2br w:val="nil"/>
              <w:tr2bl w:val="nil"/>
            </w:tcBorders>
            <w:tcMar>
              <w:top w:w="0" w:type="dxa"/>
              <w:left w:w="108" w:type="dxa"/>
              <w:bottom w:w="0" w:type="dxa"/>
              <w:right w:w="108" w:type="dxa"/>
            </w:tcMar>
            <w:vAlign w:val="center"/>
          </w:tcPr>
          <w:p w14:paraId="2E8FCF3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数字红外接收器</w:t>
            </w:r>
          </w:p>
        </w:tc>
        <w:tc>
          <w:tcPr>
            <w:tcW w:w="650" w:type="dxa"/>
            <w:tcBorders>
              <w:tl2br w:val="nil"/>
              <w:tr2bl w:val="nil"/>
            </w:tcBorders>
            <w:tcMar>
              <w:top w:w="0" w:type="dxa"/>
              <w:left w:w="108" w:type="dxa"/>
              <w:bottom w:w="0" w:type="dxa"/>
              <w:right w:w="108" w:type="dxa"/>
            </w:tcMar>
            <w:vAlign w:val="center"/>
          </w:tcPr>
          <w:p w14:paraId="30E6570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6</w:t>
            </w:r>
          </w:p>
        </w:tc>
        <w:tc>
          <w:tcPr>
            <w:tcW w:w="680" w:type="dxa"/>
            <w:tcBorders>
              <w:tl2br w:val="nil"/>
              <w:tr2bl w:val="nil"/>
            </w:tcBorders>
            <w:tcMar>
              <w:top w:w="0" w:type="dxa"/>
              <w:left w:w="108" w:type="dxa"/>
              <w:bottom w:w="0" w:type="dxa"/>
              <w:right w:w="108" w:type="dxa"/>
            </w:tcMar>
            <w:vAlign w:val="center"/>
          </w:tcPr>
          <w:p w14:paraId="04F0778B">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个</w:t>
            </w:r>
          </w:p>
        </w:tc>
        <w:tc>
          <w:tcPr>
            <w:tcW w:w="1516" w:type="dxa"/>
            <w:tcBorders>
              <w:tl2br w:val="nil"/>
              <w:tr2bl w:val="nil"/>
            </w:tcBorders>
            <w:tcMar>
              <w:top w:w="0" w:type="dxa"/>
              <w:left w:w="108" w:type="dxa"/>
              <w:bottom w:w="0" w:type="dxa"/>
              <w:right w:w="108" w:type="dxa"/>
            </w:tcMar>
            <w:vAlign w:val="center"/>
          </w:tcPr>
          <w:p w14:paraId="579F4229">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440.00</w:t>
            </w:r>
          </w:p>
        </w:tc>
        <w:tc>
          <w:tcPr>
            <w:tcW w:w="2948" w:type="dxa"/>
            <w:vMerge w:val="continue"/>
            <w:tcBorders>
              <w:tl2br w:val="nil"/>
              <w:tr2bl w:val="nil"/>
            </w:tcBorders>
            <w:tcMar>
              <w:top w:w="0" w:type="dxa"/>
              <w:left w:w="108" w:type="dxa"/>
              <w:bottom w:w="0" w:type="dxa"/>
              <w:right w:w="108" w:type="dxa"/>
            </w:tcMar>
            <w:vAlign w:val="center"/>
          </w:tcPr>
          <w:p w14:paraId="5E19EA19">
            <w:pPr>
              <w:pStyle w:val="37"/>
              <w:wordWrap w:val="0"/>
              <w:spacing w:before="0" w:beforeAutospacing="0" w:after="0" w:afterAutospacing="0"/>
              <w:textAlignment w:val="center"/>
              <w:rPr>
                <w:rFonts w:cs="宋体"/>
                <w:color w:val="auto"/>
                <w:sz w:val="21"/>
                <w:szCs w:val="21"/>
              </w:rPr>
            </w:pPr>
          </w:p>
        </w:tc>
      </w:tr>
      <w:tr w14:paraId="59B472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54969DAA">
            <w:pPr>
              <w:widowControl/>
              <w:jc w:val="center"/>
              <w:textAlignment w:val="center"/>
              <w:rPr>
                <w:rFonts w:ascii="宋体" w:hAnsi="宋体" w:cs="宋体"/>
                <w:color w:val="auto"/>
                <w:kern w:val="0"/>
                <w:szCs w:val="21"/>
              </w:rPr>
            </w:pPr>
            <w:r>
              <w:rPr>
                <w:rFonts w:hint="eastAsia" w:ascii="宋体" w:hAnsi="宋体" w:cs="宋体"/>
                <w:color w:val="auto"/>
                <w:kern w:val="0"/>
                <w:szCs w:val="21"/>
              </w:rPr>
              <w:t>25</w:t>
            </w:r>
          </w:p>
        </w:tc>
        <w:tc>
          <w:tcPr>
            <w:tcW w:w="1984" w:type="dxa"/>
            <w:tcBorders>
              <w:tl2br w:val="nil"/>
              <w:tr2bl w:val="nil"/>
            </w:tcBorders>
            <w:tcMar>
              <w:top w:w="0" w:type="dxa"/>
              <w:left w:w="108" w:type="dxa"/>
              <w:bottom w:w="0" w:type="dxa"/>
              <w:right w:w="108" w:type="dxa"/>
            </w:tcMar>
            <w:vAlign w:val="center"/>
          </w:tcPr>
          <w:p w14:paraId="31091D3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智慧管理主机</w:t>
            </w:r>
          </w:p>
        </w:tc>
        <w:tc>
          <w:tcPr>
            <w:tcW w:w="650" w:type="dxa"/>
            <w:tcBorders>
              <w:tl2br w:val="nil"/>
              <w:tr2bl w:val="nil"/>
            </w:tcBorders>
            <w:tcMar>
              <w:top w:w="0" w:type="dxa"/>
              <w:left w:w="108" w:type="dxa"/>
              <w:bottom w:w="0" w:type="dxa"/>
              <w:right w:w="108" w:type="dxa"/>
            </w:tcMar>
            <w:vAlign w:val="center"/>
          </w:tcPr>
          <w:p w14:paraId="74DD601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80" w:type="dxa"/>
            <w:tcBorders>
              <w:tl2br w:val="nil"/>
              <w:tr2bl w:val="nil"/>
            </w:tcBorders>
            <w:tcMar>
              <w:top w:w="0" w:type="dxa"/>
              <w:left w:w="108" w:type="dxa"/>
              <w:bottom w:w="0" w:type="dxa"/>
              <w:right w:w="108" w:type="dxa"/>
            </w:tcMar>
            <w:vAlign w:val="center"/>
          </w:tcPr>
          <w:p w14:paraId="135B4AC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1FBAFBFF">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8400.00</w:t>
            </w:r>
          </w:p>
        </w:tc>
        <w:tc>
          <w:tcPr>
            <w:tcW w:w="2948" w:type="dxa"/>
            <w:vMerge w:val="continue"/>
            <w:tcBorders>
              <w:tl2br w:val="nil"/>
              <w:tr2bl w:val="nil"/>
            </w:tcBorders>
            <w:tcMar>
              <w:top w:w="0" w:type="dxa"/>
              <w:left w:w="108" w:type="dxa"/>
              <w:bottom w:w="0" w:type="dxa"/>
              <w:right w:w="108" w:type="dxa"/>
            </w:tcMar>
            <w:vAlign w:val="center"/>
          </w:tcPr>
          <w:p w14:paraId="20498BB6">
            <w:pPr>
              <w:pStyle w:val="37"/>
              <w:wordWrap w:val="0"/>
              <w:spacing w:before="0" w:beforeAutospacing="0" w:after="0" w:afterAutospacing="0"/>
              <w:textAlignment w:val="center"/>
              <w:rPr>
                <w:rFonts w:cs="宋体"/>
                <w:color w:val="auto"/>
                <w:sz w:val="21"/>
                <w:szCs w:val="21"/>
              </w:rPr>
            </w:pPr>
          </w:p>
        </w:tc>
      </w:tr>
      <w:tr w14:paraId="7078ED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3865B402">
            <w:pPr>
              <w:widowControl/>
              <w:jc w:val="center"/>
              <w:textAlignment w:val="center"/>
              <w:rPr>
                <w:rFonts w:ascii="宋体" w:hAnsi="宋体" w:cs="宋体"/>
                <w:color w:val="auto"/>
                <w:kern w:val="0"/>
                <w:szCs w:val="21"/>
              </w:rPr>
            </w:pPr>
            <w:r>
              <w:rPr>
                <w:rFonts w:hint="eastAsia" w:ascii="宋体" w:hAnsi="宋体" w:cs="宋体"/>
                <w:color w:val="auto"/>
                <w:kern w:val="0"/>
                <w:szCs w:val="21"/>
              </w:rPr>
              <w:t>26</w:t>
            </w:r>
          </w:p>
        </w:tc>
        <w:tc>
          <w:tcPr>
            <w:tcW w:w="1984" w:type="dxa"/>
            <w:tcBorders>
              <w:tl2br w:val="nil"/>
              <w:tr2bl w:val="nil"/>
            </w:tcBorders>
            <w:tcMar>
              <w:top w:w="0" w:type="dxa"/>
              <w:left w:w="108" w:type="dxa"/>
              <w:bottom w:w="0" w:type="dxa"/>
              <w:right w:w="108" w:type="dxa"/>
            </w:tcMar>
            <w:vAlign w:val="center"/>
          </w:tcPr>
          <w:p w14:paraId="2AB9B06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触摸控制面板</w:t>
            </w:r>
          </w:p>
        </w:tc>
        <w:tc>
          <w:tcPr>
            <w:tcW w:w="650" w:type="dxa"/>
            <w:tcBorders>
              <w:tl2br w:val="nil"/>
              <w:tr2bl w:val="nil"/>
            </w:tcBorders>
            <w:tcMar>
              <w:top w:w="0" w:type="dxa"/>
              <w:left w:w="108" w:type="dxa"/>
              <w:bottom w:w="0" w:type="dxa"/>
              <w:right w:w="108" w:type="dxa"/>
            </w:tcMar>
            <w:vAlign w:val="center"/>
          </w:tcPr>
          <w:p w14:paraId="312D7CD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80" w:type="dxa"/>
            <w:tcBorders>
              <w:tl2br w:val="nil"/>
              <w:tr2bl w:val="nil"/>
            </w:tcBorders>
            <w:tcMar>
              <w:top w:w="0" w:type="dxa"/>
              <w:left w:w="108" w:type="dxa"/>
              <w:bottom w:w="0" w:type="dxa"/>
              <w:right w:w="108" w:type="dxa"/>
            </w:tcMar>
            <w:vAlign w:val="center"/>
          </w:tcPr>
          <w:p w14:paraId="6B54F94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294C5827">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1500.00</w:t>
            </w:r>
          </w:p>
        </w:tc>
        <w:tc>
          <w:tcPr>
            <w:tcW w:w="2948" w:type="dxa"/>
            <w:vMerge w:val="continue"/>
            <w:tcBorders>
              <w:tl2br w:val="nil"/>
              <w:tr2bl w:val="nil"/>
            </w:tcBorders>
            <w:tcMar>
              <w:top w:w="0" w:type="dxa"/>
              <w:left w:w="108" w:type="dxa"/>
              <w:bottom w:w="0" w:type="dxa"/>
              <w:right w:w="108" w:type="dxa"/>
            </w:tcMar>
            <w:vAlign w:val="center"/>
          </w:tcPr>
          <w:p w14:paraId="1A3B5B62">
            <w:pPr>
              <w:pStyle w:val="37"/>
              <w:wordWrap w:val="0"/>
              <w:spacing w:before="0" w:beforeAutospacing="0" w:after="0" w:afterAutospacing="0"/>
              <w:textAlignment w:val="center"/>
              <w:rPr>
                <w:rFonts w:cs="宋体"/>
                <w:color w:val="auto"/>
                <w:sz w:val="21"/>
                <w:szCs w:val="21"/>
              </w:rPr>
            </w:pPr>
          </w:p>
        </w:tc>
      </w:tr>
      <w:tr w14:paraId="6EBA6F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16C33F7C">
            <w:pPr>
              <w:widowControl/>
              <w:jc w:val="center"/>
              <w:textAlignment w:val="center"/>
              <w:rPr>
                <w:rFonts w:ascii="宋体" w:hAnsi="宋体" w:cs="宋体"/>
                <w:color w:val="auto"/>
                <w:kern w:val="0"/>
                <w:szCs w:val="21"/>
              </w:rPr>
            </w:pPr>
            <w:r>
              <w:rPr>
                <w:rFonts w:hint="eastAsia" w:ascii="宋体" w:hAnsi="宋体" w:cs="宋体"/>
                <w:color w:val="auto"/>
                <w:kern w:val="0"/>
                <w:szCs w:val="21"/>
              </w:rPr>
              <w:t>27</w:t>
            </w:r>
          </w:p>
        </w:tc>
        <w:tc>
          <w:tcPr>
            <w:tcW w:w="1984" w:type="dxa"/>
            <w:tcBorders>
              <w:tl2br w:val="nil"/>
              <w:tr2bl w:val="nil"/>
            </w:tcBorders>
            <w:tcMar>
              <w:top w:w="0" w:type="dxa"/>
              <w:left w:w="108" w:type="dxa"/>
              <w:bottom w:w="0" w:type="dxa"/>
              <w:right w:w="108" w:type="dxa"/>
            </w:tcMar>
            <w:vAlign w:val="center"/>
          </w:tcPr>
          <w:p w14:paraId="4B5D6F6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电源时序控制器</w:t>
            </w:r>
          </w:p>
        </w:tc>
        <w:tc>
          <w:tcPr>
            <w:tcW w:w="650" w:type="dxa"/>
            <w:tcBorders>
              <w:tl2br w:val="nil"/>
              <w:tr2bl w:val="nil"/>
            </w:tcBorders>
            <w:tcMar>
              <w:top w:w="0" w:type="dxa"/>
              <w:left w:w="108" w:type="dxa"/>
              <w:bottom w:w="0" w:type="dxa"/>
              <w:right w:w="108" w:type="dxa"/>
            </w:tcMar>
            <w:vAlign w:val="center"/>
          </w:tcPr>
          <w:p w14:paraId="710B342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80" w:type="dxa"/>
            <w:tcBorders>
              <w:tl2br w:val="nil"/>
              <w:tr2bl w:val="nil"/>
            </w:tcBorders>
            <w:tcMar>
              <w:top w:w="0" w:type="dxa"/>
              <w:left w:w="108" w:type="dxa"/>
              <w:bottom w:w="0" w:type="dxa"/>
              <w:right w:w="108" w:type="dxa"/>
            </w:tcMar>
            <w:vAlign w:val="center"/>
          </w:tcPr>
          <w:p w14:paraId="665A230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729259AA">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800.00</w:t>
            </w:r>
          </w:p>
        </w:tc>
        <w:tc>
          <w:tcPr>
            <w:tcW w:w="2948" w:type="dxa"/>
            <w:vMerge w:val="continue"/>
            <w:tcBorders>
              <w:tl2br w:val="nil"/>
              <w:tr2bl w:val="nil"/>
            </w:tcBorders>
            <w:tcMar>
              <w:top w:w="0" w:type="dxa"/>
              <w:left w:w="108" w:type="dxa"/>
              <w:bottom w:w="0" w:type="dxa"/>
              <w:right w:w="108" w:type="dxa"/>
            </w:tcMar>
            <w:vAlign w:val="center"/>
          </w:tcPr>
          <w:p w14:paraId="640B5D29">
            <w:pPr>
              <w:pStyle w:val="37"/>
              <w:wordWrap w:val="0"/>
              <w:spacing w:before="0" w:beforeAutospacing="0" w:after="0" w:afterAutospacing="0"/>
              <w:textAlignment w:val="center"/>
              <w:rPr>
                <w:rFonts w:cs="宋体"/>
                <w:color w:val="auto"/>
                <w:sz w:val="21"/>
                <w:szCs w:val="21"/>
              </w:rPr>
            </w:pPr>
          </w:p>
        </w:tc>
      </w:tr>
      <w:tr w14:paraId="1724B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60973673">
            <w:pPr>
              <w:widowControl/>
              <w:jc w:val="center"/>
              <w:textAlignment w:val="center"/>
              <w:rPr>
                <w:rFonts w:ascii="宋体" w:hAnsi="宋体" w:cs="宋体"/>
                <w:color w:val="auto"/>
                <w:kern w:val="0"/>
                <w:szCs w:val="21"/>
              </w:rPr>
            </w:pPr>
            <w:r>
              <w:rPr>
                <w:rFonts w:hint="eastAsia" w:ascii="宋体" w:hAnsi="宋体" w:cs="宋体"/>
                <w:color w:val="auto"/>
                <w:kern w:val="0"/>
                <w:szCs w:val="21"/>
              </w:rPr>
              <w:t>28</w:t>
            </w:r>
          </w:p>
        </w:tc>
        <w:tc>
          <w:tcPr>
            <w:tcW w:w="1984" w:type="dxa"/>
            <w:tcBorders>
              <w:tl2br w:val="nil"/>
              <w:tr2bl w:val="nil"/>
            </w:tcBorders>
            <w:tcMar>
              <w:top w:w="0" w:type="dxa"/>
              <w:left w:w="108" w:type="dxa"/>
              <w:bottom w:w="0" w:type="dxa"/>
              <w:right w:w="108" w:type="dxa"/>
            </w:tcMar>
            <w:vAlign w:val="center"/>
          </w:tcPr>
          <w:p w14:paraId="3C3B953B">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高清录播系统</w:t>
            </w:r>
          </w:p>
        </w:tc>
        <w:tc>
          <w:tcPr>
            <w:tcW w:w="650" w:type="dxa"/>
            <w:tcBorders>
              <w:tl2br w:val="nil"/>
              <w:tr2bl w:val="nil"/>
            </w:tcBorders>
            <w:tcMar>
              <w:top w:w="0" w:type="dxa"/>
              <w:left w:w="108" w:type="dxa"/>
              <w:bottom w:w="0" w:type="dxa"/>
              <w:right w:w="108" w:type="dxa"/>
            </w:tcMar>
            <w:vAlign w:val="center"/>
          </w:tcPr>
          <w:p w14:paraId="197CEBD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80" w:type="dxa"/>
            <w:tcBorders>
              <w:tl2br w:val="nil"/>
              <w:tr2bl w:val="nil"/>
            </w:tcBorders>
            <w:tcMar>
              <w:top w:w="0" w:type="dxa"/>
              <w:left w:w="108" w:type="dxa"/>
              <w:bottom w:w="0" w:type="dxa"/>
              <w:right w:w="108" w:type="dxa"/>
            </w:tcMar>
            <w:vAlign w:val="center"/>
          </w:tcPr>
          <w:p w14:paraId="14E9628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0518C1EF">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59800.00</w:t>
            </w:r>
          </w:p>
        </w:tc>
        <w:tc>
          <w:tcPr>
            <w:tcW w:w="2948" w:type="dxa"/>
            <w:vMerge w:val="continue"/>
            <w:tcBorders>
              <w:tl2br w:val="nil"/>
              <w:tr2bl w:val="nil"/>
            </w:tcBorders>
            <w:tcMar>
              <w:top w:w="0" w:type="dxa"/>
              <w:left w:w="108" w:type="dxa"/>
              <w:bottom w:w="0" w:type="dxa"/>
              <w:right w:w="108" w:type="dxa"/>
            </w:tcMar>
            <w:vAlign w:val="center"/>
          </w:tcPr>
          <w:p w14:paraId="0ED83277">
            <w:pPr>
              <w:pStyle w:val="37"/>
              <w:wordWrap w:val="0"/>
              <w:spacing w:before="0" w:beforeAutospacing="0" w:after="0" w:afterAutospacing="0"/>
              <w:textAlignment w:val="center"/>
              <w:rPr>
                <w:rFonts w:cs="宋体"/>
                <w:color w:val="auto"/>
                <w:sz w:val="21"/>
                <w:szCs w:val="21"/>
              </w:rPr>
            </w:pPr>
          </w:p>
        </w:tc>
      </w:tr>
      <w:tr w14:paraId="0A1D2A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0B451299">
            <w:pPr>
              <w:widowControl/>
              <w:jc w:val="center"/>
              <w:textAlignment w:val="center"/>
              <w:rPr>
                <w:rFonts w:ascii="宋体" w:hAnsi="宋体" w:cs="宋体"/>
                <w:color w:val="auto"/>
                <w:kern w:val="0"/>
                <w:szCs w:val="21"/>
              </w:rPr>
            </w:pPr>
            <w:r>
              <w:rPr>
                <w:rFonts w:hint="eastAsia" w:ascii="宋体" w:hAnsi="宋体" w:cs="宋体"/>
                <w:color w:val="auto"/>
                <w:kern w:val="0"/>
                <w:szCs w:val="21"/>
              </w:rPr>
              <w:t>29</w:t>
            </w:r>
          </w:p>
        </w:tc>
        <w:tc>
          <w:tcPr>
            <w:tcW w:w="1984" w:type="dxa"/>
            <w:tcBorders>
              <w:tl2br w:val="nil"/>
              <w:tr2bl w:val="nil"/>
            </w:tcBorders>
            <w:tcMar>
              <w:top w:w="0" w:type="dxa"/>
              <w:left w:w="108" w:type="dxa"/>
              <w:bottom w:w="0" w:type="dxa"/>
              <w:right w:w="108" w:type="dxa"/>
            </w:tcMar>
            <w:vAlign w:val="center"/>
          </w:tcPr>
          <w:p w14:paraId="47C1679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高清云台摄像机</w:t>
            </w:r>
          </w:p>
        </w:tc>
        <w:tc>
          <w:tcPr>
            <w:tcW w:w="650" w:type="dxa"/>
            <w:tcBorders>
              <w:tl2br w:val="nil"/>
              <w:tr2bl w:val="nil"/>
            </w:tcBorders>
            <w:tcMar>
              <w:top w:w="0" w:type="dxa"/>
              <w:left w:w="108" w:type="dxa"/>
              <w:bottom w:w="0" w:type="dxa"/>
              <w:right w:w="108" w:type="dxa"/>
            </w:tcMar>
            <w:vAlign w:val="center"/>
          </w:tcPr>
          <w:p w14:paraId="71CDD5D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5</w:t>
            </w:r>
          </w:p>
        </w:tc>
        <w:tc>
          <w:tcPr>
            <w:tcW w:w="680" w:type="dxa"/>
            <w:tcBorders>
              <w:tl2br w:val="nil"/>
              <w:tr2bl w:val="nil"/>
            </w:tcBorders>
            <w:tcMar>
              <w:top w:w="0" w:type="dxa"/>
              <w:left w:w="108" w:type="dxa"/>
              <w:bottom w:w="0" w:type="dxa"/>
              <w:right w:w="108" w:type="dxa"/>
            </w:tcMar>
            <w:vAlign w:val="center"/>
          </w:tcPr>
          <w:p w14:paraId="23C8EBE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40C55D93">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6000.00</w:t>
            </w:r>
          </w:p>
        </w:tc>
        <w:tc>
          <w:tcPr>
            <w:tcW w:w="2948" w:type="dxa"/>
            <w:vMerge w:val="continue"/>
            <w:tcBorders>
              <w:tl2br w:val="nil"/>
              <w:tr2bl w:val="nil"/>
            </w:tcBorders>
            <w:tcMar>
              <w:top w:w="0" w:type="dxa"/>
              <w:left w:w="108" w:type="dxa"/>
              <w:bottom w:w="0" w:type="dxa"/>
              <w:right w:w="108" w:type="dxa"/>
            </w:tcMar>
            <w:vAlign w:val="center"/>
          </w:tcPr>
          <w:p w14:paraId="3E4852A4">
            <w:pPr>
              <w:pStyle w:val="37"/>
              <w:wordWrap w:val="0"/>
              <w:spacing w:before="0" w:beforeAutospacing="0" w:after="0" w:afterAutospacing="0"/>
              <w:textAlignment w:val="center"/>
              <w:rPr>
                <w:rFonts w:cs="宋体"/>
                <w:color w:val="auto"/>
                <w:sz w:val="21"/>
                <w:szCs w:val="21"/>
              </w:rPr>
            </w:pPr>
          </w:p>
        </w:tc>
      </w:tr>
      <w:tr w14:paraId="4BD82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48AEF9C0">
            <w:pPr>
              <w:widowControl/>
              <w:jc w:val="center"/>
              <w:textAlignment w:val="center"/>
              <w:rPr>
                <w:rFonts w:ascii="宋体" w:hAnsi="宋体" w:cs="宋体"/>
                <w:color w:val="auto"/>
                <w:kern w:val="0"/>
                <w:szCs w:val="21"/>
              </w:rPr>
            </w:pPr>
            <w:r>
              <w:rPr>
                <w:rFonts w:hint="eastAsia" w:ascii="宋体" w:hAnsi="宋体" w:cs="宋体"/>
                <w:color w:val="auto"/>
                <w:kern w:val="0"/>
                <w:szCs w:val="21"/>
              </w:rPr>
              <w:t>30</w:t>
            </w:r>
          </w:p>
        </w:tc>
        <w:tc>
          <w:tcPr>
            <w:tcW w:w="1984" w:type="dxa"/>
            <w:tcBorders>
              <w:tl2br w:val="nil"/>
              <w:tr2bl w:val="nil"/>
            </w:tcBorders>
            <w:tcMar>
              <w:top w:w="0" w:type="dxa"/>
              <w:left w:w="108" w:type="dxa"/>
              <w:bottom w:w="0" w:type="dxa"/>
              <w:right w:w="108" w:type="dxa"/>
            </w:tcMar>
            <w:vAlign w:val="center"/>
          </w:tcPr>
          <w:p w14:paraId="3051F54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录播教室声学材料</w:t>
            </w:r>
          </w:p>
        </w:tc>
        <w:tc>
          <w:tcPr>
            <w:tcW w:w="650" w:type="dxa"/>
            <w:tcBorders>
              <w:tl2br w:val="nil"/>
              <w:tr2bl w:val="nil"/>
            </w:tcBorders>
            <w:tcMar>
              <w:top w:w="0" w:type="dxa"/>
              <w:left w:w="108" w:type="dxa"/>
              <w:bottom w:w="0" w:type="dxa"/>
              <w:right w:w="108" w:type="dxa"/>
            </w:tcMar>
            <w:vAlign w:val="center"/>
          </w:tcPr>
          <w:p w14:paraId="56E59C1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80" w:type="dxa"/>
            <w:tcBorders>
              <w:tl2br w:val="nil"/>
              <w:tr2bl w:val="nil"/>
            </w:tcBorders>
            <w:tcMar>
              <w:top w:w="0" w:type="dxa"/>
              <w:left w:w="108" w:type="dxa"/>
              <w:bottom w:w="0" w:type="dxa"/>
              <w:right w:w="108" w:type="dxa"/>
            </w:tcMar>
            <w:vAlign w:val="center"/>
          </w:tcPr>
          <w:p w14:paraId="5F988DF2">
            <w:pPr>
              <w:widowControl/>
              <w:jc w:val="center"/>
              <w:textAlignment w:val="center"/>
              <w:rPr>
                <w:rFonts w:ascii="宋体" w:hAnsi="宋体" w:cs="宋体"/>
                <w:color w:val="auto"/>
                <w:kern w:val="0"/>
                <w:szCs w:val="21"/>
              </w:rPr>
            </w:pPr>
            <w:r>
              <w:rPr>
                <w:rFonts w:hint="eastAsia" w:ascii="宋体" w:hAnsi="宋体" w:cs="宋体"/>
                <w:color w:val="auto"/>
                <w:szCs w:val="21"/>
              </w:rPr>
              <w:t>批</w:t>
            </w:r>
          </w:p>
        </w:tc>
        <w:tc>
          <w:tcPr>
            <w:tcW w:w="1516" w:type="dxa"/>
            <w:tcBorders>
              <w:tl2br w:val="nil"/>
              <w:tr2bl w:val="nil"/>
            </w:tcBorders>
            <w:tcMar>
              <w:top w:w="0" w:type="dxa"/>
              <w:left w:w="108" w:type="dxa"/>
              <w:bottom w:w="0" w:type="dxa"/>
              <w:right w:w="108" w:type="dxa"/>
            </w:tcMar>
            <w:vAlign w:val="center"/>
          </w:tcPr>
          <w:p w14:paraId="3E617513">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113000.00</w:t>
            </w:r>
          </w:p>
        </w:tc>
        <w:tc>
          <w:tcPr>
            <w:tcW w:w="2948" w:type="dxa"/>
            <w:vMerge w:val="continue"/>
            <w:tcBorders>
              <w:tl2br w:val="nil"/>
              <w:tr2bl w:val="nil"/>
            </w:tcBorders>
            <w:tcMar>
              <w:top w:w="0" w:type="dxa"/>
              <w:left w:w="108" w:type="dxa"/>
              <w:bottom w:w="0" w:type="dxa"/>
              <w:right w:w="108" w:type="dxa"/>
            </w:tcMar>
            <w:vAlign w:val="center"/>
          </w:tcPr>
          <w:p w14:paraId="0263BB6E">
            <w:pPr>
              <w:pStyle w:val="37"/>
              <w:wordWrap w:val="0"/>
              <w:spacing w:before="0" w:beforeAutospacing="0" w:after="0" w:afterAutospacing="0"/>
              <w:textAlignment w:val="center"/>
              <w:rPr>
                <w:rFonts w:cs="宋体"/>
                <w:color w:val="auto"/>
                <w:sz w:val="21"/>
                <w:szCs w:val="21"/>
              </w:rPr>
            </w:pPr>
          </w:p>
        </w:tc>
      </w:tr>
      <w:tr w14:paraId="5AF0C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567F9923">
            <w:pPr>
              <w:widowControl/>
              <w:jc w:val="center"/>
              <w:textAlignment w:val="center"/>
              <w:rPr>
                <w:rFonts w:ascii="宋体" w:hAnsi="宋体" w:cs="宋体"/>
                <w:color w:val="auto"/>
                <w:kern w:val="0"/>
                <w:szCs w:val="21"/>
              </w:rPr>
            </w:pPr>
            <w:r>
              <w:rPr>
                <w:rFonts w:hint="eastAsia" w:ascii="宋体" w:hAnsi="宋体" w:cs="宋体"/>
                <w:color w:val="auto"/>
                <w:kern w:val="0"/>
                <w:szCs w:val="21"/>
              </w:rPr>
              <w:t>31</w:t>
            </w:r>
          </w:p>
        </w:tc>
        <w:tc>
          <w:tcPr>
            <w:tcW w:w="1984" w:type="dxa"/>
            <w:tcBorders>
              <w:tl2br w:val="nil"/>
              <w:tr2bl w:val="nil"/>
            </w:tcBorders>
            <w:tcMar>
              <w:top w:w="0" w:type="dxa"/>
              <w:left w:w="108" w:type="dxa"/>
              <w:bottom w:w="0" w:type="dxa"/>
              <w:right w:w="108" w:type="dxa"/>
            </w:tcMar>
            <w:vAlign w:val="center"/>
          </w:tcPr>
          <w:p w14:paraId="3C36EFD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网络摄像机</w:t>
            </w:r>
          </w:p>
        </w:tc>
        <w:tc>
          <w:tcPr>
            <w:tcW w:w="650" w:type="dxa"/>
            <w:tcBorders>
              <w:tl2br w:val="nil"/>
              <w:tr2bl w:val="nil"/>
            </w:tcBorders>
            <w:tcMar>
              <w:top w:w="0" w:type="dxa"/>
              <w:left w:w="108" w:type="dxa"/>
              <w:bottom w:w="0" w:type="dxa"/>
              <w:right w:w="108" w:type="dxa"/>
            </w:tcMar>
            <w:vAlign w:val="center"/>
          </w:tcPr>
          <w:p w14:paraId="2DEC99D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16</w:t>
            </w:r>
          </w:p>
        </w:tc>
        <w:tc>
          <w:tcPr>
            <w:tcW w:w="680" w:type="dxa"/>
            <w:tcBorders>
              <w:tl2br w:val="nil"/>
              <w:tr2bl w:val="nil"/>
            </w:tcBorders>
            <w:tcMar>
              <w:top w:w="0" w:type="dxa"/>
              <w:left w:w="108" w:type="dxa"/>
              <w:bottom w:w="0" w:type="dxa"/>
              <w:right w:w="108" w:type="dxa"/>
            </w:tcMar>
            <w:vAlign w:val="center"/>
          </w:tcPr>
          <w:p w14:paraId="5A8551A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400C9EF1">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680.00</w:t>
            </w:r>
          </w:p>
        </w:tc>
        <w:tc>
          <w:tcPr>
            <w:tcW w:w="2948" w:type="dxa"/>
            <w:vMerge w:val="continue"/>
            <w:tcBorders>
              <w:tl2br w:val="nil"/>
              <w:tr2bl w:val="nil"/>
            </w:tcBorders>
            <w:tcMar>
              <w:top w:w="0" w:type="dxa"/>
              <w:left w:w="108" w:type="dxa"/>
              <w:bottom w:w="0" w:type="dxa"/>
              <w:right w:w="108" w:type="dxa"/>
            </w:tcMar>
            <w:vAlign w:val="center"/>
          </w:tcPr>
          <w:p w14:paraId="3E7C504A">
            <w:pPr>
              <w:pStyle w:val="37"/>
              <w:wordWrap w:val="0"/>
              <w:spacing w:before="0" w:beforeAutospacing="0" w:after="0" w:afterAutospacing="0"/>
              <w:textAlignment w:val="center"/>
              <w:rPr>
                <w:rFonts w:cs="宋体"/>
                <w:color w:val="auto"/>
                <w:sz w:val="21"/>
                <w:szCs w:val="21"/>
              </w:rPr>
            </w:pPr>
          </w:p>
        </w:tc>
      </w:tr>
      <w:tr w14:paraId="2DEA4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19635E23">
            <w:pPr>
              <w:widowControl/>
              <w:jc w:val="center"/>
              <w:textAlignment w:val="center"/>
              <w:rPr>
                <w:rFonts w:ascii="宋体" w:hAnsi="宋体" w:cs="宋体"/>
                <w:color w:val="auto"/>
                <w:kern w:val="0"/>
                <w:szCs w:val="21"/>
              </w:rPr>
            </w:pPr>
            <w:r>
              <w:rPr>
                <w:rFonts w:hint="eastAsia" w:ascii="宋体" w:hAnsi="宋体" w:cs="宋体"/>
                <w:color w:val="auto"/>
                <w:kern w:val="0"/>
                <w:szCs w:val="21"/>
              </w:rPr>
              <w:t>32</w:t>
            </w:r>
          </w:p>
        </w:tc>
        <w:tc>
          <w:tcPr>
            <w:tcW w:w="1984" w:type="dxa"/>
            <w:tcBorders>
              <w:tl2br w:val="nil"/>
              <w:tr2bl w:val="nil"/>
            </w:tcBorders>
            <w:tcMar>
              <w:top w:w="0" w:type="dxa"/>
              <w:left w:w="108" w:type="dxa"/>
              <w:bottom w:w="0" w:type="dxa"/>
              <w:right w:w="108" w:type="dxa"/>
            </w:tcMar>
            <w:vAlign w:val="center"/>
          </w:tcPr>
          <w:p w14:paraId="1D078DB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网络硬盘录像机</w:t>
            </w:r>
          </w:p>
        </w:tc>
        <w:tc>
          <w:tcPr>
            <w:tcW w:w="650" w:type="dxa"/>
            <w:tcBorders>
              <w:tl2br w:val="nil"/>
              <w:tr2bl w:val="nil"/>
            </w:tcBorders>
            <w:tcMar>
              <w:top w:w="0" w:type="dxa"/>
              <w:left w:w="108" w:type="dxa"/>
              <w:bottom w:w="0" w:type="dxa"/>
              <w:right w:w="108" w:type="dxa"/>
            </w:tcMar>
            <w:vAlign w:val="center"/>
          </w:tcPr>
          <w:p w14:paraId="5E88CD4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80" w:type="dxa"/>
            <w:tcBorders>
              <w:tl2br w:val="nil"/>
              <w:tr2bl w:val="nil"/>
            </w:tcBorders>
            <w:tcMar>
              <w:top w:w="0" w:type="dxa"/>
              <w:left w:w="108" w:type="dxa"/>
              <w:bottom w:w="0" w:type="dxa"/>
              <w:right w:w="108" w:type="dxa"/>
            </w:tcMar>
            <w:vAlign w:val="center"/>
          </w:tcPr>
          <w:p w14:paraId="68EB675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489BE1FC">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19800.00</w:t>
            </w:r>
          </w:p>
        </w:tc>
        <w:tc>
          <w:tcPr>
            <w:tcW w:w="2948" w:type="dxa"/>
            <w:vMerge w:val="continue"/>
            <w:tcBorders>
              <w:tl2br w:val="nil"/>
              <w:tr2bl w:val="nil"/>
            </w:tcBorders>
            <w:tcMar>
              <w:top w:w="0" w:type="dxa"/>
              <w:left w:w="108" w:type="dxa"/>
              <w:bottom w:w="0" w:type="dxa"/>
              <w:right w:w="108" w:type="dxa"/>
            </w:tcMar>
            <w:vAlign w:val="center"/>
          </w:tcPr>
          <w:p w14:paraId="1BB6FA8D">
            <w:pPr>
              <w:pStyle w:val="37"/>
              <w:wordWrap w:val="0"/>
              <w:spacing w:before="0" w:beforeAutospacing="0" w:after="0" w:afterAutospacing="0"/>
              <w:textAlignment w:val="center"/>
              <w:rPr>
                <w:rFonts w:cs="宋体"/>
                <w:color w:val="auto"/>
                <w:sz w:val="21"/>
                <w:szCs w:val="21"/>
              </w:rPr>
            </w:pPr>
          </w:p>
        </w:tc>
      </w:tr>
      <w:tr w14:paraId="71E796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64D876ED">
            <w:pPr>
              <w:widowControl/>
              <w:jc w:val="center"/>
              <w:textAlignment w:val="center"/>
              <w:rPr>
                <w:rFonts w:ascii="宋体" w:hAnsi="宋体" w:cs="宋体"/>
                <w:color w:val="auto"/>
                <w:kern w:val="0"/>
                <w:szCs w:val="21"/>
              </w:rPr>
            </w:pPr>
            <w:r>
              <w:rPr>
                <w:rFonts w:hint="eastAsia" w:ascii="宋体" w:hAnsi="宋体" w:cs="宋体"/>
                <w:color w:val="auto"/>
                <w:kern w:val="0"/>
                <w:szCs w:val="21"/>
              </w:rPr>
              <w:t>33</w:t>
            </w:r>
          </w:p>
        </w:tc>
        <w:tc>
          <w:tcPr>
            <w:tcW w:w="1984" w:type="dxa"/>
            <w:tcBorders>
              <w:tl2br w:val="nil"/>
              <w:tr2bl w:val="nil"/>
            </w:tcBorders>
            <w:tcMar>
              <w:top w:w="0" w:type="dxa"/>
              <w:left w:w="108" w:type="dxa"/>
              <w:bottom w:w="0" w:type="dxa"/>
              <w:right w:w="108" w:type="dxa"/>
            </w:tcMar>
            <w:vAlign w:val="center"/>
          </w:tcPr>
          <w:p w14:paraId="28E8336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POE交换机</w:t>
            </w:r>
          </w:p>
        </w:tc>
        <w:tc>
          <w:tcPr>
            <w:tcW w:w="650" w:type="dxa"/>
            <w:tcBorders>
              <w:tl2br w:val="nil"/>
              <w:tr2bl w:val="nil"/>
            </w:tcBorders>
            <w:tcMar>
              <w:top w:w="0" w:type="dxa"/>
              <w:left w:w="108" w:type="dxa"/>
              <w:bottom w:w="0" w:type="dxa"/>
              <w:right w:w="108" w:type="dxa"/>
            </w:tcMar>
            <w:vAlign w:val="center"/>
          </w:tcPr>
          <w:p w14:paraId="2CBBF6A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80" w:type="dxa"/>
            <w:tcBorders>
              <w:tl2br w:val="nil"/>
              <w:tr2bl w:val="nil"/>
            </w:tcBorders>
            <w:tcMar>
              <w:top w:w="0" w:type="dxa"/>
              <w:left w:w="108" w:type="dxa"/>
              <w:bottom w:w="0" w:type="dxa"/>
              <w:right w:w="108" w:type="dxa"/>
            </w:tcMar>
            <w:vAlign w:val="center"/>
          </w:tcPr>
          <w:p w14:paraId="4A5DDA4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2F7D450F">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1500.00</w:t>
            </w:r>
          </w:p>
        </w:tc>
        <w:tc>
          <w:tcPr>
            <w:tcW w:w="2948" w:type="dxa"/>
            <w:vMerge w:val="continue"/>
            <w:tcBorders>
              <w:tl2br w:val="nil"/>
              <w:tr2bl w:val="nil"/>
            </w:tcBorders>
            <w:tcMar>
              <w:top w:w="0" w:type="dxa"/>
              <w:left w:w="108" w:type="dxa"/>
              <w:bottom w:w="0" w:type="dxa"/>
              <w:right w:w="108" w:type="dxa"/>
            </w:tcMar>
            <w:vAlign w:val="center"/>
          </w:tcPr>
          <w:p w14:paraId="075BDC24">
            <w:pPr>
              <w:pStyle w:val="37"/>
              <w:wordWrap w:val="0"/>
              <w:spacing w:before="0" w:beforeAutospacing="0" w:after="0" w:afterAutospacing="0"/>
              <w:textAlignment w:val="center"/>
              <w:rPr>
                <w:rFonts w:cs="宋体"/>
                <w:color w:val="auto"/>
                <w:sz w:val="21"/>
                <w:szCs w:val="21"/>
              </w:rPr>
            </w:pPr>
          </w:p>
        </w:tc>
      </w:tr>
      <w:tr w14:paraId="5A04AB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386EF1D1">
            <w:pPr>
              <w:widowControl/>
              <w:jc w:val="center"/>
              <w:textAlignment w:val="center"/>
              <w:rPr>
                <w:rFonts w:ascii="宋体" w:hAnsi="宋体" w:cs="宋体"/>
                <w:color w:val="auto"/>
                <w:kern w:val="0"/>
                <w:szCs w:val="21"/>
              </w:rPr>
            </w:pPr>
            <w:r>
              <w:rPr>
                <w:rFonts w:hint="eastAsia" w:ascii="宋体" w:hAnsi="宋体" w:cs="宋体"/>
                <w:color w:val="auto"/>
                <w:kern w:val="0"/>
                <w:szCs w:val="21"/>
              </w:rPr>
              <w:t>34</w:t>
            </w:r>
          </w:p>
        </w:tc>
        <w:tc>
          <w:tcPr>
            <w:tcW w:w="1984" w:type="dxa"/>
            <w:tcBorders>
              <w:tl2br w:val="nil"/>
              <w:tr2bl w:val="nil"/>
            </w:tcBorders>
            <w:tcMar>
              <w:top w:w="0" w:type="dxa"/>
              <w:left w:w="108" w:type="dxa"/>
              <w:bottom w:w="0" w:type="dxa"/>
              <w:right w:w="108" w:type="dxa"/>
            </w:tcMar>
            <w:vAlign w:val="center"/>
          </w:tcPr>
          <w:p w14:paraId="0C491E5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智能指纹门禁一体机</w:t>
            </w:r>
          </w:p>
        </w:tc>
        <w:tc>
          <w:tcPr>
            <w:tcW w:w="650" w:type="dxa"/>
            <w:tcBorders>
              <w:tl2br w:val="nil"/>
              <w:tr2bl w:val="nil"/>
            </w:tcBorders>
            <w:tcMar>
              <w:top w:w="0" w:type="dxa"/>
              <w:left w:w="108" w:type="dxa"/>
              <w:bottom w:w="0" w:type="dxa"/>
              <w:right w:w="108" w:type="dxa"/>
            </w:tcMar>
            <w:vAlign w:val="center"/>
          </w:tcPr>
          <w:p w14:paraId="0C4A9DA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9</w:t>
            </w:r>
          </w:p>
        </w:tc>
        <w:tc>
          <w:tcPr>
            <w:tcW w:w="680" w:type="dxa"/>
            <w:tcBorders>
              <w:tl2br w:val="nil"/>
              <w:tr2bl w:val="nil"/>
            </w:tcBorders>
            <w:tcMar>
              <w:top w:w="0" w:type="dxa"/>
              <w:left w:w="108" w:type="dxa"/>
              <w:bottom w:w="0" w:type="dxa"/>
              <w:right w:w="108" w:type="dxa"/>
            </w:tcMar>
            <w:vAlign w:val="center"/>
          </w:tcPr>
          <w:p w14:paraId="6E02EF2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0F94681C">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2800.00</w:t>
            </w:r>
          </w:p>
        </w:tc>
        <w:tc>
          <w:tcPr>
            <w:tcW w:w="2948" w:type="dxa"/>
            <w:vMerge w:val="continue"/>
            <w:tcBorders>
              <w:tl2br w:val="nil"/>
              <w:tr2bl w:val="nil"/>
            </w:tcBorders>
            <w:tcMar>
              <w:top w:w="0" w:type="dxa"/>
              <w:left w:w="108" w:type="dxa"/>
              <w:bottom w:w="0" w:type="dxa"/>
              <w:right w:w="108" w:type="dxa"/>
            </w:tcMar>
            <w:vAlign w:val="center"/>
          </w:tcPr>
          <w:p w14:paraId="53B1BC36">
            <w:pPr>
              <w:pStyle w:val="37"/>
              <w:wordWrap w:val="0"/>
              <w:spacing w:before="0" w:beforeAutospacing="0" w:after="0" w:afterAutospacing="0"/>
              <w:textAlignment w:val="center"/>
              <w:rPr>
                <w:rFonts w:cs="宋体"/>
                <w:color w:val="auto"/>
                <w:sz w:val="21"/>
                <w:szCs w:val="21"/>
              </w:rPr>
            </w:pPr>
          </w:p>
        </w:tc>
      </w:tr>
      <w:tr w14:paraId="0CBD0C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52D15293">
            <w:pPr>
              <w:widowControl/>
              <w:jc w:val="center"/>
              <w:textAlignment w:val="center"/>
              <w:rPr>
                <w:rFonts w:ascii="宋体" w:hAnsi="宋体" w:cs="宋体"/>
                <w:color w:val="auto"/>
                <w:kern w:val="0"/>
                <w:szCs w:val="21"/>
              </w:rPr>
            </w:pPr>
            <w:r>
              <w:rPr>
                <w:rFonts w:hint="eastAsia" w:ascii="宋体" w:hAnsi="宋体" w:cs="宋体"/>
                <w:color w:val="auto"/>
                <w:kern w:val="0"/>
                <w:szCs w:val="21"/>
              </w:rPr>
              <w:t>35</w:t>
            </w:r>
          </w:p>
        </w:tc>
        <w:tc>
          <w:tcPr>
            <w:tcW w:w="1984" w:type="dxa"/>
            <w:tcBorders>
              <w:tl2br w:val="nil"/>
              <w:tr2bl w:val="nil"/>
            </w:tcBorders>
            <w:tcMar>
              <w:top w:w="0" w:type="dxa"/>
              <w:left w:w="108" w:type="dxa"/>
              <w:bottom w:w="0" w:type="dxa"/>
              <w:right w:w="108" w:type="dxa"/>
            </w:tcMar>
            <w:vAlign w:val="center"/>
          </w:tcPr>
          <w:p w14:paraId="1F5E022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矿棉吸音板</w:t>
            </w:r>
          </w:p>
        </w:tc>
        <w:tc>
          <w:tcPr>
            <w:tcW w:w="650" w:type="dxa"/>
            <w:tcBorders>
              <w:tl2br w:val="nil"/>
              <w:tr2bl w:val="nil"/>
            </w:tcBorders>
            <w:tcMar>
              <w:top w:w="0" w:type="dxa"/>
              <w:left w:w="108" w:type="dxa"/>
              <w:bottom w:w="0" w:type="dxa"/>
              <w:right w:w="108" w:type="dxa"/>
            </w:tcMar>
            <w:vAlign w:val="center"/>
          </w:tcPr>
          <w:p w14:paraId="3872198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600</w:t>
            </w:r>
          </w:p>
        </w:tc>
        <w:tc>
          <w:tcPr>
            <w:tcW w:w="680" w:type="dxa"/>
            <w:tcBorders>
              <w:tl2br w:val="nil"/>
              <w:tr2bl w:val="nil"/>
            </w:tcBorders>
            <w:tcMar>
              <w:top w:w="0" w:type="dxa"/>
              <w:left w:w="108" w:type="dxa"/>
              <w:bottom w:w="0" w:type="dxa"/>
              <w:right w:w="108" w:type="dxa"/>
            </w:tcMar>
            <w:vAlign w:val="center"/>
          </w:tcPr>
          <w:p w14:paraId="7AC51FE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w:t>
            </w:r>
          </w:p>
        </w:tc>
        <w:tc>
          <w:tcPr>
            <w:tcW w:w="1516" w:type="dxa"/>
            <w:tcBorders>
              <w:tl2br w:val="nil"/>
              <w:tr2bl w:val="nil"/>
            </w:tcBorders>
            <w:tcMar>
              <w:top w:w="0" w:type="dxa"/>
              <w:left w:w="108" w:type="dxa"/>
              <w:bottom w:w="0" w:type="dxa"/>
              <w:right w:w="108" w:type="dxa"/>
            </w:tcMar>
            <w:vAlign w:val="center"/>
          </w:tcPr>
          <w:p w14:paraId="209F11E8">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160.00</w:t>
            </w:r>
          </w:p>
        </w:tc>
        <w:tc>
          <w:tcPr>
            <w:tcW w:w="2948" w:type="dxa"/>
            <w:vMerge w:val="continue"/>
            <w:tcBorders>
              <w:tl2br w:val="nil"/>
              <w:tr2bl w:val="nil"/>
            </w:tcBorders>
            <w:tcMar>
              <w:top w:w="0" w:type="dxa"/>
              <w:left w:w="108" w:type="dxa"/>
              <w:bottom w:w="0" w:type="dxa"/>
              <w:right w:w="108" w:type="dxa"/>
            </w:tcMar>
            <w:vAlign w:val="center"/>
          </w:tcPr>
          <w:p w14:paraId="477FB666">
            <w:pPr>
              <w:pStyle w:val="37"/>
              <w:wordWrap w:val="0"/>
              <w:spacing w:before="0" w:beforeAutospacing="0" w:after="0" w:afterAutospacing="0"/>
              <w:textAlignment w:val="center"/>
              <w:rPr>
                <w:rFonts w:cs="宋体"/>
                <w:color w:val="auto"/>
                <w:sz w:val="21"/>
                <w:szCs w:val="21"/>
              </w:rPr>
            </w:pPr>
          </w:p>
        </w:tc>
      </w:tr>
      <w:tr w14:paraId="31D34F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34F5E58F">
            <w:pPr>
              <w:widowControl/>
              <w:jc w:val="center"/>
              <w:textAlignment w:val="center"/>
              <w:rPr>
                <w:rFonts w:ascii="宋体" w:hAnsi="宋体" w:cs="宋体"/>
                <w:color w:val="auto"/>
                <w:kern w:val="0"/>
                <w:szCs w:val="21"/>
              </w:rPr>
            </w:pPr>
            <w:r>
              <w:rPr>
                <w:rFonts w:hint="eastAsia" w:ascii="宋体" w:hAnsi="宋体" w:cs="宋体"/>
                <w:color w:val="auto"/>
                <w:kern w:val="0"/>
                <w:szCs w:val="21"/>
              </w:rPr>
              <w:t>36</w:t>
            </w:r>
          </w:p>
        </w:tc>
        <w:tc>
          <w:tcPr>
            <w:tcW w:w="1984" w:type="dxa"/>
            <w:tcBorders>
              <w:tl2br w:val="nil"/>
              <w:tr2bl w:val="nil"/>
            </w:tcBorders>
            <w:tcMar>
              <w:top w:w="0" w:type="dxa"/>
              <w:left w:w="108" w:type="dxa"/>
              <w:bottom w:w="0" w:type="dxa"/>
              <w:right w:w="108" w:type="dxa"/>
            </w:tcMar>
            <w:vAlign w:val="center"/>
          </w:tcPr>
          <w:p w14:paraId="21DC2CB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全钢防静电地板</w:t>
            </w:r>
          </w:p>
        </w:tc>
        <w:tc>
          <w:tcPr>
            <w:tcW w:w="650" w:type="dxa"/>
            <w:tcBorders>
              <w:tl2br w:val="nil"/>
              <w:tr2bl w:val="nil"/>
            </w:tcBorders>
            <w:tcMar>
              <w:top w:w="0" w:type="dxa"/>
              <w:left w:w="108" w:type="dxa"/>
              <w:bottom w:w="0" w:type="dxa"/>
              <w:right w:w="108" w:type="dxa"/>
            </w:tcMar>
            <w:vAlign w:val="center"/>
          </w:tcPr>
          <w:p w14:paraId="1C5A979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6</w:t>
            </w:r>
          </w:p>
        </w:tc>
        <w:tc>
          <w:tcPr>
            <w:tcW w:w="680" w:type="dxa"/>
            <w:tcBorders>
              <w:tl2br w:val="nil"/>
              <w:tr2bl w:val="nil"/>
            </w:tcBorders>
            <w:tcMar>
              <w:top w:w="0" w:type="dxa"/>
              <w:left w:w="108" w:type="dxa"/>
              <w:bottom w:w="0" w:type="dxa"/>
              <w:right w:w="108" w:type="dxa"/>
            </w:tcMar>
            <w:vAlign w:val="center"/>
          </w:tcPr>
          <w:p w14:paraId="49F7EA4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间</w:t>
            </w:r>
          </w:p>
        </w:tc>
        <w:tc>
          <w:tcPr>
            <w:tcW w:w="1516" w:type="dxa"/>
            <w:tcBorders>
              <w:tl2br w:val="nil"/>
              <w:tr2bl w:val="nil"/>
            </w:tcBorders>
            <w:tcMar>
              <w:top w:w="0" w:type="dxa"/>
              <w:left w:w="108" w:type="dxa"/>
              <w:bottom w:w="0" w:type="dxa"/>
              <w:right w:w="108" w:type="dxa"/>
            </w:tcMar>
            <w:vAlign w:val="center"/>
          </w:tcPr>
          <w:p w14:paraId="7E23593B">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50000.00</w:t>
            </w:r>
          </w:p>
        </w:tc>
        <w:tc>
          <w:tcPr>
            <w:tcW w:w="2948" w:type="dxa"/>
            <w:vMerge w:val="continue"/>
            <w:tcBorders>
              <w:tl2br w:val="nil"/>
              <w:tr2bl w:val="nil"/>
            </w:tcBorders>
            <w:tcMar>
              <w:top w:w="0" w:type="dxa"/>
              <w:left w:w="108" w:type="dxa"/>
              <w:bottom w:w="0" w:type="dxa"/>
              <w:right w:w="108" w:type="dxa"/>
            </w:tcMar>
            <w:vAlign w:val="center"/>
          </w:tcPr>
          <w:p w14:paraId="2A45A741">
            <w:pPr>
              <w:pStyle w:val="37"/>
              <w:wordWrap w:val="0"/>
              <w:spacing w:before="0" w:beforeAutospacing="0" w:after="0" w:afterAutospacing="0"/>
              <w:textAlignment w:val="center"/>
              <w:rPr>
                <w:rFonts w:cs="宋体"/>
                <w:color w:val="auto"/>
                <w:sz w:val="21"/>
                <w:szCs w:val="21"/>
              </w:rPr>
            </w:pPr>
          </w:p>
        </w:tc>
      </w:tr>
      <w:tr w14:paraId="55D379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344367DB">
            <w:pPr>
              <w:widowControl/>
              <w:jc w:val="center"/>
              <w:textAlignment w:val="center"/>
              <w:rPr>
                <w:rFonts w:ascii="宋体" w:hAnsi="宋体" w:cs="宋体"/>
                <w:color w:val="auto"/>
                <w:kern w:val="0"/>
                <w:szCs w:val="21"/>
              </w:rPr>
            </w:pPr>
            <w:r>
              <w:rPr>
                <w:rFonts w:hint="eastAsia" w:ascii="宋体" w:hAnsi="宋体" w:cs="宋体"/>
                <w:color w:val="auto"/>
                <w:kern w:val="0"/>
                <w:szCs w:val="21"/>
              </w:rPr>
              <w:t>37</w:t>
            </w:r>
          </w:p>
        </w:tc>
        <w:tc>
          <w:tcPr>
            <w:tcW w:w="1984" w:type="dxa"/>
            <w:tcBorders>
              <w:tl2br w:val="nil"/>
              <w:tr2bl w:val="nil"/>
            </w:tcBorders>
            <w:tcMar>
              <w:top w:w="0" w:type="dxa"/>
              <w:left w:w="108" w:type="dxa"/>
              <w:bottom w:w="0" w:type="dxa"/>
              <w:right w:w="108" w:type="dxa"/>
            </w:tcMar>
            <w:vAlign w:val="center"/>
          </w:tcPr>
          <w:p w14:paraId="6C9DDD5D">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机房运维管控系统</w:t>
            </w:r>
          </w:p>
        </w:tc>
        <w:tc>
          <w:tcPr>
            <w:tcW w:w="650" w:type="dxa"/>
            <w:tcBorders>
              <w:tl2br w:val="nil"/>
              <w:tr2bl w:val="nil"/>
            </w:tcBorders>
            <w:tcMar>
              <w:top w:w="0" w:type="dxa"/>
              <w:left w:w="108" w:type="dxa"/>
              <w:bottom w:w="0" w:type="dxa"/>
              <w:right w:w="108" w:type="dxa"/>
            </w:tcMar>
            <w:vAlign w:val="center"/>
          </w:tcPr>
          <w:p w14:paraId="61070A2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80" w:type="dxa"/>
            <w:tcBorders>
              <w:tl2br w:val="nil"/>
              <w:tr2bl w:val="nil"/>
            </w:tcBorders>
            <w:tcMar>
              <w:top w:w="0" w:type="dxa"/>
              <w:left w:w="108" w:type="dxa"/>
              <w:bottom w:w="0" w:type="dxa"/>
              <w:right w:w="108" w:type="dxa"/>
            </w:tcMar>
            <w:vAlign w:val="center"/>
          </w:tcPr>
          <w:p w14:paraId="0D19395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48F28F2A">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171500.00</w:t>
            </w:r>
          </w:p>
        </w:tc>
        <w:tc>
          <w:tcPr>
            <w:tcW w:w="2948" w:type="dxa"/>
            <w:vMerge w:val="continue"/>
            <w:tcBorders>
              <w:tl2br w:val="nil"/>
              <w:tr2bl w:val="nil"/>
            </w:tcBorders>
            <w:tcMar>
              <w:top w:w="0" w:type="dxa"/>
              <w:left w:w="108" w:type="dxa"/>
              <w:bottom w:w="0" w:type="dxa"/>
              <w:right w:w="108" w:type="dxa"/>
            </w:tcMar>
            <w:vAlign w:val="center"/>
          </w:tcPr>
          <w:p w14:paraId="69260E85">
            <w:pPr>
              <w:pStyle w:val="37"/>
              <w:wordWrap w:val="0"/>
              <w:spacing w:before="0" w:beforeAutospacing="0" w:after="0" w:afterAutospacing="0"/>
              <w:textAlignment w:val="center"/>
              <w:rPr>
                <w:rFonts w:cs="宋体"/>
                <w:color w:val="auto"/>
                <w:sz w:val="21"/>
                <w:szCs w:val="21"/>
              </w:rPr>
            </w:pPr>
          </w:p>
        </w:tc>
      </w:tr>
      <w:tr w14:paraId="28515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220509A8">
            <w:pPr>
              <w:widowControl/>
              <w:jc w:val="center"/>
              <w:textAlignment w:val="center"/>
              <w:rPr>
                <w:rFonts w:ascii="宋体" w:hAnsi="宋体" w:cs="宋体"/>
                <w:color w:val="auto"/>
                <w:kern w:val="0"/>
                <w:szCs w:val="21"/>
              </w:rPr>
            </w:pPr>
            <w:r>
              <w:rPr>
                <w:rFonts w:hint="eastAsia" w:ascii="宋体" w:hAnsi="宋体" w:cs="宋体"/>
                <w:color w:val="auto"/>
                <w:kern w:val="0"/>
                <w:szCs w:val="21"/>
              </w:rPr>
              <w:t>38</w:t>
            </w:r>
          </w:p>
        </w:tc>
        <w:tc>
          <w:tcPr>
            <w:tcW w:w="1984" w:type="dxa"/>
            <w:tcBorders>
              <w:tl2br w:val="nil"/>
              <w:tr2bl w:val="nil"/>
            </w:tcBorders>
            <w:tcMar>
              <w:top w:w="0" w:type="dxa"/>
              <w:left w:w="108" w:type="dxa"/>
              <w:bottom w:w="0" w:type="dxa"/>
              <w:right w:w="108" w:type="dxa"/>
            </w:tcMar>
            <w:vAlign w:val="center"/>
          </w:tcPr>
          <w:p w14:paraId="7E925CD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精密空调</w:t>
            </w:r>
          </w:p>
        </w:tc>
        <w:tc>
          <w:tcPr>
            <w:tcW w:w="650" w:type="dxa"/>
            <w:tcBorders>
              <w:tl2br w:val="nil"/>
              <w:tr2bl w:val="nil"/>
            </w:tcBorders>
            <w:tcMar>
              <w:top w:w="0" w:type="dxa"/>
              <w:left w:w="108" w:type="dxa"/>
              <w:bottom w:w="0" w:type="dxa"/>
              <w:right w:w="108" w:type="dxa"/>
            </w:tcMar>
            <w:vAlign w:val="center"/>
          </w:tcPr>
          <w:p w14:paraId="21A3C503">
            <w:pPr>
              <w:widowControl/>
              <w:jc w:val="center"/>
              <w:textAlignment w:val="center"/>
              <w:rPr>
                <w:rFonts w:ascii="宋体" w:hAnsi="宋体" w:cs="宋体"/>
                <w:color w:val="auto"/>
                <w:kern w:val="0"/>
                <w:szCs w:val="21"/>
              </w:rPr>
            </w:pPr>
            <w:r>
              <w:rPr>
                <w:rFonts w:hint="eastAsia" w:ascii="宋体" w:hAnsi="宋体" w:cs="宋体"/>
                <w:color w:val="auto"/>
                <w:szCs w:val="21"/>
              </w:rPr>
              <w:t>2</w:t>
            </w:r>
          </w:p>
        </w:tc>
        <w:tc>
          <w:tcPr>
            <w:tcW w:w="680" w:type="dxa"/>
            <w:tcBorders>
              <w:tl2br w:val="nil"/>
              <w:tr2bl w:val="nil"/>
            </w:tcBorders>
            <w:tcMar>
              <w:top w:w="0" w:type="dxa"/>
              <w:left w:w="108" w:type="dxa"/>
              <w:bottom w:w="0" w:type="dxa"/>
              <w:right w:w="108" w:type="dxa"/>
            </w:tcMar>
            <w:vAlign w:val="center"/>
          </w:tcPr>
          <w:p w14:paraId="546CF6E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c>
          <w:tcPr>
            <w:tcW w:w="1516" w:type="dxa"/>
            <w:tcBorders>
              <w:tl2br w:val="nil"/>
              <w:tr2bl w:val="nil"/>
            </w:tcBorders>
            <w:tcMar>
              <w:top w:w="0" w:type="dxa"/>
              <w:left w:w="108" w:type="dxa"/>
              <w:bottom w:w="0" w:type="dxa"/>
              <w:right w:w="108" w:type="dxa"/>
            </w:tcMar>
            <w:vAlign w:val="center"/>
          </w:tcPr>
          <w:p w14:paraId="255D5CF5">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23500.00</w:t>
            </w:r>
          </w:p>
        </w:tc>
        <w:tc>
          <w:tcPr>
            <w:tcW w:w="2948" w:type="dxa"/>
            <w:vMerge w:val="continue"/>
            <w:tcBorders>
              <w:tl2br w:val="nil"/>
              <w:tr2bl w:val="nil"/>
            </w:tcBorders>
            <w:tcMar>
              <w:top w:w="0" w:type="dxa"/>
              <w:left w:w="108" w:type="dxa"/>
              <w:bottom w:w="0" w:type="dxa"/>
              <w:right w:w="108" w:type="dxa"/>
            </w:tcMar>
            <w:vAlign w:val="center"/>
          </w:tcPr>
          <w:p w14:paraId="66599F7A">
            <w:pPr>
              <w:pStyle w:val="37"/>
              <w:wordWrap w:val="0"/>
              <w:spacing w:before="0" w:beforeAutospacing="0" w:after="0" w:afterAutospacing="0"/>
              <w:textAlignment w:val="center"/>
              <w:rPr>
                <w:rFonts w:cs="宋体"/>
                <w:color w:val="auto"/>
                <w:sz w:val="21"/>
                <w:szCs w:val="21"/>
              </w:rPr>
            </w:pPr>
          </w:p>
        </w:tc>
      </w:tr>
      <w:tr w14:paraId="08B402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760" w:type="dxa"/>
            <w:tcBorders>
              <w:tl2br w:val="nil"/>
              <w:tr2bl w:val="nil"/>
            </w:tcBorders>
            <w:tcMar>
              <w:top w:w="0" w:type="dxa"/>
              <w:left w:w="108" w:type="dxa"/>
              <w:bottom w:w="0" w:type="dxa"/>
              <w:right w:w="108" w:type="dxa"/>
            </w:tcMar>
            <w:vAlign w:val="center"/>
          </w:tcPr>
          <w:p w14:paraId="1C837D42">
            <w:pPr>
              <w:widowControl/>
              <w:jc w:val="center"/>
              <w:textAlignment w:val="center"/>
              <w:rPr>
                <w:rFonts w:ascii="宋体" w:hAnsi="宋体" w:cs="宋体"/>
                <w:color w:val="auto"/>
                <w:kern w:val="0"/>
                <w:szCs w:val="21"/>
              </w:rPr>
            </w:pPr>
            <w:r>
              <w:rPr>
                <w:rFonts w:hint="eastAsia" w:ascii="宋体" w:hAnsi="宋体" w:cs="宋体"/>
                <w:color w:val="auto"/>
                <w:kern w:val="0"/>
                <w:szCs w:val="21"/>
              </w:rPr>
              <w:t>39</w:t>
            </w:r>
          </w:p>
        </w:tc>
        <w:tc>
          <w:tcPr>
            <w:tcW w:w="1984" w:type="dxa"/>
            <w:tcBorders>
              <w:tl2br w:val="nil"/>
              <w:tr2bl w:val="nil"/>
            </w:tcBorders>
            <w:tcMar>
              <w:top w:w="0" w:type="dxa"/>
              <w:left w:w="108" w:type="dxa"/>
              <w:bottom w:w="0" w:type="dxa"/>
              <w:right w:w="108" w:type="dxa"/>
            </w:tcMar>
            <w:vAlign w:val="center"/>
          </w:tcPr>
          <w:p w14:paraId="4250652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42U机柜</w:t>
            </w:r>
          </w:p>
        </w:tc>
        <w:tc>
          <w:tcPr>
            <w:tcW w:w="650" w:type="dxa"/>
            <w:tcBorders>
              <w:tl2br w:val="nil"/>
              <w:tr2bl w:val="nil"/>
            </w:tcBorders>
            <w:tcMar>
              <w:top w:w="0" w:type="dxa"/>
              <w:left w:w="108" w:type="dxa"/>
              <w:bottom w:w="0" w:type="dxa"/>
              <w:right w:w="108" w:type="dxa"/>
            </w:tcMar>
            <w:vAlign w:val="center"/>
          </w:tcPr>
          <w:p w14:paraId="4239B1D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80" w:type="dxa"/>
            <w:tcBorders>
              <w:tl2br w:val="nil"/>
              <w:tr2bl w:val="nil"/>
            </w:tcBorders>
            <w:tcMar>
              <w:top w:w="0" w:type="dxa"/>
              <w:left w:w="108" w:type="dxa"/>
              <w:bottom w:w="0" w:type="dxa"/>
              <w:right w:w="108" w:type="dxa"/>
            </w:tcMar>
            <w:vAlign w:val="center"/>
          </w:tcPr>
          <w:p w14:paraId="768D723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c>
          <w:tcPr>
            <w:tcW w:w="1516" w:type="dxa"/>
            <w:tcBorders>
              <w:tl2br w:val="nil"/>
              <w:tr2bl w:val="nil"/>
            </w:tcBorders>
            <w:tcMar>
              <w:top w:w="0" w:type="dxa"/>
              <w:left w:w="108" w:type="dxa"/>
              <w:bottom w:w="0" w:type="dxa"/>
              <w:right w:w="108" w:type="dxa"/>
            </w:tcMar>
            <w:vAlign w:val="center"/>
          </w:tcPr>
          <w:p w14:paraId="273E6BF8">
            <w:pPr>
              <w:widowControl/>
              <w:jc w:val="center"/>
              <w:textAlignment w:val="center"/>
              <w:rPr>
                <w:rFonts w:ascii="宋体" w:hAnsi="宋体" w:cs="Arial"/>
                <w:color w:val="auto"/>
                <w:kern w:val="0"/>
                <w:szCs w:val="21"/>
              </w:rPr>
            </w:pPr>
            <w:r>
              <w:rPr>
                <w:rFonts w:hint="eastAsia" w:ascii="宋体" w:hAnsi="宋体" w:cs="宋体"/>
                <w:color w:val="auto"/>
                <w:kern w:val="0"/>
                <w:sz w:val="20"/>
                <w:lang w:bidi="ar"/>
              </w:rPr>
              <w:t>4500.00</w:t>
            </w:r>
          </w:p>
        </w:tc>
        <w:tc>
          <w:tcPr>
            <w:tcW w:w="2948" w:type="dxa"/>
            <w:vMerge w:val="continue"/>
            <w:tcBorders>
              <w:tl2br w:val="nil"/>
              <w:tr2bl w:val="nil"/>
            </w:tcBorders>
            <w:tcMar>
              <w:top w:w="0" w:type="dxa"/>
              <w:left w:w="108" w:type="dxa"/>
              <w:bottom w:w="0" w:type="dxa"/>
              <w:right w:w="108" w:type="dxa"/>
            </w:tcMar>
            <w:vAlign w:val="center"/>
          </w:tcPr>
          <w:p w14:paraId="5B10A843">
            <w:pPr>
              <w:pStyle w:val="37"/>
              <w:wordWrap w:val="0"/>
              <w:spacing w:before="0" w:beforeAutospacing="0" w:after="0" w:afterAutospacing="0"/>
              <w:textAlignment w:val="center"/>
              <w:rPr>
                <w:rFonts w:cs="宋体"/>
                <w:color w:val="auto"/>
                <w:sz w:val="21"/>
                <w:szCs w:val="21"/>
              </w:rPr>
            </w:pPr>
          </w:p>
        </w:tc>
      </w:tr>
    </w:tbl>
    <w:p w14:paraId="215DD7E5">
      <w:pPr>
        <w:spacing w:line="500" w:lineRule="exact"/>
        <w:ind w:firstLine="420" w:firstLineChars="200"/>
        <w:rPr>
          <w:rFonts w:ascii="宋体" w:hAnsi="宋体" w:cs="宋体"/>
          <w:color w:val="auto"/>
          <w:szCs w:val="21"/>
        </w:rPr>
      </w:pPr>
      <w:r>
        <w:rPr>
          <w:rFonts w:hint="eastAsia" w:ascii="宋体" w:hAnsi="宋体" w:cs="宋体"/>
          <w:color w:val="auto"/>
          <w:szCs w:val="21"/>
        </w:rPr>
        <w:t>注：本项目共设</w:t>
      </w:r>
      <w:r>
        <w:rPr>
          <w:rFonts w:hint="eastAsia" w:ascii="宋体" w:hAnsi="宋体" w:cs="宋体"/>
          <w:b/>
          <w:bCs/>
          <w:color w:val="auto"/>
          <w:szCs w:val="21"/>
        </w:rPr>
        <w:t>1个标段</w:t>
      </w:r>
      <w:r>
        <w:rPr>
          <w:rFonts w:hint="eastAsia" w:ascii="宋体" w:hAnsi="宋体" w:cs="宋体"/>
          <w:color w:val="auto"/>
          <w:szCs w:val="21"/>
        </w:rPr>
        <w:t>，投标人必须对本项目所有内容作出完整唯一的投标报价，不得出现缺项、漏项或无报价的情况，否则投标文件将按无效处理。</w:t>
      </w:r>
    </w:p>
    <w:p w14:paraId="19A336D4">
      <w:pPr>
        <w:spacing w:line="500" w:lineRule="exact"/>
        <w:ind w:firstLine="420" w:firstLineChars="200"/>
        <w:rPr>
          <w:rFonts w:ascii="宋体" w:hAnsi="宋体" w:cs="宋体"/>
          <w:color w:val="auto"/>
          <w:szCs w:val="21"/>
        </w:rPr>
      </w:pPr>
      <w:r>
        <w:rPr>
          <w:rFonts w:hint="eastAsia" w:ascii="宋体" w:hAnsi="宋体" w:cs="宋体"/>
          <w:color w:val="auto"/>
          <w:szCs w:val="21"/>
        </w:rPr>
        <w:t>6.合同履行期限（项目交付和实施时间）：合同签订生效后30日内，乙方负责将完整配套的原封设备（含开机必要消耗品）送到甲方指定的地点（云南师范大学呈贡校区），由甲乙双方共同开箱初验，并由乙方按合同规范要求完成安装测试。交货时，乙方随货向甲方交付设备必需的合格证、保修卡，相关资料（如操作手册、使用指南、维修手册、安装调试说明书、服务手册等）及配备的用件、工具等。</w:t>
      </w:r>
    </w:p>
    <w:p w14:paraId="274F4C7B">
      <w:pPr>
        <w:spacing w:line="500" w:lineRule="exact"/>
        <w:ind w:firstLine="420" w:firstLineChars="200"/>
        <w:rPr>
          <w:rFonts w:ascii="宋体" w:hAnsi="宋体" w:cs="宋体"/>
          <w:color w:val="auto"/>
          <w:szCs w:val="21"/>
        </w:rPr>
      </w:pPr>
      <w:r>
        <w:rPr>
          <w:rFonts w:hint="eastAsia" w:ascii="宋体" w:hAnsi="宋体" w:cs="宋体"/>
          <w:color w:val="auto"/>
          <w:szCs w:val="21"/>
        </w:rPr>
        <w:t>7.实施的地点：云南师范大学呈贡校区；</w:t>
      </w:r>
    </w:p>
    <w:p w14:paraId="557ABCE9">
      <w:pPr>
        <w:spacing w:line="500" w:lineRule="exact"/>
        <w:ind w:firstLine="420" w:firstLineChars="200"/>
        <w:rPr>
          <w:rFonts w:ascii="宋体" w:hAnsi="宋体" w:cs="宋体"/>
          <w:color w:val="auto"/>
          <w:szCs w:val="21"/>
        </w:rPr>
      </w:pPr>
      <w:r>
        <w:rPr>
          <w:rFonts w:hint="eastAsia" w:ascii="宋体" w:hAnsi="宋体" w:cs="宋体"/>
          <w:color w:val="auto"/>
          <w:szCs w:val="21"/>
        </w:rPr>
        <w:t>8.本项目</w:t>
      </w:r>
      <w:r>
        <w:rPr>
          <w:rFonts w:hint="eastAsia" w:ascii="宋体" w:hAnsi="宋体" w:cs="宋体"/>
          <w:b/>
          <w:bCs/>
          <w:color w:val="auto"/>
          <w:szCs w:val="21"/>
        </w:rPr>
        <w:t>不接受</w:t>
      </w:r>
      <w:r>
        <w:rPr>
          <w:rFonts w:hint="eastAsia" w:ascii="宋体" w:hAnsi="宋体" w:cs="宋体"/>
          <w:color w:val="auto"/>
          <w:szCs w:val="21"/>
        </w:rPr>
        <w:t>进口产品投标。进口产品是指通过中国海关报关验放进入中国境内且产自关境外的产品。</w:t>
      </w:r>
    </w:p>
    <w:p w14:paraId="209DC9A2">
      <w:pPr>
        <w:spacing w:line="500" w:lineRule="exact"/>
        <w:ind w:firstLine="420" w:firstLineChars="200"/>
        <w:rPr>
          <w:rFonts w:ascii="宋体" w:hAnsi="宋体" w:cs="宋体"/>
          <w:color w:val="auto"/>
        </w:rPr>
      </w:pPr>
      <w:r>
        <w:rPr>
          <w:rFonts w:hint="eastAsia" w:ascii="宋体" w:hAnsi="宋体" w:cs="宋体"/>
          <w:color w:val="auto"/>
          <w:szCs w:val="21"/>
        </w:rPr>
        <w:t>9.本项目</w:t>
      </w:r>
      <w:r>
        <w:rPr>
          <w:rFonts w:hint="eastAsia" w:ascii="宋体" w:hAnsi="宋体" w:cs="宋体"/>
          <w:b/>
          <w:bCs/>
          <w:color w:val="auto"/>
          <w:szCs w:val="21"/>
        </w:rPr>
        <w:t>不接受</w:t>
      </w:r>
      <w:r>
        <w:rPr>
          <w:rFonts w:hint="eastAsia" w:ascii="宋体" w:hAnsi="宋体" w:cs="宋体"/>
          <w:color w:val="auto"/>
          <w:szCs w:val="21"/>
        </w:rPr>
        <w:t>联合体投标。</w:t>
      </w:r>
    </w:p>
    <w:p w14:paraId="7561B644">
      <w:pPr>
        <w:spacing w:line="500" w:lineRule="exact"/>
        <w:rPr>
          <w:rFonts w:ascii="宋体" w:hAnsi="宋体" w:cs="宋体"/>
          <w:b/>
          <w:color w:val="auto"/>
          <w:sz w:val="30"/>
          <w:szCs w:val="30"/>
        </w:rPr>
      </w:pPr>
      <w:bookmarkStart w:id="27" w:name="_Toc17320"/>
      <w:bookmarkStart w:id="28" w:name="_Toc30646"/>
      <w:bookmarkStart w:id="29" w:name="_Toc30354"/>
      <w:bookmarkStart w:id="30" w:name="_Toc13313"/>
      <w:r>
        <w:rPr>
          <w:rFonts w:hint="eastAsia" w:ascii="宋体" w:hAnsi="宋体" w:cs="宋体"/>
          <w:b/>
          <w:color w:val="auto"/>
          <w:sz w:val="30"/>
          <w:szCs w:val="30"/>
        </w:rPr>
        <w:t>二、投标人的资格要求</w:t>
      </w:r>
      <w:bookmarkEnd w:id="23"/>
      <w:bookmarkEnd w:id="24"/>
      <w:bookmarkEnd w:id="25"/>
      <w:bookmarkEnd w:id="26"/>
      <w:bookmarkEnd w:id="27"/>
      <w:bookmarkEnd w:id="28"/>
      <w:bookmarkEnd w:id="29"/>
      <w:bookmarkEnd w:id="30"/>
    </w:p>
    <w:p w14:paraId="571559D1">
      <w:pPr>
        <w:spacing w:line="50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23406D06">
      <w:pPr>
        <w:spacing w:line="500" w:lineRule="exact"/>
        <w:ind w:firstLine="420" w:firstLineChars="200"/>
        <w:rPr>
          <w:rFonts w:ascii="宋体" w:hAnsi="宋体" w:cs="宋体"/>
          <w:color w:val="auto"/>
          <w:szCs w:val="21"/>
        </w:rPr>
      </w:pPr>
      <w:r>
        <w:rPr>
          <w:rFonts w:hint="eastAsia" w:ascii="宋体" w:hAnsi="宋体" w:cs="宋体"/>
          <w:color w:val="auto"/>
          <w:szCs w:val="21"/>
        </w:rPr>
        <w:t>1.1具有独立承担民事责任的能力：</w:t>
      </w:r>
      <w:r>
        <w:rPr>
          <w:rFonts w:hint="eastAsia" w:hAnsi="宋体" w:cs="宋体"/>
          <w:bCs/>
          <w:color w:val="auto"/>
          <w:kern w:val="0"/>
          <w:szCs w:val="21"/>
        </w:rPr>
        <w:t>投标人为法人、其他组织或者自然人，提供有效的营业执照或事业单位法人证书或民办非企业登记证书或执业许可证或社会团体登记证或自然人身份证明</w:t>
      </w:r>
      <w:r>
        <w:rPr>
          <w:rFonts w:hint="eastAsia" w:hAnsi="宋体" w:cs="宋体"/>
          <w:bCs/>
          <w:color w:val="auto"/>
          <w:szCs w:val="21"/>
        </w:rPr>
        <w:t>；</w:t>
      </w:r>
    </w:p>
    <w:p w14:paraId="67DBB84A">
      <w:pPr>
        <w:spacing w:line="500" w:lineRule="exact"/>
        <w:ind w:firstLine="420" w:firstLineChars="200"/>
        <w:rPr>
          <w:rFonts w:ascii="宋体" w:hAnsi="宋体" w:cs="宋体"/>
          <w:color w:val="auto"/>
          <w:szCs w:val="21"/>
        </w:rPr>
      </w:pPr>
      <w:r>
        <w:rPr>
          <w:rFonts w:hint="eastAsia" w:ascii="宋体" w:hAnsi="宋体" w:cs="宋体"/>
          <w:color w:val="auto"/>
          <w:szCs w:val="21"/>
        </w:rPr>
        <w:t>1.2具有良好的商业信誉和健全的财务会计制度：</w:t>
      </w:r>
    </w:p>
    <w:p w14:paraId="5295BEB2">
      <w:pPr>
        <w:spacing w:line="500" w:lineRule="exact"/>
        <w:ind w:firstLine="420" w:firstLineChars="200"/>
        <w:rPr>
          <w:rFonts w:ascii="宋体" w:hAnsi="宋体" w:cs="宋体"/>
          <w:color w:val="auto"/>
          <w:szCs w:val="21"/>
        </w:rPr>
      </w:pPr>
      <w:r>
        <w:rPr>
          <w:rFonts w:hint="eastAsia" w:ascii="宋体" w:hAnsi="宋体" w:cs="宋体"/>
          <w:color w:val="auto"/>
          <w:szCs w:val="21"/>
        </w:rPr>
        <w:t>投标人可根据自身情况提供下述①-④任意一种证明材料：①2023年或2024年任意一年度经审计的财务会计报告及报表（至少包括资产负债表、利润表（损益表）、现金流量表)；若为至提交投标文件截止时间新成立不满1年的公司，</w:t>
      </w:r>
      <w:r>
        <w:rPr>
          <w:color w:val="auto"/>
          <w:kern w:val="0"/>
          <w:szCs w:val="21"/>
        </w:rPr>
        <w:t>可提供成立至今的财务报表</w:t>
      </w:r>
      <w:r>
        <w:rPr>
          <w:rFonts w:hint="eastAsia" w:ascii="宋体" w:hAnsi="宋体" w:cs="宋体"/>
          <w:color w:val="auto"/>
          <w:szCs w:val="21"/>
        </w:rPr>
        <w:t>；②提供其开户行出具的至本项目提交投标文件截止时间前1年内的资信证明或财政部门认可的政府采购专业担保机构出具的投标担保函（需同时提供专业担保机构经财政部门认可的证明文件）。③投标人为事业单位提供财务报表；④投标人为自然人的提供具有良好的商业信誉和健全的财务会计制度的承诺函（自然人投标人电子签名）</w:t>
      </w:r>
      <w:r>
        <w:rPr>
          <w:rFonts w:hint="eastAsia" w:hAnsi="宋体" w:cs="宋体"/>
          <w:color w:val="auto"/>
          <w:szCs w:val="21"/>
        </w:rPr>
        <w:t>；</w:t>
      </w:r>
    </w:p>
    <w:p w14:paraId="2007E11B">
      <w:pPr>
        <w:spacing w:line="500" w:lineRule="exact"/>
        <w:ind w:firstLine="420" w:firstLineChars="200"/>
        <w:rPr>
          <w:rFonts w:ascii="宋体" w:hAnsi="宋体" w:cs="宋体"/>
          <w:color w:val="auto"/>
          <w:szCs w:val="21"/>
        </w:rPr>
      </w:pPr>
      <w:r>
        <w:rPr>
          <w:rFonts w:hint="eastAsia" w:ascii="宋体" w:hAnsi="宋体" w:cs="宋体"/>
          <w:color w:val="auto"/>
          <w:szCs w:val="21"/>
        </w:rPr>
        <w:t>1.3具有履行合同所必需的设备和专业技术能力：投标人须提供具有履行合同所必需的设备和专业技术能力的承诺函（加盖投标人电子公章）或证明材料；</w:t>
      </w:r>
    </w:p>
    <w:p w14:paraId="0A3894E3">
      <w:pPr>
        <w:spacing w:line="500" w:lineRule="exact"/>
        <w:ind w:firstLine="420" w:firstLineChars="200"/>
        <w:rPr>
          <w:rFonts w:ascii="宋体" w:hAnsi="宋体" w:cs="宋体"/>
          <w:color w:val="auto"/>
          <w:szCs w:val="21"/>
        </w:rPr>
      </w:pPr>
      <w:r>
        <w:rPr>
          <w:rFonts w:hint="eastAsia" w:ascii="宋体" w:hAnsi="宋体" w:cs="宋体"/>
          <w:color w:val="auto"/>
          <w:szCs w:val="21"/>
        </w:rPr>
        <w:t>1.4有依法缴纳税收和社会保障资金的良好记录：</w:t>
      </w:r>
    </w:p>
    <w:p w14:paraId="7D8DD4EE">
      <w:pPr>
        <w:spacing w:line="500" w:lineRule="exact"/>
        <w:ind w:firstLine="420" w:firstLineChars="200"/>
        <w:rPr>
          <w:rFonts w:ascii="宋体" w:hAnsi="宋体" w:cs="宋体"/>
          <w:color w:val="auto"/>
          <w:szCs w:val="21"/>
        </w:rPr>
      </w:pPr>
      <w:r>
        <w:rPr>
          <w:rFonts w:hint="eastAsia" w:ascii="宋体" w:hAnsi="宋体" w:cs="宋体"/>
          <w:color w:val="auto"/>
          <w:szCs w:val="21"/>
        </w:rPr>
        <w:t>1.4.1投标人提供缴税所属时间在2024年01月至本项目提交投标文件截止时间前任意2个月的税务局税收通用缴款书或银行电子缴税（费）凭证或税务局出具纳税情况的相关证明，成立未满2个月的提供成立以来的纳税证明材料，依法免税的应提供依法免税的相关证明文件</w:t>
      </w:r>
      <w:r>
        <w:rPr>
          <w:rFonts w:hint="eastAsia" w:hAnsi="宋体" w:cs="宋体"/>
          <w:color w:val="auto"/>
          <w:szCs w:val="21"/>
        </w:rPr>
        <w:t>；</w:t>
      </w:r>
    </w:p>
    <w:p w14:paraId="3C83B60E">
      <w:pPr>
        <w:spacing w:line="500" w:lineRule="exact"/>
        <w:ind w:firstLine="420" w:firstLineChars="200"/>
        <w:rPr>
          <w:rFonts w:ascii="宋体" w:hAnsi="宋体" w:cs="宋体"/>
          <w:color w:val="auto"/>
          <w:szCs w:val="21"/>
        </w:rPr>
      </w:pPr>
      <w:r>
        <w:rPr>
          <w:rFonts w:hint="eastAsia" w:ascii="宋体" w:hAnsi="宋体" w:cs="宋体"/>
          <w:color w:val="auto"/>
          <w:szCs w:val="21"/>
        </w:rPr>
        <w:t>1.4.2投标人提供缴费所属时间在2024年01月至本项目提交投标文件截止时间前任意2个月的社会保险费缴款书或银行电子缴税（费）凭证或社保管理部门出具的有效的缴款证明，成立未满2个月的提供成立以来的社保资金缴纳证明材料，依法免缴的应提供依法免缴的相关证明文件；</w:t>
      </w:r>
    </w:p>
    <w:p w14:paraId="33EF5030">
      <w:pPr>
        <w:spacing w:line="500" w:lineRule="exact"/>
        <w:ind w:firstLine="420" w:firstLineChars="200"/>
        <w:rPr>
          <w:rFonts w:ascii="宋体" w:hAnsi="宋体" w:cs="宋体"/>
          <w:color w:val="auto"/>
          <w:szCs w:val="21"/>
        </w:rPr>
      </w:pPr>
      <w:r>
        <w:rPr>
          <w:rFonts w:hint="eastAsia" w:ascii="宋体" w:hAnsi="宋体" w:cs="宋体"/>
          <w:color w:val="auto"/>
          <w:szCs w:val="21"/>
        </w:rPr>
        <w:t>1.5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加盖投标人电子公章）；</w:t>
      </w:r>
    </w:p>
    <w:p w14:paraId="2CBD0009">
      <w:pPr>
        <w:spacing w:line="500" w:lineRule="exact"/>
        <w:ind w:firstLine="420" w:firstLineChars="200"/>
        <w:rPr>
          <w:rFonts w:ascii="宋体" w:hAnsi="宋体" w:cs="宋体"/>
          <w:color w:val="auto"/>
          <w:szCs w:val="21"/>
        </w:rPr>
      </w:pPr>
      <w:r>
        <w:rPr>
          <w:rFonts w:hint="eastAsia" w:ascii="宋体" w:hAnsi="宋体" w:cs="宋体"/>
          <w:color w:val="auto"/>
          <w:szCs w:val="21"/>
        </w:rPr>
        <w:t>1.6法律、行政法规规定的其他条件：</w:t>
      </w:r>
    </w:p>
    <w:p w14:paraId="56983F55">
      <w:pPr>
        <w:spacing w:line="500" w:lineRule="exact"/>
        <w:ind w:firstLine="420" w:firstLineChars="200"/>
        <w:rPr>
          <w:rFonts w:ascii="宋体" w:hAnsi="宋体" w:cs="宋体"/>
          <w:color w:val="auto"/>
          <w:szCs w:val="21"/>
        </w:rPr>
      </w:pPr>
      <w:r>
        <w:rPr>
          <w:rFonts w:hint="eastAsia" w:ascii="宋体" w:hAnsi="宋体" w:cs="宋体"/>
          <w:color w:val="auto"/>
          <w:szCs w:val="21"/>
        </w:rPr>
        <w:t>1.6.1投标人在“信用中国”网站（www.creditchina.gov.cn）信用服务查询栏查询的“失信被执行人（按网站要求链接到中国执行信息网（http://zxgk.court.gov.cn/shixin/）查询）、重大税收违法失信主体名录”未出现不良信用信息记录；投标人在“中国政府采购网（www.ccgp.gov.cn）”政府采购严重违法失信行为记录名单内无不良信息记录；（查询时间为本公告发布之日起至本项目开标当日为止，查询结果以采购人、采购代理机构查询结果为准，并将查询记录和证据留存）；</w:t>
      </w:r>
    </w:p>
    <w:p w14:paraId="655EF206">
      <w:pPr>
        <w:spacing w:line="500" w:lineRule="exact"/>
        <w:ind w:firstLine="420" w:firstLineChars="200"/>
        <w:rPr>
          <w:rFonts w:ascii="宋体" w:hAnsi="宋体" w:cs="宋体"/>
          <w:color w:val="auto"/>
          <w:szCs w:val="21"/>
        </w:rPr>
      </w:pPr>
      <w:r>
        <w:rPr>
          <w:rFonts w:hint="eastAsia" w:ascii="宋体" w:hAnsi="宋体" w:cs="宋体"/>
          <w:color w:val="auto"/>
          <w:szCs w:val="21"/>
        </w:rPr>
        <w:t>1.6.2单位负责人为同一人或者存在直接控股、管理关系的不同投标人，不得同时参加本项目的采购活动（提供书面声明，加盖投标人电子公章）；</w:t>
      </w:r>
    </w:p>
    <w:p w14:paraId="327C0FD1">
      <w:pPr>
        <w:spacing w:line="500" w:lineRule="exact"/>
        <w:ind w:firstLine="420" w:firstLineChars="200"/>
        <w:rPr>
          <w:rFonts w:ascii="宋体" w:hAnsi="宋体" w:cs="宋体"/>
          <w:color w:val="auto"/>
          <w:szCs w:val="21"/>
        </w:rPr>
      </w:pPr>
      <w:r>
        <w:rPr>
          <w:rFonts w:hint="eastAsia" w:ascii="宋体" w:hAnsi="宋体" w:cs="宋体"/>
          <w:color w:val="auto"/>
          <w:szCs w:val="21"/>
        </w:rPr>
        <w:t>1.6.3为本项目提供整体设计、规范编制或者项目管理、监理、检测等服务的投标人，不得参与本项目采购活动（提供书面声明，加盖投标人电子公章）；</w:t>
      </w:r>
    </w:p>
    <w:p w14:paraId="62A144FA">
      <w:pPr>
        <w:spacing w:line="500" w:lineRule="exact"/>
        <w:ind w:firstLine="420" w:firstLineChars="200"/>
        <w:rPr>
          <w:rFonts w:ascii="宋体" w:hAnsi="宋体" w:cs="宋体"/>
          <w:color w:val="auto"/>
          <w:szCs w:val="21"/>
        </w:rPr>
      </w:pPr>
      <w:r>
        <w:rPr>
          <w:rFonts w:hint="eastAsia" w:ascii="宋体" w:hAnsi="宋体" w:cs="宋体"/>
          <w:color w:val="auto"/>
          <w:szCs w:val="21"/>
        </w:rPr>
        <w:t>2.落实政府采购政策需满足的资格要求：无。</w:t>
      </w:r>
    </w:p>
    <w:p w14:paraId="4B22C1B6">
      <w:pPr>
        <w:spacing w:line="500" w:lineRule="exact"/>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27219D80">
      <w:pPr>
        <w:spacing w:line="500" w:lineRule="exact"/>
        <w:rPr>
          <w:rFonts w:ascii="宋体" w:hAnsi="宋体" w:cs="宋体"/>
          <w:b/>
          <w:color w:val="auto"/>
          <w:sz w:val="30"/>
          <w:szCs w:val="30"/>
        </w:rPr>
      </w:pPr>
      <w:bookmarkStart w:id="31" w:name="_Toc35393792"/>
      <w:bookmarkStart w:id="32" w:name="_Toc6011"/>
      <w:bookmarkStart w:id="33" w:name="_Toc35393623"/>
      <w:bookmarkStart w:id="34" w:name="_Toc22104"/>
      <w:bookmarkStart w:id="35" w:name="_Toc19200"/>
      <w:bookmarkStart w:id="36" w:name="_Toc7861"/>
      <w:r>
        <w:rPr>
          <w:rFonts w:hint="eastAsia" w:ascii="宋体" w:hAnsi="宋体" w:cs="宋体"/>
          <w:b/>
          <w:color w:val="auto"/>
          <w:sz w:val="30"/>
          <w:szCs w:val="30"/>
        </w:rPr>
        <w:t>三、获取招标文件</w:t>
      </w:r>
      <w:bookmarkEnd w:id="31"/>
      <w:bookmarkEnd w:id="32"/>
      <w:bookmarkEnd w:id="33"/>
      <w:bookmarkEnd w:id="34"/>
      <w:bookmarkEnd w:id="35"/>
      <w:bookmarkEnd w:id="36"/>
    </w:p>
    <w:p w14:paraId="51233918">
      <w:pPr>
        <w:spacing w:line="500" w:lineRule="exact"/>
        <w:ind w:firstLine="420" w:firstLineChars="200"/>
        <w:rPr>
          <w:rFonts w:ascii="宋体" w:hAnsi="宋体" w:cs="宋体"/>
          <w:color w:val="auto"/>
          <w:szCs w:val="21"/>
        </w:rPr>
      </w:pPr>
      <w:r>
        <w:rPr>
          <w:rFonts w:hint="eastAsia" w:ascii="宋体" w:hAnsi="宋体" w:cs="宋体"/>
          <w:color w:val="auto"/>
          <w:szCs w:val="21"/>
        </w:rPr>
        <w:t>1.时间：2025年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21</w:t>
      </w:r>
      <w:r>
        <w:rPr>
          <w:rFonts w:hint="eastAsia" w:ascii="宋体" w:hAnsi="宋体" w:cs="宋体"/>
          <w:color w:val="auto"/>
          <w:szCs w:val="21"/>
        </w:rPr>
        <w:t>日至2025年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日，每日上午06：00时至12：00时，下午12：00时至23：59时（北京时间，法定节假日除外）</w:t>
      </w:r>
      <w:r>
        <w:rPr>
          <w:rFonts w:hint="eastAsia" w:ascii="宋体" w:hAnsi="宋体" w:cs="宋体"/>
          <w:bCs/>
          <w:color w:val="auto"/>
          <w:szCs w:val="21"/>
        </w:rPr>
        <w:t>。</w:t>
      </w:r>
    </w:p>
    <w:p w14:paraId="21170178">
      <w:pPr>
        <w:spacing w:line="500" w:lineRule="exact"/>
        <w:ind w:firstLine="420" w:firstLineChars="200"/>
        <w:rPr>
          <w:rFonts w:ascii="宋体" w:hAnsi="宋体" w:cs="宋体"/>
          <w:color w:val="auto"/>
          <w:szCs w:val="21"/>
        </w:rPr>
      </w:pPr>
      <w:r>
        <w:rPr>
          <w:rFonts w:hint="eastAsia" w:ascii="宋体" w:hAnsi="宋体" w:cs="宋体"/>
          <w:color w:val="auto"/>
          <w:szCs w:val="21"/>
        </w:rPr>
        <w:t>2.地点：“政采云”平台线上获取（https://www.zcygov.cn/）（操作路径：登录“政采云”平台-项目采购-获取采购文件-找到本项目-点击“申请获取采购文件”）。</w:t>
      </w:r>
    </w:p>
    <w:p w14:paraId="0CCF885F">
      <w:pPr>
        <w:wordWrap w:val="0"/>
        <w:spacing w:line="500" w:lineRule="exact"/>
        <w:ind w:firstLine="420" w:firstLineChars="200"/>
        <w:rPr>
          <w:rFonts w:ascii="宋体" w:hAnsi="宋体" w:cs="宋体"/>
          <w:color w:val="auto"/>
          <w:szCs w:val="21"/>
        </w:rPr>
      </w:pPr>
      <w:r>
        <w:rPr>
          <w:rFonts w:hint="eastAsia" w:ascii="宋体" w:hAnsi="宋体" w:cs="宋体"/>
          <w:color w:val="auto"/>
          <w:szCs w:val="21"/>
        </w:rPr>
        <w:t>3.方式：（1）凡有意参与投标者，须在“政采云”平台办理数字证书（CA），并在“政采云”平台绑定数字证书（CA）后线上获取采购文件及其它采购资料。CA申领链接：https://yzt.ynsmartcert.cn/cms/yztgr.html（客服热线：0871-67276028&lt;紧急可拨19988166369&gt;）或https://cap.yunnanca.net/login（客服热线：4006727666）；CA申领后需登录“政采云”平台完成数字证书（CA）绑定才可以使用；若投标人之前已经注册并办理过企业数字证书（CA）的，可以直接绑定，无需重复办理。投标人在注册办理过程中若有疑问，可以拨打客服热线95763咨询。（2）投标人申领到企业数字证书（CA）后进入“政采云”平台（网址：https://www.zcygov.cn/）并绑定企业数字证书（CA），在网上获取采购文件及其它采购资料（操作路径：登录““政采云”平台-项目采购-获取采购文件-找到本项目-点击“申请获取采购文件”），此为参与投标的唯一途径。（3）按上述要求获取采购文件的投标人视为合法获取了本项目采购文件。</w:t>
      </w:r>
    </w:p>
    <w:p w14:paraId="45A32DF6">
      <w:pPr>
        <w:spacing w:line="500" w:lineRule="exact"/>
        <w:ind w:firstLine="420" w:firstLineChars="200"/>
        <w:rPr>
          <w:rFonts w:ascii="宋体" w:hAnsi="宋体" w:cs="宋体"/>
          <w:color w:val="auto"/>
          <w:szCs w:val="21"/>
        </w:rPr>
      </w:pPr>
      <w:r>
        <w:rPr>
          <w:rFonts w:hint="eastAsia" w:ascii="宋体" w:hAnsi="宋体" w:cs="宋体"/>
          <w:color w:val="auto"/>
          <w:szCs w:val="21"/>
        </w:rPr>
        <w:t>4.售价：0.00元。</w:t>
      </w:r>
    </w:p>
    <w:p w14:paraId="37A783A8">
      <w:pPr>
        <w:spacing w:line="500" w:lineRule="exact"/>
        <w:rPr>
          <w:rFonts w:ascii="宋体" w:hAnsi="宋体" w:cs="宋体"/>
          <w:b/>
          <w:color w:val="auto"/>
          <w:sz w:val="30"/>
          <w:szCs w:val="30"/>
        </w:rPr>
      </w:pPr>
      <w:bookmarkStart w:id="37" w:name="_Toc28359082"/>
      <w:bookmarkStart w:id="38" w:name="_Toc28359005"/>
      <w:bookmarkStart w:id="39" w:name="_Toc35393624"/>
      <w:bookmarkStart w:id="40" w:name="_Toc16443"/>
      <w:bookmarkStart w:id="41" w:name="_Toc35393793"/>
      <w:bookmarkStart w:id="42" w:name="_Toc30337"/>
      <w:bookmarkStart w:id="43" w:name="_Toc32176"/>
      <w:bookmarkStart w:id="44" w:name="_Toc15685"/>
      <w:r>
        <w:rPr>
          <w:rFonts w:hint="eastAsia" w:ascii="宋体" w:hAnsi="宋体" w:cs="宋体"/>
          <w:b/>
          <w:color w:val="auto"/>
          <w:sz w:val="30"/>
          <w:szCs w:val="30"/>
        </w:rPr>
        <w:t>四、提交投标文件</w:t>
      </w:r>
      <w:bookmarkEnd w:id="37"/>
      <w:bookmarkEnd w:id="38"/>
      <w:r>
        <w:rPr>
          <w:rFonts w:hint="eastAsia" w:ascii="宋体" w:hAnsi="宋体" w:cs="宋体"/>
          <w:b/>
          <w:color w:val="auto"/>
          <w:sz w:val="30"/>
          <w:szCs w:val="30"/>
        </w:rPr>
        <w:t>截止时间、开标时间和地点</w:t>
      </w:r>
      <w:bookmarkEnd w:id="39"/>
      <w:bookmarkEnd w:id="40"/>
      <w:bookmarkEnd w:id="41"/>
      <w:bookmarkEnd w:id="42"/>
      <w:bookmarkEnd w:id="43"/>
      <w:bookmarkEnd w:id="44"/>
    </w:p>
    <w:p w14:paraId="2BF71DF1">
      <w:pPr>
        <w:spacing w:line="500" w:lineRule="exact"/>
        <w:ind w:firstLine="420" w:firstLineChars="200"/>
        <w:rPr>
          <w:rFonts w:ascii="宋体" w:hAnsi="宋体" w:cs="宋体"/>
          <w:bCs/>
          <w:color w:val="auto"/>
          <w:szCs w:val="21"/>
          <w:u w:val="single"/>
        </w:rPr>
      </w:pPr>
      <w:r>
        <w:rPr>
          <w:rFonts w:hint="eastAsia" w:ascii="宋体" w:hAnsi="宋体" w:cs="宋体"/>
          <w:bCs/>
          <w:color w:val="auto"/>
          <w:szCs w:val="21"/>
        </w:rPr>
        <w:t>1.提交投标文件截止时间、开标时间：</w:t>
      </w:r>
      <w:r>
        <w:rPr>
          <w:rFonts w:hint="eastAsia" w:ascii="宋体" w:hAnsi="宋体" w:cs="宋体"/>
          <w:color w:val="auto"/>
          <w:szCs w:val="21"/>
        </w:rPr>
        <w:t>2025年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w:t>
      </w:r>
      <w:r>
        <w:rPr>
          <w:rFonts w:hint="eastAsia" w:ascii="宋体" w:hAnsi="宋体" w:cs="宋体"/>
          <w:color w:val="auto"/>
          <w:szCs w:val="21"/>
          <w:lang w:val="en-US" w:eastAsia="zh-CN"/>
        </w:rPr>
        <w:t>10</w:t>
      </w:r>
      <w:r>
        <w:rPr>
          <w:rFonts w:hint="eastAsia" w:ascii="宋体" w:hAnsi="宋体" w:cs="宋体"/>
          <w:color w:val="auto"/>
          <w:szCs w:val="21"/>
        </w:rPr>
        <w:t>点</w:t>
      </w:r>
      <w:r>
        <w:rPr>
          <w:rFonts w:hint="eastAsia" w:ascii="宋体" w:hAnsi="宋体" w:cs="宋体"/>
          <w:color w:val="auto"/>
          <w:szCs w:val="21"/>
          <w:lang w:val="en-US" w:eastAsia="zh-CN"/>
        </w:rPr>
        <w:t>00</w:t>
      </w:r>
      <w:r>
        <w:rPr>
          <w:rFonts w:hint="eastAsia" w:ascii="宋体" w:hAnsi="宋体" w:cs="宋体"/>
          <w:color w:val="auto"/>
          <w:szCs w:val="21"/>
        </w:rPr>
        <w:t>分</w:t>
      </w:r>
      <w:r>
        <w:rPr>
          <w:rFonts w:hint="eastAsia" w:ascii="宋体" w:hAnsi="宋体" w:cs="宋体"/>
          <w:bCs/>
          <w:color w:val="auto"/>
          <w:szCs w:val="21"/>
        </w:rPr>
        <w:t>（北京时间）。</w:t>
      </w:r>
    </w:p>
    <w:p w14:paraId="06C81C45">
      <w:pPr>
        <w:spacing w:line="500" w:lineRule="exact"/>
        <w:ind w:firstLine="420" w:firstLineChars="200"/>
        <w:rPr>
          <w:rFonts w:ascii="宋体" w:hAnsi="宋体" w:cs="宋体"/>
          <w:color w:val="auto"/>
          <w:szCs w:val="21"/>
        </w:rPr>
      </w:pPr>
      <w:r>
        <w:rPr>
          <w:rFonts w:hint="eastAsia" w:ascii="宋体" w:hAnsi="宋体" w:cs="宋体"/>
          <w:bCs/>
          <w:color w:val="auto"/>
          <w:szCs w:val="21"/>
        </w:rPr>
        <w:t>2.提交投标文件地点：</w:t>
      </w:r>
      <w:r>
        <w:rPr>
          <w:rFonts w:hint="eastAsia" w:ascii="宋体" w:hAnsi="宋体" w:cs="宋体"/>
          <w:color w:val="auto"/>
          <w:szCs w:val="21"/>
        </w:rPr>
        <w:t>投标人应按照本项目采购文件和"政采云"平台的要求编制、加密投标文件后在投标文件提交截止时间前上传至"政采云"平台，投标人须在投标截止时间前完成所有电子投标文件的上传，投标截止时间前未完成投标文件传输的，视为撤回投标文件。投标人在"政采云"平台提交电子版投标文件时，请填写参加远程采购活动经办人联系方式。</w:t>
      </w:r>
    </w:p>
    <w:p w14:paraId="42D073D5">
      <w:pPr>
        <w:spacing w:line="500" w:lineRule="exact"/>
        <w:ind w:firstLine="420" w:firstLineChars="200"/>
        <w:rPr>
          <w:rFonts w:ascii="宋体" w:hAnsi="宋体" w:cs="宋体"/>
          <w:b/>
          <w:color w:val="auto"/>
          <w:szCs w:val="21"/>
        </w:rPr>
      </w:pPr>
      <w:r>
        <w:rPr>
          <w:rFonts w:hint="eastAsia" w:ascii="宋体" w:hAnsi="宋体" w:cs="宋体"/>
          <w:color w:val="auto"/>
          <w:szCs w:val="21"/>
        </w:rPr>
        <w:t>3.开标地点：</w:t>
      </w:r>
      <w:r>
        <w:rPr>
          <w:rFonts w:hint="eastAsia" w:ascii="宋体" w:hAnsi="宋体" w:cs="宋体"/>
          <w:color w:val="auto"/>
          <w:kern w:val="0"/>
          <w:szCs w:val="21"/>
        </w:rPr>
        <w:t>云南冠睿咨询有限公司开标三厅</w:t>
      </w:r>
      <w:r>
        <w:rPr>
          <w:rFonts w:hint="eastAsia" w:ascii="宋体" w:hAnsi="宋体" w:cs="宋体"/>
          <w:color w:val="auto"/>
          <w:szCs w:val="21"/>
        </w:rPr>
        <w:t>（</w:t>
      </w:r>
      <w:r>
        <w:rPr>
          <w:rFonts w:hint="eastAsia" w:ascii="宋体" w:hAnsi="宋体" w:cs="宋体"/>
          <w:color w:val="auto"/>
          <w:kern w:val="0"/>
          <w:szCs w:val="21"/>
        </w:rPr>
        <w:t>云南省昆明市西山区万达广场南塔33层3310号），投标人无需到达</w:t>
      </w:r>
      <w:r>
        <w:rPr>
          <w:rFonts w:hint="eastAsia" w:ascii="宋体" w:hAnsi="宋体" w:cs="宋体"/>
          <w:color w:val="auto"/>
          <w:szCs w:val="21"/>
        </w:rPr>
        <w:t>开标地点</w:t>
      </w:r>
      <w:r>
        <w:rPr>
          <w:rFonts w:hint="eastAsia" w:ascii="宋体" w:hAnsi="宋体" w:cs="宋体"/>
          <w:color w:val="auto"/>
          <w:kern w:val="0"/>
          <w:szCs w:val="21"/>
        </w:rPr>
        <w:t>，须在"政采云"平台进行远程解密电子版投标文件</w:t>
      </w:r>
      <w:r>
        <w:rPr>
          <w:rFonts w:hint="eastAsia" w:ascii="宋体" w:hAnsi="宋体" w:cs="宋体"/>
          <w:color w:val="auto"/>
          <w:szCs w:val="21"/>
        </w:rPr>
        <w:t>。</w:t>
      </w:r>
    </w:p>
    <w:p w14:paraId="51CFC84B">
      <w:pPr>
        <w:spacing w:line="500" w:lineRule="exact"/>
        <w:rPr>
          <w:rFonts w:ascii="宋体" w:hAnsi="宋体" w:cs="宋体"/>
          <w:b/>
          <w:color w:val="auto"/>
          <w:sz w:val="30"/>
          <w:szCs w:val="30"/>
        </w:rPr>
      </w:pPr>
      <w:bookmarkStart w:id="45" w:name="_Toc35393625"/>
      <w:bookmarkStart w:id="46" w:name="_Toc28359084"/>
      <w:bookmarkStart w:id="47" w:name="_Toc11814"/>
      <w:bookmarkStart w:id="48" w:name="_Toc12135"/>
      <w:bookmarkStart w:id="49" w:name="_Toc28359007"/>
      <w:bookmarkStart w:id="50" w:name="_Toc24986"/>
      <w:bookmarkStart w:id="51" w:name="_Toc24325"/>
      <w:bookmarkStart w:id="52" w:name="_Toc35393794"/>
      <w:r>
        <w:rPr>
          <w:rFonts w:hint="eastAsia" w:ascii="宋体" w:hAnsi="宋体" w:cs="宋体"/>
          <w:b/>
          <w:color w:val="auto"/>
          <w:sz w:val="30"/>
          <w:szCs w:val="30"/>
        </w:rPr>
        <w:t>五、公告期限</w:t>
      </w:r>
      <w:bookmarkEnd w:id="45"/>
      <w:bookmarkEnd w:id="46"/>
      <w:bookmarkEnd w:id="47"/>
      <w:bookmarkEnd w:id="48"/>
      <w:bookmarkEnd w:id="49"/>
      <w:bookmarkEnd w:id="50"/>
      <w:bookmarkEnd w:id="51"/>
      <w:bookmarkEnd w:id="52"/>
    </w:p>
    <w:p w14:paraId="011450E7">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0F0AA0A7">
      <w:pPr>
        <w:spacing w:line="500" w:lineRule="exact"/>
        <w:rPr>
          <w:rFonts w:ascii="宋体" w:hAnsi="宋体" w:cs="宋体"/>
          <w:b/>
          <w:color w:val="auto"/>
          <w:sz w:val="30"/>
          <w:szCs w:val="30"/>
        </w:rPr>
      </w:pPr>
      <w:bookmarkStart w:id="53" w:name="_Toc35393795"/>
      <w:bookmarkStart w:id="54" w:name="_Toc35393626"/>
      <w:bookmarkStart w:id="55" w:name="_Toc29742"/>
      <w:bookmarkStart w:id="56" w:name="_Toc1152"/>
      <w:bookmarkStart w:id="57" w:name="_Toc4382"/>
      <w:bookmarkStart w:id="58" w:name="_Toc18135"/>
      <w:r>
        <w:rPr>
          <w:rFonts w:hint="eastAsia" w:ascii="宋体" w:hAnsi="宋体" w:cs="宋体"/>
          <w:b/>
          <w:color w:val="auto"/>
          <w:sz w:val="30"/>
          <w:szCs w:val="30"/>
        </w:rPr>
        <w:t>六、其他补充事宜</w:t>
      </w:r>
      <w:bookmarkEnd w:id="53"/>
      <w:bookmarkEnd w:id="54"/>
      <w:bookmarkEnd w:id="55"/>
      <w:bookmarkEnd w:id="56"/>
      <w:bookmarkEnd w:id="57"/>
      <w:bookmarkEnd w:id="58"/>
    </w:p>
    <w:p w14:paraId="40906B6E">
      <w:pPr>
        <w:pStyle w:val="74"/>
        <w:spacing w:line="500" w:lineRule="exact"/>
        <w:rPr>
          <w:rFonts w:ascii="宋体" w:hAnsi="宋体" w:cs="宋体"/>
          <w:color w:val="auto"/>
          <w:szCs w:val="21"/>
        </w:rPr>
      </w:pPr>
      <w:r>
        <w:rPr>
          <w:rFonts w:hint="eastAsia" w:ascii="宋体" w:hAnsi="宋体" w:cs="宋体"/>
          <w:color w:val="auto"/>
          <w:szCs w:val="21"/>
        </w:rPr>
        <w:t>1.开标方式：网上开标</w:t>
      </w:r>
    </w:p>
    <w:p w14:paraId="12DACDCB">
      <w:pPr>
        <w:pStyle w:val="74"/>
        <w:spacing w:line="500" w:lineRule="exact"/>
        <w:rPr>
          <w:rFonts w:ascii="宋体" w:hAnsi="宋体" w:cs="宋体"/>
          <w:color w:val="auto"/>
          <w:szCs w:val="21"/>
        </w:rPr>
      </w:pPr>
      <w:r>
        <w:rPr>
          <w:rFonts w:hint="eastAsia" w:ascii="宋体" w:hAnsi="宋体" w:cs="宋体"/>
          <w:color w:val="auto"/>
          <w:szCs w:val="21"/>
        </w:rPr>
        <w:t>2.发布公告的媒介：本次公开招标公告在“云南省政府采购网”上发布。</w:t>
      </w:r>
    </w:p>
    <w:p w14:paraId="4FA90505">
      <w:pPr>
        <w:pStyle w:val="74"/>
        <w:spacing w:line="500" w:lineRule="exact"/>
        <w:rPr>
          <w:rFonts w:ascii="宋体" w:hAnsi="宋体" w:cs="宋体"/>
          <w:color w:val="auto"/>
          <w:szCs w:val="21"/>
        </w:rPr>
      </w:pPr>
      <w:r>
        <w:rPr>
          <w:rFonts w:hint="eastAsia" w:ascii="宋体" w:hAnsi="宋体" w:cs="宋体"/>
          <w:color w:val="auto"/>
          <w:szCs w:val="21"/>
        </w:rPr>
        <w:t>3.本项目需要落实的政府采购政策：节能产品、环境标志产品、促进中小企业发展、促进残疾人就业、支持监狱企业发展、政府采购活动中查询及使用信用记录等，政府采购政策具体落实情况详见本项目招标文件。</w:t>
      </w:r>
    </w:p>
    <w:p w14:paraId="60680E56">
      <w:pPr>
        <w:pStyle w:val="74"/>
        <w:spacing w:line="500" w:lineRule="exact"/>
        <w:rPr>
          <w:rFonts w:ascii="宋体" w:hAnsi="宋体" w:cs="宋体"/>
          <w:color w:val="auto"/>
          <w:szCs w:val="21"/>
        </w:rPr>
      </w:pPr>
      <w:r>
        <w:rPr>
          <w:rFonts w:hint="eastAsia" w:ascii="宋体" w:hAnsi="宋体" w:cs="宋体"/>
          <w:color w:val="auto"/>
          <w:szCs w:val="21"/>
        </w:rPr>
        <w:t>4.采购代理机构账户信息：</w:t>
      </w:r>
    </w:p>
    <w:p w14:paraId="29798244">
      <w:pPr>
        <w:pStyle w:val="74"/>
        <w:spacing w:line="500" w:lineRule="exact"/>
        <w:rPr>
          <w:rFonts w:ascii="宋体" w:hAnsi="宋体" w:cs="宋体"/>
          <w:color w:val="auto"/>
          <w:szCs w:val="21"/>
        </w:rPr>
      </w:pPr>
      <w:r>
        <w:rPr>
          <w:rFonts w:hint="eastAsia" w:ascii="宋体" w:hAnsi="宋体" w:cs="宋体"/>
          <w:color w:val="auto"/>
          <w:szCs w:val="21"/>
        </w:rPr>
        <w:t>开户名称：云南冠睿咨询有限公司</w:t>
      </w:r>
    </w:p>
    <w:p w14:paraId="5F7A07BE">
      <w:pPr>
        <w:pStyle w:val="74"/>
        <w:spacing w:line="500" w:lineRule="exact"/>
        <w:rPr>
          <w:rFonts w:ascii="宋体" w:hAnsi="宋体" w:cs="宋体"/>
          <w:color w:val="auto"/>
          <w:szCs w:val="21"/>
        </w:rPr>
      </w:pPr>
      <w:r>
        <w:rPr>
          <w:rFonts w:hint="eastAsia" w:ascii="宋体" w:hAnsi="宋体" w:cs="宋体"/>
          <w:color w:val="auto"/>
          <w:szCs w:val="21"/>
        </w:rPr>
        <w:t>开户银行：中国民生银行股份有限公司昆明拓东路支行</w:t>
      </w:r>
    </w:p>
    <w:p w14:paraId="2ECF2AD9">
      <w:pPr>
        <w:pStyle w:val="74"/>
        <w:spacing w:line="500" w:lineRule="exact"/>
        <w:rPr>
          <w:rFonts w:ascii="宋体" w:hAnsi="宋体" w:cs="宋体"/>
          <w:color w:val="auto"/>
          <w:szCs w:val="21"/>
        </w:rPr>
      </w:pPr>
      <w:r>
        <w:rPr>
          <w:rFonts w:hint="eastAsia" w:ascii="宋体" w:hAnsi="宋体" w:cs="宋体"/>
          <w:color w:val="auto"/>
          <w:szCs w:val="21"/>
        </w:rPr>
        <w:t>账号：636611192</w:t>
      </w:r>
    </w:p>
    <w:p w14:paraId="5629CBC9">
      <w:pPr>
        <w:spacing w:line="500" w:lineRule="exact"/>
        <w:rPr>
          <w:rFonts w:ascii="宋体" w:hAnsi="宋体" w:cs="宋体"/>
          <w:b/>
          <w:color w:val="auto"/>
          <w:sz w:val="30"/>
          <w:szCs w:val="30"/>
        </w:rPr>
      </w:pPr>
      <w:bookmarkStart w:id="59" w:name="_Toc19162"/>
      <w:bookmarkStart w:id="60" w:name="_Toc2952"/>
      <w:bookmarkStart w:id="61" w:name="_Toc17565"/>
      <w:bookmarkStart w:id="62" w:name="_Toc28359008"/>
      <w:bookmarkStart w:id="63" w:name="_Toc35393627"/>
      <w:bookmarkStart w:id="64" w:name="_Toc35393796"/>
      <w:bookmarkStart w:id="65" w:name="_Toc28359085"/>
      <w:bookmarkStart w:id="66" w:name="_Toc31818"/>
      <w:r>
        <w:rPr>
          <w:rFonts w:hint="eastAsia" w:ascii="宋体" w:hAnsi="宋体" w:cs="宋体"/>
          <w:b/>
          <w:color w:val="auto"/>
          <w:sz w:val="30"/>
          <w:szCs w:val="30"/>
        </w:rPr>
        <w:t>七、对本次招标提出询问，请按以下方式联系</w:t>
      </w:r>
      <w:bookmarkEnd w:id="59"/>
      <w:bookmarkEnd w:id="60"/>
      <w:bookmarkEnd w:id="61"/>
      <w:bookmarkEnd w:id="62"/>
      <w:bookmarkEnd w:id="63"/>
      <w:bookmarkEnd w:id="64"/>
      <w:bookmarkEnd w:id="65"/>
      <w:bookmarkEnd w:id="66"/>
      <w:bookmarkStart w:id="67" w:name="_Toc28359087"/>
      <w:bookmarkStart w:id="68" w:name="_Toc28359010"/>
    </w:p>
    <w:bookmarkEnd w:id="67"/>
    <w:bookmarkEnd w:id="68"/>
    <w:p w14:paraId="222E17BF">
      <w:pPr>
        <w:spacing w:line="500" w:lineRule="exact"/>
        <w:ind w:firstLine="420" w:firstLineChars="200"/>
        <w:rPr>
          <w:rFonts w:ascii="宋体" w:hAnsi="宋体" w:cs="宋体"/>
          <w:color w:val="auto"/>
        </w:rPr>
      </w:pPr>
      <w:r>
        <w:rPr>
          <w:rFonts w:hint="eastAsia" w:ascii="宋体" w:hAnsi="宋体" w:cs="宋体"/>
          <w:color w:val="auto"/>
        </w:rPr>
        <w:t>1.采购人信息</w:t>
      </w:r>
    </w:p>
    <w:p w14:paraId="3AD0B9C8">
      <w:pPr>
        <w:spacing w:line="500" w:lineRule="exact"/>
        <w:ind w:firstLine="420" w:firstLineChars="200"/>
        <w:rPr>
          <w:rFonts w:ascii="宋体" w:hAnsi="宋体" w:cs="宋体"/>
          <w:color w:val="auto"/>
        </w:rPr>
      </w:pPr>
      <w:r>
        <w:rPr>
          <w:rFonts w:hint="eastAsia" w:ascii="宋体" w:hAnsi="宋体" w:cs="宋体"/>
          <w:color w:val="auto"/>
        </w:rPr>
        <w:t>名称：云南师范大学</w:t>
      </w:r>
    </w:p>
    <w:p w14:paraId="5FF18891">
      <w:pPr>
        <w:spacing w:line="500" w:lineRule="exact"/>
        <w:ind w:firstLine="420" w:firstLineChars="200"/>
        <w:rPr>
          <w:rFonts w:ascii="宋体" w:hAnsi="宋体" w:cs="宋体"/>
          <w:color w:val="auto"/>
        </w:rPr>
      </w:pPr>
      <w:r>
        <w:rPr>
          <w:rFonts w:hint="eastAsia" w:ascii="宋体" w:hAnsi="宋体" w:cs="宋体"/>
          <w:color w:val="auto"/>
        </w:rPr>
        <w:t>地址：</w:t>
      </w:r>
      <w:r>
        <w:rPr>
          <w:rFonts w:hint="eastAsia" w:ascii="宋体" w:hAnsi="宋体" w:cs="宋体"/>
          <w:color w:val="auto"/>
          <w:szCs w:val="21"/>
        </w:rPr>
        <w:t>云南省昆明市呈贡区聚贤街768号</w:t>
      </w:r>
    </w:p>
    <w:p w14:paraId="0CB810F6">
      <w:pPr>
        <w:spacing w:line="500" w:lineRule="exact"/>
        <w:ind w:firstLine="420" w:firstLineChars="200"/>
        <w:rPr>
          <w:rFonts w:ascii="宋体" w:hAnsi="宋体" w:cs="宋体"/>
          <w:color w:val="auto"/>
        </w:rPr>
      </w:pPr>
      <w:r>
        <w:rPr>
          <w:rFonts w:hint="eastAsia" w:ascii="宋体" w:hAnsi="宋体" w:cs="宋体"/>
          <w:color w:val="auto"/>
        </w:rPr>
        <w:t>联系方式：张老师  0871-65912728</w:t>
      </w:r>
    </w:p>
    <w:p w14:paraId="048A7698">
      <w:pPr>
        <w:spacing w:line="500" w:lineRule="exact"/>
        <w:ind w:firstLine="420" w:firstLineChars="200"/>
        <w:rPr>
          <w:rFonts w:ascii="宋体" w:hAnsi="宋体" w:cs="宋体"/>
          <w:color w:val="auto"/>
        </w:rPr>
      </w:pPr>
    </w:p>
    <w:p w14:paraId="0B9A1B9B">
      <w:pPr>
        <w:spacing w:line="500" w:lineRule="exact"/>
        <w:ind w:firstLine="420" w:firstLineChars="200"/>
        <w:rPr>
          <w:rFonts w:ascii="宋体" w:hAnsi="宋体" w:cs="宋体"/>
          <w:color w:val="auto"/>
        </w:rPr>
      </w:pPr>
      <w:r>
        <w:rPr>
          <w:rFonts w:hint="eastAsia" w:ascii="宋体" w:hAnsi="宋体" w:cs="宋体"/>
          <w:color w:val="auto"/>
        </w:rPr>
        <w:t>2.采购代理机构信息</w:t>
      </w:r>
    </w:p>
    <w:p w14:paraId="15A1397D">
      <w:pPr>
        <w:spacing w:line="500" w:lineRule="exact"/>
        <w:ind w:firstLine="420" w:firstLineChars="200"/>
        <w:rPr>
          <w:rFonts w:ascii="宋体" w:hAnsi="宋体" w:cs="宋体"/>
          <w:color w:val="auto"/>
        </w:rPr>
      </w:pPr>
      <w:r>
        <w:rPr>
          <w:rFonts w:hint="eastAsia" w:ascii="宋体" w:hAnsi="宋体" w:cs="宋体"/>
          <w:color w:val="auto"/>
        </w:rPr>
        <w:t>名称：云南冠睿咨询有限公司</w:t>
      </w:r>
    </w:p>
    <w:p w14:paraId="2F2773EF">
      <w:pPr>
        <w:spacing w:line="500" w:lineRule="exact"/>
        <w:ind w:firstLine="420" w:firstLineChars="200"/>
        <w:rPr>
          <w:rFonts w:ascii="宋体" w:hAnsi="宋体" w:cs="宋体"/>
          <w:color w:val="auto"/>
        </w:rPr>
      </w:pPr>
      <w:r>
        <w:rPr>
          <w:rFonts w:hint="eastAsia" w:ascii="宋体" w:hAnsi="宋体" w:cs="宋体"/>
          <w:color w:val="auto"/>
        </w:rPr>
        <w:t>地址：云南省昆明市西山区万达广场南塔32层3201号、33层3310号</w:t>
      </w:r>
    </w:p>
    <w:p w14:paraId="47C7C019">
      <w:pPr>
        <w:spacing w:line="500" w:lineRule="exact"/>
        <w:ind w:firstLine="420" w:firstLineChars="200"/>
        <w:rPr>
          <w:rFonts w:ascii="宋体" w:hAnsi="宋体" w:cs="宋体"/>
          <w:color w:val="auto"/>
        </w:rPr>
      </w:pPr>
      <w:r>
        <w:rPr>
          <w:rFonts w:hint="eastAsia" w:ascii="宋体" w:hAnsi="宋体" w:cs="宋体"/>
          <w:color w:val="auto"/>
        </w:rPr>
        <w:t>联系方式：0871-65511240、65511241</w:t>
      </w:r>
    </w:p>
    <w:p w14:paraId="3608FCA1">
      <w:pPr>
        <w:spacing w:line="500" w:lineRule="exact"/>
        <w:ind w:firstLine="420" w:firstLineChars="200"/>
        <w:rPr>
          <w:rFonts w:ascii="宋体" w:hAnsi="宋体" w:cs="宋体"/>
          <w:color w:val="auto"/>
        </w:rPr>
      </w:pPr>
      <w:r>
        <w:rPr>
          <w:rFonts w:hint="eastAsia" w:ascii="宋体" w:hAnsi="宋体" w:cs="宋体"/>
          <w:color w:val="auto"/>
        </w:rPr>
        <w:t>3.项目联系方式</w:t>
      </w:r>
    </w:p>
    <w:p w14:paraId="629E8A8E">
      <w:pPr>
        <w:spacing w:line="500" w:lineRule="exact"/>
        <w:ind w:firstLine="420" w:firstLineChars="200"/>
        <w:rPr>
          <w:rFonts w:ascii="宋体" w:hAnsi="宋体" w:cs="宋体"/>
          <w:color w:val="auto"/>
        </w:rPr>
      </w:pPr>
      <w:r>
        <w:rPr>
          <w:rFonts w:hint="eastAsia" w:ascii="宋体" w:hAnsi="宋体" w:cs="宋体"/>
          <w:color w:val="auto"/>
        </w:rPr>
        <w:t>项目联系人：</w:t>
      </w:r>
      <w:r>
        <w:rPr>
          <w:rFonts w:hint="eastAsia" w:ascii="宋体" w:hAnsi="宋体"/>
          <w:color w:val="auto"/>
          <w:szCs w:val="21"/>
        </w:rPr>
        <w:t>吕艺帆、田林轩、邓楚卿、汪怡含、高良凯、王国玺、吴翊</w:t>
      </w:r>
    </w:p>
    <w:p w14:paraId="047186D9">
      <w:pPr>
        <w:spacing w:line="500" w:lineRule="exact"/>
        <w:ind w:firstLine="420" w:firstLineChars="200"/>
        <w:rPr>
          <w:rFonts w:ascii="宋体" w:hAnsi="宋体" w:cs="宋体"/>
          <w:color w:val="auto"/>
        </w:rPr>
      </w:pPr>
      <w:r>
        <w:rPr>
          <w:rFonts w:hint="eastAsia" w:ascii="宋体" w:hAnsi="宋体" w:cs="宋体"/>
          <w:color w:val="auto"/>
        </w:rPr>
        <w:t>电话：0871-65511240、65511241  转3</w:t>
      </w:r>
    </w:p>
    <w:p w14:paraId="4DE8869C">
      <w:pPr>
        <w:spacing w:line="500" w:lineRule="exact"/>
        <w:ind w:firstLine="420" w:firstLineChars="200"/>
        <w:rPr>
          <w:rFonts w:ascii="宋体" w:hAnsi="宋体" w:cs="宋体"/>
          <w:color w:val="auto"/>
        </w:rPr>
      </w:pPr>
      <w:r>
        <w:rPr>
          <w:rFonts w:hint="eastAsia" w:ascii="宋体" w:hAnsi="宋体" w:cs="宋体"/>
          <w:color w:val="auto"/>
        </w:rPr>
        <w:t>邮箱：yngrzx02@126.com</w:t>
      </w:r>
    </w:p>
    <w:p w14:paraId="1945159E">
      <w:pPr>
        <w:rPr>
          <w:rFonts w:ascii="宋体" w:hAnsi="宋体" w:cs="宋体"/>
          <w:color w:val="auto"/>
        </w:rPr>
      </w:pPr>
      <w:r>
        <w:rPr>
          <w:rFonts w:hint="eastAsia" w:ascii="宋体" w:hAnsi="宋体" w:cs="宋体"/>
          <w:color w:val="auto"/>
        </w:rPr>
        <w:br w:type="page"/>
      </w:r>
    </w:p>
    <w:bookmarkEnd w:id="4"/>
    <w:bookmarkEnd w:id="5"/>
    <w:bookmarkEnd w:id="6"/>
    <w:bookmarkEnd w:id="7"/>
    <w:p w14:paraId="6367BF36">
      <w:pPr>
        <w:pStyle w:val="2"/>
        <w:spacing w:before="0" w:after="0" w:line="500" w:lineRule="exact"/>
        <w:rPr>
          <w:rFonts w:ascii="宋体" w:hAnsi="宋体" w:cs="宋体"/>
          <w:color w:val="auto"/>
        </w:rPr>
      </w:pPr>
      <w:bookmarkStart w:id="69" w:name="_Toc14382"/>
      <w:bookmarkStart w:id="70" w:name="_Toc6627"/>
      <w:bookmarkStart w:id="71" w:name="_Toc488633604"/>
      <w:bookmarkStart w:id="72" w:name="_Toc179632546"/>
      <w:bookmarkStart w:id="73" w:name="_Toc246996918"/>
      <w:bookmarkStart w:id="74" w:name="_Toc378239078"/>
      <w:bookmarkStart w:id="75" w:name="_Toc401342134"/>
      <w:bookmarkStart w:id="76" w:name="_Toc489197807"/>
      <w:bookmarkStart w:id="77" w:name="_Toc296602420"/>
      <w:bookmarkStart w:id="78" w:name="_Toc17909"/>
      <w:bookmarkStart w:id="79" w:name="_Toc152042305"/>
      <w:bookmarkStart w:id="80" w:name="_Toc144974497"/>
      <w:bookmarkStart w:id="81" w:name="_Toc152045529"/>
      <w:bookmarkStart w:id="82" w:name="_Toc480817643"/>
      <w:bookmarkStart w:id="83" w:name="_Toc378239351"/>
      <w:bookmarkStart w:id="84" w:name="_Toc489145703"/>
      <w:bookmarkStart w:id="85" w:name="_Toc378239170"/>
      <w:bookmarkStart w:id="86" w:name="_Toc247085689"/>
      <w:bookmarkStart w:id="87" w:name="_Toc246996175"/>
      <w:r>
        <w:rPr>
          <w:rFonts w:hint="eastAsia" w:ascii="宋体" w:hAnsi="宋体" w:cs="宋体"/>
          <w:color w:val="auto"/>
        </w:rPr>
        <w:t>第二章  投标人须知</w:t>
      </w:r>
      <w:bookmarkEnd w:id="69"/>
      <w:bookmarkEnd w:id="70"/>
    </w:p>
    <w:p w14:paraId="02426725">
      <w:pPr>
        <w:pStyle w:val="3"/>
        <w:spacing w:before="0" w:line="500" w:lineRule="exact"/>
        <w:jc w:val="center"/>
        <w:rPr>
          <w:rFonts w:ascii="宋体" w:hAnsi="宋体" w:cs="宋体"/>
          <w:color w:val="auto"/>
          <w:spacing w:val="0"/>
          <w:kern w:val="0"/>
          <w:sz w:val="28"/>
          <w:szCs w:val="28"/>
        </w:rPr>
      </w:pPr>
      <w:bookmarkStart w:id="88" w:name="_Toc489197806"/>
      <w:bookmarkStart w:id="89" w:name="_Toc12874"/>
      <w:bookmarkStart w:id="90" w:name="_Toc13457"/>
      <w:bookmarkStart w:id="91" w:name="_Toc378239349"/>
      <w:bookmarkStart w:id="92" w:name="_Toc480817642"/>
      <w:bookmarkStart w:id="93" w:name="_Toc12595"/>
      <w:bookmarkStart w:id="94" w:name="_Toc378239076"/>
      <w:bookmarkStart w:id="95" w:name="_Toc488633603"/>
      <w:bookmarkStart w:id="96" w:name="_Toc489145702"/>
      <w:bookmarkStart w:id="97" w:name="_Toc14535"/>
      <w:bookmarkStart w:id="98" w:name="_Toc401342132"/>
      <w:bookmarkStart w:id="99" w:name="_Toc378239168"/>
      <w:bookmarkStart w:id="100" w:name="_Toc21684"/>
      <w:r>
        <w:rPr>
          <w:rFonts w:hint="eastAsia" w:ascii="宋体" w:hAnsi="宋体" w:cs="宋体"/>
          <w:color w:val="auto"/>
          <w:spacing w:val="0"/>
          <w:kern w:val="0"/>
          <w:sz w:val="28"/>
          <w:szCs w:val="28"/>
        </w:rPr>
        <w:t>投标人须知前附表</w:t>
      </w:r>
      <w:bookmarkEnd w:id="88"/>
      <w:bookmarkEnd w:id="89"/>
      <w:bookmarkEnd w:id="90"/>
      <w:bookmarkEnd w:id="91"/>
      <w:bookmarkEnd w:id="92"/>
      <w:bookmarkEnd w:id="93"/>
      <w:bookmarkEnd w:id="94"/>
      <w:bookmarkEnd w:id="95"/>
      <w:bookmarkEnd w:id="96"/>
      <w:bookmarkEnd w:id="97"/>
      <w:bookmarkEnd w:id="98"/>
      <w:bookmarkEnd w:id="99"/>
      <w:bookmarkEnd w:id="100"/>
    </w:p>
    <w:tbl>
      <w:tblPr>
        <w:tblStyle w:val="41"/>
        <w:tblW w:w="9240" w:type="dxa"/>
        <w:jc w:val="center"/>
        <w:tblLayout w:type="fixed"/>
        <w:tblCellMar>
          <w:top w:w="0" w:type="dxa"/>
          <w:left w:w="108" w:type="dxa"/>
          <w:bottom w:w="0" w:type="dxa"/>
          <w:right w:w="108" w:type="dxa"/>
        </w:tblCellMar>
      </w:tblPr>
      <w:tblGrid>
        <w:gridCol w:w="949"/>
        <w:gridCol w:w="2108"/>
        <w:gridCol w:w="6183"/>
      </w:tblGrid>
      <w:tr w14:paraId="79D817D5">
        <w:tblPrEx>
          <w:tblCellMar>
            <w:top w:w="0" w:type="dxa"/>
            <w:left w:w="108" w:type="dxa"/>
            <w:bottom w:w="0" w:type="dxa"/>
            <w:right w:w="108" w:type="dxa"/>
          </w:tblCellMar>
        </w:tblPrEx>
        <w:trPr>
          <w:trHeight w:val="20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3EF61C5">
            <w:pPr>
              <w:spacing w:line="500" w:lineRule="exact"/>
              <w:jc w:val="center"/>
              <w:rPr>
                <w:rFonts w:ascii="宋体" w:hAnsi="宋体" w:cs="宋体"/>
                <w:b/>
                <w:bCs/>
                <w:color w:val="auto"/>
              </w:rPr>
            </w:pPr>
            <w:r>
              <w:rPr>
                <w:rFonts w:hint="eastAsia" w:ascii="宋体" w:hAnsi="宋体" w:cs="宋体"/>
                <w:b/>
                <w:bCs/>
                <w:color w:val="auto"/>
              </w:rPr>
              <w:t>条款号</w:t>
            </w:r>
          </w:p>
        </w:tc>
        <w:tc>
          <w:tcPr>
            <w:tcW w:w="2108" w:type="dxa"/>
            <w:tcBorders>
              <w:top w:val="single" w:color="auto" w:sz="4" w:space="0"/>
              <w:left w:val="single" w:color="auto" w:sz="4" w:space="0"/>
              <w:bottom w:val="single" w:color="auto" w:sz="4" w:space="0"/>
              <w:right w:val="single" w:color="auto" w:sz="4" w:space="0"/>
            </w:tcBorders>
            <w:vAlign w:val="center"/>
          </w:tcPr>
          <w:p w14:paraId="74E0831D">
            <w:pPr>
              <w:spacing w:line="500" w:lineRule="exact"/>
              <w:jc w:val="center"/>
              <w:rPr>
                <w:rFonts w:ascii="宋体" w:hAnsi="宋体" w:cs="宋体"/>
                <w:b/>
                <w:bCs/>
                <w:color w:val="auto"/>
              </w:rPr>
            </w:pPr>
            <w:r>
              <w:rPr>
                <w:rFonts w:hint="eastAsia" w:ascii="宋体" w:hAnsi="宋体" w:cs="宋体"/>
                <w:b/>
                <w:bCs/>
                <w:color w:val="auto"/>
              </w:rPr>
              <w:t>条款名称</w:t>
            </w:r>
          </w:p>
        </w:tc>
        <w:tc>
          <w:tcPr>
            <w:tcW w:w="6183" w:type="dxa"/>
            <w:tcBorders>
              <w:top w:val="single" w:color="auto" w:sz="4" w:space="0"/>
              <w:left w:val="single" w:color="auto" w:sz="4" w:space="0"/>
              <w:bottom w:val="single" w:color="auto" w:sz="4" w:space="0"/>
              <w:right w:val="single" w:color="auto" w:sz="4" w:space="0"/>
            </w:tcBorders>
            <w:vAlign w:val="center"/>
          </w:tcPr>
          <w:p w14:paraId="217B86C3">
            <w:pPr>
              <w:spacing w:line="500" w:lineRule="exact"/>
              <w:jc w:val="center"/>
              <w:rPr>
                <w:rFonts w:ascii="宋体" w:hAnsi="宋体" w:cs="宋体"/>
                <w:b/>
                <w:bCs/>
                <w:color w:val="auto"/>
              </w:rPr>
            </w:pPr>
            <w:r>
              <w:rPr>
                <w:rFonts w:hint="eastAsia" w:ascii="宋体" w:hAnsi="宋体" w:cs="宋体"/>
                <w:b/>
                <w:bCs/>
                <w:color w:val="auto"/>
              </w:rPr>
              <w:t>编列内容</w:t>
            </w:r>
          </w:p>
        </w:tc>
      </w:tr>
      <w:tr w14:paraId="43957B87">
        <w:tblPrEx>
          <w:tblCellMar>
            <w:top w:w="0" w:type="dxa"/>
            <w:left w:w="108" w:type="dxa"/>
            <w:bottom w:w="0" w:type="dxa"/>
            <w:right w:w="108" w:type="dxa"/>
          </w:tblCellMar>
        </w:tblPrEx>
        <w:trPr>
          <w:trHeight w:val="256"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0256294">
            <w:pPr>
              <w:spacing w:line="500" w:lineRule="exact"/>
              <w:jc w:val="center"/>
              <w:rPr>
                <w:rFonts w:ascii="宋体" w:hAnsi="宋体" w:cs="宋体"/>
                <w:color w:val="auto"/>
              </w:rPr>
            </w:pPr>
            <w:r>
              <w:rPr>
                <w:rFonts w:hint="eastAsia" w:ascii="宋体" w:hAnsi="宋体" w:cs="宋体"/>
                <w:color w:val="auto"/>
              </w:rPr>
              <w:t>1.2</w:t>
            </w:r>
          </w:p>
        </w:tc>
        <w:tc>
          <w:tcPr>
            <w:tcW w:w="2108" w:type="dxa"/>
            <w:tcBorders>
              <w:top w:val="single" w:color="auto" w:sz="4" w:space="0"/>
              <w:left w:val="single" w:color="auto" w:sz="4" w:space="0"/>
              <w:bottom w:val="single" w:color="auto" w:sz="4" w:space="0"/>
              <w:right w:val="single" w:color="auto" w:sz="4" w:space="0"/>
            </w:tcBorders>
            <w:vAlign w:val="center"/>
          </w:tcPr>
          <w:p w14:paraId="03AF9A95">
            <w:pPr>
              <w:spacing w:line="500" w:lineRule="exact"/>
              <w:jc w:val="center"/>
              <w:rPr>
                <w:rFonts w:ascii="宋体" w:hAnsi="宋体" w:cs="宋体"/>
                <w:color w:val="auto"/>
                <w:szCs w:val="21"/>
              </w:rPr>
            </w:pPr>
            <w:r>
              <w:rPr>
                <w:rFonts w:hint="eastAsia" w:ascii="宋体" w:hAnsi="宋体" w:cs="宋体"/>
                <w:color w:val="auto"/>
                <w:szCs w:val="21"/>
              </w:rPr>
              <w:t>采购人</w:t>
            </w:r>
          </w:p>
        </w:tc>
        <w:tc>
          <w:tcPr>
            <w:tcW w:w="6183" w:type="dxa"/>
            <w:tcBorders>
              <w:top w:val="single" w:color="auto" w:sz="4" w:space="0"/>
              <w:left w:val="single" w:color="auto" w:sz="4" w:space="0"/>
              <w:bottom w:val="single" w:color="auto" w:sz="4" w:space="0"/>
              <w:right w:val="single" w:color="auto" w:sz="4" w:space="0"/>
            </w:tcBorders>
            <w:vAlign w:val="center"/>
          </w:tcPr>
          <w:p w14:paraId="1A70A22F">
            <w:pPr>
              <w:spacing w:line="500" w:lineRule="exact"/>
              <w:rPr>
                <w:rFonts w:ascii="宋体" w:hAnsi="宋体" w:cs="宋体"/>
                <w:color w:val="auto"/>
                <w:szCs w:val="21"/>
              </w:rPr>
            </w:pPr>
            <w:r>
              <w:rPr>
                <w:rFonts w:hint="eastAsia" w:ascii="宋体" w:hAnsi="宋体" w:cs="宋体"/>
                <w:color w:val="auto"/>
                <w:szCs w:val="21"/>
              </w:rPr>
              <w:t>云南师范大学</w:t>
            </w:r>
          </w:p>
        </w:tc>
      </w:tr>
      <w:tr w14:paraId="602130B0">
        <w:tblPrEx>
          <w:tblCellMar>
            <w:top w:w="0" w:type="dxa"/>
            <w:left w:w="108" w:type="dxa"/>
            <w:bottom w:w="0" w:type="dxa"/>
            <w:right w:w="108" w:type="dxa"/>
          </w:tblCellMar>
        </w:tblPrEx>
        <w:trPr>
          <w:trHeight w:val="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3B92E41">
            <w:pPr>
              <w:spacing w:line="500" w:lineRule="exact"/>
              <w:jc w:val="center"/>
              <w:rPr>
                <w:rFonts w:ascii="宋体" w:hAnsi="宋体" w:cs="宋体"/>
                <w:color w:val="auto"/>
              </w:rPr>
            </w:pPr>
            <w:r>
              <w:rPr>
                <w:rFonts w:hint="eastAsia" w:ascii="宋体" w:hAnsi="宋体" w:cs="宋体"/>
                <w:color w:val="auto"/>
              </w:rPr>
              <w:t>1.3</w:t>
            </w:r>
          </w:p>
        </w:tc>
        <w:tc>
          <w:tcPr>
            <w:tcW w:w="2108" w:type="dxa"/>
            <w:tcBorders>
              <w:top w:val="single" w:color="auto" w:sz="4" w:space="0"/>
              <w:left w:val="single" w:color="auto" w:sz="4" w:space="0"/>
              <w:bottom w:val="single" w:color="auto" w:sz="4" w:space="0"/>
              <w:right w:val="single" w:color="auto" w:sz="4" w:space="0"/>
            </w:tcBorders>
            <w:vAlign w:val="center"/>
          </w:tcPr>
          <w:p w14:paraId="2879EC5B">
            <w:pPr>
              <w:spacing w:line="500" w:lineRule="exact"/>
              <w:jc w:val="center"/>
              <w:rPr>
                <w:rFonts w:ascii="宋体" w:hAnsi="宋体" w:cs="宋体"/>
                <w:color w:val="auto"/>
                <w:szCs w:val="21"/>
              </w:rPr>
            </w:pPr>
            <w:r>
              <w:rPr>
                <w:rFonts w:hint="eastAsia" w:ascii="宋体" w:hAnsi="宋体" w:cs="宋体"/>
                <w:color w:val="auto"/>
                <w:szCs w:val="21"/>
              </w:rPr>
              <w:t>采购代理机构</w:t>
            </w:r>
          </w:p>
        </w:tc>
        <w:tc>
          <w:tcPr>
            <w:tcW w:w="6183" w:type="dxa"/>
            <w:tcBorders>
              <w:top w:val="single" w:color="auto" w:sz="4" w:space="0"/>
              <w:left w:val="single" w:color="auto" w:sz="4" w:space="0"/>
              <w:bottom w:val="single" w:color="auto" w:sz="4" w:space="0"/>
              <w:right w:val="single" w:color="auto" w:sz="4" w:space="0"/>
            </w:tcBorders>
            <w:vAlign w:val="center"/>
          </w:tcPr>
          <w:p w14:paraId="496E92B2">
            <w:pPr>
              <w:spacing w:line="500" w:lineRule="exact"/>
              <w:rPr>
                <w:rFonts w:ascii="宋体" w:hAnsi="宋体" w:cs="宋体"/>
                <w:color w:val="auto"/>
                <w:szCs w:val="21"/>
              </w:rPr>
            </w:pPr>
            <w:r>
              <w:rPr>
                <w:rFonts w:hint="eastAsia" w:ascii="宋体" w:hAnsi="宋体" w:cs="宋体"/>
                <w:color w:val="auto"/>
                <w:szCs w:val="21"/>
              </w:rPr>
              <w:t>云南冠睿咨询有限公司</w:t>
            </w:r>
          </w:p>
        </w:tc>
      </w:tr>
      <w:tr w14:paraId="1DF90739">
        <w:tblPrEx>
          <w:tblCellMar>
            <w:top w:w="0" w:type="dxa"/>
            <w:left w:w="108" w:type="dxa"/>
            <w:bottom w:w="0" w:type="dxa"/>
            <w:right w:w="108" w:type="dxa"/>
          </w:tblCellMar>
        </w:tblPrEx>
        <w:trPr>
          <w:trHeight w:val="2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2D1F815">
            <w:pPr>
              <w:spacing w:line="500" w:lineRule="exact"/>
              <w:jc w:val="center"/>
              <w:rPr>
                <w:rFonts w:ascii="宋体" w:hAnsi="宋体" w:cs="宋体"/>
                <w:color w:val="auto"/>
              </w:rPr>
            </w:pPr>
            <w:r>
              <w:rPr>
                <w:rFonts w:hint="eastAsia" w:ascii="宋体" w:hAnsi="宋体" w:cs="宋体"/>
                <w:color w:val="auto"/>
              </w:rPr>
              <w:t>1.4</w:t>
            </w:r>
          </w:p>
        </w:tc>
        <w:tc>
          <w:tcPr>
            <w:tcW w:w="2108" w:type="dxa"/>
            <w:tcBorders>
              <w:top w:val="single" w:color="auto" w:sz="4" w:space="0"/>
              <w:left w:val="single" w:color="auto" w:sz="4" w:space="0"/>
              <w:bottom w:val="single" w:color="auto" w:sz="4" w:space="0"/>
              <w:right w:val="single" w:color="auto" w:sz="4" w:space="0"/>
            </w:tcBorders>
            <w:vAlign w:val="center"/>
          </w:tcPr>
          <w:p w14:paraId="3D9202F7">
            <w:pPr>
              <w:spacing w:line="500" w:lineRule="exact"/>
              <w:jc w:val="center"/>
              <w:rPr>
                <w:rFonts w:ascii="宋体" w:hAnsi="宋体" w:cs="宋体"/>
                <w:color w:val="auto"/>
                <w:szCs w:val="21"/>
              </w:rPr>
            </w:pPr>
            <w:r>
              <w:rPr>
                <w:rFonts w:hint="eastAsia" w:ascii="宋体" w:hAnsi="宋体" w:cs="宋体"/>
                <w:color w:val="auto"/>
                <w:szCs w:val="21"/>
              </w:rPr>
              <w:t>项目名称及项目编号</w:t>
            </w:r>
          </w:p>
        </w:tc>
        <w:tc>
          <w:tcPr>
            <w:tcW w:w="6183" w:type="dxa"/>
            <w:tcBorders>
              <w:top w:val="single" w:color="auto" w:sz="4" w:space="0"/>
              <w:left w:val="single" w:color="auto" w:sz="4" w:space="0"/>
              <w:bottom w:val="single" w:color="auto" w:sz="4" w:space="0"/>
              <w:right w:val="single" w:color="auto" w:sz="4" w:space="0"/>
            </w:tcBorders>
            <w:vAlign w:val="center"/>
          </w:tcPr>
          <w:p w14:paraId="0C42083B">
            <w:pPr>
              <w:spacing w:line="500" w:lineRule="exact"/>
              <w:rPr>
                <w:rFonts w:ascii="宋体" w:hAnsi="宋体" w:cs="宋体"/>
                <w:color w:val="auto"/>
                <w:szCs w:val="21"/>
              </w:rPr>
            </w:pPr>
            <w:r>
              <w:rPr>
                <w:rFonts w:hint="eastAsia" w:ascii="宋体" w:hAnsi="宋体" w:cs="宋体"/>
                <w:color w:val="auto"/>
                <w:szCs w:val="21"/>
              </w:rPr>
              <w:t>项目名称：云南师范大学经济学院实验室建设采购项目</w:t>
            </w:r>
          </w:p>
          <w:p w14:paraId="6C68901D">
            <w:pPr>
              <w:spacing w:line="500" w:lineRule="exact"/>
              <w:rPr>
                <w:rFonts w:hint="eastAsia" w:ascii="宋体" w:hAnsi="宋体" w:eastAsia="宋体" w:cs="宋体"/>
                <w:color w:val="auto"/>
                <w:szCs w:val="21"/>
                <w:lang w:eastAsia="zh-CN"/>
              </w:rPr>
            </w:pPr>
            <w:r>
              <w:rPr>
                <w:rFonts w:hint="eastAsia" w:ascii="宋体" w:hAnsi="宋体" w:cs="宋体"/>
                <w:color w:val="auto"/>
                <w:szCs w:val="21"/>
              </w:rPr>
              <w:t>项目编号：</w:t>
            </w:r>
            <w:r>
              <w:rPr>
                <w:rFonts w:hint="eastAsia" w:ascii="宋体" w:hAnsi="宋体" w:cs="宋体"/>
                <w:color w:val="auto"/>
                <w:szCs w:val="21"/>
                <w:lang w:eastAsia="zh-CN"/>
              </w:rPr>
              <w:t>YNZC2025-G1-07525-YNGR-0415</w:t>
            </w:r>
          </w:p>
        </w:tc>
      </w:tr>
      <w:tr w14:paraId="54A60F48">
        <w:tblPrEx>
          <w:tblCellMar>
            <w:top w:w="0" w:type="dxa"/>
            <w:left w:w="108" w:type="dxa"/>
            <w:bottom w:w="0" w:type="dxa"/>
            <w:right w:w="108" w:type="dxa"/>
          </w:tblCellMar>
        </w:tblPrEx>
        <w:trPr>
          <w:trHeight w:val="226"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D941F96">
            <w:pPr>
              <w:spacing w:line="500" w:lineRule="exact"/>
              <w:jc w:val="center"/>
              <w:rPr>
                <w:rFonts w:ascii="宋体" w:hAnsi="宋体" w:cs="宋体"/>
                <w:color w:val="auto"/>
              </w:rPr>
            </w:pPr>
            <w:r>
              <w:rPr>
                <w:rFonts w:hint="eastAsia" w:ascii="宋体" w:hAnsi="宋体" w:cs="宋体"/>
                <w:color w:val="auto"/>
              </w:rPr>
              <w:t>2.1</w:t>
            </w:r>
          </w:p>
        </w:tc>
        <w:tc>
          <w:tcPr>
            <w:tcW w:w="2108" w:type="dxa"/>
            <w:tcBorders>
              <w:top w:val="single" w:color="auto" w:sz="4" w:space="0"/>
              <w:left w:val="single" w:color="auto" w:sz="4" w:space="0"/>
              <w:bottom w:val="single" w:color="auto" w:sz="4" w:space="0"/>
              <w:right w:val="single" w:color="auto" w:sz="4" w:space="0"/>
            </w:tcBorders>
            <w:vAlign w:val="center"/>
          </w:tcPr>
          <w:p w14:paraId="13DA51EB">
            <w:pPr>
              <w:spacing w:line="500" w:lineRule="exact"/>
              <w:jc w:val="center"/>
              <w:rPr>
                <w:rFonts w:ascii="宋体" w:hAnsi="宋体" w:cs="宋体"/>
                <w:color w:val="auto"/>
                <w:szCs w:val="21"/>
              </w:rPr>
            </w:pPr>
            <w:r>
              <w:rPr>
                <w:rFonts w:hint="eastAsia" w:ascii="宋体" w:hAnsi="宋体" w:cs="宋体"/>
                <w:color w:val="auto"/>
                <w:szCs w:val="21"/>
              </w:rPr>
              <w:t>预算金额及最高限价</w:t>
            </w:r>
          </w:p>
        </w:tc>
        <w:tc>
          <w:tcPr>
            <w:tcW w:w="6183" w:type="dxa"/>
            <w:tcBorders>
              <w:top w:val="single" w:color="auto" w:sz="4" w:space="0"/>
              <w:left w:val="single" w:color="auto" w:sz="4" w:space="0"/>
              <w:bottom w:val="single" w:color="auto" w:sz="4" w:space="0"/>
              <w:right w:val="single" w:color="auto" w:sz="4" w:space="0"/>
            </w:tcBorders>
            <w:vAlign w:val="center"/>
          </w:tcPr>
          <w:p w14:paraId="731FB142">
            <w:pPr>
              <w:spacing w:line="500" w:lineRule="exact"/>
              <w:rPr>
                <w:rFonts w:ascii="宋体" w:hAnsi="宋体" w:cs="宋体"/>
                <w:color w:val="auto"/>
                <w:szCs w:val="21"/>
              </w:rPr>
            </w:pPr>
            <w:r>
              <w:rPr>
                <w:rFonts w:hint="eastAsia" w:ascii="宋体" w:hAnsi="宋体" w:cs="宋体"/>
                <w:color w:val="auto"/>
                <w:szCs w:val="21"/>
              </w:rPr>
              <w:t>详见招标文件第一章《公开招标公告》“一、项目基本情况”</w:t>
            </w:r>
          </w:p>
        </w:tc>
      </w:tr>
      <w:tr w14:paraId="2A4455E5">
        <w:tblPrEx>
          <w:tblCellMar>
            <w:top w:w="0" w:type="dxa"/>
            <w:left w:w="108" w:type="dxa"/>
            <w:bottom w:w="0" w:type="dxa"/>
            <w:right w:w="108" w:type="dxa"/>
          </w:tblCellMar>
        </w:tblPrEx>
        <w:trPr>
          <w:trHeight w:val="226"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51C14FB">
            <w:pPr>
              <w:spacing w:line="500" w:lineRule="exact"/>
              <w:jc w:val="center"/>
              <w:rPr>
                <w:rFonts w:ascii="宋体" w:hAnsi="宋体" w:cs="宋体"/>
                <w:color w:val="auto"/>
              </w:rPr>
            </w:pPr>
            <w:r>
              <w:rPr>
                <w:rFonts w:hint="eastAsia" w:ascii="宋体" w:hAnsi="宋体" w:cs="宋体"/>
                <w:color w:val="auto"/>
              </w:rPr>
              <w:t>3.1</w:t>
            </w:r>
          </w:p>
        </w:tc>
        <w:tc>
          <w:tcPr>
            <w:tcW w:w="2108" w:type="dxa"/>
            <w:tcBorders>
              <w:top w:val="single" w:color="auto" w:sz="4" w:space="0"/>
              <w:left w:val="single" w:color="auto" w:sz="4" w:space="0"/>
              <w:bottom w:val="single" w:color="auto" w:sz="4" w:space="0"/>
              <w:right w:val="single" w:color="auto" w:sz="4" w:space="0"/>
            </w:tcBorders>
            <w:vAlign w:val="center"/>
          </w:tcPr>
          <w:p w14:paraId="2CDA718D">
            <w:pPr>
              <w:spacing w:line="500" w:lineRule="exact"/>
              <w:jc w:val="center"/>
              <w:rPr>
                <w:rFonts w:ascii="宋体" w:hAnsi="宋体" w:cs="宋体"/>
                <w:color w:val="auto"/>
                <w:szCs w:val="21"/>
              </w:rPr>
            </w:pPr>
            <w:r>
              <w:rPr>
                <w:rFonts w:hint="eastAsia" w:ascii="宋体" w:hAnsi="宋体" w:cs="宋体"/>
                <w:color w:val="auto"/>
                <w:szCs w:val="21"/>
              </w:rPr>
              <w:t>采购需求</w:t>
            </w:r>
          </w:p>
        </w:tc>
        <w:tc>
          <w:tcPr>
            <w:tcW w:w="6183" w:type="dxa"/>
            <w:tcBorders>
              <w:top w:val="single" w:color="auto" w:sz="4" w:space="0"/>
              <w:left w:val="single" w:color="auto" w:sz="4" w:space="0"/>
              <w:bottom w:val="single" w:color="auto" w:sz="4" w:space="0"/>
              <w:right w:val="single" w:color="auto" w:sz="4" w:space="0"/>
            </w:tcBorders>
            <w:vAlign w:val="center"/>
          </w:tcPr>
          <w:p w14:paraId="3490DC4E">
            <w:pPr>
              <w:spacing w:line="500" w:lineRule="exact"/>
              <w:rPr>
                <w:rFonts w:ascii="宋体" w:hAnsi="宋体" w:cs="宋体"/>
                <w:color w:val="auto"/>
                <w:szCs w:val="21"/>
              </w:rPr>
            </w:pPr>
            <w:r>
              <w:rPr>
                <w:rFonts w:hint="eastAsia" w:ascii="宋体" w:hAnsi="宋体" w:cs="宋体"/>
                <w:color w:val="auto"/>
                <w:szCs w:val="21"/>
              </w:rPr>
              <w:t>详见招标文件第一章《公开招标公告》“一、项目基本情况”，具体要求等详见本招标文件第五章《采购需求》。</w:t>
            </w:r>
          </w:p>
        </w:tc>
      </w:tr>
      <w:tr w14:paraId="74FCF574">
        <w:tblPrEx>
          <w:tblCellMar>
            <w:top w:w="0" w:type="dxa"/>
            <w:left w:w="108" w:type="dxa"/>
            <w:bottom w:w="0" w:type="dxa"/>
            <w:right w:w="108" w:type="dxa"/>
          </w:tblCellMar>
        </w:tblPrEx>
        <w:trPr>
          <w:trHeight w:val="35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65923F6">
            <w:pPr>
              <w:spacing w:line="500" w:lineRule="exact"/>
              <w:jc w:val="center"/>
              <w:rPr>
                <w:rFonts w:ascii="宋体" w:hAnsi="宋体" w:cs="宋体"/>
                <w:color w:val="auto"/>
              </w:rPr>
            </w:pPr>
            <w:r>
              <w:rPr>
                <w:rFonts w:hint="eastAsia" w:ascii="宋体" w:hAnsi="宋体" w:cs="宋体"/>
                <w:color w:val="auto"/>
              </w:rPr>
              <w:t>3.2</w:t>
            </w:r>
          </w:p>
        </w:tc>
        <w:tc>
          <w:tcPr>
            <w:tcW w:w="2108" w:type="dxa"/>
            <w:tcBorders>
              <w:top w:val="single" w:color="auto" w:sz="4" w:space="0"/>
              <w:left w:val="single" w:color="auto" w:sz="4" w:space="0"/>
              <w:bottom w:val="single" w:color="auto" w:sz="4" w:space="0"/>
              <w:right w:val="single" w:color="auto" w:sz="4" w:space="0"/>
            </w:tcBorders>
            <w:vAlign w:val="center"/>
          </w:tcPr>
          <w:p w14:paraId="0472E543">
            <w:pPr>
              <w:spacing w:line="500" w:lineRule="exact"/>
              <w:jc w:val="center"/>
              <w:rPr>
                <w:rFonts w:ascii="宋体" w:hAnsi="宋体" w:cs="宋体"/>
                <w:color w:val="auto"/>
                <w:szCs w:val="21"/>
              </w:rPr>
            </w:pPr>
            <w:r>
              <w:rPr>
                <w:rFonts w:hint="eastAsia" w:ascii="宋体" w:hAnsi="宋体" w:cs="宋体"/>
                <w:color w:val="auto"/>
                <w:szCs w:val="21"/>
              </w:rPr>
              <w:t>合同履行期限（项目交付和实施时间）及实施的地点</w:t>
            </w:r>
          </w:p>
        </w:tc>
        <w:tc>
          <w:tcPr>
            <w:tcW w:w="6183" w:type="dxa"/>
            <w:tcBorders>
              <w:top w:val="single" w:color="auto" w:sz="4" w:space="0"/>
              <w:left w:val="single" w:color="auto" w:sz="4" w:space="0"/>
              <w:bottom w:val="single" w:color="auto" w:sz="4" w:space="0"/>
              <w:right w:val="single" w:color="auto" w:sz="4" w:space="0"/>
            </w:tcBorders>
            <w:vAlign w:val="center"/>
          </w:tcPr>
          <w:p w14:paraId="2EB8CE88">
            <w:pPr>
              <w:spacing w:line="500" w:lineRule="exact"/>
              <w:rPr>
                <w:rFonts w:ascii="宋体" w:hAnsi="宋体" w:cs="宋体"/>
                <w:color w:val="auto"/>
                <w:szCs w:val="21"/>
              </w:rPr>
            </w:pPr>
            <w:r>
              <w:rPr>
                <w:rFonts w:hint="eastAsia" w:ascii="宋体" w:hAnsi="宋体" w:cs="宋体"/>
                <w:color w:val="auto"/>
                <w:szCs w:val="21"/>
              </w:rPr>
              <w:t>详见招标文件第一章《公开招标公告》“一、项目基本情况”</w:t>
            </w:r>
          </w:p>
        </w:tc>
      </w:tr>
      <w:tr w14:paraId="4D66368F">
        <w:tblPrEx>
          <w:tblCellMar>
            <w:top w:w="0" w:type="dxa"/>
            <w:left w:w="108" w:type="dxa"/>
            <w:bottom w:w="0" w:type="dxa"/>
            <w:right w:w="108" w:type="dxa"/>
          </w:tblCellMar>
        </w:tblPrEx>
        <w:trPr>
          <w:trHeight w:val="35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49F7E4A">
            <w:pPr>
              <w:spacing w:line="500" w:lineRule="exact"/>
              <w:jc w:val="center"/>
              <w:rPr>
                <w:rFonts w:ascii="宋体" w:hAnsi="宋体" w:cs="宋体"/>
                <w:color w:val="auto"/>
              </w:rPr>
            </w:pPr>
            <w:r>
              <w:rPr>
                <w:rFonts w:hint="eastAsia" w:ascii="宋体" w:hAnsi="宋体" w:cs="宋体"/>
                <w:color w:val="auto"/>
              </w:rPr>
              <w:t>3.3</w:t>
            </w:r>
          </w:p>
        </w:tc>
        <w:tc>
          <w:tcPr>
            <w:tcW w:w="2108" w:type="dxa"/>
            <w:tcBorders>
              <w:top w:val="single" w:color="auto" w:sz="4" w:space="0"/>
              <w:left w:val="single" w:color="auto" w:sz="4" w:space="0"/>
              <w:bottom w:val="single" w:color="auto" w:sz="4" w:space="0"/>
              <w:right w:val="single" w:color="auto" w:sz="4" w:space="0"/>
            </w:tcBorders>
            <w:vAlign w:val="center"/>
          </w:tcPr>
          <w:p w14:paraId="6622A398">
            <w:pPr>
              <w:spacing w:line="500" w:lineRule="exact"/>
              <w:jc w:val="center"/>
              <w:rPr>
                <w:rFonts w:ascii="宋体" w:hAnsi="宋体" w:cs="宋体"/>
                <w:color w:val="auto"/>
                <w:szCs w:val="21"/>
              </w:rPr>
            </w:pPr>
            <w:r>
              <w:rPr>
                <w:rFonts w:hint="eastAsia" w:ascii="宋体" w:hAnsi="宋体" w:cs="宋体"/>
                <w:color w:val="auto"/>
                <w:szCs w:val="21"/>
              </w:rPr>
              <w:t>是否接受联合体参加</w:t>
            </w:r>
          </w:p>
        </w:tc>
        <w:tc>
          <w:tcPr>
            <w:tcW w:w="6183" w:type="dxa"/>
            <w:tcBorders>
              <w:top w:val="single" w:color="auto" w:sz="4" w:space="0"/>
              <w:left w:val="single" w:color="auto" w:sz="4" w:space="0"/>
              <w:bottom w:val="single" w:color="auto" w:sz="4" w:space="0"/>
              <w:right w:val="single" w:color="auto" w:sz="4" w:space="0"/>
            </w:tcBorders>
            <w:vAlign w:val="center"/>
          </w:tcPr>
          <w:p w14:paraId="05941C78">
            <w:pPr>
              <w:spacing w:line="500" w:lineRule="exact"/>
              <w:rPr>
                <w:rFonts w:ascii="宋体" w:hAnsi="宋体" w:cs="宋体"/>
                <w:color w:val="auto"/>
                <w:szCs w:val="21"/>
              </w:rPr>
            </w:pPr>
            <w:r>
              <w:rPr>
                <w:rFonts w:hint="eastAsia" w:ascii="宋体" w:hAnsi="宋体" w:cs="宋体"/>
                <w:color w:val="auto"/>
                <w:szCs w:val="21"/>
              </w:rPr>
              <w:t>不接受</w:t>
            </w:r>
          </w:p>
        </w:tc>
      </w:tr>
      <w:tr w14:paraId="7C5E4826">
        <w:tblPrEx>
          <w:tblCellMar>
            <w:top w:w="0" w:type="dxa"/>
            <w:left w:w="108" w:type="dxa"/>
            <w:bottom w:w="0" w:type="dxa"/>
            <w:right w:w="108" w:type="dxa"/>
          </w:tblCellMar>
        </w:tblPrEx>
        <w:trPr>
          <w:trHeight w:val="14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597A350">
            <w:pPr>
              <w:spacing w:line="500" w:lineRule="exact"/>
              <w:jc w:val="center"/>
              <w:rPr>
                <w:rFonts w:ascii="宋体" w:hAnsi="宋体" w:cs="宋体"/>
                <w:color w:val="auto"/>
              </w:rPr>
            </w:pPr>
            <w:r>
              <w:rPr>
                <w:rFonts w:hint="eastAsia" w:ascii="宋体" w:hAnsi="宋体" w:cs="宋体"/>
                <w:color w:val="auto"/>
                <w:szCs w:val="21"/>
              </w:rPr>
              <w:t>4.1</w:t>
            </w:r>
          </w:p>
        </w:tc>
        <w:tc>
          <w:tcPr>
            <w:tcW w:w="2108" w:type="dxa"/>
            <w:tcBorders>
              <w:top w:val="single" w:color="auto" w:sz="4" w:space="0"/>
              <w:left w:val="single" w:color="auto" w:sz="4" w:space="0"/>
              <w:bottom w:val="single" w:color="auto" w:sz="4" w:space="0"/>
              <w:right w:val="single" w:color="auto" w:sz="4" w:space="0"/>
            </w:tcBorders>
            <w:vAlign w:val="center"/>
          </w:tcPr>
          <w:p w14:paraId="7E774EBF">
            <w:pPr>
              <w:spacing w:line="500" w:lineRule="exact"/>
              <w:jc w:val="center"/>
              <w:rPr>
                <w:rFonts w:ascii="宋体" w:hAnsi="宋体" w:cs="宋体"/>
                <w:color w:val="auto"/>
              </w:rPr>
            </w:pPr>
            <w:r>
              <w:rPr>
                <w:rFonts w:hint="eastAsia" w:ascii="宋体" w:hAnsi="宋体" w:cs="宋体"/>
                <w:bCs/>
                <w:color w:val="auto"/>
                <w:szCs w:val="21"/>
              </w:rPr>
              <w:t>投标人资格要求</w:t>
            </w:r>
          </w:p>
        </w:tc>
        <w:tc>
          <w:tcPr>
            <w:tcW w:w="6183" w:type="dxa"/>
            <w:tcBorders>
              <w:top w:val="single" w:color="auto" w:sz="4" w:space="0"/>
              <w:left w:val="single" w:color="auto" w:sz="4" w:space="0"/>
              <w:bottom w:val="single" w:color="auto" w:sz="4" w:space="0"/>
              <w:right w:val="single" w:color="auto" w:sz="4" w:space="0"/>
            </w:tcBorders>
            <w:vAlign w:val="center"/>
          </w:tcPr>
          <w:p w14:paraId="2F38652D">
            <w:pPr>
              <w:spacing w:line="500" w:lineRule="exact"/>
              <w:rPr>
                <w:rFonts w:ascii="宋体" w:hAnsi="宋体" w:cs="宋体"/>
                <w:color w:val="auto"/>
                <w:szCs w:val="21"/>
              </w:rPr>
            </w:pPr>
            <w:r>
              <w:rPr>
                <w:rFonts w:hint="eastAsia" w:ascii="宋体" w:hAnsi="宋体" w:cs="宋体"/>
                <w:color w:val="auto"/>
                <w:szCs w:val="21"/>
              </w:rPr>
              <w:t>详见招标文件第一章《公开招标公告》“二、投标人资格要求”</w:t>
            </w:r>
          </w:p>
        </w:tc>
      </w:tr>
      <w:tr w14:paraId="6197260A">
        <w:tblPrEx>
          <w:tblCellMar>
            <w:top w:w="0" w:type="dxa"/>
            <w:left w:w="108" w:type="dxa"/>
            <w:bottom w:w="0" w:type="dxa"/>
            <w:right w:w="108" w:type="dxa"/>
          </w:tblCellMar>
        </w:tblPrEx>
        <w:trPr>
          <w:trHeight w:val="14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BB66B99">
            <w:pPr>
              <w:spacing w:line="500" w:lineRule="exact"/>
              <w:jc w:val="center"/>
              <w:rPr>
                <w:rFonts w:ascii="宋体" w:hAnsi="宋体" w:cs="宋体"/>
                <w:color w:val="auto"/>
              </w:rPr>
            </w:pPr>
            <w:r>
              <w:rPr>
                <w:rFonts w:hint="eastAsia" w:ascii="宋体" w:hAnsi="宋体" w:cs="宋体"/>
                <w:color w:val="auto"/>
                <w:szCs w:val="21"/>
              </w:rPr>
              <w:t>4.2</w:t>
            </w:r>
          </w:p>
        </w:tc>
        <w:tc>
          <w:tcPr>
            <w:tcW w:w="2108" w:type="dxa"/>
            <w:tcBorders>
              <w:top w:val="single" w:color="auto" w:sz="4" w:space="0"/>
              <w:left w:val="single" w:color="auto" w:sz="4" w:space="0"/>
              <w:bottom w:val="single" w:color="auto" w:sz="4" w:space="0"/>
              <w:right w:val="single" w:color="auto" w:sz="4" w:space="0"/>
            </w:tcBorders>
            <w:vAlign w:val="center"/>
          </w:tcPr>
          <w:p w14:paraId="593A58D7">
            <w:pPr>
              <w:spacing w:line="500" w:lineRule="exact"/>
              <w:jc w:val="center"/>
              <w:rPr>
                <w:rFonts w:ascii="宋体" w:hAnsi="宋体" w:cs="宋体"/>
                <w:color w:val="auto"/>
              </w:rPr>
            </w:pPr>
            <w:r>
              <w:rPr>
                <w:rFonts w:hint="eastAsia" w:ascii="宋体" w:hAnsi="宋体" w:cs="宋体"/>
                <w:color w:val="auto"/>
                <w:szCs w:val="21"/>
              </w:rPr>
              <w:t>采购人根据采购项目的特殊要求规定的特定条件</w:t>
            </w:r>
          </w:p>
        </w:tc>
        <w:tc>
          <w:tcPr>
            <w:tcW w:w="6183" w:type="dxa"/>
            <w:tcBorders>
              <w:top w:val="single" w:color="auto" w:sz="4" w:space="0"/>
              <w:left w:val="single" w:color="auto" w:sz="4" w:space="0"/>
              <w:bottom w:val="single" w:color="auto" w:sz="4" w:space="0"/>
              <w:right w:val="single" w:color="auto" w:sz="4" w:space="0"/>
            </w:tcBorders>
            <w:vAlign w:val="center"/>
          </w:tcPr>
          <w:p w14:paraId="2303ECAE">
            <w:pPr>
              <w:widowControl/>
              <w:spacing w:line="500" w:lineRule="exact"/>
              <w:jc w:val="left"/>
              <w:rPr>
                <w:rFonts w:ascii="宋体" w:hAnsi="宋体" w:cs="宋体"/>
                <w:color w:val="auto"/>
              </w:rPr>
            </w:pPr>
            <w:r>
              <w:rPr>
                <w:rFonts w:hint="eastAsia" w:ascii="宋体" w:hAnsi="宋体" w:cs="宋体"/>
                <w:bCs/>
                <w:color w:val="auto"/>
                <w:szCs w:val="21"/>
              </w:rPr>
              <w:t>详见招标文件第一章《公开招标公告》“二、投标人资格要求”</w:t>
            </w:r>
          </w:p>
        </w:tc>
      </w:tr>
      <w:tr w14:paraId="00927874">
        <w:tblPrEx>
          <w:tblCellMar>
            <w:top w:w="0" w:type="dxa"/>
            <w:left w:w="108" w:type="dxa"/>
            <w:bottom w:w="0" w:type="dxa"/>
            <w:right w:w="108" w:type="dxa"/>
          </w:tblCellMar>
        </w:tblPrEx>
        <w:trPr>
          <w:trHeight w:val="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19A17B7">
            <w:pPr>
              <w:spacing w:line="500" w:lineRule="exact"/>
              <w:jc w:val="center"/>
              <w:rPr>
                <w:rFonts w:ascii="宋体" w:hAnsi="宋体" w:cs="宋体"/>
                <w:color w:val="auto"/>
              </w:rPr>
            </w:pPr>
            <w:r>
              <w:rPr>
                <w:rFonts w:hint="eastAsia" w:ascii="宋体" w:hAnsi="宋体" w:cs="宋体"/>
                <w:color w:val="auto"/>
              </w:rPr>
              <w:t>6.1</w:t>
            </w:r>
          </w:p>
        </w:tc>
        <w:tc>
          <w:tcPr>
            <w:tcW w:w="2108" w:type="dxa"/>
            <w:tcBorders>
              <w:top w:val="single" w:color="auto" w:sz="4" w:space="0"/>
              <w:left w:val="single" w:color="auto" w:sz="4" w:space="0"/>
              <w:bottom w:val="single" w:color="auto" w:sz="4" w:space="0"/>
              <w:right w:val="single" w:color="auto" w:sz="4" w:space="0"/>
            </w:tcBorders>
            <w:vAlign w:val="center"/>
          </w:tcPr>
          <w:p w14:paraId="07B93E39">
            <w:pPr>
              <w:spacing w:line="500" w:lineRule="exact"/>
              <w:jc w:val="center"/>
              <w:rPr>
                <w:rFonts w:ascii="宋体" w:hAnsi="宋体" w:cs="宋体"/>
                <w:color w:val="auto"/>
              </w:rPr>
            </w:pPr>
            <w:r>
              <w:rPr>
                <w:rFonts w:hint="eastAsia" w:ascii="宋体" w:hAnsi="宋体" w:cs="宋体"/>
                <w:color w:val="auto"/>
              </w:rPr>
              <w:t>现场考察</w:t>
            </w:r>
          </w:p>
        </w:tc>
        <w:tc>
          <w:tcPr>
            <w:tcW w:w="6183" w:type="dxa"/>
            <w:tcBorders>
              <w:top w:val="single" w:color="auto" w:sz="4" w:space="0"/>
              <w:left w:val="single" w:color="auto" w:sz="4" w:space="0"/>
              <w:bottom w:val="single" w:color="auto" w:sz="4" w:space="0"/>
              <w:right w:val="single" w:color="auto" w:sz="4" w:space="0"/>
            </w:tcBorders>
            <w:vAlign w:val="center"/>
          </w:tcPr>
          <w:p w14:paraId="63FB9B34">
            <w:pPr>
              <w:spacing w:line="500" w:lineRule="exact"/>
              <w:rPr>
                <w:rFonts w:ascii="宋体" w:hAnsi="宋体" w:cs="宋体"/>
                <w:color w:val="auto"/>
              </w:rPr>
            </w:pPr>
            <w:r>
              <w:rPr>
                <w:rFonts w:hint="eastAsia"/>
                <w:color w:val="auto"/>
              </w:rPr>
              <w:t>不组织</w:t>
            </w:r>
          </w:p>
        </w:tc>
      </w:tr>
      <w:tr w14:paraId="1E4781AA">
        <w:tblPrEx>
          <w:tblCellMar>
            <w:top w:w="0" w:type="dxa"/>
            <w:left w:w="108" w:type="dxa"/>
            <w:bottom w:w="0" w:type="dxa"/>
            <w:right w:w="108" w:type="dxa"/>
          </w:tblCellMar>
        </w:tblPrEx>
        <w:trPr>
          <w:trHeight w:val="24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A7279A5">
            <w:pPr>
              <w:spacing w:line="500" w:lineRule="exact"/>
              <w:jc w:val="center"/>
              <w:rPr>
                <w:rFonts w:ascii="宋体" w:hAnsi="宋体" w:cs="宋体"/>
                <w:color w:val="auto"/>
              </w:rPr>
            </w:pPr>
            <w:r>
              <w:rPr>
                <w:rFonts w:hint="eastAsia" w:ascii="宋体" w:hAnsi="宋体" w:cs="宋体"/>
                <w:color w:val="auto"/>
              </w:rPr>
              <w:t>7.1</w:t>
            </w:r>
          </w:p>
        </w:tc>
        <w:tc>
          <w:tcPr>
            <w:tcW w:w="2108" w:type="dxa"/>
            <w:tcBorders>
              <w:top w:val="single" w:color="auto" w:sz="4" w:space="0"/>
              <w:left w:val="single" w:color="auto" w:sz="4" w:space="0"/>
              <w:bottom w:val="single" w:color="auto" w:sz="4" w:space="0"/>
              <w:right w:val="single" w:color="auto" w:sz="4" w:space="0"/>
            </w:tcBorders>
            <w:vAlign w:val="center"/>
          </w:tcPr>
          <w:p w14:paraId="5062309A">
            <w:pPr>
              <w:spacing w:line="500" w:lineRule="exact"/>
              <w:jc w:val="center"/>
              <w:rPr>
                <w:rFonts w:ascii="宋体" w:hAnsi="宋体" w:cs="宋体"/>
                <w:color w:val="auto"/>
              </w:rPr>
            </w:pPr>
            <w:r>
              <w:rPr>
                <w:rFonts w:hint="eastAsia" w:ascii="宋体" w:hAnsi="宋体" w:cs="宋体"/>
                <w:color w:val="auto"/>
              </w:rPr>
              <w:t>开标前答疑会</w:t>
            </w:r>
          </w:p>
        </w:tc>
        <w:tc>
          <w:tcPr>
            <w:tcW w:w="6183" w:type="dxa"/>
            <w:tcBorders>
              <w:top w:val="single" w:color="auto" w:sz="4" w:space="0"/>
              <w:left w:val="single" w:color="auto" w:sz="4" w:space="0"/>
              <w:bottom w:val="single" w:color="auto" w:sz="4" w:space="0"/>
              <w:right w:val="single" w:color="auto" w:sz="4" w:space="0"/>
            </w:tcBorders>
            <w:vAlign w:val="center"/>
          </w:tcPr>
          <w:p w14:paraId="599A9638">
            <w:pPr>
              <w:spacing w:line="500" w:lineRule="exact"/>
              <w:rPr>
                <w:rFonts w:ascii="宋体" w:hAnsi="宋体" w:cs="宋体"/>
                <w:color w:val="auto"/>
              </w:rPr>
            </w:pPr>
            <w:r>
              <w:rPr>
                <w:rFonts w:hint="eastAsia" w:ascii="宋体" w:hAnsi="宋体" w:cs="宋体"/>
                <w:color w:val="auto"/>
              </w:rPr>
              <w:t>不组织</w:t>
            </w:r>
          </w:p>
        </w:tc>
      </w:tr>
      <w:tr w14:paraId="12776819">
        <w:tblPrEx>
          <w:tblCellMar>
            <w:top w:w="0" w:type="dxa"/>
            <w:left w:w="108" w:type="dxa"/>
            <w:bottom w:w="0" w:type="dxa"/>
            <w:right w:w="108" w:type="dxa"/>
          </w:tblCellMar>
        </w:tblPrEx>
        <w:trPr>
          <w:trHeight w:val="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E90ADE4">
            <w:pPr>
              <w:spacing w:line="500" w:lineRule="exact"/>
              <w:jc w:val="center"/>
              <w:rPr>
                <w:rFonts w:ascii="宋体" w:hAnsi="宋体" w:cs="宋体"/>
                <w:color w:val="auto"/>
              </w:rPr>
            </w:pPr>
            <w:r>
              <w:rPr>
                <w:rFonts w:hint="eastAsia" w:ascii="宋体" w:hAnsi="宋体" w:cs="宋体"/>
                <w:color w:val="auto"/>
                <w:szCs w:val="21"/>
              </w:rPr>
              <w:t>11.1</w:t>
            </w:r>
          </w:p>
        </w:tc>
        <w:tc>
          <w:tcPr>
            <w:tcW w:w="2108" w:type="dxa"/>
            <w:tcBorders>
              <w:top w:val="single" w:color="auto" w:sz="4" w:space="0"/>
              <w:left w:val="single" w:color="auto" w:sz="4" w:space="0"/>
              <w:bottom w:val="single" w:color="auto" w:sz="4" w:space="0"/>
              <w:right w:val="single" w:color="auto" w:sz="4" w:space="0"/>
            </w:tcBorders>
            <w:vAlign w:val="center"/>
          </w:tcPr>
          <w:p w14:paraId="617EBC08">
            <w:pPr>
              <w:spacing w:line="500" w:lineRule="exact"/>
              <w:jc w:val="center"/>
              <w:rPr>
                <w:rFonts w:ascii="宋体" w:hAnsi="宋体" w:cs="宋体"/>
                <w:color w:val="auto"/>
                <w:szCs w:val="21"/>
              </w:rPr>
            </w:pPr>
            <w:r>
              <w:rPr>
                <w:rFonts w:hint="eastAsia" w:ascii="宋体" w:hAnsi="宋体" w:cs="宋体"/>
                <w:color w:val="auto"/>
                <w:szCs w:val="21"/>
              </w:rPr>
              <w:t>招标文件的询问时间</w:t>
            </w:r>
          </w:p>
        </w:tc>
        <w:tc>
          <w:tcPr>
            <w:tcW w:w="6183" w:type="dxa"/>
            <w:tcBorders>
              <w:top w:val="single" w:color="auto" w:sz="4" w:space="0"/>
              <w:left w:val="single" w:color="auto" w:sz="4" w:space="0"/>
              <w:bottom w:val="single" w:color="auto" w:sz="4" w:space="0"/>
              <w:right w:val="single" w:color="auto" w:sz="4" w:space="0"/>
            </w:tcBorders>
            <w:vAlign w:val="center"/>
          </w:tcPr>
          <w:p w14:paraId="1633AFBE">
            <w:pPr>
              <w:wordWrap w:val="0"/>
              <w:autoSpaceDE w:val="0"/>
              <w:autoSpaceDN w:val="0"/>
              <w:adjustRightInd w:val="0"/>
              <w:spacing w:line="500" w:lineRule="exact"/>
              <w:jc w:val="left"/>
              <w:rPr>
                <w:rFonts w:ascii="宋体" w:hAnsi="宋体" w:cs="宋体"/>
                <w:color w:val="auto"/>
              </w:rPr>
            </w:pPr>
            <w:r>
              <w:rPr>
                <w:rFonts w:hint="eastAsia" w:ascii="宋体" w:hAnsi="宋体" w:cs="宋体"/>
                <w:color w:val="auto"/>
              </w:rPr>
              <w:t>投标人应认真阅读招标文件，如有疑问的，投标人可以向采购人或采购代理机构提出询问，采购人或者采购代理机构在接到询问后的3个工作日内对投标人依法提出的询问作出答复，但答复的内容不涉及商业秘密，如对电子采购流程不清楚可查阅政采云（https://e-learning.zcygov.cn/index）“秒懂政采云项目采购”学习或致电政采云平台：4008817190。</w:t>
            </w:r>
          </w:p>
        </w:tc>
      </w:tr>
      <w:tr w14:paraId="61EA05C0">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2C699F2">
            <w:pPr>
              <w:spacing w:line="500" w:lineRule="exact"/>
              <w:jc w:val="center"/>
              <w:rPr>
                <w:rFonts w:ascii="宋体" w:hAnsi="宋体" w:cs="宋体"/>
                <w:color w:val="auto"/>
              </w:rPr>
            </w:pPr>
            <w:r>
              <w:rPr>
                <w:rFonts w:hint="eastAsia" w:ascii="宋体" w:hAnsi="宋体" w:cs="宋体"/>
                <w:color w:val="auto"/>
                <w:szCs w:val="21"/>
              </w:rPr>
              <w:t>11.2</w:t>
            </w:r>
          </w:p>
        </w:tc>
        <w:tc>
          <w:tcPr>
            <w:tcW w:w="2108" w:type="dxa"/>
            <w:tcBorders>
              <w:top w:val="single" w:color="auto" w:sz="4" w:space="0"/>
              <w:left w:val="single" w:color="auto" w:sz="4" w:space="0"/>
              <w:bottom w:val="single" w:color="auto" w:sz="4" w:space="0"/>
              <w:right w:val="single" w:color="auto" w:sz="4" w:space="0"/>
            </w:tcBorders>
            <w:vAlign w:val="center"/>
          </w:tcPr>
          <w:p w14:paraId="72DF5E47">
            <w:pPr>
              <w:spacing w:line="500" w:lineRule="exact"/>
              <w:jc w:val="center"/>
              <w:rPr>
                <w:rFonts w:ascii="宋体" w:hAnsi="宋体" w:cs="宋体"/>
                <w:color w:val="auto"/>
                <w:szCs w:val="21"/>
              </w:rPr>
            </w:pPr>
            <w:r>
              <w:rPr>
                <w:rFonts w:hint="eastAsia" w:ascii="宋体" w:hAnsi="宋体" w:cs="宋体"/>
                <w:color w:val="auto"/>
                <w:szCs w:val="21"/>
              </w:rPr>
              <w:t>招标文件询问联系方式</w:t>
            </w:r>
          </w:p>
        </w:tc>
        <w:tc>
          <w:tcPr>
            <w:tcW w:w="6183" w:type="dxa"/>
            <w:tcBorders>
              <w:top w:val="single" w:color="auto" w:sz="4" w:space="0"/>
              <w:left w:val="single" w:color="auto" w:sz="4" w:space="0"/>
              <w:bottom w:val="single" w:color="auto" w:sz="4" w:space="0"/>
              <w:right w:val="single" w:color="auto" w:sz="4" w:space="0"/>
            </w:tcBorders>
            <w:vAlign w:val="center"/>
          </w:tcPr>
          <w:p w14:paraId="582ECF40">
            <w:pPr>
              <w:autoSpaceDE w:val="0"/>
              <w:autoSpaceDN w:val="0"/>
              <w:adjustRightInd w:val="0"/>
              <w:spacing w:line="500" w:lineRule="exact"/>
              <w:jc w:val="left"/>
              <w:rPr>
                <w:rFonts w:ascii="宋体" w:hAnsi="宋体" w:cs="宋体"/>
                <w:color w:val="auto"/>
              </w:rPr>
            </w:pPr>
            <w:r>
              <w:rPr>
                <w:rFonts w:hint="eastAsia" w:ascii="宋体" w:hAnsi="宋体" w:cs="宋体"/>
                <w:color w:val="auto"/>
              </w:rPr>
              <w:t>询问联系人：</w:t>
            </w:r>
            <w:r>
              <w:rPr>
                <w:rFonts w:hint="eastAsia" w:ascii="宋体" w:hAnsi="宋体"/>
                <w:color w:val="auto"/>
                <w:szCs w:val="21"/>
              </w:rPr>
              <w:t>吕艺帆、田林轩、邓楚卿、汪怡含、高良凯、王国玺、吴翊</w:t>
            </w:r>
          </w:p>
          <w:p w14:paraId="646D76F4">
            <w:pPr>
              <w:autoSpaceDE w:val="0"/>
              <w:autoSpaceDN w:val="0"/>
              <w:adjustRightInd w:val="0"/>
              <w:spacing w:line="500" w:lineRule="exact"/>
              <w:jc w:val="left"/>
              <w:rPr>
                <w:rFonts w:ascii="宋体" w:hAnsi="宋体" w:cs="宋体"/>
                <w:color w:val="auto"/>
              </w:rPr>
            </w:pPr>
            <w:r>
              <w:rPr>
                <w:rFonts w:hint="eastAsia" w:ascii="宋体" w:hAnsi="宋体" w:cs="宋体"/>
                <w:color w:val="auto"/>
              </w:rPr>
              <w:t>电话：0871-65511240、65511241</w:t>
            </w:r>
          </w:p>
        </w:tc>
      </w:tr>
      <w:tr w14:paraId="0C4BA641">
        <w:tblPrEx>
          <w:tblCellMar>
            <w:top w:w="0" w:type="dxa"/>
            <w:left w:w="108" w:type="dxa"/>
            <w:bottom w:w="0" w:type="dxa"/>
            <w:right w:w="108" w:type="dxa"/>
          </w:tblCellMar>
        </w:tblPrEx>
        <w:trPr>
          <w:trHeight w:val="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6FF844D">
            <w:pPr>
              <w:spacing w:line="500" w:lineRule="exact"/>
              <w:jc w:val="center"/>
              <w:rPr>
                <w:rFonts w:ascii="宋体" w:hAnsi="宋体" w:cs="宋体"/>
                <w:color w:val="auto"/>
              </w:rPr>
            </w:pPr>
            <w:r>
              <w:rPr>
                <w:rFonts w:hint="eastAsia" w:ascii="宋体" w:hAnsi="宋体" w:cs="宋体"/>
                <w:color w:val="auto"/>
                <w:szCs w:val="21"/>
              </w:rPr>
              <w:t>11.3</w:t>
            </w:r>
          </w:p>
        </w:tc>
        <w:tc>
          <w:tcPr>
            <w:tcW w:w="2108" w:type="dxa"/>
            <w:tcBorders>
              <w:top w:val="single" w:color="auto" w:sz="4" w:space="0"/>
              <w:left w:val="single" w:color="auto" w:sz="4" w:space="0"/>
              <w:bottom w:val="single" w:color="auto" w:sz="4" w:space="0"/>
              <w:right w:val="single" w:color="auto" w:sz="4" w:space="0"/>
            </w:tcBorders>
            <w:vAlign w:val="center"/>
          </w:tcPr>
          <w:p w14:paraId="1D5011F2">
            <w:pPr>
              <w:spacing w:line="500" w:lineRule="exact"/>
              <w:jc w:val="center"/>
              <w:rPr>
                <w:rFonts w:ascii="宋体" w:hAnsi="宋体" w:cs="宋体"/>
                <w:color w:val="auto"/>
              </w:rPr>
            </w:pPr>
            <w:r>
              <w:rPr>
                <w:rFonts w:hint="eastAsia" w:ascii="宋体" w:hAnsi="宋体" w:cs="宋体"/>
                <w:color w:val="auto"/>
                <w:szCs w:val="21"/>
              </w:rPr>
              <w:t>招标文件澄清、修改时间</w:t>
            </w:r>
          </w:p>
        </w:tc>
        <w:tc>
          <w:tcPr>
            <w:tcW w:w="6183" w:type="dxa"/>
            <w:tcBorders>
              <w:top w:val="single" w:color="auto" w:sz="4" w:space="0"/>
              <w:left w:val="single" w:color="auto" w:sz="4" w:space="0"/>
              <w:bottom w:val="single" w:color="auto" w:sz="4" w:space="0"/>
              <w:right w:val="single" w:color="auto" w:sz="4" w:space="0"/>
            </w:tcBorders>
            <w:vAlign w:val="center"/>
          </w:tcPr>
          <w:p w14:paraId="0F275819">
            <w:pPr>
              <w:wordWrap w:val="0"/>
              <w:autoSpaceDE w:val="0"/>
              <w:autoSpaceDN w:val="0"/>
              <w:adjustRightInd w:val="0"/>
              <w:spacing w:line="500" w:lineRule="exact"/>
              <w:jc w:val="left"/>
              <w:rPr>
                <w:rFonts w:ascii="宋体" w:hAnsi="宋体" w:cs="宋体"/>
                <w:color w:val="auto"/>
              </w:rPr>
            </w:pPr>
            <w:r>
              <w:rPr>
                <w:rFonts w:hint="eastAsia" w:ascii="宋体" w:hAnsi="宋体" w:cs="宋体"/>
                <w:color w:val="auto"/>
              </w:rPr>
              <w:t>采购人、采购代理机构可以对已发出的招标文件进行必要的澄清或者修改，澄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件的澄清、修改内容，由此造成的一切后果由投标人自行承担。</w:t>
            </w:r>
          </w:p>
        </w:tc>
      </w:tr>
      <w:tr w14:paraId="1BA532BC">
        <w:tblPrEx>
          <w:tblCellMar>
            <w:top w:w="0" w:type="dxa"/>
            <w:left w:w="108" w:type="dxa"/>
            <w:bottom w:w="0" w:type="dxa"/>
            <w:right w:w="108" w:type="dxa"/>
          </w:tblCellMar>
        </w:tblPrEx>
        <w:trPr>
          <w:trHeight w:val="316"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16DB549">
            <w:pPr>
              <w:spacing w:line="500" w:lineRule="exact"/>
              <w:jc w:val="center"/>
              <w:rPr>
                <w:rFonts w:ascii="宋体" w:hAnsi="宋体" w:cs="宋体"/>
                <w:color w:val="auto"/>
              </w:rPr>
            </w:pPr>
            <w:r>
              <w:rPr>
                <w:rFonts w:hint="eastAsia" w:ascii="宋体" w:hAnsi="宋体" w:cs="宋体"/>
                <w:color w:val="auto"/>
              </w:rPr>
              <w:t>13.1</w:t>
            </w:r>
          </w:p>
        </w:tc>
        <w:tc>
          <w:tcPr>
            <w:tcW w:w="2108" w:type="dxa"/>
            <w:tcBorders>
              <w:top w:val="single" w:color="auto" w:sz="4" w:space="0"/>
              <w:left w:val="single" w:color="auto" w:sz="4" w:space="0"/>
              <w:bottom w:val="single" w:color="auto" w:sz="4" w:space="0"/>
              <w:right w:val="single" w:color="auto" w:sz="4" w:space="0"/>
            </w:tcBorders>
            <w:vAlign w:val="center"/>
          </w:tcPr>
          <w:p w14:paraId="67C322A4">
            <w:pPr>
              <w:spacing w:line="500" w:lineRule="exact"/>
              <w:jc w:val="center"/>
              <w:rPr>
                <w:rFonts w:ascii="宋体" w:hAnsi="宋体" w:cs="宋体"/>
                <w:color w:val="auto"/>
              </w:rPr>
            </w:pPr>
            <w:r>
              <w:rPr>
                <w:rFonts w:hint="eastAsia" w:ascii="宋体" w:hAnsi="宋体" w:cs="宋体"/>
                <w:color w:val="auto"/>
              </w:rPr>
              <w:t>语言文字</w:t>
            </w:r>
          </w:p>
        </w:tc>
        <w:tc>
          <w:tcPr>
            <w:tcW w:w="6183" w:type="dxa"/>
            <w:tcBorders>
              <w:top w:val="single" w:color="auto" w:sz="4" w:space="0"/>
              <w:left w:val="single" w:color="auto" w:sz="4" w:space="0"/>
              <w:bottom w:val="single" w:color="auto" w:sz="4" w:space="0"/>
              <w:right w:val="single" w:color="auto" w:sz="4" w:space="0"/>
            </w:tcBorders>
            <w:vAlign w:val="center"/>
          </w:tcPr>
          <w:p w14:paraId="3E4B2018">
            <w:pPr>
              <w:autoSpaceDE w:val="0"/>
              <w:autoSpaceDN w:val="0"/>
              <w:adjustRightInd w:val="0"/>
              <w:spacing w:line="500" w:lineRule="exact"/>
              <w:jc w:val="left"/>
              <w:rPr>
                <w:rFonts w:ascii="宋体" w:hAnsi="宋体" w:cs="宋体"/>
                <w:color w:val="auto"/>
              </w:rPr>
            </w:pPr>
            <w:r>
              <w:rPr>
                <w:rFonts w:hint="eastAsia" w:ascii="宋体" w:hAnsi="宋体" w:cs="宋体"/>
                <w:color w:val="auto"/>
              </w:rPr>
              <w:t>投标人的投标文件以及投标人与采购代理机构就有关投标的所有来往函电统一使用中文（特别规定除外）。</w:t>
            </w:r>
          </w:p>
        </w:tc>
      </w:tr>
      <w:tr w14:paraId="0CAAC93B">
        <w:tblPrEx>
          <w:tblCellMar>
            <w:top w:w="0" w:type="dxa"/>
            <w:left w:w="108" w:type="dxa"/>
            <w:bottom w:w="0" w:type="dxa"/>
            <w:right w:w="108" w:type="dxa"/>
          </w:tblCellMar>
        </w:tblPrEx>
        <w:trPr>
          <w:trHeight w:val="30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762F5AC">
            <w:pPr>
              <w:spacing w:line="500" w:lineRule="exact"/>
              <w:jc w:val="center"/>
              <w:rPr>
                <w:rFonts w:ascii="宋体" w:hAnsi="宋体" w:cs="宋体"/>
                <w:color w:val="auto"/>
              </w:rPr>
            </w:pPr>
            <w:r>
              <w:rPr>
                <w:rFonts w:hint="eastAsia" w:ascii="宋体" w:hAnsi="宋体" w:cs="宋体"/>
                <w:color w:val="auto"/>
              </w:rPr>
              <w:t>14.1</w:t>
            </w:r>
          </w:p>
        </w:tc>
        <w:tc>
          <w:tcPr>
            <w:tcW w:w="2108" w:type="dxa"/>
            <w:tcBorders>
              <w:top w:val="single" w:color="auto" w:sz="4" w:space="0"/>
              <w:left w:val="single" w:color="auto" w:sz="4" w:space="0"/>
              <w:bottom w:val="single" w:color="auto" w:sz="4" w:space="0"/>
              <w:right w:val="single" w:color="auto" w:sz="4" w:space="0"/>
            </w:tcBorders>
            <w:vAlign w:val="center"/>
          </w:tcPr>
          <w:p w14:paraId="5D0194A7">
            <w:pPr>
              <w:spacing w:line="500" w:lineRule="exact"/>
              <w:jc w:val="center"/>
              <w:rPr>
                <w:rFonts w:ascii="宋体" w:hAnsi="宋体" w:cs="宋体"/>
                <w:color w:val="auto"/>
              </w:rPr>
            </w:pPr>
            <w:r>
              <w:rPr>
                <w:rFonts w:hint="eastAsia" w:ascii="宋体" w:hAnsi="宋体" w:cs="宋体"/>
                <w:color w:val="auto"/>
              </w:rPr>
              <w:t>计量单位</w:t>
            </w:r>
          </w:p>
        </w:tc>
        <w:tc>
          <w:tcPr>
            <w:tcW w:w="6183" w:type="dxa"/>
            <w:tcBorders>
              <w:top w:val="single" w:color="auto" w:sz="4" w:space="0"/>
              <w:left w:val="single" w:color="auto" w:sz="4" w:space="0"/>
              <w:bottom w:val="single" w:color="auto" w:sz="4" w:space="0"/>
              <w:right w:val="single" w:color="auto" w:sz="4" w:space="0"/>
            </w:tcBorders>
            <w:vAlign w:val="center"/>
          </w:tcPr>
          <w:p w14:paraId="1A0A3269">
            <w:pPr>
              <w:autoSpaceDE w:val="0"/>
              <w:autoSpaceDN w:val="0"/>
              <w:adjustRightInd w:val="0"/>
              <w:spacing w:line="500" w:lineRule="exact"/>
              <w:jc w:val="left"/>
              <w:rPr>
                <w:rFonts w:ascii="宋体" w:hAnsi="宋体" w:cs="宋体"/>
                <w:color w:val="auto"/>
              </w:rPr>
            </w:pPr>
            <w:r>
              <w:rPr>
                <w:rFonts w:hint="eastAsia" w:ascii="宋体" w:hAnsi="宋体" w:cs="宋体"/>
                <w:color w:val="auto"/>
              </w:rPr>
              <w:t>投标文件中使用的计量单位除招标文件中有特殊规定外，一律使用中国法定计量单位。</w:t>
            </w:r>
          </w:p>
        </w:tc>
      </w:tr>
      <w:tr w14:paraId="462D2333">
        <w:tblPrEx>
          <w:tblCellMar>
            <w:top w:w="0" w:type="dxa"/>
            <w:left w:w="108" w:type="dxa"/>
            <w:bottom w:w="0" w:type="dxa"/>
            <w:right w:w="108" w:type="dxa"/>
          </w:tblCellMar>
        </w:tblPrEx>
        <w:trPr>
          <w:trHeight w:val="182"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70B4C59">
            <w:pPr>
              <w:spacing w:line="500" w:lineRule="exact"/>
              <w:jc w:val="center"/>
              <w:rPr>
                <w:rFonts w:ascii="宋体" w:hAnsi="宋体" w:cs="宋体"/>
                <w:color w:val="auto"/>
              </w:rPr>
            </w:pPr>
            <w:r>
              <w:rPr>
                <w:rFonts w:hint="eastAsia" w:ascii="宋体" w:hAnsi="宋体" w:cs="宋体"/>
                <w:color w:val="auto"/>
              </w:rPr>
              <w:t>15.2</w:t>
            </w:r>
          </w:p>
        </w:tc>
        <w:tc>
          <w:tcPr>
            <w:tcW w:w="2108" w:type="dxa"/>
            <w:tcBorders>
              <w:top w:val="single" w:color="auto" w:sz="4" w:space="0"/>
              <w:left w:val="single" w:color="auto" w:sz="4" w:space="0"/>
              <w:bottom w:val="single" w:color="auto" w:sz="4" w:space="0"/>
              <w:right w:val="single" w:color="auto" w:sz="4" w:space="0"/>
            </w:tcBorders>
            <w:vAlign w:val="center"/>
          </w:tcPr>
          <w:p w14:paraId="541BBF85">
            <w:pPr>
              <w:spacing w:line="500" w:lineRule="exact"/>
              <w:jc w:val="center"/>
              <w:rPr>
                <w:rFonts w:ascii="宋体" w:hAnsi="宋体" w:cs="宋体"/>
                <w:color w:val="auto"/>
              </w:rPr>
            </w:pPr>
            <w:r>
              <w:rPr>
                <w:rFonts w:hint="eastAsia" w:ascii="宋体" w:hAnsi="宋体" w:cs="宋体"/>
                <w:color w:val="auto"/>
              </w:rPr>
              <w:t>构成投标文件的其他资料</w:t>
            </w:r>
          </w:p>
        </w:tc>
        <w:tc>
          <w:tcPr>
            <w:tcW w:w="6183" w:type="dxa"/>
            <w:tcBorders>
              <w:top w:val="single" w:color="auto" w:sz="4" w:space="0"/>
              <w:left w:val="single" w:color="auto" w:sz="4" w:space="0"/>
              <w:bottom w:val="single" w:color="auto" w:sz="4" w:space="0"/>
              <w:right w:val="single" w:color="auto" w:sz="4" w:space="0"/>
            </w:tcBorders>
            <w:vAlign w:val="center"/>
          </w:tcPr>
          <w:p w14:paraId="0C5B7F2E">
            <w:pPr>
              <w:autoSpaceDE w:val="0"/>
              <w:autoSpaceDN w:val="0"/>
              <w:adjustRightInd w:val="0"/>
              <w:spacing w:line="500" w:lineRule="exact"/>
              <w:jc w:val="left"/>
              <w:rPr>
                <w:rFonts w:ascii="宋体" w:hAnsi="宋体" w:cs="宋体"/>
                <w:color w:val="auto"/>
              </w:rPr>
            </w:pPr>
            <w:r>
              <w:rPr>
                <w:rFonts w:hint="eastAsia" w:ascii="宋体" w:hAnsi="宋体" w:cs="宋体"/>
                <w:color w:val="auto"/>
              </w:rPr>
              <w:t>1.投标保证金交纳凭证或保函或投标（竞标）保证保险保单（扫描件加盖投标人电子公章）；</w:t>
            </w:r>
          </w:p>
          <w:p w14:paraId="338D714D">
            <w:pPr>
              <w:autoSpaceDE w:val="0"/>
              <w:autoSpaceDN w:val="0"/>
              <w:adjustRightInd w:val="0"/>
              <w:spacing w:line="500" w:lineRule="exact"/>
              <w:jc w:val="left"/>
              <w:rPr>
                <w:rFonts w:ascii="宋体" w:hAnsi="宋体" w:cs="宋体"/>
                <w:color w:val="auto"/>
              </w:rPr>
            </w:pPr>
            <w:r>
              <w:rPr>
                <w:rFonts w:hint="eastAsia" w:ascii="宋体" w:hAnsi="宋体" w:cs="宋体"/>
                <w:color w:val="auto"/>
              </w:rPr>
              <w:t>2.第五章《采购需求》中要求提供的其他资料；</w:t>
            </w:r>
          </w:p>
          <w:p w14:paraId="5C605B33">
            <w:pPr>
              <w:autoSpaceDE w:val="0"/>
              <w:autoSpaceDN w:val="0"/>
              <w:adjustRightInd w:val="0"/>
              <w:spacing w:line="500" w:lineRule="exact"/>
              <w:jc w:val="left"/>
              <w:rPr>
                <w:rFonts w:ascii="宋体" w:hAnsi="宋体" w:cs="宋体"/>
                <w:color w:val="auto"/>
              </w:rPr>
            </w:pPr>
            <w:r>
              <w:rPr>
                <w:rFonts w:hint="eastAsia" w:ascii="宋体" w:hAnsi="宋体" w:cs="宋体"/>
                <w:color w:val="auto"/>
              </w:rPr>
              <w:t>3.招标文件中所涉及到的相关资料及证明文件或投标人认为必须提供的其他相关资料。</w:t>
            </w:r>
          </w:p>
        </w:tc>
      </w:tr>
      <w:tr w14:paraId="7E03D9F0">
        <w:tblPrEx>
          <w:tblCellMar>
            <w:top w:w="0" w:type="dxa"/>
            <w:left w:w="108" w:type="dxa"/>
            <w:bottom w:w="0" w:type="dxa"/>
            <w:right w:w="108" w:type="dxa"/>
          </w:tblCellMar>
        </w:tblPrEx>
        <w:trPr>
          <w:trHeight w:val="12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295B10">
            <w:pPr>
              <w:spacing w:line="500" w:lineRule="exact"/>
              <w:jc w:val="center"/>
              <w:rPr>
                <w:rFonts w:ascii="宋体" w:hAnsi="宋体" w:cs="宋体"/>
                <w:color w:val="auto"/>
              </w:rPr>
            </w:pPr>
            <w:r>
              <w:rPr>
                <w:rFonts w:hint="eastAsia" w:ascii="宋体" w:hAnsi="宋体" w:cs="宋体"/>
                <w:color w:val="auto"/>
              </w:rPr>
              <w:t>17.1</w:t>
            </w:r>
          </w:p>
        </w:tc>
        <w:tc>
          <w:tcPr>
            <w:tcW w:w="2108" w:type="dxa"/>
            <w:tcBorders>
              <w:top w:val="single" w:color="auto" w:sz="4" w:space="0"/>
              <w:left w:val="single" w:color="auto" w:sz="4" w:space="0"/>
              <w:bottom w:val="single" w:color="auto" w:sz="4" w:space="0"/>
              <w:right w:val="single" w:color="auto" w:sz="4" w:space="0"/>
            </w:tcBorders>
            <w:vAlign w:val="center"/>
          </w:tcPr>
          <w:p w14:paraId="2139BE58">
            <w:pPr>
              <w:spacing w:line="500" w:lineRule="exact"/>
              <w:jc w:val="center"/>
              <w:rPr>
                <w:rFonts w:ascii="宋体" w:hAnsi="宋体" w:cs="宋体"/>
                <w:color w:val="auto"/>
              </w:rPr>
            </w:pPr>
            <w:r>
              <w:rPr>
                <w:rFonts w:hint="eastAsia" w:ascii="宋体" w:hAnsi="宋体" w:cs="宋体"/>
                <w:color w:val="auto"/>
              </w:rPr>
              <w:t>投标有效期</w:t>
            </w:r>
          </w:p>
        </w:tc>
        <w:tc>
          <w:tcPr>
            <w:tcW w:w="6183" w:type="dxa"/>
            <w:tcBorders>
              <w:top w:val="single" w:color="auto" w:sz="4" w:space="0"/>
              <w:left w:val="single" w:color="auto" w:sz="4" w:space="0"/>
              <w:bottom w:val="single" w:color="auto" w:sz="4" w:space="0"/>
              <w:right w:val="single" w:color="auto" w:sz="4" w:space="0"/>
            </w:tcBorders>
            <w:vAlign w:val="center"/>
          </w:tcPr>
          <w:p w14:paraId="5DF1FDF8">
            <w:pPr>
              <w:autoSpaceDE w:val="0"/>
              <w:autoSpaceDN w:val="0"/>
              <w:adjustRightInd w:val="0"/>
              <w:spacing w:line="500" w:lineRule="exact"/>
              <w:jc w:val="left"/>
              <w:rPr>
                <w:rFonts w:ascii="宋体" w:hAnsi="宋体" w:cs="宋体"/>
                <w:color w:val="auto"/>
              </w:rPr>
            </w:pPr>
            <w:r>
              <w:rPr>
                <w:rFonts w:hint="eastAsia" w:ascii="宋体" w:hAnsi="宋体" w:cs="宋体"/>
                <w:color w:val="auto"/>
              </w:rPr>
              <w:t>从提交投标文件截止之日起90日历天。</w:t>
            </w:r>
          </w:p>
        </w:tc>
      </w:tr>
      <w:tr w14:paraId="3317A565">
        <w:tblPrEx>
          <w:tblCellMar>
            <w:top w:w="0" w:type="dxa"/>
            <w:left w:w="108" w:type="dxa"/>
            <w:bottom w:w="0" w:type="dxa"/>
            <w:right w:w="108" w:type="dxa"/>
          </w:tblCellMar>
        </w:tblPrEx>
        <w:trPr>
          <w:trHeight w:val="3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59262B5">
            <w:pPr>
              <w:spacing w:line="500" w:lineRule="exact"/>
              <w:jc w:val="center"/>
              <w:rPr>
                <w:rFonts w:ascii="宋体" w:hAnsi="宋体" w:cs="宋体"/>
                <w:color w:val="auto"/>
              </w:rPr>
            </w:pPr>
            <w:r>
              <w:rPr>
                <w:rFonts w:hint="eastAsia" w:ascii="宋体" w:hAnsi="宋体" w:cs="宋体"/>
                <w:color w:val="auto"/>
              </w:rPr>
              <w:t>18.1</w:t>
            </w:r>
          </w:p>
        </w:tc>
        <w:tc>
          <w:tcPr>
            <w:tcW w:w="2108" w:type="dxa"/>
            <w:tcBorders>
              <w:top w:val="single" w:color="auto" w:sz="4" w:space="0"/>
              <w:left w:val="single" w:color="auto" w:sz="4" w:space="0"/>
              <w:bottom w:val="single" w:color="auto" w:sz="4" w:space="0"/>
              <w:right w:val="single" w:color="auto" w:sz="4" w:space="0"/>
            </w:tcBorders>
            <w:vAlign w:val="center"/>
          </w:tcPr>
          <w:p w14:paraId="45338158">
            <w:pPr>
              <w:spacing w:line="500" w:lineRule="exact"/>
              <w:jc w:val="center"/>
              <w:rPr>
                <w:rFonts w:ascii="宋体" w:hAnsi="宋体" w:cs="宋体"/>
                <w:color w:val="auto"/>
              </w:rPr>
            </w:pPr>
            <w:r>
              <w:rPr>
                <w:rFonts w:hint="eastAsia" w:ascii="宋体" w:hAnsi="宋体" w:cs="宋体"/>
                <w:color w:val="auto"/>
              </w:rPr>
              <w:t>投标保证金</w:t>
            </w:r>
          </w:p>
        </w:tc>
        <w:tc>
          <w:tcPr>
            <w:tcW w:w="6183" w:type="dxa"/>
            <w:tcBorders>
              <w:top w:val="single" w:color="auto" w:sz="4" w:space="0"/>
              <w:left w:val="single" w:color="auto" w:sz="4" w:space="0"/>
              <w:bottom w:val="single" w:color="auto" w:sz="4" w:space="0"/>
              <w:right w:val="single" w:color="auto" w:sz="4" w:space="0"/>
            </w:tcBorders>
            <w:shd w:val="clear" w:color="auto" w:fill="auto"/>
            <w:vAlign w:val="center"/>
          </w:tcPr>
          <w:p w14:paraId="35B62F5B">
            <w:pPr>
              <w:autoSpaceDE w:val="0"/>
              <w:autoSpaceDN w:val="0"/>
              <w:adjustRightInd w:val="0"/>
              <w:spacing w:line="500" w:lineRule="exact"/>
              <w:jc w:val="left"/>
              <w:rPr>
                <w:rFonts w:ascii="宋体" w:hAnsi="宋体" w:cs="宋体"/>
                <w:b/>
                <w:bCs/>
                <w:color w:val="auto"/>
              </w:rPr>
            </w:pPr>
            <w:r>
              <w:rPr>
                <w:rFonts w:hint="eastAsia" w:ascii="宋体" w:hAnsi="宋体" w:cs="宋体"/>
                <w:b/>
                <w:bCs/>
                <w:color w:val="auto"/>
              </w:rPr>
              <w:t>项目名称：云南师范大学经济学院实验室建设采购项目</w:t>
            </w:r>
          </w:p>
          <w:p w14:paraId="5AF962C4">
            <w:pPr>
              <w:autoSpaceDE w:val="0"/>
              <w:autoSpaceDN w:val="0"/>
              <w:adjustRightInd w:val="0"/>
              <w:spacing w:line="500" w:lineRule="exact"/>
              <w:jc w:val="left"/>
              <w:rPr>
                <w:rFonts w:hint="eastAsia" w:ascii="宋体" w:hAnsi="宋体" w:eastAsia="宋体" w:cs="宋体"/>
                <w:b/>
                <w:bCs/>
                <w:color w:val="auto"/>
                <w:lang w:eastAsia="zh-CN"/>
              </w:rPr>
            </w:pPr>
            <w:r>
              <w:rPr>
                <w:rFonts w:hint="eastAsia" w:ascii="宋体" w:hAnsi="宋体" w:cs="宋体"/>
                <w:b/>
                <w:bCs/>
                <w:color w:val="auto"/>
              </w:rPr>
              <w:t>项目编号：</w:t>
            </w:r>
            <w:r>
              <w:rPr>
                <w:rFonts w:hint="eastAsia" w:ascii="宋体" w:hAnsi="宋体" w:cs="宋体"/>
                <w:b/>
                <w:bCs/>
                <w:color w:val="auto"/>
                <w:lang w:eastAsia="zh-CN"/>
              </w:rPr>
              <w:t>YNZC2025-G1-07525-YNGR-0415</w:t>
            </w:r>
          </w:p>
          <w:p w14:paraId="11CC0907">
            <w:pPr>
              <w:autoSpaceDE w:val="0"/>
              <w:autoSpaceDN w:val="0"/>
              <w:adjustRightInd w:val="0"/>
              <w:spacing w:line="500" w:lineRule="exact"/>
              <w:jc w:val="left"/>
              <w:rPr>
                <w:rFonts w:ascii="宋体" w:hAnsi="宋体" w:cs="宋体"/>
                <w:color w:val="auto"/>
              </w:rPr>
            </w:pPr>
            <w:r>
              <w:rPr>
                <w:rFonts w:hint="eastAsia" w:ascii="宋体" w:hAnsi="宋体" w:cs="宋体"/>
                <w:color w:val="auto"/>
              </w:rPr>
              <w:t>投标保证金的形式：网银、电汇、支票、汇票、本票或者金融机构、担保机构出具的保函等非现金形式提交。</w:t>
            </w:r>
          </w:p>
          <w:p w14:paraId="2A201A31">
            <w:pPr>
              <w:autoSpaceDE w:val="0"/>
              <w:autoSpaceDN w:val="0"/>
              <w:adjustRightInd w:val="0"/>
              <w:spacing w:line="500" w:lineRule="exact"/>
              <w:jc w:val="left"/>
              <w:rPr>
                <w:rFonts w:ascii="宋体" w:hAnsi="宋体" w:cs="宋体"/>
                <w:color w:val="auto"/>
              </w:rPr>
            </w:pPr>
            <w:r>
              <w:rPr>
                <w:rFonts w:hint="eastAsia" w:ascii="宋体" w:hAnsi="宋体" w:cs="宋体"/>
                <w:color w:val="auto"/>
              </w:rPr>
              <w:t>投标保证金金额：</w:t>
            </w:r>
            <w:r>
              <w:rPr>
                <w:rFonts w:hint="eastAsia" w:ascii="宋体" w:hAnsi="宋体" w:cs="宋体"/>
                <w:b/>
                <w:bCs/>
                <w:color w:val="auto"/>
              </w:rPr>
              <w:t>贰万伍仟元整（¥25000.00元）</w:t>
            </w:r>
          </w:p>
          <w:p w14:paraId="4585339B">
            <w:pPr>
              <w:autoSpaceDE w:val="0"/>
              <w:autoSpaceDN w:val="0"/>
              <w:adjustRightInd w:val="0"/>
              <w:spacing w:line="500" w:lineRule="exact"/>
              <w:jc w:val="left"/>
              <w:rPr>
                <w:rFonts w:ascii="宋体" w:hAnsi="宋体" w:cs="宋体"/>
                <w:color w:val="auto"/>
              </w:rPr>
            </w:pPr>
            <w:r>
              <w:rPr>
                <w:rFonts w:hint="eastAsia" w:ascii="宋体" w:hAnsi="宋体" w:cs="宋体"/>
                <w:color w:val="auto"/>
              </w:rPr>
              <w:t>保证金按规定金额、形式从投标人账户交纳至：</w:t>
            </w:r>
          </w:p>
          <w:p w14:paraId="5896838A">
            <w:pPr>
              <w:autoSpaceDE w:val="0"/>
              <w:autoSpaceDN w:val="0"/>
              <w:adjustRightInd w:val="0"/>
              <w:spacing w:line="500" w:lineRule="exact"/>
              <w:jc w:val="left"/>
              <w:rPr>
                <w:rFonts w:ascii="宋体" w:hAnsi="宋体" w:cs="宋体"/>
                <w:color w:val="auto"/>
              </w:rPr>
            </w:pPr>
            <w:r>
              <w:rPr>
                <w:rFonts w:hint="eastAsia" w:ascii="宋体" w:hAnsi="宋体" w:cs="宋体"/>
                <w:color w:val="auto"/>
              </w:rPr>
              <w:t>开户名称：云南冠睿咨询有限公司</w:t>
            </w:r>
          </w:p>
          <w:p w14:paraId="6D6745FC">
            <w:pPr>
              <w:autoSpaceDE w:val="0"/>
              <w:autoSpaceDN w:val="0"/>
              <w:adjustRightInd w:val="0"/>
              <w:spacing w:line="500" w:lineRule="exact"/>
              <w:jc w:val="left"/>
              <w:rPr>
                <w:rFonts w:ascii="宋体" w:hAnsi="宋体" w:cs="宋体"/>
                <w:color w:val="auto"/>
              </w:rPr>
            </w:pPr>
            <w:r>
              <w:rPr>
                <w:rFonts w:hint="eastAsia" w:ascii="宋体" w:hAnsi="宋体" w:cs="宋体"/>
                <w:color w:val="auto"/>
              </w:rPr>
              <w:t>开户行名称：中国民生银行股份有限公司昆明拓东路支行</w:t>
            </w:r>
          </w:p>
          <w:p w14:paraId="687DD99C">
            <w:pPr>
              <w:autoSpaceDE w:val="0"/>
              <w:autoSpaceDN w:val="0"/>
              <w:adjustRightInd w:val="0"/>
              <w:spacing w:line="500" w:lineRule="exact"/>
              <w:jc w:val="left"/>
              <w:rPr>
                <w:rFonts w:ascii="宋体" w:hAnsi="宋体" w:cs="宋体"/>
                <w:color w:val="auto"/>
              </w:rPr>
            </w:pPr>
            <w:r>
              <w:rPr>
                <w:rFonts w:hint="eastAsia" w:ascii="宋体" w:hAnsi="宋体" w:cs="宋体"/>
                <w:color w:val="auto"/>
              </w:rPr>
              <w:t>开户行账号：636611192</w:t>
            </w:r>
          </w:p>
          <w:p w14:paraId="5774A18F">
            <w:pPr>
              <w:autoSpaceDE w:val="0"/>
              <w:autoSpaceDN w:val="0"/>
              <w:adjustRightInd w:val="0"/>
              <w:spacing w:line="500" w:lineRule="exact"/>
              <w:jc w:val="left"/>
              <w:rPr>
                <w:rFonts w:ascii="宋体" w:hAnsi="宋体" w:cs="宋体"/>
                <w:color w:val="auto"/>
              </w:rPr>
            </w:pPr>
            <w:r>
              <w:rPr>
                <w:rFonts w:hint="eastAsia" w:ascii="宋体" w:hAnsi="宋体" w:cs="宋体"/>
                <w:color w:val="auto"/>
              </w:rPr>
              <w:t>保证金缴纳说明：</w:t>
            </w:r>
          </w:p>
          <w:p w14:paraId="1C418BE0">
            <w:pPr>
              <w:autoSpaceDE w:val="0"/>
              <w:autoSpaceDN w:val="0"/>
              <w:adjustRightInd w:val="0"/>
              <w:spacing w:line="500" w:lineRule="exact"/>
              <w:jc w:val="left"/>
              <w:rPr>
                <w:rFonts w:ascii="宋体" w:hAnsi="宋体" w:cs="宋体"/>
                <w:color w:val="auto"/>
              </w:rPr>
            </w:pPr>
            <w:r>
              <w:rPr>
                <w:rFonts w:hint="eastAsia" w:ascii="宋体" w:hAnsi="宋体" w:cs="宋体"/>
                <w:color w:val="auto"/>
              </w:rPr>
              <w:t>1.电汇或网银等转账方式或保函提交的，底单即为缴纳凭证</w:t>
            </w:r>
            <w:r>
              <w:rPr>
                <w:rFonts w:hint="eastAsia" w:ascii="宋体" w:hAnsi="宋体" w:cs="宋体"/>
                <w:b/>
                <w:bCs/>
                <w:color w:val="auto"/>
              </w:rPr>
              <w:t>（需注明项目编号或项目简称）</w:t>
            </w:r>
            <w:r>
              <w:rPr>
                <w:rFonts w:hint="eastAsia" w:ascii="宋体" w:hAnsi="宋体" w:cs="宋体"/>
                <w:color w:val="auto"/>
              </w:rPr>
              <w:t>；其他方式的保证金在转账后投标人附有效付款凭证。</w:t>
            </w:r>
          </w:p>
          <w:p w14:paraId="2FD03F1A">
            <w:pPr>
              <w:autoSpaceDE w:val="0"/>
              <w:autoSpaceDN w:val="0"/>
              <w:adjustRightInd w:val="0"/>
              <w:spacing w:line="500" w:lineRule="exact"/>
              <w:jc w:val="left"/>
              <w:rPr>
                <w:rFonts w:ascii="宋体" w:hAnsi="宋体" w:cs="宋体"/>
                <w:color w:val="auto"/>
              </w:rPr>
            </w:pPr>
            <w:r>
              <w:rPr>
                <w:rFonts w:hint="eastAsia" w:ascii="宋体" w:hAnsi="宋体" w:cs="宋体"/>
                <w:color w:val="auto"/>
              </w:rPr>
              <w:t>2.投标保证金交纳截止时间同本项目提交投标文件截止时间、开标时间。</w:t>
            </w:r>
          </w:p>
          <w:p w14:paraId="4D358F40">
            <w:pPr>
              <w:autoSpaceDE w:val="0"/>
              <w:autoSpaceDN w:val="0"/>
              <w:adjustRightInd w:val="0"/>
              <w:spacing w:line="500" w:lineRule="exact"/>
              <w:jc w:val="left"/>
              <w:rPr>
                <w:rFonts w:ascii="宋体" w:hAnsi="宋体" w:cs="宋体"/>
                <w:color w:val="auto"/>
              </w:rPr>
            </w:pPr>
            <w:r>
              <w:rPr>
                <w:rFonts w:hint="eastAsia" w:ascii="宋体" w:hAnsi="宋体" w:cs="宋体"/>
                <w:color w:val="auto"/>
              </w:rPr>
              <w:t>3.投标人未按照招标文件要求提交投标保证金的，投标无效。</w:t>
            </w:r>
          </w:p>
        </w:tc>
      </w:tr>
      <w:tr w14:paraId="7DAE28E7">
        <w:tblPrEx>
          <w:tblCellMar>
            <w:top w:w="0" w:type="dxa"/>
            <w:left w:w="108" w:type="dxa"/>
            <w:bottom w:w="0" w:type="dxa"/>
            <w:right w:w="108" w:type="dxa"/>
          </w:tblCellMar>
        </w:tblPrEx>
        <w:trPr>
          <w:trHeight w:val="10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AD33C27">
            <w:pPr>
              <w:spacing w:line="500" w:lineRule="exact"/>
              <w:jc w:val="center"/>
              <w:rPr>
                <w:rFonts w:ascii="宋体" w:hAnsi="宋体" w:cs="宋体"/>
                <w:color w:val="auto"/>
              </w:rPr>
            </w:pPr>
            <w:r>
              <w:rPr>
                <w:rFonts w:hint="eastAsia" w:ascii="宋体" w:hAnsi="宋体" w:cs="宋体"/>
                <w:color w:val="auto"/>
              </w:rPr>
              <w:t>20.8</w:t>
            </w:r>
          </w:p>
        </w:tc>
        <w:tc>
          <w:tcPr>
            <w:tcW w:w="2108" w:type="dxa"/>
            <w:tcBorders>
              <w:top w:val="single" w:color="auto" w:sz="4" w:space="0"/>
              <w:left w:val="single" w:color="auto" w:sz="4" w:space="0"/>
              <w:bottom w:val="single" w:color="auto" w:sz="4" w:space="0"/>
              <w:right w:val="single" w:color="auto" w:sz="4" w:space="0"/>
            </w:tcBorders>
            <w:vAlign w:val="center"/>
          </w:tcPr>
          <w:p w14:paraId="6C925CC7">
            <w:pPr>
              <w:spacing w:line="500" w:lineRule="exact"/>
              <w:jc w:val="center"/>
              <w:rPr>
                <w:rFonts w:ascii="宋体" w:hAnsi="宋体" w:cs="宋体"/>
                <w:color w:val="auto"/>
              </w:rPr>
            </w:pPr>
            <w:r>
              <w:rPr>
                <w:rFonts w:hint="eastAsia" w:ascii="宋体" w:hAnsi="宋体" w:cs="宋体"/>
                <w:color w:val="auto"/>
              </w:rPr>
              <w:t>报价货币</w:t>
            </w:r>
          </w:p>
        </w:tc>
        <w:tc>
          <w:tcPr>
            <w:tcW w:w="6183" w:type="dxa"/>
            <w:tcBorders>
              <w:top w:val="single" w:color="auto" w:sz="4" w:space="0"/>
              <w:left w:val="single" w:color="auto" w:sz="4" w:space="0"/>
              <w:bottom w:val="single" w:color="auto" w:sz="4" w:space="0"/>
              <w:right w:val="single" w:color="auto" w:sz="4" w:space="0"/>
            </w:tcBorders>
            <w:vAlign w:val="center"/>
          </w:tcPr>
          <w:p w14:paraId="5BA74635">
            <w:pPr>
              <w:spacing w:line="500" w:lineRule="exact"/>
              <w:rPr>
                <w:rFonts w:ascii="宋体" w:hAnsi="宋体" w:cs="宋体"/>
                <w:color w:val="auto"/>
              </w:rPr>
            </w:pPr>
            <w:r>
              <w:rPr>
                <w:rFonts w:hint="eastAsia" w:ascii="宋体" w:hAnsi="宋体" w:cs="宋体"/>
                <w:color w:val="auto"/>
              </w:rPr>
              <w:t>人民币</w:t>
            </w:r>
          </w:p>
        </w:tc>
      </w:tr>
      <w:tr w14:paraId="343BA69F">
        <w:tblPrEx>
          <w:tblCellMar>
            <w:top w:w="0" w:type="dxa"/>
            <w:left w:w="108" w:type="dxa"/>
            <w:bottom w:w="0" w:type="dxa"/>
            <w:right w:w="108" w:type="dxa"/>
          </w:tblCellMar>
        </w:tblPrEx>
        <w:trPr>
          <w:trHeight w:val="27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E1D0BD3">
            <w:pPr>
              <w:spacing w:line="500" w:lineRule="exact"/>
              <w:jc w:val="center"/>
              <w:rPr>
                <w:rFonts w:ascii="宋体" w:hAnsi="宋体" w:cs="宋体"/>
                <w:color w:val="auto"/>
              </w:rPr>
            </w:pPr>
            <w:r>
              <w:rPr>
                <w:rFonts w:hint="eastAsia" w:ascii="宋体" w:hAnsi="宋体" w:cs="宋体"/>
                <w:color w:val="auto"/>
              </w:rPr>
              <w:t>21.1</w:t>
            </w:r>
          </w:p>
        </w:tc>
        <w:tc>
          <w:tcPr>
            <w:tcW w:w="2108" w:type="dxa"/>
            <w:tcBorders>
              <w:top w:val="single" w:color="auto" w:sz="4" w:space="0"/>
              <w:left w:val="single" w:color="auto" w:sz="4" w:space="0"/>
              <w:bottom w:val="single" w:color="auto" w:sz="4" w:space="0"/>
              <w:right w:val="single" w:color="auto" w:sz="4" w:space="0"/>
            </w:tcBorders>
            <w:vAlign w:val="center"/>
          </w:tcPr>
          <w:p w14:paraId="12CB9496">
            <w:pPr>
              <w:spacing w:line="500" w:lineRule="exact"/>
              <w:jc w:val="center"/>
              <w:rPr>
                <w:rFonts w:ascii="宋体" w:hAnsi="宋体" w:cs="宋体"/>
                <w:color w:val="auto"/>
              </w:rPr>
            </w:pPr>
            <w:r>
              <w:rPr>
                <w:rFonts w:hint="eastAsia" w:ascii="宋体" w:hAnsi="宋体" w:cs="宋体"/>
                <w:color w:val="auto"/>
              </w:rPr>
              <w:t>投标文件的密封</w:t>
            </w:r>
          </w:p>
        </w:tc>
        <w:tc>
          <w:tcPr>
            <w:tcW w:w="6183" w:type="dxa"/>
            <w:tcBorders>
              <w:top w:val="single" w:color="auto" w:sz="4" w:space="0"/>
              <w:left w:val="single" w:color="auto" w:sz="4" w:space="0"/>
              <w:bottom w:val="single" w:color="auto" w:sz="4" w:space="0"/>
              <w:right w:val="single" w:color="auto" w:sz="4" w:space="0"/>
            </w:tcBorders>
            <w:vAlign w:val="center"/>
          </w:tcPr>
          <w:p w14:paraId="03EF1CC3">
            <w:pPr>
              <w:wordWrap w:val="0"/>
              <w:spacing w:line="500" w:lineRule="exact"/>
              <w:rPr>
                <w:rFonts w:ascii="宋体" w:hAnsi="宋体" w:cs="宋体"/>
                <w:color w:val="auto"/>
              </w:rPr>
            </w:pPr>
            <w:r>
              <w:rPr>
                <w:rFonts w:hint="eastAsia" w:ascii="宋体" w:hAnsi="宋体" w:cs="宋体"/>
                <w:color w:val="auto"/>
              </w:rPr>
              <w:t>投标人应按照"政采云"平台的要求编制、加密投标文件后在投标文件提交截止时间前上传至"政采云"平台，投标文件提交截止时间前未完成投标文件上传的，视为撤回投标文件。</w:t>
            </w:r>
          </w:p>
        </w:tc>
      </w:tr>
      <w:tr w14:paraId="41EAA35E">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D761528">
            <w:pPr>
              <w:spacing w:line="500" w:lineRule="exact"/>
              <w:jc w:val="center"/>
              <w:rPr>
                <w:rFonts w:ascii="宋体" w:hAnsi="宋体" w:cs="宋体"/>
                <w:color w:val="auto"/>
              </w:rPr>
            </w:pPr>
            <w:r>
              <w:rPr>
                <w:rFonts w:hint="eastAsia" w:ascii="宋体" w:hAnsi="宋体" w:cs="宋体"/>
                <w:color w:val="auto"/>
              </w:rPr>
              <w:t>22.1</w:t>
            </w:r>
          </w:p>
        </w:tc>
        <w:tc>
          <w:tcPr>
            <w:tcW w:w="2108" w:type="dxa"/>
            <w:tcBorders>
              <w:top w:val="single" w:color="auto" w:sz="4" w:space="0"/>
              <w:left w:val="single" w:color="auto" w:sz="4" w:space="0"/>
              <w:bottom w:val="single" w:color="auto" w:sz="4" w:space="0"/>
              <w:right w:val="single" w:color="auto" w:sz="4" w:space="0"/>
            </w:tcBorders>
            <w:vAlign w:val="center"/>
          </w:tcPr>
          <w:p w14:paraId="3844AAD2">
            <w:pPr>
              <w:spacing w:line="500" w:lineRule="exact"/>
              <w:jc w:val="center"/>
              <w:rPr>
                <w:rFonts w:ascii="宋体" w:hAnsi="宋体" w:cs="宋体"/>
                <w:color w:val="auto"/>
              </w:rPr>
            </w:pPr>
            <w:r>
              <w:rPr>
                <w:rFonts w:hint="eastAsia" w:ascii="宋体" w:hAnsi="宋体" w:cs="宋体"/>
                <w:color w:val="auto"/>
              </w:rPr>
              <w:t>投标文件提交截止时间、提交投标文件的地点</w:t>
            </w:r>
          </w:p>
        </w:tc>
        <w:tc>
          <w:tcPr>
            <w:tcW w:w="6183" w:type="dxa"/>
            <w:tcBorders>
              <w:top w:val="single" w:color="auto" w:sz="4" w:space="0"/>
              <w:left w:val="single" w:color="auto" w:sz="4" w:space="0"/>
              <w:bottom w:val="single" w:color="auto" w:sz="4" w:space="0"/>
              <w:right w:val="single" w:color="auto" w:sz="4" w:space="0"/>
            </w:tcBorders>
            <w:vAlign w:val="center"/>
          </w:tcPr>
          <w:p w14:paraId="55241F78">
            <w:pPr>
              <w:pStyle w:val="20"/>
              <w:spacing w:line="500" w:lineRule="exact"/>
              <w:rPr>
                <w:rFonts w:hAnsi="宋体" w:cs="宋体"/>
                <w:color w:val="auto"/>
              </w:rPr>
            </w:pPr>
            <w:r>
              <w:rPr>
                <w:rFonts w:hint="eastAsia" w:hAnsi="宋体" w:cs="宋体"/>
                <w:color w:val="auto"/>
              </w:rPr>
              <w:t>投标文件提交截止时间：详见第一章《公开招标公告》；</w:t>
            </w:r>
          </w:p>
          <w:p w14:paraId="1AC0B10D">
            <w:pPr>
              <w:pStyle w:val="20"/>
              <w:spacing w:line="500" w:lineRule="exact"/>
              <w:rPr>
                <w:rFonts w:hAnsi="宋体" w:cs="宋体"/>
                <w:color w:val="auto"/>
              </w:rPr>
            </w:pPr>
            <w:r>
              <w:rPr>
                <w:rFonts w:hint="eastAsia" w:hAnsi="宋体" w:cs="宋体"/>
                <w:color w:val="auto"/>
              </w:rPr>
              <w:t>提交投标文件的地点：详见第一章《公开招标公告》。</w:t>
            </w:r>
          </w:p>
        </w:tc>
      </w:tr>
      <w:tr w14:paraId="397C8E59">
        <w:tblPrEx>
          <w:tblCellMar>
            <w:top w:w="0" w:type="dxa"/>
            <w:left w:w="108" w:type="dxa"/>
            <w:bottom w:w="0" w:type="dxa"/>
            <w:right w:w="108" w:type="dxa"/>
          </w:tblCellMar>
        </w:tblPrEx>
        <w:trPr>
          <w:trHeight w:val="67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817F592">
            <w:pPr>
              <w:spacing w:line="500" w:lineRule="exact"/>
              <w:jc w:val="center"/>
              <w:rPr>
                <w:rFonts w:ascii="宋体" w:hAnsi="宋体" w:cs="宋体"/>
                <w:color w:val="auto"/>
              </w:rPr>
            </w:pPr>
            <w:r>
              <w:rPr>
                <w:rFonts w:hint="eastAsia" w:ascii="宋体" w:hAnsi="宋体" w:cs="宋体"/>
                <w:color w:val="auto"/>
              </w:rPr>
              <w:t>24.1</w:t>
            </w:r>
          </w:p>
        </w:tc>
        <w:tc>
          <w:tcPr>
            <w:tcW w:w="2108" w:type="dxa"/>
            <w:tcBorders>
              <w:top w:val="single" w:color="auto" w:sz="4" w:space="0"/>
              <w:left w:val="single" w:color="auto" w:sz="4" w:space="0"/>
              <w:bottom w:val="single" w:color="auto" w:sz="4" w:space="0"/>
              <w:right w:val="single" w:color="auto" w:sz="4" w:space="0"/>
            </w:tcBorders>
            <w:vAlign w:val="center"/>
          </w:tcPr>
          <w:p w14:paraId="6B79A4A7">
            <w:pPr>
              <w:pStyle w:val="20"/>
              <w:spacing w:line="500" w:lineRule="exact"/>
              <w:jc w:val="center"/>
              <w:rPr>
                <w:rFonts w:hAnsi="宋体" w:cs="宋体"/>
                <w:color w:val="auto"/>
              </w:rPr>
            </w:pPr>
            <w:r>
              <w:rPr>
                <w:rFonts w:hint="eastAsia" w:hAnsi="宋体" w:cs="宋体"/>
                <w:color w:val="auto"/>
              </w:rPr>
              <w:t>开标时间和地点</w:t>
            </w:r>
          </w:p>
        </w:tc>
        <w:tc>
          <w:tcPr>
            <w:tcW w:w="6183" w:type="dxa"/>
            <w:tcBorders>
              <w:top w:val="single" w:color="auto" w:sz="4" w:space="0"/>
              <w:left w:val="single" w:color="auto" w:sz="4" w:space="0"/>
              <w:bottom w:val="single" w:color="auto" w:sz="4" w:space="0"/>
              <w:right w:val="single" w:color="auto" w:sz="4" w:space="0"/>
            </w:tcBorders>
            <w:vAlign w:val="center"/>
          </w:tcPr>
          <w:p w14:paraId="65398EB2">
            <w:pPr>
              <w:pStyle w:val="20"/>
              <w:spacing w:line="500" w:lineRule="exact"/>
              <w:rPr>
                <w:rFonts w:hAnsi="宋体" w:cs="宋体"/>
                <w:color w:val="auto"/>
              </w:rPr>
            </w:pPr>
            <w:r>
              <w:rPr>
                <w:rFonts w:hint="eastAsia" w:hAnsi="宋体" w:cs="宋体"/>
                <w:color w:val="auto"/>
              </w:rPr>
              <w:t>开标时间：同投标文件提交截止时间；</w:t>
            </w:r>
          </w:p>
          <w:p w14:paraId="20C7FD1E">
            <w:pPr>
              <w:pStyle w:val="20"/>
              <w:spacing w:line="500" w:lineRule="exact"/>
              <w:ind w:left="1050" w:hanging="1050" w:hangingChars="500"/>
              <w:rPr>
                <w:rFonts w:hAnsi="宋体" w:cs="宋体"/>
                <w:color w:val="auto"/>
                <w:u w:val="single"/>
              </w:rPr>
            </w:pPr>
            <w:r>
              <w:rPr>
                <w:rFonts w:hint="eastAsia" w:hAnsi="宋体" w:cs="宋体"/>
                <w:color w:val="auto"/>
              </w:rPr>
              <w:t>开标地点：同提交投标文件的地点、开标地点。</w:t>
            </w:r>
          </w:p>
        </w:tc>
      </w:tr>
      <w:tr w14:paraId="6B44FDAE">
        <w:tblPrEx>
          <w:tblCellMar>
            <w:top w:w="0" w:type="dxa"/>
            <w:left w:w="108" w:type="dxa"/>
            <w:bottom w:w="0" w:type="dxa"/>
            <w:right w:w="108" w:type="dxa"/>
          </w:tblCellMar>
        </w:tblPrEx>
        <w:trPr>
          <w:trHeight w:val="182"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86A3337">
            <w:pPr>
              <w:spacing w:line="500" w:lineRule="exact"/>
              <w:jc w:val="center"/>
              <w:rPr>
                <w:rFonts w:ascii="宋体" w:hAnsi="宋体" w:cs="宋体"/>
                <w:color w:val="auto"/>
              </w:rPr>
            </w:pPr>
            <w:r>
              <w:rPr>
                <w:rFonts w:hint="eastAsia" w:ascii="宋体" w:hAnsi="宋体" w:cs="宋体"/>
                <w:color w:val="auto"/>
              </w:rPr>
              <w:t>26.2</w:t>
            </w:r>
          </w:p>
        </w:tc>
        <w:tc>
          <w:tcPr>
            <w:tcW w:w="2108" w:type="dxa"/>
            <w:tcBorders>
              <w:top w:val="single" w:color="auto" w:sz="4" w:space="0"/>
              <w:left w:val="single" w:color="auto" w:sz="4" w:space="0"/>
              <w:bottom w:val="single" w:color="auto" w:sz="4" w:space="0"/>
              <w:right w:val="single" w:color="auto" w:sz="4" w:space="0"/>
            </w:tcBorders>
            <w:vAlign w:val="center"/>
          </w:tcPr>
          <w:p w14:paraId="00B42890">
            <w:pPr>
              <w:spacing w:line="500" w:lineRule="exact"/>
              <w:jc w:val="center"/>
              <w:rPr>
                <w:rFonts w:ascii="宋体" w:hAnsi="宋体" w:cs="宋体"/>
                <w:color w:val="auto"/>
              </w:rPr>
            </w:pPr>
            <w:r>
              <w:rPr>
                <w:rFonts w:hint="eastAsia" w:ascii="宋体" w:hAnsi="宋体" w:cs="宋体"/>
                <w:color w:val="auto"/>
              </w:rPr>
              <w:t>评标委员会</w:t>
            </w:r>
          </w:p>
        </w:tc>
        <w:tc>
          <w:tcPr>
            <w:tcW w:w="6183" w:type="dxa"/>
            <w:tcBorders>
              <w:top w:val="single" w:color="auto" w:sz="4" w:space="0"/>
              <w:left w:val="single" w:color="auto" w:sz="4" w:space="0"/>
              <w:bottom w:val="single" w:color="auto" w:sz="4" w:space="0"/>
              <w:right w:val="single" w:color="auto" w:sz="4" w:space="0"/>
            </w:tcBorders>
            <w:vAlign w:val="center"/>
          </w:tcPr>
          <w:p w14:paraId="2A641239">
            <w:pPr>
              <w:spacing w:line="500" w:lineRule="exact"/>
              <w:rPr>
                <w:rFonts w:ascii="宋体" w:hAnsi="宋体" w:cs="宋体"/>
                <w:color w:val="auto"/>
              </w:rPr>
            </w:pPr>
            <w:r>
              <w:rPr>
                <w:rFonts w:hint="eastAsia" w:ascii="宋体" w:hAnsi="宋体" w:cs="宋体"/>
                <w:color w:val="auto"/>
                <w:szCs w:val="21"/>
              </w:rPr>
              <w:t>评标委员会由采购人代表和评审专家组成，成员人数为5人以上单数，其中评审专家不得少于成员总数的三分之二。评标委员会应当推选组长，但采购人代表不得担任组长。</w:t>
            </w:r>
          </w:p>
        </w:tc>
      </w:tr>
      <w:tr w14:paraId="5D4752B4">
        <w:tblPrEx>
          <w:tblCellMar>
            <w:top w:w="0" w:type="dxa"/>
            <w:left w:w="108" w:type="dxa"/>
            <w:bottom w:w="0" w:type="dxa"/>
            <w:right w:w="108" w:type="dxa"/>
          </w:tblCellMar>
        </w:tblPrEx>
        <w:trPr>
          <w:trHeight w:val="23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6CFF045">
            <w:pPr>
              <w:spacing w:line="500" w:lineRule="exact"/>
              <w:jc w:val="center"/>
              <w:rPr>
                <w:rFonts w:ascii="宋体" w:hAnsi="宋体" w:cs="宋体"/>
                <w:color w:val="auto"/>
              </w:rPr>
            </w:pPr>
            <w:r>
              <w:rPr>
                <w:rFonts w:hint="eastAsia" w:ascii="宋体" w:hAnsi="宋体" w:cs="宋体"/>
                <w:color w:val="auto"/>
              </w:rPr>
              <w:t>26.5</w:t>
            </w:r>
          </w:p>
        </w:tc>
        <w:tc>
          <w:tcPr>
            <w:tcW w:w="2108" w:type="dxa"/>
            <w:tcBorders>
              <w:top w:val="single" w:color="auto" w:sz="4" w:space="0"/>
              <w:left w:val="single" w:color="auto" w:sz="4" w:space="0"/>
              <w:bottom w:val="single" w:color="auto" w:sz="4" w:space="0"/>
              <w:right w:val="single" w:color="auto" w:sz="4" w:space="0"/>
            </w:tcBorders>
            <w:vAlign w:val="center"/>
          </w:tcPr>
          <w:p w14:paraId="53066AE4">
            <w:pPr>
              <w:spacing w:line="500" w:lineRule="exact"/>
              <w:jc w:val="center"/>
              <w:rPr>
                <w:rFonts w:ascii="宋体" w:hAnsi="宋体" w:cs="宋体"/>
                <w:color w:val="auto"/>
              </w:rPr>
            </w:pPr>
            <w:r>
              <w:rPr>
                <w:rFonts w:hint="eastAsia" w:ascii="宋体" w:hAnsi="宋体" w:cs="宋体"/>
                <w:color w:val="auto"/>
              </w:rPr>
              <w:t>评标方法</w:t>
            </w:r>
          </w:p>
        </w:tc>
        <w:tc>
          <w:tcPr>
            <w:tcW w:w="6183" w:type="dxa"/>
            <w:tcBorders>
              <w:top w:val="single" w:color="auto" w:sz="4" w:space="0"/>
              <w:left w:val="single" w:color="auto" w:sz="4" w:space="0"/>
              <w:bottom w:val="single" w:color="auto" w:sz="4" w:space="0"/>
              <w:right w:val="single" w:color="auto" w:sz="4" w:space="0"/>
            </w:tcBorders>
            <w:vAlign w:val="center"/>
          </w:tcPr>
          <w:p w14:paraId="1AD353BD">
            <w:pPr>
              <w:spacing w:line="500" w:lineRule="exact"/>
              <w:rPr>
                <w:rFonts w:ascii="宋体" w:hAnsi="宋体" w:cs="宋体"/>
                <w:color w:val="auto"/>
              </w:rPr>
            </w:pPr>
            <w:r>
              <w:rPr>
                <w:rFonts w:hint="eastAsia" w:ascii="宋体" w:hAnsi="宋体" w:cs="宋体"/>
                <w:color w:val="auto"/>
              </w:rPr>
              <w:t>综合评分法</w:t>
            </w:r>
          </w:p>
        </w:tc>
      </w:tr>
      <w:tr w14:paraId="5B86EA37">
        <w:tblPrEx>
          <w:tblCellMar>
            <w:top w:w="0" w:type="dxa"/>
            <w:left w:w="108" w:type="dxa"/>
            <w:bottom w:w="0" w:type="dxa"/>
            <w:right w:w="108" w:type="dxa"/>
          </w:tblCellMar>
        </w:tblPrEx>
        <w:trPr>
          <w:trHeight w:val="23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B9E5F78">
            <w:pPr>
              <w:spacing w:line="500" w:lineRule="exact"/>
              <w:jc w:val="center"/>
              <w:rPr>
                <w:rFonts w:ascii="宋体" w:hAnsi="宋体" w:cs="宋体"/>
                <w:color w:val="auto"/>
              </w:rPr>
            </w:pPr>
            <w:r>
              <w:rPr>
                <w:rFonts w:hint="eastAsia" w:ascii="宋体" w:hAnsi="宋体" w:cs="宋体"/>
                <w:color w:val="auto"/>
              </w:rPr>
              <w:t>33.1</w:t>
            </w:r>
          </w:p>
        </w:tc>
        <w:tc>
          <w:tcPr>
            <w:tcW w:w="2108" w:type="dxa"/>
            <w:tcBorders>
              <w:top w:val="single" w:color="auto" w:sz="4" w:space="0"/>
              <w:left w:val="single" w:color="auto" w:sz="4" w:space="0"/>
              <w:bottom w:val="single" w:color="auto" w:sz="4" w:space="0"/>
              <w:right w:val="single" w:color="auto" w:sz="4" w:space="0"/>
            </w:tcBorders>
            <w:vAlign w:val="center"/>
          </w:tcPr>
          <w:p w14:paraId="1BEFEE54">
            <w:pPr>
              <w:spacing w:line="500" w:lineRule="exact"/>
              <w:jc w:val="center"/>
              <w:rPr>
                <w:rFonts w:ascii="宋体" w:hAnsi="宋体" w:cs="宋体"/>
                <w:color w:val="auto"/>
              </w:rPr>
            </w:pPr>
            <w:r>
              <w:rPr>
                <w:rFonts w:hint="eastAsia" w:ascii="宋体" w:hAnsi="宋体" w:cs="宋体"/>
                <w:color w:val="auto"/>
              </w:rPr>
              <w:t>履约保证金</w:t>
            </w:r>
          </w:p>
        </w:tc>
        <w:tc>
          <w:tcPr>
            <w:tcW w:w="6183" w:type="dxa"/>
            <w:tcBorders>
              <w:top w:val="single" w:color="auto" w:sz="4" w:space="0"/>
              <w:left w:val="single" w:color="auto" w:sz="4" w:space="0"/>
              <w:bottom w:val="single" w:color="auto" w:sz="4" w:space="0"/>
              <w:right w:val="single" w:color="auto" w:sz="4" w:space="0"/>
            </w:tcBorders>
            <w:vAlign w:val="center"/>
          </w:tcPr>
          <w:p w14:paraId="78AA4328">
            <w:pPr>
              <w:spacing w:line="500" w:lineRule="exact"/>
              <w:jc w:val="left"/>
              <w:rPr>
                <w:rFonts w:ascii="宋体" w:hAnsi="宋体" w:cs="宋体"/>
                <w:color w:val="auto"/>
                <w:highlight w:val="none"/>
              </w:rPr>
            </w:pPr>
            <w:r>
              <w:rPr>
                <w:rFonts w:hint="eastAsia" w:ascii="宋体" w:hAnsi="宋体" w:cs="宋体"/>
                <w:color w:val="auto"/>
              </w:rPr>
              <w:t>履约保证金金额</w:t>
            </w:r>
            <w:r>
              <w:rPr>
                <w:rFonts w:hint="eastAsia" w:ascii="宋体" w:hAnsi="宋体" w:cs="宋体"/>
                <w:color w:val="auto"/>
                <w:highlight w:val="none"/>
              </w:rPr>
              <w:t>为合同金额的2%。</w:t>
            </w:r>
          </w:p>
          <w:p w14:paraId="487DF530">
            <w:pPr>
              <w:spacing w:line="500" w:lineRule="exact"/>
              <w:jc w:val="left"/>
              <w:rPr>
                <w:rFonts w:ascii="宋体" w:hAnsi="宋体" w:cs="宋体"/>
                <w:color w:val="auto"/>
              </w:rPr>
            </w:pPr>
            <w:r>
              <w:rPr>
                <w:rFonts w:hint="eastAsia" w:ascii="宋体" w:hAnsi="宋体" w:cs="宋体"/>
                <w:color w:val="auto"/>
                <w:highlight w:val="none"/>
              </w:rPr>
              <w:t>中标人应在合同签订后5日内，以支票、汇票、本票或者金融机构、担保机构出具的保函等非现金形式</w:t>
            </w:r>
            <w:r>
              <w:rPr>
                <w:rFonts w:hint="eastAsia" w:ascii="宋体" w:hAnsi="宋体" w:cs="宋体"/>
                <w:color w:val="auto"/>
              </w:rPr>
              <w:t>提交。</w:t>
            </w:r>
          </w:p>
        </w:tc>
      </w:tr>
      <w:tr w14:paraId="07828944">
        <w:tblPrEx>
          <w:tblCellMar>
            <w:top w:w="0" w:type="dxa"/>
            <w:left w:w="108" w:type="dxa"/>
            <w:bottom w:w="0" w:type="dxa"/>
            <w:right w:w="108" w:type="dxa"/>
          </w:tblCellMar>
        </w:tblPrEx>
        <w:trPr>
          <w:trHeight w:val="23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43775AB">
            <w:pPr>
              <w:spacing w:line="500" w:lineRule="exact"/>
              <w:jc w:val="center"/>
              <w:rPr>
                <w:rFonts w:ascii="宋体" w:hAnsi="宋体" w:cs="宋体"/>
                <w:color w:val="auto"/>
              </w:rPr>
            </w:pPr>
            <w:r>
              <w:rPr>
                <w:rFonts w:hint="eastAsia" w:ascii="宋体" w:hAnsi="宋体" w:cs="宋体"/>
                <w:color w:val="auto"/>
              </w:rPr>
              <w:t>34.1</w:t>
            </w:r>
          </w:p>
        </w:tc>
        <w:tc>
          <w:tcPr>
            <w:tcW w:w="2108" w:type="dxa"/>
            <w:tcBorders>
              <w:top w:val="single" w:color="auto" w:sz="4" w:space="0"/>
              <w:left w:val="single" w:color="auto" w:sz="4" w:space="0"/>
              <w:bottom w:val="single" w:color="auto" w:sz="4" w:space="0"/>
              <w:right w:val="single" w:color="auto" w:sz="4" w:space="0"/>
            </w:tcBorders>
            <w:vAlign w:val="center"/>
          </w:tcPr>
          <w:p w14:paraId="613F4C79">
            <w:pPr>
              <w:spacing w:line="500" w:lineRule="exact"/>
              <w:jc w:val="center"/>
              <w:rPr>
                <w:rFonts w:ascii="宋体" w:hAnsi="宋体" w:cs="宋体"/>
                <w:color w:val="auto"/>
              </w:rPr>
            </w:pPr>
            <w:r>
              <w:rPr>
                <w:rFonts w:hint="eastAsia" w:ascii="宋体" w:hAnsi="宋体" w:cs="宋体"/>
                <w:color w:val="auto"/>
              </w:rPr>
              <w:t>采购代理服务费</w:t>
            </w:r>
          </w:p>
        </w:tc>
        <w:tc>
          <w:tcPr>
            <w:tcW w:w="6183" w:type="dxa"/>
            <w:tcBorders>
              <w:top w:val="single" w:color="auto" w:sz="4" w:space="0"/>
              <w:left w:val="single" w:color="auto" w:sz="4" w:space="0"/>
              <w:bottom w:val="single" w:color="auto" w:sz="4" w:space="0"/>
              <w:right w:val="single" w:color="auto" w:sz="4" w:space="0"/>
            </w:tcBorders>
          </w:tcPr>
          <w:p w14:paraId="7350393C">
            <w:pPr>
              <w:spacing w:line="500" w:lineRule="exact"/>
              <w:rPr>
                <w:rFonts w:ascii="宋体" w:hAnsi="宋体" w:cs="宋体"/>
                <w:color w:val="auto"/>
                <w:kern w:val="0"/>
              </w:rPr>
            </w:pPr>
            <w:r>
              <w:rPr>
                <w:rFonts w:hint="eastAsia" w:ascii="宋体" w:hAnsi="宋体" w:cs="宋体"/>
                <w:color w:val="auto"/>
                <w:szCs w:val="21"/>
              </w:rPr>
              <w:t>采购代理服务费按计价格[2002]1980号文规定的收费标准及发改办价格[2003]857号文规定的货物类收费标准下浮35%收取，由中标人承担（计算基准价为中标金额），此费用包含在中标人报价中。</w:t>
            </w:r>
          </w:p>
        </w:tc>
      </w:tr>
      <w:tr w14:paraId="1219BD56">
        <w:tblPrEx>
          <w:tblCellMar>
            <w:top w:w="0" w:type="dxa"/>
            <w:left w:w="108" w:type="dxa"/>
            <w:bottom w:w="0" w:type="dxa"/>
            <w:right w:w="108" w:type="dxa"/>
          </w:tblCellMar>
        </w:tblPrEx>
        <w:trPr>
          <w:trHeight w:val="23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112A824">
            <w:pPr>
              <w:spacing w:line="500" w:lineRule="exact"/>
              <w:jc w:val="center"/>
              <w:rPr>
                <w:rFonts w:ascii="宋体" w:hAnsi="宋体" w:cs="宋体"/>
                <w:color w:val="auto"/>
              </w:rPr>
            </w:pPr>
            <w:r>
              <w:rPr>
                <w:rFonts w:hint="eastAsia" w:ascii="宋体" w:hAnsi="宋体" w:cs="宋体"/>
                <w:color w:val="auto"/>
              </w:rPr>
              <w:t>36.5</w:t>
            </w:r>
          </w:p>
        </w:tc>
        <w:tc>
          <w:tcPr>
            <w:tcW w:w="2108" w:type="dxa"/>
            <w:tcBorders>
              <w:top w:val="single" w:color="auto" w:sz="4" w:space="0"/>
              <w:left w:val="single" w:color="auto" w:sz="4" w:space="0"/>
              <w:bottom w:val="single" w:color="auto" w:sz="4" w:space="0"/>
              <w:right w:val="single" w:color="auto" w:sz="4" w:space="0"/>
            </w:tcBorders>
            <w:vAlign w:val="center"/>
          </w:tcPr>
          <w:p w14:paraId="2C79B932">
            <w:pPr>
              <w:spacing w:line="500" w:lineRule="exact"/>
              <w:jc w:val="center"/>
              <w:rPr>
                <w:rFonts w:ascii="宋体" w:hAnsi="宋体" w:cs="宋体"/>
                <w:color w:val="auto"/>
              </w:rPr>
            </w:pPr>
            <w:r>
              <w:rPr>
                <w:rFonts w:hint="eastAsia" w:ascii="宋体" w:hAnsi="宋体" w:cs="宋体"/>
                <w:color w:val="auto"/>
              </w:rPr>
              <w:t>其它注意事项</w:t>
            </w:r>
          </w:p>
        </w:tc>
        <w:tc>
          <w:tcPr>
            <w:tcW w:w="6183" w:type="dxa"/>
            <w:tcBorders>
              <w:top w:val="single" w:color="auto" w:sz="4" w:space="0"/>
              <w:left w:val="single" w:color="auto" w:sz="4" w:space="0"/>
              <w:bottom w:val="single" w:color="auto" w:sz="4" w:space="0"/>
              <w:right w:val="single" w:color="auto" w:sz="4" w:space="0"/>
            </w:tcBorders>
          </w:tcPr>
          <w:p w14:paraId="28E0AF5C">
            <w:pPr>
              <w:spacing w:line="500" w:lineRule="exact"/>
              <w:rPr>
                <w:rFonts w:ascii="宋体" w:hAnsi="宋体" w:cs="宋体"/>
                <w:color w:val="auto"/>
              </w:rPr>
            </w:pPr>
            <w:r>
              <w:rPr>
                <w:rFonts w:hint="eastAsia" w:ascii="宋体" w:hAnsi="宋体" w:cs="宋体"/>
                <w:color w:val="auto"/>
              </w:rPr>
              <w:t>以下情况视为投标人同意撤回已上传系统的投标文件或其投标文件无效：</w:t>
            </w:r>
          </w:p>
          <w:p w14:paraId="27BAA918">
            <w:pPr>
              <w:spacing w:line="500" w:lineRule="exact"/>
              <w:rPr>
                <w:rFonts w:ascii="宋体" w:hAnsi="宋体" w:cs="宋体"/>
                <w:color w:val="auto"/>
              </w:rPr>
            </w:pPr>
            <w:r>
              <w:rPr>
                <w:rFonts w:hint="eastAsia" w:ascii="宋体" w:hAnsi="宋体" w:cs="宋体"/>
                <w:color w:val="auto"/>
              </w:rPr>
              <w:t xml:space="preserve">（1）政采云电子平台显示投标人未上传投标文件； </w:t>
            </w:r>
          </w:p>
          <w:p w14:paraId="7DD34B72">
            <w:pPr>
              <w:spacing w:line="500" w:lineRule="exact"/>
              <w:rPr>
                <w:rFonts w:ascii="宋体" w:hAnsi="宋体" w:cs="宋体"/>
                <w:color w:val="auto"/>
              </w:rPr>
            </w:pPr>
            <w:r>
              <w:rPr>
                <w:rFonts w:hint="eastAsia" w:ascii="宋体" w:hAnsi="宋体" w:cs="宋体"/>
                <w:color w:val="auto"/>
              </w:rPr>
              <w:t>（2）因投标人原因上传的投标文件在开启文件时无法解密。</w:t>
            </w:r>
          </w:p>
          <w:p w14:paraId="20D7F6F9">
            <w:pPr>
              <w:spacing w:line="500" w:lineRule="exact"/>
              <w:rPr>
                <w:rFonts w:ascii="宋体" w:hAnsi="宋体" w:cs="宋体"/>
                <w:color w:val="auto"/>
                <w:kern w:val="0"/>
              </w:rPr>
            </w:pPr>
            <w:r>
              <w:rPr>
                <w:rFonts w:hint="eastAsia" w:ascii="宋体" w:hAnsi="宋体" w:cs="宋体"/>
                <w:color w:val="auto"/>
              </w:rPr>
              <w:t>（3）因投标人自身原因导致未在规定时间内完成投标文件解密。</w:t>
            </w:r>
          </w:p>
        </w:tc>
      </w:tr>
    </w:tbl>
    <w:p w14:paraId="7F33D635">
      <w:pPr>
        <w:pStyle w:val="12"/>
        <w:spacing w:line="440" w:lineRule="exact"/>
        <w:rPr>
          <w:rFonts w:ascii="宋体" w:hAnsi="宋体" w:cs="宋体"/>
          <w:color w:val="auto"/>
          <w:kern w:val="0"/>
        </w:rPr>
      </w:pPr>
      <w:r>
        <w:rPr>
          <w:rFonts w:hint="eastAsia" w:ascii="宋体" w:hAnsi="宋体" w:cs="宋体"/>
          <w:color w:val="auto"/>
          <w:kern w:val="0"/>
        </w:rPr>
        <w:br w:type="page"/>
      </w:r>
    </w:p>
    <w:p w14:paraId="0B078250">
      <w:pPr>
        <w:spacing w:line="500" w:lineRule="exact"/>
        <w:jc w:val="center"/>
        <w:rPr>
          <w:rFonts w:ascii="宋体" w:hAnsi="宋体" w:cs="宋体"/>
          <w:b/>
          <w:color w:val="auto"/>
          <w:sz w:val="30"/>
          <w:szCs w:val="30"/>
        </w:rPr>
      </w:pPr>
      <w:bookmarkStart w:id="101" w:name="_Toc26906"/>
      <w:bookmarkStart w:id="102" w:name="_Toc12318"/>
      <w:bookmarkStart w:id="103" w:name="_Toc1787"/>
      <w:bookmarkStart w:id="104" w:name="_Toc25350"/>
      <w:bookmarkStart w:id="105" w:name="_Toc528186452"/>
      <w:r>
        <w:rPr>
          <w:rFonts w:hint="eastAsia" w:ascii="宋体" w:hAnsi="宋体" w:cs="宋体"/>
          <w:b/>
          <w:color w:val="auto"/>
          <w:sz w:val="30"/>
          <w:szCs w:val="30"/>
        </w:rPr>
        <w:t>一、总则</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101"/>
      <w:bookmarkEnd w:id="102"/>
      <w:bookmarkEnd w:id="103"/>
      <w:bookmarkEnd w:id="104"/>
      <w:bookmarkEnd w:id="105"/>
    </w:p>
    <w:p w14:paraId="3944F70A">
      <w:pPr>
        <w:spacing w:line="360" w:lineRule="auto"/>
        <w:jc w:val="left"/>
        <w:rPr>
          <w:rFonts w:ascii="宋体" w:hAnsi="宋体" w:cs="宋体"/>
          <w:b/>
          <w:bCs/>
          <w:color w:val="auto"/>
          <w:sz w:val="24"/>
          <w:szCs w:val="24"/>
        </w:rPr>
      </w:pPr>
      <w:bookmarkStart w:id="106" w:name="_Toc489197808"/>
      <w:bookmarkStart w:id="107" w:name="_Toc179632547"/>
      <w:bookmarkStart w:id="108" w:name="_Toc296602421"/>
      <w:bookmarkStart w:id="109" w:name="_Toc144974498"/>
      <w:bookmarkStart w:id="110" w:name="_Toc528186453"/>
      <w:bookmarkStart w:id="111" w:name="_Toc246996919"/>
      <w:bookmarkStart w:id="112" w:name="_Toc152042306"/>
      <w:bookmarkStart w:id="113" w:name="_Toc489145704"/>
      <w:bookmarkStart w:id="114" w:name="_Toc246996176"/>
      <w:bookmarkStart w:id="115" w:name="_Toc24232"/>
      <w:bookmarkStart w:id="116" w:name="_Toc247085690"/>
      <w:bookmarkStart w:id="117" w:name="_Toc31121"/>
      <w:bookmarkStart w:id="118" w:name="_Toc18164"/>
      <w:bookmarkStart w:id="119" w:name="_Toc152045530"/>
      <w:r>
        <w:rPr>
          <w:rFonts w:hint="eastAsia" w:ascii="宋体" w:hAnsi="宋体" w:cs="宋体"/>
          <w:b/>
          <w:bCs/>
          <w:color w:val="auto"/>
          <w:sz w:val="24"/>
          <w:szCs w:val="24"/>
        </w:rPr>
        <w:t>1.项目概况</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BC8725C">
      <w:pPr>
        <w:spacing w:line="360" w:lineRule="auto"/>
        <w:ind w:firstLine="420"/>
        <w:jc w:val="left"/>
        <w:rPr>
          <w:rFonts w:ascii="宋体" w:hAnsi="宋体" w:cs="宋体"/>
          <w:color w:val="auto"/>
          <w:szCs w:val="21"/>
        </w:rPr>
      </w:pPr>
      <w:r>
        <w:rPr>
          <w:rFonts w:hint="eastAsia" w:ascii="宋体" w:hAnsi="宋体" w:cs="宋体"/>
          <w:color w:val="auto"/>
          <w:szCs w:val="21"/>
        </w:rPr>
        <w:t>1.1根据《中华人民共和国政府采购法》《中华人民共和国政府采购法实施条例》《政府采购货物和服务招标投标管理办法》（财政部令第87号）等有关法律、法规的规定，本项目已具备招标条件，现对本项目进行公开招标。</w:t>
      </w:r>
    </w:p>
    <w:p w14:paraId="507D4123">
      <w:pPr>
        <w:spacing w:line="360" w:lineRule="auto"/>
        <w:ind w:firstLine="420"/>
        <w:jc w:val="left"/>
        <w:rPr>
          <w:rFonts w:ascii="宋体" w:hAnsi="宋体" w:cs="宋体"/>
          <w:color w:val="auto"/>
          <w:szCs w:val="21"/>
        </w:rPr>
      </w:pPr>
      <w:r>
        <w:rPr>
          <w:rFonts w:hint="eastAsia" w:ascii="宋体" w:hAnsi="宋体" w:cs="宋体"/>
          <w:color w:val="auto"/>
          <w:szCs w:val="21"/>
        </w:rPr>
        <w:t>1.2采购人：详见《投标人须知前附表》。</w:t>
      </w:r>
    </w:p>
    <w:p w14:paraId="46633DC2">
      <w:pPr>
        <w:spacing w:line="360" w:lineRule="auto"/>
        <w:ind w:firstLine="420"/>
        <w:jc w:val="left"/>
        <w:rPr>
          <w:rFonts w:ascii="宋体" w:hAnsi="宋体" w:cs="宋体"/>
          <w:color w:val="auto"/>
          <w:szCs w:val="21"/>
        </w:rPr>
      </w:pPr>
      <w:r>
        <w:rPr>
          <w:rFonts w:hint="eastAsia" w:ascii="宋体" w:hAnsi="宋体" w:cs="宋体"/>
          <w:color w:val="auto"/>
          <w:szCs w:val="21"/>
        </w:rPr>
        <w:t>1.3采购代理机构：详见《投标人须知前附表》。</w:t>
      </w:r>
    </w:p>
    <w:p w14:paraId="16F8E026">
      <w:pPr>
        <w:spacing w:line="360" w:lineRule="auto"/>
        <w:ind w:firstLine="420"/>
        <w:jc w:val="left"/>
        <w:rPr>
          <w:rFonts w:ascii="宋体" w:hAnsi="宋体" w:cs="宋体"/>
          <w:color w:val="auto"/>
          <w:szCs w:val="21"/>
        </w:rPr>
      </w:pPr>
      <w:r>
        <w:rPr>
          <w:rFonts w:hint="eastAsia" w:ascii="宋体" w:hAnsi="宋体" w:cs="宋体"/>
          <w:color w:val="auto"/>
          <w:szCs w:val="21"/>
        </w:rPr>
        <w:t>1.4项目名称及项目编号：详见《投标人须知前附表》。</w:t>
      </w:r>
    </w:p>
    <w:p w14:paraId="03E8D5EF">
      <w:pPr>
        <w:spacing w:line="360" w:lineRule="auto"/>
        <w:jc w:val="left"/>
        <w:rPr>
          <w:rFonts w:ascii="宋体" w:hAnsi="宋体" w:cs="宋体"/>
          <w:b/>
          <w:bCs/>
          <w:color w:val="auto"/>
          <w:sz w:val="24"/>
          <w:szCs w:val="24"/>
        </w:rPr>
      </w:pPr>
      <w:bookmarkStart w:id="120" w:name="_Toc179632548"/>
      <w:bookmarkStart w:id="121" w:name="_Toc247085691"/>
      <w:bookmarkStart w:id="122" w:name="_Toc246996920"/>
      <w:bookmarkStart w:id="123" w:name="_Toc489145705"/>
      <w:bookmarkStart w:id="124" w:name="_Toc489197809"/>
      <w:bookmarkStart w:id="125" w:name="_Toc152042307"/>
      <w:bookmarkStart w:id="126" w:name="_Toc144974499"/>
      <w:bookmarkStart w:id="127" w:name="_Toc296602422"/>
      <w:bookmarkStart w:id="128" w:name="_Toc246996177"/>
      <w:bookmarkStart w:id="129" w:name="_Toc528186454"/>
      <w:bookmarkStart w:id="130" w:name="_Toc152045531"/>
      <w:bookmarkStart w:id="131" w:name="_Toc29064"/>
      <w:bookmarkStart w:id="132" w:name="_Toc2063"/>
      <w:bookmarkStart w:id="133" w:name="_Toc9634"/>
      <w:r>
        <w:rPr>
          <w:rFonts w:hint="eastAsia" w:ascii="宋体" w:hAnsi="宋体" w:cs="宋体"/>
          <w:b/>
          <w:bCs/>
          <w:color w:val="auto"/>
          <w:sz w:val="24"/>
          <w:szCs w:val="24"/>
        </w:rPr>
        <w:t>2.</w:t>
      </w:r>
      <w:bookmarkEnd w:id="120"/>
      <w:bookmarkEnd w:id="121"/>
      <w:bookmarkEnd w:id="122"/>
      <w:bookmarkEnd w:id="123"/>
      <w:bookmarkEnd w:id="124"/>
      <w:bookmarkEnd w:id="125"/>
      <w:bookmarkEnd w:id="126"/>
      <w:bookmarkEnd w:id="127"/>
      <w:bookmarkEnd w:id="128"/>
      <w:bookmarkEnd w:id="129"/>
      <w:bookmarkEnd w:id="130"/>
      <w:r>
        <w:rPr>
          <w:rFonts w:hint="eastAsia" w:ascii="宋体" w:hAnsi="宋体" w:cs="宋体"/>
          <w:b/>
          <w:bCs/>
          <w:color w:val="auto"/>
          <w:sz w:val="24"/>
          <w:szCs w:val="24"/>
        </w:rPr>
        <w:t>预算金额</w:t>
      </w:r>
      <w:bookmarkEnd w:id="131"/>
      <w:bookmarkEnd w:id="132"/>
      <w:bookmarkEnd w:id="133"/>
      <w:r>
        <w:rPr>
          <w:rFonts w:hint="eastAsia" w:ascii="宋体" w:hAnsi="宋体" w:cs="宋体"/>
          <w:b/>
          <w:bCs/>
          <w:color w:val="auto"/>
          <w:sz w:val="24"/>
          <w:szCs w:val="24"/>
        </w:rPr>
        <w:t>及最高限价</w:t>
      </w:r>
    </w:p>
    <w:p w14:paraId="453CAD46">
      <w:pPr>
        <w:spacing w:line="360" w:lineRule="auto"/>
        <w:ind w:firstLine="420"/>
        <w:jc w:val="left"/>
        <w:rPr>
          <w:rFonts w:ascii="宋体" w:hAnsi="宋体" w:cs="宋体"/>
          <w:b/>
          <w:bCs/>
          <w:color w:val="auto"/>
          <w:sz w:val="24"/>
          <w:szCs w:val="24"/>
        </w:rPr>
      </w:pPr>
      <w:r>
        <w:rPr>
          <w:rFonts w:hint="eastAsia" w:ascii="宋体" w:hAnsi="宋体" w:cs="宋体"/>
          <w:color w:val="auto"/>
          <w:szCs w:val="21"/>
        </w:rPr>
        <w:t>2.1预算金额及最高限价：详见《投标人须知前附表》。</w:t>
      </w:r>
      <w:bookmarkStart w:id="134" w:name="_Toc247085692"/>
      <w:bookmarkStart w:id="135" w:name="_Toc144974500"/>
      <w:bookmarkStart w:id="136" w:name="_Toc152042308"/>
      <w:bookmarkStart w:id="137" w:name="_Toc152045532"/>
      <w:bookmarkStart w:id="138" w:name="_Toc179632549"/>
      <w:bookmarkStart w:id="139" w:name="_Toc246996178"/>
      <w:bookmarkStart w:id="140" w:name="_Toc246996921"/>
      <w:bookmarkStart w:id="141" w:name="_Toc296602423"/>
      <w:bookmarkStart w:id="142" w:name="_Toc528186455"/>
      <w:bookmarkStart w:id="143" w:name="_Toc1203"/>
      <w:bookmarkStart w:id="144" w:name="_Toc489197810"/>
      <w:bookmarkStart w:id="145" w:name="_Toc9600"/>
      <w:bookmarkStart w:id="146" w:name="_Toc489145706"/>
      <w:bookmarkStart w:id="147" w:name="_Toc9355"/>
    </w:p>
    <w:p w14:paraId="41857719">
      <w:pPr>
        <w:spacing w:line="360" w:lineRule="auto"/>
        <w:jc w:val="left"/>
        <w:rPr>
          <w:rFonts w:ascii="宋体" w:hAnsi="宋体" w:cs="宋体"/>
          <w:b/>
          <w:bCs/>
          <w:color w:val="auto"/>
          <w:sz w:val="24"/>
          <w:szCs w:val="24"/>
        </w:rPr>
      </w:pPr>
      <w:r>
        <w:rPr>
          <w:rFonts w:hint="eastAsia" w:ascii="宋体" w:hAnsi="宋体" w:cs="宋体"/>
          <w:b/>
          <w:bCs/>
          <w:color w:val="auto"/>
          <w:sz w:val="24"/>
          <w:szCs w:val="24"/>
        </w:rPr>
        <w:t>3.</w:t>
      </w:r>
      <w:bookmarkEnd w:id="134"/>
      <w:bookmarkEnd w:id="135"/>
      <w:bookmarkEnd w:id="136"/>
      <w:bookmarkEnd w:id="137"/>
      <w:bookmarkEnd w:id="138"/>
      <w:bookmarkEnd w:id="139"/>
      <w:bookmarkEnd w:id="140"/>
      <w:bookmarkEnd w:id="141"/>
      <w:bookmarkStart w:id="148" w:name="_Toc427056451"/>
      <w:bookmarkStart w:id="149" w:name="_Toc421541057"/>
      <w:bookmarkStart w:id="150" w:name="_Toc427056529"/>
      <w:r>
        <w:rPr>
          <w:rFonts w:hint="eastAsia" w:ascii="宋体" w:hAnsi="宋体" w:cs="宋体"/>
          <w:b/>
          <w:bCs/>
          <w:color w:val="auto"/>
          <w:sz w:val="24"/>
          <w:szCs w:val="24"/>
        </w:rPr>
        <w:t>采购需求及</w:t>
      </w:r>
      <w:bookmarkEnd w:id="142"/>
      <w:bookmarkEnd w:id="143"/>
      <w:bookmarkEnd w:id="144"/>
      <w:bookmarkEnd w:id="145"/>
      <w:bookmarkEnd w:id="146"/>
      <w:bookmarkEnd w:id="147"/>
      <w:bookmarkEnd w:id="148"/>
      <w:bookmarkEnd w:id="149"/>
      <w:bookmarkEnd w:id="150"/>
      <w:r>
        <w:rPr>
          <w:rFonts w:hint="eastAsia" w:ascii="宋体" w:hAnsi="宋体" w:cs="宋体"/>
          <w:b/>
          <w:bCs/>
          <w:color w:val="auto"/>
          <w:sz w:val="24"/>
          <w:szCs w:val="24"/>
        </w:rPr>
        <w:t>合同履行期限（项目交付和实施时间）及实施的地点</w:t>
      </w:r>
    </w:p>
    <w:p w14:paraId="5034C49B">
      <w:pPr>
        <w:spacing w:line="360" w:lineRule="auto"/>
        <w:ind w:firstLine="420"/>
        <w:jc w:val="left"/>
        <w:rPr>
          <w:rFonts w:ascii="宋体" w:hAnsi="宋体" w:cs="宋体"/>
          <w:color w:val="auto"/>
          <w:szCs w:val="21"/>
        </w:rPr>
      </w:pPr>
      <w:r>
        <w:rPr>
          <w:rFonts w:hint="eastAsia" w:ascii="宋体" w:hAnsi="宋体" w:cs="宋体"/>
          <w:color w:val="auto"/>
          <w:szCs w:val="21"/>
        </w:rPr>
        <w:t>3.1本项目采购需求：详见《投标人须知前附表》。</w:t>
      </w:r>
    </w:p>
    <w:p w14:paraId="2C857409">
      <w:pPr>
        <w:spacing w:line="360" w:lineRule="auto"/>
        <w:ind w:firstLine="420"/>
        <w:jc w:val="left"/>
        <w:rPr>
          <w:rFonts w:ascii="宋体" w:hAnsi="宋体" w:cs="宋体"/>
          <w:color w:val="auto"/>
          <w:szCs w:val="21"/>
        </w:rPr>
      </w:pPr>
      <w:r>
        <w:rPr>
          <w:rFonts w:hint="eastAsia" w:ascii="宋体" w:hAnsi="宋体" w:cs="宋体"/>
          <w:color w:val="auto"/>
          <w:szCs w:val="21"/>
        </w:rPr>
        <w:t>3.2本项目合同履行期限（项目交付和实施时间）及实施的地点：详见《投标人须知前附表》。</w:t>
      </w:r>
    </w:p>
    <w:p w14:paraId="6962E00E">
      <w:pPr>
        <w:spacing w:line="360" w:lineRule="auto"/>
        <w:ind w:firstLine="420"/>
        <w:jc w:val="left"/>
        <w:rPr>
          <w:rFonts w:ascii="宋体" w:hAnsi="宋体" w:cs="宋体"/>
          <w:color w:val="auto"/>
          <w:szCs w:val="21"/>
        </w:rPr>
      </w:pPr>
      <w:r>
        <w:rPr>
          <w:rFonts w:hint="eastAsia" w:ascii="宋体" w:hAnsi="宋体" w:cs="宋体"/>
          <w:color w:val="auto"/>
          <w:szCs w:val="21"/>
        </w:rPr>
        <w:t>3.3是否接受联合体参加：详见《投标人须知前附表》。</w:t>
      </w:r>
    </w:p>
    <w:p w14:paraId="56E32C15">
      <w:pPr>
        <w:spacing w:line="360" w:lineRule="auto"/>
        <w:jc w:val="left"/>
        <w:rPr>
          <w:rFonts w:ascii="宋体" w:hAnsi="宋体" w:cs="宋体"/>
          <w:b/>
          <w:bCs/>
          <w:color w:val="auto"/>
          <w:sz w:val="24"/>
          <w:szCs w:val="24"/>
        </w:rPr>
      </w:pPr>
      <w:bookmarkStart w:id="151" w:name="_Toc246996180"/>
      <w:bookmarkStart w:id="152" w:name="_Toc246996923"/>
      <w:bookmarkStart w:id="153" w:name="_Toc247085694"/>
      <w:bookmarkStart w:id="154" w:name="_Toc144974503"/>
      <w:bookmarkStart w:id="155" w:name="_Toc152045535"/>
      <w:bookmarkStart w:id="156" w:name="_Toc152042311"/>
      <w:bookmarkStart w:id="157" w:name="_Toc179632552"/>
      <w:bookmarkStart w:id="158" w:name="_Toc296602425"/>
      <w:r>
        <w:rPr>
          <w:rFonts w:hint="eastAsia" w:ascii="宋体" w:hAnsi="宋体" w:cs="宋体"/>
          <w:b/>
          <w:bCs/>
          <w:color w:val="auto"/>
          <w:sz w:val="24"/>
          <w:szCs w:val="24"/>
        </w:rPr>
        <w:t>★4.投标人资格要求</w:t>
      </w:r>
    </w:p>
    <w:p w14:paraId="0CC6F464">
      <w:pPr>
        <w:spacing w:line="360" w:lineRule="auto"/>
        <w:ind w:firstLine="420"/>
        <w:jc w:val="left"/>
        <w:rPr>
          <w:rFonts w:ascii="宋体" w:hAnsi="宋体" w:cs="宋体"/>
          <w:color w:val="auto"/>
          <w:szCs w:val="21"/>
        </w:rPr>
      </w:pPr>
      <w:r>
        <w:rPr>
          <w:rFonts w:hint="eastAsia" w:ascii="宋体" w:hAnsi="宋体" w:cs="宋体"/>
          <w:color w:val="auto"/>
          <w:szCs w:val="21"/>
        </w:rPr>
        <w:t>4.1投标人资格要求：详见《投标人须知前附表》</w:t>
      </w:r>
    </w:p>
    <w:p w14:paraId="2495B7BE">
      <w:pPr>
        <w:spacing w:line="360" w:lineRule="auto"/>
        <w:ind w:firstLine="420"/>
        <w:jc w:val="left"/>
        <w:rPr>
          <w:rFonts w:ascii="宋体" w:hAnsi="宋体" w:cs="宋体"/>
          <w:color w:val="auto"/>
          <w:szCs w:val="21"/>
        </w:rPr>
      </w:pPr>
      <w:r>
        <w:rPr>
          <w:rFonts w:hint="eastAsia" w:ascii="宋体" w:hAnsi="宋体" w:cs="宋体"/>
          <w:color w:val="auto"/>
          <w:szCs w:val="21"/>
        </w:rPr>
        <w:t>4.2采购人根据采购项目的特殊要求规定的特定条件：详见《投标人须知前附表》</w:t>
      </w:r>
    </w:p>
    <w:p w14:paraId="17BA8B07">
      <w:pPr>
        <w:spacing w:line="360" w:lineRule="auto"/>
        <w:ind w:firstLine="420"/>
        <w:jc w:val="left"/>
        <w:rPr>
          <w:rFonts w:ascii="宋体" w:hAnsi="宋体" w:cs="宋体"/>
          <w:color w:val="auto"/>
          <w:szCs w:val="21"/>
        </w:rPr>
      </w:pPr>
      <w:r>
        <w:rPr>
          <w:rFonts w:hint="eastAsia" w:ascii="宋体" w:hAnsi="宋体" w:cs="宋体"/>
          <w:color w:val="auto"/>
          <w:szCs w:val="21"/>
        </w:rPr>
        <w:t>4.3如投标人为满足投标人资格要求提供虚假材料，一经查实，视为未实质性响应招标文件，投标人投标文件将按无效处理。</w:t>
      </w:r>
    </w:p>
    <w:p w14:paraId="34DD473F">
      <w:pPr>
        <w:spacing w:line="360" w:lineRule="auto"/>
        <w:ind w:firstLine="420"/>
        <w:jc w:val="left"/>
        <w:rPr>
          <w:rFonts w:ascii="宋体" w:hAnsi="宋体" w:cs="宋体"/>
          <w:color w:val="auto"/>
          <w:szCs w:val="21"/>
        </w:rPr>
      </w:pPr>
      <w:r>
        <w:rPr>
          <w:rFonts w:hint="eastAsia" w:ascii="宋体" w:hAnsi="宋体" w:cs="宋体"/>
          <w:color w:val="auto"/>
          <w:szCs w:val="21"/>
        </w:rPr>
        <w:t>4.4单位负责人为同一人或者存在直接控股、管理关系的不同投标人，不得参加同一合同项下的政府采购活动。</w:t>
      </w:r>
    </w:p>
    <w:p w14:paraId="6CDE5875">
      <w:pPr>
        <w:spacing w:line="360" w:lineRule="auto"/>
        <w:ind w:firstLine="420"/>
        <w:jc w:val="left"/>
        <w:rPr>
          <w:rFonts w:ascii="宋体" w:hAnsi="宋体" w:cs="宋体"/>
          <w:color w:val="auto"/>
          <w:szCs w:val="21"/>
        </w:rPr>
      </w:pPr>
      <w:r>
        <w:rPr>
          <w:rFonts w:hint="eastAsia" w:ascii="宋体" w:hAnsi="宋体" w:cs="宋体"/>
          <w:color w:val="auto"/>
          <w:szCs w:val="21"/>
        </w:rPr>
        <w:t>4.5为采购项目提供整体设计、规范编制和项目管理、监理、检测等服务的投标人，不得参与本项目采购活动。</w:t>
      </w:r>
    </w:p>
    <w:p w14:paraId="3E3B1A1E">
      <w:pPr>
        <w:spacing w:line="360" w:lineRule="auto"/>
        <w:ind w:firstLine="420"/>
        <w:jc w:val="left"/>
        <w:rPr>
          <w:rFonts w:ascii="宋体" w:hAnsi="宋体" w:cs="宋体"/>
          <w:color w:val="auto"/>
          <w:szCs w:val="21"/>
        </w:rPr>
      </w:pPr>
      <w:r>
        <w:rPr>
          <w:rFonts w:hint="eastAsia" w:ascii="宋体" w:hAnsi="宋体" w:cs="宋体"/>
          <w:color w:val="auto"/>
          <w:szCs w:val="21"/>
        </w:rPr>
        <w:t>4.6符合上述条件的投标人应承担投标及履约中应承担的全部责任与义务。</w:t>
      </w:r>
    </w:p>
    <w:bookmarkEnd w:id="151"/>
    <w:bookmarkEnd w:id="152"/>
    <w:bookmarkEnd w:id="153"/>
    <w:bookmarkEnd w:id="154"/>
    <w:bookmarkEnd w:id="155"/>
    <w:bookmarkEnd w:id="156"/>
    <w:bookmarkEnd w:id="157"/>
    <w:bookmarkEnd w:id="158"/>
    <w:p w14:paraId="32D98EA3">
      <w:pPr>
        <w:spacing w:line="360" w:lineRule="auto"/>
        <w:jc w:val="left"/>
        <w:rPr>
          <w:rFonts w:ascii="宋体" w:hAnsi="宋体" w:cs="宋体"/>
          <w:b/>
          <w:bCs/>
          <w:color w:val="auto"/>
          <w:sz w:val="24"/>
          <w:szCs w:val="24"/>
        </w:rPr>
      </w:pPr>
      <w:r>
        <w:rPr>
          <w:rFonts w:hint="eastAsia" w:ascii="宋体" w:hAnsi="宋体" w:cs="宋体"/>
          <w:b/>
          <w:bCs/>
          <w:color w:val="auto"/>
          <w:sz w:val="24"/>
          <w:szCs w:val="24"/>
        </w:rPr>
        <w:t>5.费用承担</w:t>
      </w:r>
    </w:p>
    <w:p w14:paraId="7F1EA1B1">
      <w:pPr>
        <w:spacing w:line="360" w:lineRule="auto"/>
        <w:ind w:firstLine="420"/>
        <w:jc w:val="left"/>
        <w:rPr>
          <w:rFonts w:ascii="宋体" w:hAnsi="宋体" w:cs="宋体"/>
          <w:color w:val="auto"/>
          <w:szCs w:val="21"/>
        </w:rPr>
      </w:pPr>
      <w:r>
        <w:rPr>
          <w:rFonts w:hint="eastAsia" w:ascii="宋体" w:hAnsi="宋体" w:cs="宋体"/>
          <w:color w:val="auto"/>
          <w:szCs w:val="21"/>
        </w:rPr>
        <w:t>5.1不论投标结果如何，投标人均应自行承担所有与准备和参加投标活动有关的全部费用；</w:t>
      </w:r>
    </w:p>
    <w:p w14:paraId="66A33B20">
      <w:pPr>
        <w:spacing w:line="360" w:lineRule="auto"/>
        <w:jc w:val="left"/>
        <w:rPr>
          <w:rFonts w:ascii="宋体" w:hAnsi="宋体" w:cs="宋体"/>
          <w:b/>
          <w:bCs/>
          <w:color w:val="auto"/>
          <w:sz w:val="24"/>
          <w:szCs w:val="24"/>
        </w:rPr>
      </w:pPr>
      <w:r>
        <w:rPr>
          <w:rFonts w:hint="eastAsia" w:ascii="宋体" w:hAnsi="宋体" w:cs="宋体"/>
          <w:b/>
          <w:bCs/>
          <w:color w:val="auto"/>
          <w:sz w:val="24"/>
          <w:szCs w:val="24"/>
        </w:rPr>
        <w:t>6.现场考察</w:t>
      </w:r>
    </w:p>
    <w:p w14:paraId="3B2C97CE">
      <w:pPr>
        <w:spacing w:line="360" w:lineRule="auto"/>
        <w:ind w:firstLine="420"/>
        <w:jc w:val="left"/>
        <w:rPr>
          <w:rFonts w:ascii="宋体" w:hAnsi="宋体" w:cs="宋体"/>
          <w:color w:val="auto"/>
          <w:szCs w:val="21"/>
        </w:rPr>
      </w:pPr>
      <w:r>
        <w:rPr>
          <w:rFonts w:hint="eastAsia" w:ascii="宋体" w:hAnsi="宋体" w:cs="宋体"/>
          <w:color w:val="auto"/>
          <w:szCs w:val="21"/>
        </w:rPr>
        <w:t>6.1投标人须知前附表规定组织现场考察的，采购人按《投标人须知前附表》规定的时间、集中地点组织潜在投标人进行现场考察。</w:t>
      </w:r>
    </w:p>
    <w:p w14:paraId="09ACFA7D">
      <w:pPr>
        <w:spacing w:line="360" w:lineRule="auto"/>
        <w:ind w:firstLine="420"/>
        <w:jc w:val="left"/>
        <w:rPr>
          <w:rFonts w:ascii="宋体" w:hAnsi="宋体" w:cs="宋体"/>
          <w:color w:val="auto"/>
          <w:szCs w:val="21"/>
        </w:rPr>
      </w:pPr>
      <w:r>
        <w:rPr>
          <w:rFonts w:hint="eastAsia" w:ascii="宋体" w:hAnsi="宋体" w:cs="宋体"/>
          <w:color w:val="auto"/>
          <w:szCs w:val="21"/>
        </w:rPr>
        <w:t>6.2现场考察所发生的费用由潜在投标人自理。</w:t>
      </w:r>
    </w:p>
    <w:p w14:paraId="3B2FEFFC">
      <w:pPr>
        <w:spacing w:line="360" w:lineRule="auto"/>
        <w:ind w:firstLine="420"/>
        <w:jc w:val="left"/>
        <w:rPr>
          <w:rFonts w:ascii="宋体" w:hAnsi="宋体" w:cs="宋体"/>
          <w:color w:val="auto"/>
          <w:szCs w:val="21"/>
        </w:rPr>
      </w:pPr>
      <w:r>
        <w:rPr>
          <w:rFonts w:hint="eastAsia" w:ascii="宋体" w:hAnsi="宋体" w:cs="宋体"/>
          <w:color w:val="auto"/>
          <w:szCs w:val="21"/>
        </w:rPr>
        <w:t>6.3除采购人的原因外，潜在投标人自行负责在现场考察中所发生的人员伤亡和财产损失。</w:t>
      </w:r>
    </w:p>
    <w:p w14:paraId="266D7AC6">
      <w:pPr>
        <w:spacing w:line="360" w:lineRule="auto"/>
        <w:ind w:firstLine="420"/>
        <w:jc w:val="left"/>
        <w:rPr>
          <w:rFonts w:ascii="宋体" w:hAnsi="宋体" w:cs="宋体"/>
          <w:color w:val="auto"/>
          <w:szCs w:val="21"/>
        </w:rPr>
      </w:pPr>
      <w:r>
        <w:rPr>
          <w:rFonts w:hint="eastAsia" w:ascii="宋体" w:hAnsi="宋体" w:cs="宋体"/>
          <w:color w:val="auto"/>
          <w:szCs w:val="21"/>
        </w:rPr>
        <w:t>6.4采购人在现场考察中介绍的项目场地和相关的周边环境情况，供潜在投标人在编制投标文件时参考，采购人不对潜在投标人据此做出的判断和决策负责。</w:t>
      </w:r>
    </w:p>
    <w:p w14:paraId="1AFA2E19">
      <w:pPr>
        <w:spacing w:line="360" w:lineRule="auto"/>
        <w:jc w:val="left"/>
        <w:rPr>
          <w:rFonts w:ascii="宋体" w:hAnsi="宋体" w:cs="宋体"/>
          <w:b/>
          <w:bCs/>
          <w:color w:val="auto"/>
          <w:sz w:val="24"/>
          <w:szCs w:val="24"/>
        </w:rPr>
      </w:pPr>
      <w:r>
        <w:rPr>
          <w:rFonts w:hint="eastAsia" w:ascii="宋体" w:hAnsi="宋体" w:cs="宋体"/>
          <w:b/>
          <w:bCs/>
          <w:color w:val="auto"/>
          <w:sz w:val="24"/>
          <w:szCs w:val="24"/>
        </w:rPr>
        <w:t>7.开标前答疑会</w:t>
      </w:r>
    </w:p>
    <w:p w14:paraId="12750D1B">
      <w:pPr>
        <w:spacing w:line="360" w:lineRule="auto"/>
        <w:ind w:firstLine="420"/>
        <w:jc w:val="left"/>
        <w:rPr>
          <w:rFonts w:ascii="宋体" w:hAnsi="宋体" w:cs="宋体"/>
          <w:color w:val="auto"/>
          <w:szCs w:val="21"/>
        </w:rPr>
      </w:pPr>
      <w:r>
        <w:rPr>
          <w:rFonts w:hint="eastAsia" w:ascii="宋体" w:hAnsi="宋体" w:cs="宋体"/>
          <w:color w:val="auto"/>
          <w:szCs w:val="21"/>
        </w:rPr>
        <w:t>7.1投标人须知前附表规定召开开标前答疑会的，采购人按《投标人须知前附表》规定的时间和地点召开开标前答疑会，书面澄清潜在投标人提出的问题。</w:t>
      </w:r>
    </w:p>
    <w:p w14:paraId="6265B24F">
      <w:pPr>
        <w:spacing w:line="360" w:lineRule="auto"/>
        <w:jc w:val="left"/>
        <w:rPr>
          <w:rFonts w:ascii="宋体" w:hAnsi="宋体" w:cs="宋体"/>
          <w:b/>
          <w:bCs/>
          <w:color w:val="auto"/>
          <w:sz w:val="24"/>
          <w:szCs w:val="24"/>
        </w:rPr>
      </w:pPr>
      <w:r>
        <w:rPr>
          <w:rFonts w:hint="eastAsia" w:ascii="宋体" w:hAnsi="宋体" w:cs="宋体"/>
          <w:b/>
          <w:bCs/>
          <w:color w:val="auto"/>
          <w:sz w:val="24"/>
          <w:szCs w:val="24"/>
        </w:rPr>
        <w:t>8.质疑</w:t>
      </w:r>
    </w:p>
    <w:p w14:paraId="74537C95">
      <w:pPr>
        <w:spacing w:line="360" w:lineRule="auto"/>
        <w:ind w:firstLine="420"/>
        <w:jc w:val="left"/>
        <w:rPr>
          <w:rFonts w:ascii="宋体" w:hAnsi="宋体" w:cs="宋体"/>
          <w:color w:val="auto"/>
          <w:szCs w:val="21"/>
        </w:rPr>
      </w:pPr>
      <w:r>
        <w:rPr>
          <w:rFonts w:hint="eastAsia" w:ascii="宋体" w:hAnsi="宋体" w:cs="宋体"/>
          <w:color w:val="auto"/>
          <w:szCs w:val="21"/>
        </w:rPr>
        <w:t>8.1投标人认为招标文件、采购过程、中标结果使自己的权益受到损害的，可以在知道或者应知其权益受到损害之日起7个工作日内，以书面形式向采购人、采购代理机构提出质疑。投标人应在法定质疑期内一次性提出针对同一采购程序环节的质疑，否则采购人、采购代理机构有权拒收。</w:t>
      </w:r>
    </w:p>
    <w:p w14:paraId="47130733">
      <w:pPr>
        <w:spacing w:line="360" w:lineRule="auto"/>
        <w:ind w:firstLine="420"/>
        <w:jc w:val="left"/>
        <w:rPr>
          <w:rFonts w:ascii="宋体" w:hAnsi="宋体" w:cs="宋体"/>
          <w:color w:val="auto"/>
          <w:szCs w:val="21"/>
        </w:rPr>
      </w:pPr>
      <w:r>
        <w:rPr>
          <w:rFonts w:hint="eastAsia" w:ascii="宋体" w:hAnsi="宋体" w:cs="宋体"/>
          <w:color w:val="auto"/>
          <w:szCs w:val="21"/>
        </w:rPr>
        <w:t>8.2招标文件第二章《投标人须知》8.1条中“知道或者应知其权益受到损害之日”是指：</w:t>
      </w:r>
    </w:p>
    <w:p w14:paraId="1883F78E">
      <w:pPr>
        <w:spacing w:line="360" w:lineRule="auto"/>
        <w:ind w:firstLine="420"/>
        <w:jc w:val="left"/>
        <w:rPr>
          <w:rFonts w:ascii="宋体" w:hAnsi="宋体" w:cs="宋体"/>
          <w:color w:val="auto"/>
          <w:szCs w:val="21"/>
        </w:rPr>
      </w:pPr>
      <w:r>
        <w:rPr>
          <w:rFonts w:hint="eastAsia" w:ascii="宋体" w:hAnsi="宋体" w:cs="宋体"/>
          <w:color w:val="auto"/>
          <w:szCs w:val="21"/>
        </w:rPr>
        <w:t>（一）对可以质疑的采购文件提出质疑的，为收到采购文件之日或者采购文件公告期限届满之日；</w:t>
      </w:r>
    </w:p>
    <w:p w14:paraId="73E87F66">
      <w:pPr>
        <w:spacing w:line="360" w:lineRule="auto"/>
        <w:ind w:firstLine="420"/>
        <w:jc w:val="left"/>
        <w:rPr>
          <w:rFonts w:ascii="宋体" w:hAnsi="宋体" w:cs="宋体"/>
          <w:color w:val="auto"/>
          <w:szCs w:val="21"/>
        </w:rPr>
      </w:pPr>
      <w:r>
        <w:rPr>
          <w:rFonts w:hint="eastAsia" w:ascii="宋体" w:hAnsi="宋体" w:cs="宋体"/>
          <w:color w:val="auto"/>
          <w:szCs w:val="21"/>
        </w:rPr>
        <w:t>（二）对采购过程提出质疑的，为各采购程序环节结束之日；</w:t>
      </w:r>
    </w:p>
    <w:p w14:paraId="4CA62EF3">
      <w:pPr>
        <w:spacing w:line="360" w:lineRule="auto"/>
        <w:ind w:firstLine="420"/>
        <w:jc w:val="left"/>
        <w:rPr>
          <w:rFonts w:ascii="宋体" w:hAnsi="宋体" w:cs="宋体"/>
          <w:color w:val="auto"/>
          <w:szCs w:val="21"/>
        </w:rPr>
      </w:pPr>
      <w:r>
        <w:rPr>
          <w:rFonts w:hint="eastAsia" w:ascii="宋体" w:hAnsi="宋体" w:cs="宋体"/>
          <w:color w:val="auto"/>
          <w:szCs w:val="21"/>
        </w:rPr>
        <w:t>（三）对中标或者成交结果提出质疑的，为中标或者成交结果公告期限届满之日。</w:t>
      </w:r>
    </w:p>
    <w:p w14:paraId="450751B9">
      <w:pPr>
        <w:spacing w:line="360" w:lineRule="auto"/>
        <w:ind w:firstLine="420"/>
        <w:jc w:val="left"/>
        <w:rPr>
          <w:rFonts w:ascii="宋体" w:hAnsi="宋体" w:cs="宋体"/>
          <w:color w:val="auto"/>
          <w:szCs w:val="21"/>
        </w:rPr>
      </w:pPr>
      <w:r>
        <w:rPr>
          <w:rFonts w:hint="eastAsia" w:ascii="宋体" w:hAnsi="宋体" w:cs="宋体"/>
          <w:color w:val="auto"/>
          <w:szCs w:val="21"/>
        </w:rPr>
        <w:t>8.3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投标人公章。代理人提出质疑，应当提交投标人签署的授权委托书。</w:t>
      </w:r>
    </w:p>
    <w:p w14:paraId="176235BD">
      <w:pPr>
        <w:spacing w:line="360" w:lineRule="auto"/>
        <w:ind w:firstLine="420"/>
        <w:jc w:val="left"/>
        <w:rPr>
          <w:rFonts w:ascii="宋体" w:hAnsi="宋体" w:cs="宋体"/>
          <w:color w:val="auto"/>
          <w:szCs w:val="21"/>
        </w:rPr>
      </w:pPr>
      <w:r>
        <w:rPr>
          <w:rFonts w:hint="eastAsia" w:ascii="宋体" w:hAnsi="宋体" w:cs="宋体"/>
          <w:color w:val="auto"/>
          <w:szCs w:val="21"/>
        </w:rPr>
        <w:t>提出质疑的投标人应当是参与所质疑项目采购活动的投标人。</w:t>
      </w:r>
    </w:p>
    <w:p w14:paraId="27005959">
      <w:pPr>
        <w:spacing w:line="360" w:lineRule="auto"/>
        <w:ind w:firstLine="420"/>
        <w:jc w:val="left"/>
        <w:rPr>
          <w:rFonts w:ascii="宋体" w:hAnsi="宋体" w:cs="宋体"/>
          <w:color w:val="auto"/>
          <w:szCs w:val="21"/>
        </w:rPr>
      </w:pPr>
      <w:r>
        <w:rPr>
          <w:rFonts w:hint="eastAsia" w:ascii="宋体" w:hAnsi="宋体" w:cs="宋体"/>
          <w:color w:val="auto"/>
          <w:szCs w:val="21"/>
        </w:rPr>
        <w:t>8.4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3F7D3DF7">
      <w:pPr>
        <w:spacing w:line="360" w:lineRule="auto"/>
        <w:ind w:firstLine="420"/>
        <w:jc w:val="left"/>
        <w:rPr>
          <w:rFonts w:ascii="宋体" w:hAnsi="宋体" w:cs="宋体"/>
          <w:color w:val="auto"/>
          <w:szCs w:val="21"/>
        </w:rPr>
      </w:pPr>
      <w:r>
        <w:rPr>
          <w:rFonts w:hint="eastAsia" w:ascii="宋体" w:hAnsi="宋体" w:cs="宋体"/>
          <w:color w:val="auto"/>
          <w:szCs w:val="21"/>
        </w:rPr>
        <w:t>（一）投标人的姓名或者名称、地址、邮编、联系人及联系电话；</w:t>
      </w:r>
    </w:p>
    <w:p w14:paraId="0D9F76DE">
      <w:pPr>
        <w:spacing w:line="360" w:lineRule="auto"/>
        <w:ind w:firstLine="420"/>
        <w:jc w:val="left"/>
        <w:rPr>
          <w:rFonts w:ascii="宋体" w:hAnsi="宋体" w:cs="宋体"/>
          <w:color w:val="auto"/>
          <w:szCs w:val="21"/>
        </w:rPr>
      </w:pPr>
      <w:r>
        <w:rPr>
          <w:rFonts w:hint="eastAsia" w:ascii="宋体" w:hAnsi="宋体" w:cs="宋体"/>
          <w:color w:val="auto"/>
          <w:szCs w:val="21"/>
        </w:rPr>
        <w:t>（二）质疑项目的名称、编号；</w:t>
      </w:r>
    </w:p>
    <w:p w14:paraId="444A7D70">
      <w:pPr>
        <w:spacing w:line="360" w:lineRule="auto"/>
        <w:ind w:firstLine="420"/>
        <w:jc w:val="left"/>
        <w:rPr>
          <w:rFonts w:ascii="宋体" w:hAnsi="宋体" w:cs="宋体"/>
          <w:color w:val="auto"/>
          <w:szCs w:val="21"/>
        </w:rPr>
      </w:pPr>
      <w:r>
        <w:rPr>
          <w:rFonts w:hint="eastAsia" w:ascii="宋体" w:hAnsi="宋体" w:cs="宋体"/>
          <w:color w:val="auto"/>
          <w:szCs w:val="21"/>
        </w:rPr>
        <w:t>（三）具体、明确的质疑事项和与质疑事项相关的请求；</w:t>
      </w:r>
    </w:p>
    <w:p w14:paraId="58B1E0E6">
      <w:pPr>
        <w:spacing w:line="360" w:lineRule="auto"/>
        <w:ind w:firstLine="420"/>
        <w:jc w:val="left"/>
        <w:rPr>
          <w:rFonts w:ascii="宋体" w:hAnsi="宋体" w:cs="宋体"/>
          <w:color w:val="auto"/>
          <w:szCs w:val="21"/>
        </w:rPr>
      </w:pPr>
      <w:r>
        <w:rPr>
          <w:rFonts w:hint="eastAsia" w:ascii="宋体" w:hAnsi="宋体" w:cs="宋体"/>
          <w:color w:val="auto"/>
          <w:szCs w:val="21"/>
        </w:rPr>
        <w:t>（四）事实依据；</w:t>
      </w:r>
    </w:p>
    <w:p w14:paraId="7B30C8D2">
      <w:pPr>
        <w:spacing w:line="360" w:lineRule="auto"/>
        <w:ind w:firstLine="420"/>
        <w:jc w:val="left"/>
        <w:rPr>
          <w:rFonts w:ascii="宋体" w:hAnsi="宋体" w:cs="宋体"/>
          <w:color w:val="auto"/>
          <w:szCs w:val="21"/>
        </w:rPr>
      </w:pPr>
      <w:r>
        <w:rPr>
          <w:rFonts w:hint="eastAsia" w:ascii="宋体" w:hAnsi="宋体" w:cs="宋体"/>
          <w:color w:val="auto"/>
          <w:szCs w:val="21"/>
        </w:rPr>
        <w:t>（五）必要的法律依据；</w:t>
      </w:r>
    </w:p>
    <w:p w14:paraId="65E30AA4">
      <w:pPr>
        <w:spacing w:line="360" w:lineRule="auto"/>
        <w:ind w:firstLine="420"/>
        <w:jc w:val="left"/>
        <w:rPr>
          <w:rFonts w:ascii="宋体" w:hAnsi="宋体" w:cs="宋体"/>
          <w:color w:val="auto"/>
          <w:szCs w:val="21"/>
        </w:rPr>
      </w:pPr>
      <w:r>
        <w:rPr>
          <w:rFonts w:hint="eastAsia" w:ascii="宋体" w:hAnsi="宋体" w:cs="宋体"/>
          <w:color w:val="auto"/>
          <w:szCs w:val="21"/>
        </w:rPr>
        <w:t>（六）提出质疑的日期。</w:t>
      </w:r>
    </w:p>
    <w:p w14:paraId="6211912F">
      <w:pPr>
        <w:spacing w:line="360" w:lineRule="auto"/>
        <w:ind w:firstLine="420"/>
        <w:jc w:val="left"/>
        <w:rPr>
          <w:rFonts w:ascii="宋体" w:hAnsi="宋体" w:cs="宋体"/>
          <w:color w:val="auto"/>
          <w:szCs w:val="21"/>
        </w:rPr>
      </w:pPr>
      <w:r>
        <w:rPr>
          <w:rFonts w:hint="eastAsia" w:ascii="宋体" w:hAnsi="宋体" w:cs="宋体"/>
          <w:color w:val="auto"/>
          <w:szCs w:val="21"/>
        </w:rPr>
        <w:t>投标人为自然人的，应当由本人签字；投标人为法人或者其他组织的，应当由法定代表人、主要负责人，或者其授权代表签字或者盖章，并加盖投标人公章。</w:t>
      </w:r>
    </w:p>
    <w:p w14:paraId="595AACCC">
      <w:pPr>
        <w:spacing w:line="360" w:lineRule="auto"/>
        <w:ind w:firstLine="420"/>
        <w:jc w:val="left"/>
        <w:rPr>
          <w:rFonts w:ascii="宋体" w:hAnsi="宋体" w:cs="宋体"/>
          <w:color w:val="auto"/>
          <w:szCs w:val="21"/>
        </w:rPr>
      </w:pPr>
      <w:r>
        <w:rPr>
          <w:rFonts w:hint="eastAsia" w:ascii="宋体" w:hAnsi="宋体" w:cs="宋体"/>
          <w:color w:val="auto"/>
          <w:szCs w:val="21"/>
        </w:rPr>
        <w:t>8.5投标人不得捏造事实、提供虚假材料或者以非法手段取得证明材料。</w:t>
      </w:r>
    </w:p>
    <w:p w14:paraId="32C36EF7">
      <w:pPr>
        <w:spacing w:line="360" w:lineRule="auto"/>
        <w:ind w:firstLine="420"/>
        <w:jc w:val="left"/>
        <w:rPr>
          <w:rFonts w:ascii="宋体" w:hAnsi="宋体" w:cs="宋体"/>
          <w:color w:val="auto"/>
          <w:szCs w:val="21"/>
        </w:rPr>
      </w:pPr>
      <w:r>
        <w:rPr>
          <w:rFonts w:hint="eastAsia" w:ascii="宋体" w:hAnsi="宋体" w:cs="宋体"/>
          <w:color w:val="auto"/>
          <w:szCs w:val="21"/>
        </w:rPr>
        <w:t>8.6质疑函应当使用中文。相关当事人提供外文书证或者外国语视听资料的，应当附有中文译本，由翻译机构盖章或者翻译人员签名。</w:t>
      </w:r>
    </w:p>
    <w:p w14:paraId="26B46E81">
      <w:pPr>
        <w:spacing w:line="360" w:lineRule="auto"/>
        <w:ind w:firstLine="420"/>
        <w:jc w:val="left"/>
        <w:rPr>
          <w:rFonts w:ascii="宋体" w:hAnsi="宋体" w:cs="宋体"/>
          <w:color w:val="auto"/>
          <w:szCs w:val="21"/>
        </w:rPr>
      </w:pPr>
      <w:r>
        <w:rPr>
          <w:rFonts w:hint="eastAsia" w:ascii="宋体" w:hAnsi="宋体" w:cs="宋体"/>
          <w:color w:val="auto"/>
          <w:szCs w:val="21"/>
        </w:rPr>
        <w:t>8.7采购人、采购代理机构将在收到投标人质疑函后七个工作日内作出答复，但质疑答复的内容不涉及商业秘密。</w:t>
      </w:r>
    </w:p>
    <w:p w14:paraId="78DEF2C4">
      <w:pPr>
        <w:spacing w:line="360" w:lineRule="auto"/>
        <w:ind w:firstLine="420"/>
        <w:jc w:val="left"/>
        <w:rPr>
          <w:rFonts w:ascii="宋体" w:hAnsi="宋体" w:cs="宋体"/>
          <w:color w:val="auto"/>
          <w:szCs w:val="21"/>
        </w:rPr>
      </w:pPr>
      <w:r>
        <w:rPr>
          <w:rFonts w:hint="eastAsia" w:ascii="宋体" w:hAnsi="宋体" w:cs="宋体"/>
          <w:color w:val="auto"/>
          <w:szCs w:val="21"/>
        </w:rPr>
        <w:t>8.8投标人对评审过程、中标结果提出质疑的，采购人、采购代理机构可以组织原评标委员会协助答复质疑。质疑答复导致中标结果改变的，采购人或者采购代理机构会将有关情况书面报告本级财政部门。</w:t>
      </w:r>
    </w:p>
    <w:p w14:paraId="425EE2A9">
      <w:pPr>
        <w:spacing w:line="360" w:lineRule="auto"/>
        <w:ind w:firstLine="420"/>
        <w:jc w:val="left"/>
        <w:rPr>
          <w:rFonts w:ascii="宋体" w:hAnsi="宋体" w:cs="宋体"/>
          <w:color w:val="auto"/>
          <w:szCs w:val="21"/>
        </w:rPr>
      </w:pPr>
      <w:r>
        <w:rPr>
          <w:rFonts w:hint="eastAsia" w:ascii="宋体" w:hAnsi="宋体" w:cs="宋体"/>
          <w:color w:val="auto"/>
          <w:szCs w:val="21"/>
        </w:rPr>
        <w:t>8.9接收质疑函的方式：书面方式；接收质疑函的部门：云南冠睿咨询有限公司；联系人、联系电话：</w:t>
      </w:r>
      <w:r>
        <w:rPr>
          <w:rFonts w:hint="eastAsia" w:ascii="宋体" w:hAnsi="宋体"/>
          <w:color w:val="auto"/>
          <w:szCs w:val="21"/>
        </w:rPr>
        <w:t>吕艺帆、田林轩、邓楚卿、汪怡含、高良凯、王国玺、吴翊</w:t>
      </w:r>
      <w:r>
        <w:rPr>
          <w:rFonts w:hint="eastAsia" w:ascii="宋体" w:hAnsi="宋体" w:cs="宋体"/>
          <w:color w:val="auto"/>
          <w:szCs w:val="21"/>
        </w:rPr>
        <w:t xml:space="preserve">  0871-65511240、65511241；通讯地址：云南省昆明市西山区万达广场南塔32层3201号、33层3310号。</w:t>
      </w:r>
    </w:p>
    <w:p w14:paraId="0ECBDD5A">
      <w:pPr>
        <w:spacing w:line="360" w:lineRule="auto"/>
        <w:jc w:val="left"/>
        <w:rPr>
          <w:rFonts w:ascii="宋体" w:hAnsi="宋体" w:cs="宋体"/>
          <w:b/>
          <w:bCs/>
          <w:color w:val="auto"/>
          <w:sz w:val="24"/>
          <w:szCs w:val="24"/>
        </w:rPr>
      </w:pPr>
      <w:r>
        <w:rPr>
          <w:rFonts w:hint="eastAsia" w:ascii="宋体" w:hAnsi="宋体" w:cs="宋体"/>
          <w:b/>
          <w:bCs/>
          <w:color w:val="auto"/>
          <w:sz w:val="24"/>
          <w:szCs w:val="24"/>
        </w:rPr>
        <w:t>9.投诉</w:t>
      </w:r>
    </w:p>
    <w:p w14:paraId="0D0FFE07">
      <w:pPr>
        <w:spacing w:line="360" w:lineRule="auto"/>
        <w:ind w:firstLine="420"/>
        <w:jc w:val="left"/>
        <w:rPr>
          <w:rFonts w:ascii="宋体" w:hAnsi="宋体" w:cs="宋体"/>
          <w:color w:val="auto"/>
          <w:szCs w:val="21"/>
        </w:rPr>
      </w:pPr>
      <w:r>
        <w:rPr>
          <w:rFonts w:hint="eastAsia" w:ascii="宋体" w:hAnsi="宋体" w:cs="宋体"/>
          <w:color w:val="auto"/>
          <w:szCs w:val="21"/>
        </w:rPr>
        <w:t>9.1投诉必须首先经过质疑程序。质疑投标人对采购人、采购代理机构的答复不满意，或者采购人、采购代理机构未在规定时间内作出答复的，可以在答复期满后十五个工作日内书面向财政部门提起投诉。</w:t>
      </w:r>
    </w:p>
    <w:p w14:paraId="107FD04E">
      <w:pPr>
        <w:spacing w:line="360" w:lineRule="auto"/>
        <w:ind w:firstLine="420"/>
        <w:jc w:val="left"/>
        <w:rPr>
          <w:rFonts w:ascii="宋体" w:hAnsi="宋体" w:cs="宋体"/>
          <w:color w:val="auto"/>
          <w:szCs w:val="21"/>
        </w:rPr>
      </w:pPr>
    </w:p>
    <w:p w14:paraId="51AA03D2">
      <w:pPr>
        <w:spacing w:line="500" w:lineRule="exact"/>
        <w:jc w:val="center"/>
        <w:rPr>
          <w:rFonts w:ascii="宋体" w:hAnsi="宋体" w:cs="宋体"/>
          <w:b/>
          <w:color w:val="auto"/>
          <w:sz w:val="30"/>
          <w:szCs w:val="30"/>
        </w:rPr>
      </w:pPr>
      <w:bookmarkStart w:id="159" w:name="_Toc179632560"/>
      <w:bookmarkStart w:id="160" w:name="_Toc489197817"/>
      <w:bookmarkStart w:id="161" w:name="_Toc489145713"/>
      <w:bookmarkStart w:id="162" w:name="_Toc296602432"/>
      <w:bookmarkStart w:id="163" w:name="_Toc480817644"/>
      <w:bookmarkStart w:id="164" w:name="_Toc31081"/>
      <w:bookmarkStart w:id="165" w:name="_Toc378239171"/>
      <w:bookmarkStart w:id="166" w:name="_Toc246996930"/>
      <w:bookmarkStart w:id="167" w:name="_Toc152045542"/>
      <w:bookmarkStart w:id="168" w:name="_Toc378239079"/>
      <w:bookmarkStart w:id="169" w:name="_Toc17348"/>
      <w:bookmarkStart w:id="170" w:name="_Toc488633605"/>
      <w:bookmarkStart w:id="171" w:name="_Toc16145"/>
      <w:bookmarkStart w:id="172" w:name="_Toc144974510"/>
      <w:bookmarkStart w:id="173" w:name="_Toc152042318"/>
      <w:bookmarkStart w:id="174" w:name="_Toc246996187"/>
      <w:bookmarkStart w:id="175" w:name="_Toc4164"/>
      <w:bookmarkStart w:id="176" w:name="_Toc31829"/>
      <w:bookmarkStart w:id="177" w:name="_Toc378239352"/>
      <w:bookmarkStart w:id="178" w:name="_Toc247085701"/>
      <w:bookmarkStart w:id="179" w:name="_Toc401342135"/>
      <w:bookmarkStart w:id="180" w:name="_Toc528186462"/>
      <w:r>
        <w:rPr>
          <w:rFonts w:hint="eastAsia" w:ascii="宋体" w:hAnsi="宋体" w:cs="宋体"/>
          <w:b/>
          <w:color w:val="auto"/>
          <w:sz w:val="30"/>
          <w:szCs w:val="30"/>
        </w:rPr>
        <w:t>二、招标文件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3ACE2BF2">
      <w:pPr>
        <w:spacing w:line="360" w:lineRule="auto"/>
        <w:jc w:val="left"/>
        <w:rPr>
          <w:rFonts w:ascii="宋体" w:hAnsi="宋体" w:cs="宋体"/>
          <w:b/>
          <w:bCs/>
          <w:color w:val="auto"/>
          <w:sz w:val="24"/>
          <w:szCs w:val="24"/>
        </w:rPr>
      </w:pPr>
      <w:r>
        <w:rPr>
          <w:rFonts w:hint="eastAsia" w:ascii="宋体" w:hAnsi="宋体" w:cs="宋体"/>
          <w:b/>
          <w:bCs/>
          <w:color w:val="auto"/>
          <w:sz w:val="24"/>
          <w:szCs w:val="24"/>
        </w:rPr>
        <w:t>10.招标文件的组成</w:t>
      </w:r>
    </w:p>
    <w:p w14:paraId="6A12D655">
      <w:pPr>
        <w:spacing w:line="360" w:lineRule="auto"/>
        <w:ind w:firstLine="420"/>
        <w:jc w:val="left"/>
        <w:rPr>
          <w:rFonts w:ascii="宋体" w:hAnsi="宋体" w:cs="宋体"/>
          <w:color w:val="auto"/>
          <w:szCs w:val="21"/>
        </w:rPr>
      </w:pPr>
      <w:r>
        <w:rPr>
          <w:rFonts w:hint="eastAsia" w:ascii="宋体" w:hAnsi="宋体" w:cs="宋体"/>
          <w:color w:val="auto"/>
          <w:szCs w:val="21"/>
        </w:rPr>
        <w:t>10.1采购人要求提供的货物、工程或者服务、采购过程及合同条款在招标文件中均有说明，招标文件共七章，各章的内容如下：</w:t>
      </w:r>
    </w:p>
    <w:p w14:paraId="540C4B6A">
      <w:pPr>
        <w:spacing w:line="360" w:lineRule="auto"/>
        <w:ind w:firstLine="420"/>
        <w:jc w:val="left"/>
        <w:rPr>
          <w:rFonts w:ascii="宋体" w:hAnsi="宋体" w:cs="宋体"/>
          <w:color w:val="auto"/>
          <w:szCs w:val="21"/>
        </w:rPr>
      </w:pPr>
      <w:r>
        <w:rPr>
          <w:rFonts w:hint="eastAsia" w:ascii="宋体" w:hAnsi="宋体" w:cs="宋体"/>
          <w:color w:val="auto"/>
          <w:szCs w:val="21"/>
        </w:rPr>
        <w:t>第一章  公开招标公告</w:t>
      </w:r>
    </w:p>
    <w:p w14:paraId="69E5E27E">
      <w:pPr>
        <w:spacing w:line="360" w:lineRule="auto"/>
        <w:ind w:firstLine="420"/>
        <w:jc w:val="left"/>
        <w:rPr>
          <w:rFonts w:ascii="宋体" w:hAnsi="宋体" w:cs="宋体"/>
          <w:color w:val="auto"/>
          <w:szCs w:val="21"/>
        </w:rPr>
      </w:pPr>
      <w:r>
        <w:rPr>
          <w:rFonts w:hint="eastAsia" w:ascii="宋体" w:hAnsi="宋体" w:cs="宋体"/>
          <w:color w:val="auto"/>
          <w:szCs w:val="21"/>
        </w:rPr>
        <w:t>第二章  投标人须知</w:t>
      </w:r>
    </w:p>
    <w:p w14:paraId="336257DD">
      <w:pPr>
        <w:spacing w:line="360" w:lineRule="auto"/>
        <w:ind w:firstLine="420"/>
        <w:jc w:val="left"/>
        <w:rPr>
          <w:rFonts w:ascii="宋体" w:hAnsi="宋体" w:cs="宋体"/>
          <w:color w:val="auto"/>
          <w:szCs w:val="21"/>
        </w:rPr>
      </w:pPr>
      <w:r>
        <w:rPr>
          <w:rFonts w:hint="eastAsia" w:ascii="宋体" w:hAnsi="宋体" w:cs="宋体"/>
          <w:color w:val="auto"/>
          <w:szCs w:val="21"/>
        </w:rPr>
        <w:t>第三章  合同书样式及主要条款</w:t>
      </w:r>
    </w:p>
    <w:p w14:paraId="7D6C8A20">
      <w:pPr>
        <w:spacing w:line="360" w:lineRule="auto"/>
        <w:ind w:firstLine="420"/>
        <w:jc w:val="left"/>
        <w:rPr>
          <w:rFonts w:ascii="宋体" w:hAnsi="宋体" w:cs="宋体"/>
          <w:color w:val="auto"/>
          <w:szCs w:val="21"/>
        </w:rPr>
      </w:pPr>
      <w:r>
        <w:rPr>
          <w:rFonts w:hint="eastAsia" w:ascii="宋体" w:hAnsi="宋体" w:cs="宋体"/>
          <w:color w:val="auto"/>
          <w:szCs w:val="21"/>
        </w:rPr>
        <w:t>第四章  投标文件格式</w:t>
      </w:r>
    </w:p>
    <w:p w14:paraId="672BB78F">
      <w:pPr>
        <w:spacing w:line="360" w:lineRule="auto"/>
        <w:ind w:firstLine="420"/>
        <w:jc w:val="left"/>
        <w:rPr>
          <w:rFonts w:ascii="宋体" w:hAnsi="宋体" w:cs="宋体"/>
          <w:color w:val="auto"/>
          <w:szCs w:val="21"/>
        </w:rPr>
      </w:pPr>
      <w:r>
        <w:rPr>
          <w:rFonts w:hint="eastAsia" w:ascii="宋体" w:hAnsi="宋体" w:cs="宋体"/>
          <w:color w:val="auto"/>
          <w:szCs w:val="21"/>
        </w:rPr>
        <w:t>第五章  采购需求</w:t>
      </w:r>
    </w:p>
    <w:p w14:paraId="728D0DEF">
      <w:pPr>
        <w:spacing w:line="360" w:lineRule="auto"/>
        <w:ind w:firstLine="420"/>
        <w:jc w:val="left"/>
        <w:rPr>
          <w:rFonts w:ascii="宋体" w:hAnsi="宋体" w:cs="宋体"/>
          <w:color w:val="auto"/>
          <w:szCs w:val="21"/>
        </w:rPr>
      </w:pPr>
      <w:r>
        <w:rPr>
          <w:rFonts w:hint="eastAsia" w:ascii="宋体" w:hAnsi="宋体" w:cs="宋体"/>
          <w:color w:val="auto"/>
          <w:szCs w:val="21"/>
        </w:rPr>
        <w:t>第六章  资格审查</w:t>
      </w:r>
    </w:p>
    <w:p w14:paraId="7D1D0B1D">
      <w:pPr>
        <w:spacing w:line="360" w:lineRule="auto"/>
        <w:ind w:firstLine="420"/>
        <w:jc w:val="left"/>
        <w:rPr>
          <w:rFonts w:ascii="宋体" w:hAnsi="宋体" w:cs="宋体"/>
          <w:color w:val="auto"/>
          <w:szCs w:val="21"/>
        </w:rPr>
      </w:pPr>
      <w:r>
        <w:rPr>
          <w:rFonts w:hint="eastAsia" w:ascii="宋体" w:hAnsi="宋体" w:cs="宋体"/>
          <w:color w:val="auto"/>
          <w:szCs w:val="21"/>
        </w:rPr>
        <w:t>第七章  评标方法（综合评分法）</w:t>
      </w:r>
    </w:p>
    <w:p w14:paraId="7F6A03FE">
      <w:pPr>
        <w:spacing w:line="360" w:lineRule="auto"/>
        <w:jc w:val="left"/>
        <w:rPr>
          <w:rFonts w:ascii="宋体" w:hAnsi="宋体" w:cs="宋体"/>
          <w:b/>
          <w:bCs/>
          <w:color w:val="auto"/>
          <w:sz w:val="24"/>
          <w:szCs w:val="24"/>
        </w:rPr>
      </w:pPr>
      <w:bookmarkStart w:id="181" w:name="_Toc296602434"/>
      <w:bookmarkStart w:id="182" w:name="_Toc489145716"/>
      <w:bookmarkStart w:id="183" w:name="_Toc528186464"/>
      <w:bookmarkStart w:id="184" w:name="_Toc11853"/>
      <w:bookmarkStart w:id="185" w:name="_Toc17717"/>
      <w:bookmarkStart w:id="186" w:name="_Toc17915"/>
      <w:bookmarkStart w:id="187" w:name="_Toc144974512"/>
      <w:bookmarkStart w:id="188" w:name="_Toc152042320"/>
      <w:bookmarkStart w:id="189" w:name="_Toc247085703"/>
      <w:bookmarkStart w:id="190" w:name="_Toc246996932"/>
      <w:bookmarkStart w:id="191" w:name="_Toc246996189"/>
      <w:bookmarkStart w:id="192" w:name="_Toc489197820"/>
      <w:bookmarkStart w:id="193" w:name="_Toc179632562"/>
      <w:bookmarkStart w:id="194" w:name="_Toc152045544"/>
      <w:r>
        <w:rPr>
          <w:rFonts w:hint="eastAsia" w:ascii="宋体" w:hAnsi="宋体" w:cs="宋体"/>
          <w:b/>
          <w:bCs/>
          <w:color w:val="auto"/>
          <w:sz w:val="24"/>
          <w:szCs w:val="24"/>
        </w:rPr>
        <w:t>11.招标文件的询问、澄清、修改</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8E3EDDA">
      <w:pPr>
        <w:wordWrap w:val="0"/>
        <w:spacing w:line="360" w:lineRule="auto"/>
        <w:ind w:firstLine="420"/>
        <w:jc w:val="left"/>
        <w:rPr>
          <w:rFonts w:ascii="宋体" w:hAnsi="宋体" w:cs="宋体"/>
          <w:color w:val="auto"/>
          <w:szCs w:val="21"/>
        </w:rPr>
      </w:pPr>
      <w:bookmarkStart w:id="195" w:name="_Toc489145717"/>
      <w:bookmarkStart w:id="196" w:name="_Toc179632564"/>
      <w:bookmarkStart w:id="197" w:name="_Toc480817645"/>
      <w:bookmarkStart w:id="198" w:name="_Toc247085705"/>
      <w:bookmarkStart w:id="199" w:name="_Toc144974514"/>
      <w:bookmarkStart w:id="200" w:name="_Toc29509"/>
      <w:bookmarkStart w:id="201" w:name="_Toc378239080"/>
      <w:bookmarkStart w:id="202" w:name="_Toc296602436"/>
      <w:bookmarkStart w:id="203" w:name="_Toc378239353"/>
      <w:bookmarkStart w:id="204" w:name="_Toc246996934"/>
      <w:bookmarkStart w:id="205" w:name="_Toc152042322"/>
      <w:bookmarkStart w:id="206" w:name="_Toc528186465"/>
      <w:bookmarkStart w:id="207" w:name="_Toc489197821"/>
      <w:bookmarkStart w:id="208" w:name="_Toc246996191"/>
      <w:bookmarkStart w:id="209" w:name="_Toc378239172"/>
      <w:bookmarkStart w:id="210" w:name="_Toc401342136"/>
      <w:bookmarkStart w:id="211" w:name="_Toc152045546"/>
      <w:bookmarkStart w:id="212" w:name="_Toc488633606"/>
      <w:r>
        <w:rPr>
          <w:rFonts w:hint="eastAsia" w:ascii="宋体" w:hAnsi="宋体" w:cs="宋体"/>
          <w:color w:val="auto"/>
          <w:szCs w:val="21"/>
        </w:rPr>
        <w:t>11.1投标人应认真阅读招标文件，如有疑问的，投标人可以向采购人或采购代理机构提出询问，采购人或者采购代理机构在接到询问后的3个工作日内对投标人依法提出的询问作出答复，但答复的内容不涉及商业秘密，如对电子采购流程不清楚可查阅政采云（https://e-learning.zcygov.cn/index）“秒懂政采云项目采购”学习</w:t>
      </w:r>
      <w:r>
        <w:rPr>
          <w:rFonts w:hint="eastAsia" w:ascii="宋体" w:hAnsi="宋体" w:cs="宋体"/>
          <w:color w:val="auto"/>
        </w:rPr>
        <w:t>或致电政采云平台：4008817190</w:t>
      </w:r>
      <w:r>
        <w:rPr>
          <w:rFonts w:hint="eastAsia" w:ascii="宋体" w:hAnsi="宋体" w:cs="宋体"/>
          <w:color w:val="auto"/>
          <w:szCs w:val="21"/>
        </w:rPr>
        <w:t>。</w:t>
      </w:r>
    </w:p>
    <w:p w14:paraId="49194F5C">
      <w:pPr>
        <w:spacing w:line="360" w:lineRule="auto"/>
        <w:ind w:firstLine="420"/>
        <w:jc w:val="left"/>
        <w:rPr>
          <w:rFonts w:ascii="宋体" w:hAnsi="宋体" w:cs="宋体"/>
          <w:color w:val="auto"/>
          <w:szCs w:val="21"/>
        </w:rPr>
      </w:pPr>
      <w:r>
        <w:rPr>
          <w:rFonts w:hint="eastAsia" w:ascii="宋体" w:hAnsi="宋体" w:cs="宋体"/>
          <w:color w:val="auto"/>
          <w:szCs w:val="21"/>
        </w:rPr>
        <w:t>11.2招标文件询问联系方式：详见《投标人须知前附表》。</w:t>
      </w:r>
    </w:p>
    <w:p w14:paraId="1E76EB1D">
      <w:pPr>
        <w:spacing w:line="360" w:lineRule="auto"/>
        <w:ind w:firstLine="420"/>
        <w:jc w:val="left"/>
        <w:rPr>
          <w:rFonts w:ascii="宋体" w:hAnsi="宋体" w:cs="宋体"/>
          <w:color w:val="auto"/>
          <w:szCs w:val="21"/>
        </w:rPr>
      </w:pPr>
      <w:r>
        <w:rPr>
          <w:rFonts w:hint="eastAsia" w:ascii="宋体" w:hAnsi="宋体" w:cs="宋体"/>
          <w:color w:val="auto"/>
          <w:szCs w:val="21"/>
        </w:rPr>
        <w:t>11.3采购人、采购代理机构可以对已发出的招标文件进行必要的澄清或者修改，澄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件的澄清、修改内容，由此造成的一切后果由投标人自行承担。</w:t>
      </w:r>
    </w:p>
    <w:p w14:paraId="202FF608">
      <w:pPr>
        <w:spacing w:line="500" w:lineRule="exact"/>
        <w:jc w:val="center"/>
        <w:rPr>
          <w:rFonts w:ascii="宋体" w:hAnsi="宋体" w:cs="宋体"/>
          <w:b/>
          <w:color w:val="auto"/>
          <w:sz w:val="30"/>
          <w:szCs w:val="30"/>
        </w:rPr>
      </w:pPr>
      <w:bookmarkStart w:id="213" w:name="_Toc5319"/>
      <w:bookmarkStart w:id="214" w:name="_Toc27280"/>
      <w:bookmarkStart w:id="215" w:name="_Toc26191"/>
      <w:bookmarkStart w:id="216" w:name="_Toc11951"/>
      <w:r>
        <w:rPr>
          <w:rFonts w:hint="eastAsia" w:ascii="宋体" w:hAnsi="宋体" w:cs="宋体"/>
          <w:b/>
          <w:color w:val="auto"/>
          <w:sz w:val="30"/>
          <w:szCs w:val="30"/>
        </w:rPr>
        <w:t>三、投标文件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6EB9AB48">
      <w:pPr>
        <w:spacing w:line="360" w:lineRule="auto"/>
        <w:jc w:val="left"/>
        <w:rPr>
          <w:rFonts w:ascii="宋体" w:hAnsi="宋体" w:cs="宋体"/>
          <w:b/>
          <w:bCs/>
          <w:color w:val="auto"/>
          <w:sz w:val="24"/>
          <w:szCs w:val="24"/>
        </w:rPr>
      </w:pPr>
      <w:r>
        <w:rPr>
          <w:rFonts w:hint="eastAsia" w:ascii="宋体" w:hAnsi="宋体" w:cs="宋体"/>
          <w:b/>
          <w:bCs/>
          <w:color w:val="auto"/>
          <w:sz w:val="24"/>
          <w:szCs w:val="24"/>
        </w:rPr>
        <w:t>12.投标文件编写注意事项</w:t>
      </w:r>
    </w:p>
    <w:p w14:paraId="3FCFE9C0">
      <w:pPr>
        <w:spacing w:line="360" w:lineRule="auto"/>
        <w:ind w:firstLine="420"/>
        <w:jc w:val="left"/>
        <w:rPr>
          <w:rFonts w:ascii="宋体" w:hAnsi="宋体" w:cs="宋体"/>
          <w:color w:val="auto"/>
          <w:szCs w:val="21"/>
        </w:rPr>
      </w:pPr>
      <w:r>
        <w:rPr>
          <w:rFonts w:hint="eastAsia" w:ascii="宋体" w:hAnsi="宋体" w:cs="宋体"/>
          <w:color w:val="auto"/>
          <w:szCs w:val="21"/>
        </w:rPr>
        <w:t>12.1投标人应仔细阅读招标文件，在完全了解采购内容、技术性能要求和商务条件后，根据招标文件要求编写投标文件。</w:t>
      </w:r>
    </w:p>
    <w:p w14:paraId="5275002D">
      <w:pPr>
        <w:spacing w:line="360" w:lineRule="auto"/>
        <w:ind w:firstLine="420"/>
        <w:jc w:val="left"/>
        <w:rPr>
          <w:rFonts w:ascii="宋体" w:hAnsi="宋体" w:cs="宋体"/>
          <w:color w:val="auto"/>
          <w:szCs w:val="21"/>
        </w:rPr>
      </w:pPr>
      <w:r>
        <w:rPr>
          <w:rFonts w:hint="eastAsia" w:ascii="宋体" w:hAnsi="宋体" w:cs="宋体"/>
          <w:color w:val="auto"/>
          <w:szCs w:val="21"/>
        </w:rPr>
        <w:t>12.2对招标文件提出的实质性要求和条件作出响应是指投标人的投标文件必须对招标文件中规定的实质性要求和条件作出满足或者优于原要求和条件的承诺，并提供相应的证明材料，否则按无效处理。</w:t>
      </w:r>
    </w:p>
    <w:p w14:paraId="431C3BF0">
      <w:pPr>
        <w:spacing w:line="360" w:lineRule="auto"/>
        <w:jc w:val="left"/>
        <w:rPr>
          <w:rFonts w:ascii="宋体" w:hAnsi="宋体" w:cs="宋体"/>
          <w:b/>
          <w:bCs/>
          <w:color w:val="auto"/>
          <w:sz w:val="24"/>
          <w:szCs w:val="24"/>
        </w:rPr>
      </w:pPr>
      <w:r>
        <w:rPr>
          <w:rFonts w:hint="eastAsia" w:ascii="宋体" w:hAnsi="宋体" w:cs="宋体"/>
          <w:b/>
          <w:bCs/>
          <w:color w:val="auto"/>
          <w:sz w:val="24"/>
          <w:szCs w:val="24"/>
        </w:rPr>
        <w:t>13.语言文字</w:t>
      </w:r>
    </w:p>
    <w:p w14:paraId="7DEB6A44">
      <w:pPr>
        <w:spacing w:line="360" w:lineRule="auto"/>
        <w:ind w:firstLine="420"/>
        <w:jc w:val="left"/>
        <w:rPr>
          <w:rFonts w:ascii="宋体" w:hAnsi="宋体" w:cs="宋体"/>
          <w:color w:val="auto"/>
          <w:szCs w:val="21"/>
        </w:rPr>
      </w:pPr>
      <w:r>
        <w:rPr>
          <w:rFonts w:hint="eastAsia" w:ascii="宋体" w:hAnsi="宋体" w:cs="宋体"/>
          <w:color w:val="auto"/>
          <w:szCs w:val="21"/>
        </w:rPr>
        <w:t>13.1投标人的投标文件以及投标人与采购代理机构就有关投标的所有来往函电统一使用中文（特别规定除外）。</w:t>
      </w:r>
    </w:p>
    <w:p w14:paraId="28BD1FFB">
      <w:pPr>
        <w:spacing w:line="360" w:lineRule="auto"/>
        <w:jc w:val="left"/>
        <w:rPr>
          <w:rFonts w:ascii="宋体" w:hAnsi="宋体" w:cs="宋体"/>
          <w:b/>
          <w:bCs/>
          <w:color w:val="auto"/>
          <w:sz w:val="24"/>
          <w:szCs w:val="24"/>
        </w:rPr>
      </w:pPr>
      <w:r>
        <w:rPr>
          <w:rFonts w:hint="eastAsia" w:ascii="宋体" w:hAnsi="宋体" w:cs="宋体"/>
          <w:b/>
          <w:bCs/>
          <w:color w:val="auto"/>
          <w:sz w:val="24"/>
          <w:szCs w:val="24"/>
        </w:rPr>
        <w:t>14.计量单位</w:t>
      </w:r>
    </w:p>
    <w:p w14:paraId="56918163">
      <w:pPr>
        <w:spacing w:line="360" w:lineRule="auto"/>
        <w:ind w:firstLine="420"/>
        <w:jc w:val="left"/>
        <w:rPr>
          <w:rFonts w:ascii="宋体" w:hAnsi="宋体" w:cs="宋体"/>
          <w:color w:val="auto"/>
          <w:szCs w:val="21"/>
        </w:rPr>
      </w:pPr>
      <w:r>
        <w:rPr>
          <w:rFonts w:hint="eastAsia" w:ascii="宋体" w:hAnsi="宋体" w:cs="宋体"/>
          <w:color w:val="auto"/>
          <w:szCs w:val="21"/>
        </w:rPr>
        <w:t>14.1投标文件中使用的计量单位除招标文件中有特殊规定外，一律使用中国法定计量单位。</w:t>
      </w:r>
    </w:p>
    <w:p w14:paraId="5B914EBF">
      <w:pPr>
        <w:spacing w:line="360" w:lineRule="auto"/>
        <w:jc w:val="left"/>
        <w:rPr>
          <w:rFonts w:ascii="宋体" w:hAnsi="宋体" w:cs="宋体"/>
          <w:b/>
          <w:bCs/>
          <w:color w:val="auto"/>
          <w:sz w:val="24"/>
          <w:szCs w:val="24"/>
        </w:rPr>
      </w:pPr>
      <w:bookmarkStart w:id="217" w:name="_Toc246996935"/>
      <w:bookmarkStart w:id="218" w:name="_Toc152045547"/>
      <w:bookmarkStart w:id="219" w:name="_Toc296602437"/>
      <w:bookmarkStart w:id="220" w:name="_Toc489197825"/>
      <w:bookmarkStart w:id="221" w:name="_Toc29156"/>
      <w:bookmarkStart w:id="222" w:name="_Toc246996192"/>
      <w:bookmarkStart w:id="223" w:name="_Toc489145721"/>
      <w:bookmarkStart w:id="224" w:name="_Toc14010"/>
      <w:bookmarkStart w:id="225" w:name="_Toc144974515"/>
      <w:bookmarkStart w:id="226" w:name="_Toc528186469"/>
      <w:bookmarkStart w:id="227" w:name="_Toc179632565"/>
      <w:bookmarkStart w:id="228" w:name="_Toc247085706"/>
      <w:bookmarkStart w:id="229" w:name="_Toc152042323"/>
      <w:bookmarkStart w:id="230" w:name="_Toc5834"/>
      <w:r>
        <w:rPr>
          <w:rFonts w:hint="eastAsia" w:ascii="宋体" w:hAnsi="宋体" w:cs="宋体"/>
          <w:b/>
          <w:bCs/>
          <w:color w:val="auto"/>
          <w:sz w:val="24"/>
          <w:szCs w:val="24"/>
        </w:rPr>
        <w:t>15.投标文件的组成</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56F7614">
      <w:pPr>
        <w:spacing w:line="360" w:lineRule="auto"/>
        <w:ind w:firstLine="420"/>
        <w:jc w:val="left"/>
        <w:rPr>
          <w:rFonts w:ascii="宋体" w:hAnsi="宋体" w:cs="宋体"/>
          <w:color w:val="auto"/>
          <w:szCs w:val="21"/>
        </w:rPr>
      </w:pPr>
      <w:r>
        <w:rPr>
          <w:rFonts w:hint="eastAsia" w:ascii="宋体" w:hAnsi="宋体" w:cs="宋体"/>
          <w:color w:val="auto"/>
          <w:szCs w:val="21"/>
        </w:rPr>
        <w:t>15.1投标人编写的投标文件应按第四章《投标文件格式》要求填写。有关文件的提交如未特别注明需提供原件的，可提供复印件或扫描件。</w:t>
      </w:r>
    </w:p>
    <w:p w14:paraId="7B507057">
      <w:pPr>
        <w:spacing w:line="360" w:lineRule="auto"/>
        <w:ind w:firstLine="420"/>
        <w:jc w:val="left"/>
        <w:rPr>
          <w:rFonts w:ascii="宋体" w:hAnsi="宋体" w:cs="宋体"/>
          <w:color w:val="auto"/>
          <w:szCs w:val="21"/>
        </w:rPr>
      </w:pPr>
      <w:r>
        <w:rPr>
          <w:rFonts w:hint="eastAsia" w:ascii="宋体" w:hAnsi="宋体" w:cs="宋体"/>
          <w:color w:val="auto"/>
          <w:szCs w:val="21"/>
        </w:rPr>
        <w:t>15.2构成投标文件的其他资料：详见《投标人须知前附表》。</w:t>
      </w:r>
    </w:p>
    <w:p w14:paraId="116F96A7">
      <w:pPr>
        <w:spacing w:line="360" w:lineRule="auto"/>
        <w:ind w:firstLine="420"/>
        <w:jc w:val="left"/>
        <w:rPr>
          <w:rFonts w:ascii="宋体" w:hAnsi="宋体" w:cs="宋体"/>
          <w:color w:val="auto"/>
          <w:szCs w:val="21"/>
        </w:rPr>
      </w:pPr>
      <w:r>
        <w:rPr>
          <w:rFonts w:hint="eastAsia" w:ascii="宋体" w:hAnsi="宋体" w:cs="宋体"/>
          <w:color w:val="auto"/>
          <w:szCs w:val="21"/>
        </w:rPr>
        <w:t>15.3投标人同时投多个标段（若分标段时）的，投标文件应按标段分别编制，单独成册。</w:t>
      </w:r>
    </w:p>
    <w:p w14:paraId="195C3096">
      <w:pPr>
        <w:spacing w:line="360" w:lineRule="auto"/>
        <w:jc w:val="left"/>
        <w:rPr>
          <w:rFonts w:ascii="宋体" w:hAnsi="宋体" w:cs="宋体"/>
          <w:b/>
          <w:bCs/>
          <w:color w:val="auto"/>
          <w:sz w:val="24"/>
          <w:szCs w:val="24"/>
        </w:rPr>
      </w:pPr>
      <w:bookmarkStart w:id="231" w:name="_Toc528186474"/>
      <w:bookmarkStart w:id="232" w:name="_Toc489145726"/>
      <w:bookmarkStart w:id="233" w:name="_Toc489197830"/>
      <w:r>
        <w:rPr>
          <w:rFonts w:hint="eastAsia" w:ascii="宋体" w:hAnsi="宋体" w:cs="宋体"/>
          <w:b/>
          <w:bCs/>
          <w:color w:val="auto"/>
          <w:sz w:val="24"/>
          <w:szCs w:val="24"/>
        </w:rPr>
        <w:t>★16.投标文件的格式要求</w:t>
      </w:r>
    </w:p>
    <w:p w14:paraId="3B2FC875">
      <w:pPr>
        <w:spacing w:line="360" w:lineRule="auto"/>
        <w:ind w:firstLine="420"/>
        <w:jc w:val="left"/>
        <w:rPr>
          <w:rFonts w:ascii="宋体" w:hAnsi="宋体" w:cs="宋体"/>
          <w:color w:val="auto"/>
          <w:szCs w:val="21"/>
        </w:rPr>
      </w:pPr>
      <w:r>
        <w:rPr>
          <w:rFonts w:hint="eastAsia" w:ascii="宋体" w:hAnsi="宋体" w:cs="宋体"/>
          <w:color w:val="auto"/>
          <w:szCs w:val="21"/>
        </w:rPr>
        <w:t>16.1投标人应按第四章《投标文件格式》提供的格式完整地填写，未按招标文件规定格式填写的投标文件按无效投标处理。</w:t>
      </w:r>
    </w:p>
    <w:p w14:paraId="40303C53">
      <w:pPr>
        <w:spacing w:line="360" w:lineRule="auto"/>
        <w:jc w:val="left"/>
        <w:rPr>
          <w:rFonts w:ascii="宋体" w:hAnsi="宋体" w:cs="宋体"/>
          <w:b/>
          <w:bCs/>
          <w:color w:val="auto"/>
          <w:sz w:val="24"/>
          <w:szCs w:val="24"/>
        </w:rPr>
      </w:pPr>
      <w:r>
        <w:rPr>
          <w:rFonts w:hint="eastAsia" w:ascii="宋体" w:hAnsi="宋体" w:cs="宋体"/>
          <w:b/>
          <w:bCs/>
          <w:color w:val="auto"/>
          <w:sz w:val="24"/>
          <w:szCs w:val="24"/>
        </w:rPr>
        <w:t>★17.投标有效期</w:t>
      </w:r>
    </w:p>
    <w:p w14:paraId="56970B3F">
      <w:pPr>
        <w:spacing w:line="360" w:lineRule="auto"/>
        <w:ind w:firstLine="420"/>
        <w:jc w:val="left"/>
        <w:rPr>
          <w:rFonts w:ascii="宋体" w:hAnsi="宋体" w:cs="宋体"/>
          <w:color w:val="auto"/>
          <w:szCs w:val="21"/>
        </w:rPr>
      </w:pPr>
      <w:r>
        <w:rPr>
          <w:rFonts w:hint="eastAsia" w:ascii="宋体" w:hAnsi="宋体" w:cs="宋体"/>
          <w:color w:val="auto"/>
          <w:szCs w:val="21"/>
        </w:rPr>
        <w:t>17.1在《投标人须知前附表》规定的有效期内，投标人不得要求撤销或修改其投标文件。</w:t>
      </w:r>
    </w:p>
    <w:p w14:paraId="2F68BBC0">
      <w:pPr>
        <w:spacing w:line="360" w:lineRule="auto"/>
        <w:ind w:firstLine="420"/>
        <w:jc w:val="left"/>
        <w:rPr>
          <w:rFonts w:ascii="宋体" w:hAnsi="宋体" w:cs="宋体"/>
          <w:color w:val="auto"/>
          <w:szCs w:val="21"/>
        </w:rPr>
      </w:pPr>
      <w:r>
        <w:rPr>
          <w:rFonts w:hint="eastAsia" w:ascii="宋体" w:hAnsi="宋体" w:cs="宋体"/>
          <w:color w:val="auto"/>
          <w:szCs w:val="21"/>
        </w:rPr>
        <w:t>17.2因特殊情况需要延长投标文件有效期的，采购代理机构以书面形式通知所有投标人延长有效期。投标人同意延长的，应相应延长其投标文件中所有内容及投标保证金的有效期，但不得要求或被允许修改或撤销其投标文件；投标人拒绝延长的，其投标文件失效，但投标人有权收回其投标保证金。</w:t>
      </w:r>
    </w:p>
    <w:p w14:paraId="11E3D5B1">
      <w:pPr>
        <w:spacing w:line="360" w:lineRule="auto"/>
        <w:jc w:val="left"/>
        <w:rPr>
          <w:rFonts w:ascii="宋体" w:hAnsi="宋体" w:cs="宋体"/>
          <w:b/>
          <w:bCs/>
          <w:color w:val="auto"/>
          <w:sz w:val="24"/>
          <w:szCs w:val="24"/>
        </w:rPr>
      </w:pPr>
      <w:r>
        <w:rPr>
          <w:rFonts w:hint="eastAsia" w:ascii="宋体" w:hAnsi="宋体" w:cs="宋体"/>
          <w:b/>
          <w:bCs/>
          <w:color w:val="auto"/>
          <w:sz w:val="24"/>
          <w:szCs w:val="24"/>
        </w:rPr>
        <w:t>18.投标保证金</w:t>
      </w:r>
    </w:p>
    <w:p w14:paraId="40AE3EEC">
      <w:pPr>
        <w:spacing w:line="360" w:lineRule="auto"/>
        <w:ind w:firstLine="420"/>
        <w:jc w:val="left"/>
        <w:rPr>
          <w:rFonts w:ascii="宋体" w:hAnsi="宋体" w:cs="宋体"/>
          <w:color w:val="auto"/>
          <w:szCs w:val="21"/>
        </w:rPr>
      </w:pPr>
      <w:r>
        <w:rPr>
          <w:rFonts w:hint="eastAsia" w:ascii="宋体" w:hAnsi="宋体" w:cs="宋体"/>
          <w:color w:val="auto"/>
          <w:szCs w:val="21"/>
        </w:rPr>
        <w:t>18.1投标人应按《投标人须知前附表》规定的金额、形式交纳投标保证金，投标保证金须在投标文件提交截止时间前从投标人账户交纳到《投标人须知前附表》规定的账户，投标人未按照招标文件要求提交投标保证金的，投标无效。</w:t>
      </w:r>
    </w:p>
    <w:p w14:paraId="48D793BE">
      <w:pPr>
        <w:spacing w:line="360" w:lineRule="auto"/>
        <w:ind w:firstLine="420"/>
        <w:jc w:val="left"/>
        <w:rPr>
          <w:rFonts w:ascii="宋体" w:hAnsi="宋体" w:cs="宋体"/>
          <w:color w:val="auto"/>
          <w:szCs w:val="21"/>
        </w:rPr>
      </w:pPr>
      <w:r>
        <w:rPr>
          <w:rFonts w:hint="eastAsia" w:ascii="宋体" w:hAnsi="宋体" w:cs="宋体"/>
          <w:color w:val="auto"/>
          <w:szCs w:val="21"/>
        </w:rPr>
        <w:t>18.2在中标通知书发出后5个工作日内退还未中标投标人的投标保证金，中标人的投标保证金在采购合同签订后5个工作日内退还，但因投标人自身原因导致无法及时退还的除外。出现下列情形之一的，投标保证金不予退还：</w:t>
      </w:r>
    </w:p>
    <w:p w14:paraId="073AD19A">
      <w:pPr>
        <w:spacing w:line="360" w:lineRule="auto"/>
        <w:ind w:firstLine="420"/>
        <w:jc w:val="left"/>
        <w:rPr>
          <w:rFonts w:ascii="宋体" w:hAnsi="宋体" w:cs="宋体"/>
          <w:color w:val="auto"/>
          <w:szCs w:val="21"/>
        </w:rPr>
      </w:pPr>
      <w:r>
        <w:rPr>
          <w:rFonts w:hint="eastAsia" w:ascii="宋体" w:hAnsi="宋体" w:cs="宋体"/>
          <w:color w:val="auto"/>
          <w:szCs w:val="21"/>
        </w:rPr>
        <w:t>（1）投标人在提交投标文件截止时间后撤销投标文件的；</w:t>
      </w:r>
    </w:p>
    <w:p w14:paraId="21C9E079">
      <w:pPr>
        <w:spacing w:line="360" w:lineRule="auto"/>
        <w:ind w:firstLine="420"/>
        <w:jc w:val="left"/>
        <w:rPr>
          <w:rFonts w:ascii="宋体" w:hAnsi="宋体" w:cs="宋体"/>
          <w:color w:val="auto"/>
          <w:szCs w:val="21"/>
        </w:rPr>
      </w:pPr>
      <w:r>
        <w:rPr>
          <w:rFonts w:hint="eastAsia" w:ascii="宋体" w:hAnsi="宋体" w:cs="宋体"/>
          <w:color w:val="auto"/>
          <w:szCs w:val="21"/>
        </w:rPr>
        <w:t>（2）投标人在投标文件中提供虚假材料的；</w:t>
      </w:r>
    </w:p>
    <w:p w14:paraId="7EE4D687">
      <w:pPr>
        <w:spacing w:line="360" w:lineRule="auto"/>
        <w:ind w:firstLine="420"/>
        <w:jc w:val="left"/>
        <w:rPr>
          <w:rFonts w:ascii="宋体" w:hAnsi="宋体" w:cs="宋体"/>
          <w:color w:val="auto"/>
          <w:szCs w:val="21"/>
        </w:rPr>
      </w:pPr>
      <w:r>
        <w:rPr>
          <w:rFonts w:hint="eastAsia" w:ascii="宋体" w:hAnsi="宋体" w:cs="宋体"/>
          <w:color w:val="auto"/>
          <w:szCs w:val="21"/>
        </w:rPr>
        <w:t>（3）除因不可抗力或招标文件认可的情形以外，中标人不与采购人签订合同的；</w:t>
      </w:r>
    </w:p>
    <w:p w14:paraId="2CFAF492">
      <w:pPr>
        <w:spacing w:line="360" w:lineRule="auto"/>
        <w:ind w:firstLine="420"/>
        <w:jc w:val="left"/>
        <w:rPr>
          <w:rFonts w:ascii="宋体" w:hAnsi="宋体" w:cs="宋体"/>
          <w:color w:val="auto"/>
          <w:szCs w:val="21"/>
        </w:rPr>
      </w:pPr>
      <w:r>
        <w:rPr>
          <w:rFonts w:hint="eastAsia" w:ascii="宋体" w:hAnsi="宋体" w:cs="宋体"/>
          <w:color w:val="auto"/>
          <w:szCs w:val="21"/>
        </w:rPr>
        <w:t>（4）投标人与采购人、其他投标人或者采购代理机构恶意串通的；</w:t>
      </w:r>
    </w:p>
    <w:p w14:paraId="4D51A4EC">
      <w:pPr>
        <w:spacing w:line="360" w:lineRule="auto"/>
        <w:ind w:firstLine="420"/>
        <w:jc w:val="left"/>
        <w:rPr>
          <w:rFonts w:ascii="宋体" w:hAnsi="宋体" w:cs="宋体"/>
          <w:color w:val="auto"/>
          <w:szCs w:val="21"/>
        </w:rPr>
      </w:pPr>
      <w:r>
        <w:rPr>
          <w:rFonts w:hint="eastAsia" w:ascii="宋体" w:hAnsi="宋体" w:cs="宋体"/>
          <w:color w:val="auto"/>
          <w:szCs w:val="21"/>
        </w:rPr>
        <w:t>（5）招标文件规定的其他情形。</w:t>
      </w:r>
    </w:p>
    <w:p w14:paraId="27327D6F">
      <w:pPr>
        <w:spacing w:line="360" w:lineRule="auto"/>
        <w:jc w:val="left"/>
        <w:rPr>
          <w:rFonts w:ascii="宋体" w:hAnsi="宋体" w:cs="宋体"/>
          <w:b/>
          <w:bCs/>
          <w:color w:val="auto"/>
          <w:sz w:val="24"/>
          <w:szCs w:val="24"/>
        </w:rPr>
      </w:pPr>
      <w:r>
        <w:rPr>
          <w:rFonts w:hint="eastAsia" w:ascii="宋体" w:hAnsi="宋体" w:cs="宋体"/>
          <w:b/>
          <w:bCs/>
          <w:color w:val="auto"/>
          <w:sz w:val="24"/>
          <w:szCs w:val="24"/>
        </w:rPr>
        <w:t>19.投标文件的编制</w:t>
      </w:r>
    </w:p>
    <w:p w14:paraId="654E1A20">
      <w:pPr>
        <w:spacing w:line="360" w:lineRule="auto"/>
        <w:ind w:firstLine="420"/>
        <w:jc w:val="left"/>
        <w:rPr>
          <w:rFonts w:ascii="宋体" w:hAnsi="宋体" w:cs="宋体"/>
          <w:color w:val="auto"/>
          <w:szCs w:val="21"/>
        </w:rPr>
      </w:pPr>
      <w:r>
        <w:rPr>
          <w:rFonts w:hint="eastAsia" w:ascii="宋体" w:hAnsi="宋体" w:cs="宋体"/>
          <w:color w:val="auto"/>
          <w:szCs w:val="21"/>
        </w:rPr>
        <w:t>19.1投标文件按招标文件要求由投标人的法定代表人电子签名或电子签章并加盖投标人的电子公章。</w:t>
      </w:r>
    </w:p>
    <w:p w14:paraId="290B7FBF">
      <w:pPr>
        <w:spacing w:line="360" w:lineRule="auto"/>
        <w:ind w:firstLine="420"/>
        <w:jc w:val="left"/>
        <w:rPr>
          <w:rFonts w:ascii="宋体" w:hAnsi="宋体" w:cs="宋体"/>
          <w:color w:val="auto"/>
          <w:szCs w:val="21"/>
        </w:rPr>
      </w:pPr>
      <w:r>
        <w:rPr>
          <w:rFonts w:hint="eastAsia" w:ascii="宋体" w:hAnsi="宋体" w:cs="宋体"/>
          <w:color w:val="auto"/>
          <w:szCs w:val="21"/>
        </w:rPr>
        <w:t>19.2投标文件应尽量避免涂改、行间插字或删除。如果出现上述情况，改动之处应加盖投标人的电子公章或投标人法定代表人电子签名或电子签章确认。</w:t>
      </w:r>
    </w:p>
    <w:p w14:paraId="6DE78C06">
      <w:pPr>
        <w:spacing w:line="360" w:lineRule="auto"/>
        <w:ind w:firstLine="420"/>
        <w:jc w:val="left"/>
        <w:rPr>
          <w:rFonts w:ascii="宋体" w:hAnsi="宋体" w:cs="宋体"/>
          <w:color w:val="auto"/>
          <w:szCs w:val="21"/>
        </w:rPr>
      </w:pPr>
      <w:r>
        <w:rPr>
          <w:rFonts w:hint="eastAsia" w:ascii="宋体" w:hAnsi="宋体" w:cs="宋体"/>
          <w:color w:val="auto"/>
          <w:szCs w:val="21"/>
        </w:rPr>
        <w:t>19.3投标文件应由法定代表人在招标文件规定签字处逐一电子签名或电子签章，要求盖章处应盖单位电子公章，若以“投标专用章”或“合同专用章”代替的，须出具投标人单位公章对“投标专用章”或“合同专用章”的授权函。</w:t>
      </w:r>
    </w:p>
    <w:p w14:paraId="030B14C0">
      <w:pPr>
        <w:spacing w:line="360" w:lineRule="auto"/>
        <w:ind w:firstLine="420"/>
        <w:jc w:val="left"/>
        <w:rPr>
          <w:rFonts w:ascii="宋体" w:hAnsi="宋体" w:cs="宋体"/>
          <w:color w:val="auto"/>
          <w:szCs w:val="21"/>
        </w:rPr>
      </w:pPr>
      <w:r>
        <w:rPr>
          <w:rFonts w:hint="eastAsia" w:ascii="宋体" w:hAnsi="宋体" w:cs="宋体"/>
          <w:color w:val="auto"/>
          <w:szCs w:val="21"/>
        </w:rPr>
        <w:t>19.4投标文件中提供的资料（包括复印件）、关键内容必须清晰可辨，若出现字迹潦草、表达不清、未按要求填写而导致非唯一理解，视为未实质性响应招标采购文件，投标人投标文件将按无效处理。</w:t>
      </w:r>
    </w:p>
    <w:p w14:paraId="118BA181">
      <w:pPr>
        <w:spacing w:line="360" w:lineRule="auto"/>
        <w:jc w:val="left"/>
        <w:rPr>
          <w:rFonts w:ascii="宋体" w:hAnsi="宋体" w:cs="宋体"/>
          <w:b/>
          <w:bCs/>
          <w:color w:val="auto"/>
          <w:sz w:val="24"/>
          <w:szCs w:val="24"/>
        </w:rPr>
      </w:pPr>
      <w:bookmarkStart w:id="234" w:name="_Toc16360"/>
      <w:bookmarkStart w:id="235" w:name="_Toc13058"/>
      <w:bookmarkStart w:id="236" w:name="_Toc6763"/>
      <w:r>
        <w:rPr>
          <w:rFonts w:hint="eastAsia" w:ascii="宋体" w:hAnsi="宋体" w:cs="宋体"/>
          <w:b/>
          <w:bCs/>
          <w:color w:val="auto"/>
          <w:sz w:val="24"/>
          <w:szCs w:val="24"/>
        </w:rPr>
        <w:t>20.投标报价和报价货币</w:t>
      </w:r>
      <w:bookmarkEnd w:id="231"/>
      <w:bookmarkEnd w:id="232"/>
      <w:bookmarkEnd w:id="233"/>
      <w:bookmarkEnd w:id="234"/>
      <w:bookmarkEnd w:id="235"/>
      <w:bookmarkEnd w:id="236"/>
      <w:bookmarkStart w:id="237" w:name="_Toc432106486"/>
      <w:bookmarkStart w:id="238" w:name="_Toc329810197"/>
      <w:bookmarkStart w:id="239" w:name="_Toc383175287"/>
      <w:bookmarkStart w:id="240" w:name="_Toc470507051"/>
      <w:bookmarkStart w:id="241" w:name="_Toc482343737"/>
      <w:bookmarkStart w:id="242" w:name="_Toc383175063"/>
      <w:bookmarkStart w:id="243" w:name="_Toc383175485"/>
      <w:bookmarkStart w:id="244" w:name="_Toc432194837"/>
      <w:bookmarkStart w:id="245" w:name="_Toc86124056"/>
    </w:p>
    <w:bookmarkEnd w:id="237"/>
    <w:bookmarkEnd w:id="238"/>
    <w:bookmarkEnd w:id="239"/>
    <w:bookmarkEnd w:id="240"/>
    <w:bookmarkEnd w:id="241"/>
    <w:bookmarkEnd w:id="242"/>
    <w:bookmarkEnd w:id="243"/>
    <w:bookmarkEnd w:id="244"/>
    <w:bookmarkEnd w:id="245"/>
    <w:p w14:paraId="51DB1E5F">
      <w:pPr>
        <w:spacing w:line="360" w:lineRule="auto"/>
        <w:ind w:firstLine="420"/>
        <w:jc w:val="left"/>
        <w:rPr>
          <w:rFonts w:ascii="宋体" w:hAnsi="宋体" w:cs="宋体"/>
          <w:color w:val="auto"/>
          <w:szCs w:val="21"/>
        </w:rPr>
      </w:pPr>
      <w:r>
        <w:rPr>
          <w:rFonts w:hint="eastAsia" w:ascii="宋体" w:hAnsi="宋体" w:cs="宋体"/>
          <w:color w:val="auto"/>
          <w:szCs w:val="21"/>
        </w:rPr>
        <w:t>20.1投标人必须对所有内容作出完整唯一的投标报价，不得缺项、漏项，否则投标文件将按无效处理。</w:t>
      </w:r>
    </w:p>
    <w:p w14:paraId="01131812">
      <w:pPr>
        <w:spacing w:line="360" w:lineRule="auto"/>
        <w:ind w:firstLine="420"/>
        <w:jc w:val="left"/>
        <w:rPr>
          <w:rFonts w:ascii="宋体" w:hAnsi="宋体" w:cs="宋体"/>
          <w:color w:val="auto"/>
          <w:szCs w:val="21"/>
        </w:rPr>
      </w:pPr>
      <w:r>
        <w:rPr>
          <w:rFonts w:hint="eastAsia" w:ascii="宋体" w:hAnsi="宋体" w:cs="宋体"/>
          <w:color w:val="auto"/>
          <w:szCs w:val="21"/>
        </w:rPr>
        <w:t>20.2投标报价指投标人依据招标文件的要求及有关资料，执行国家或行业现行技术、经济标准、定额及规范，根据现行市场价格自行测算出满足采购要求的硬件设备费、软件系统费、运输与装卸费、</w:t>
      </w:r>
      <w:r>
        <w:rPr>
          <w:rFonts w:hint="eastAsia" w:asciiTheme="minorEastAsia" w:hAnsiTheme="minorEastAsia" w:eastAsiaTheme="minorEastAsia" w:cstheme="minorEastAsia"/>
          <w:color w:val="auto"/>
          <w:szCs w:val="21"/>
        </w:rPr>
        <w:t>辅助材料及施工费、</w:t>
      </w:r>
      <w:r>
        <w:rPr>
          <w:rFonts w:hint="eastAsia" w:ascii="宋体" w:hAnsi="宋体" w:cs="宋体"/>
          <w:color w:val="auto"/>
          <w:szCs w:val="21"/>
        </w:rPr>
        <w:t>安装调试费、系统集成费、对接费、培训费、技术文档费、验收测试费、质保期内服务费、专用工具费、税费、项目管理费、保险费、采购代理服务费、利润、税金等全部费用的总和。</w:t>
      </w:r>
    </w:p>
    <w:p w14:paraId="0D4FF8A3">
      <w:pPr>
        <w:spacing w:line="360" w:lineRule="auto"/>
        <w:ind w:firstLine="420"/>
        <w:jc w:val="left"/>
        <w:rPr>
          <w:rFonts w:ascii="宋体" w:hAnsi="宋体" w:cs="宋体"/>
          <w:color w:val="auto"/>
          <w:szCs w:val="21"/>
        </w:rPr>
      </w:pPr>
      <w:r>
        <w:rPr>
          <w:rFonts w:hint="eastAsia" w:ascii="宋体" w:hAnsi="宋体" w:cs="宋体"/>
          <w:color w:val="auto"/>
          <w:szCs w:val="21"/>
        </w:rPr>
        <w:t>20.3投标报价应符合市场行情并能保证投标人完成履行合同所需的一切工作。合同一旦签订，此价格在合同实施期间将不因市场价格等的变化而调整。项目特别要求提供备品备件的，此部分价格应包含在上述价格中。</w:t>
      </w:r>
    </w:p>
    <w:p w14:paraId="3BC92D6C">
      <w:pPr>
        <w:spacing w:line="360" w:lineRule="auto"/>
        <w:ind w:firstLine="420"/>
        <w:jc w:val="left"/>
        <w:rPr>
          <w:rFonts w:ascii="宋体" w:hAnsi="宋体" w:cs="宋体"/>
          <w:color w:val="auto"/>
          <w:szCs w:val="21"/>
        </w:rPr>
      </w:pPr>
      <w:r>
        <w:rPr>
          <w:rFonts w:hint="eastAsia" w:ascii="宋体" w:hAnsi="宋体" w:cs="宋体"/>
          <w:color w:val="auto"/>
          <w:szCs w:val="21"/>
        </w:rPr>
        <w:t>20.4无论分项价格是否填报完全，投标报价将被视为已经包含了所有分项价格以及与项目相关的所有货物、工程或者服务费用。由于投标人分项报价填报不完整、不清楚或存在其它任何失误所导致的任何不利后果均由投标人自行承担。</w:t>
      </w:r>
    </w:p>
    <w:p w14:paraId="298063D6">
      <w:pPr>
        <w:spacing w:line="360" w:lineRule="auto"/>
        <w:ind w:firstLine="420"/>
        <w:jc w:val="left"/>
        <w:rPr>
          <w:rFonts w:ascii="宋体" w:hAnsi="宋体" w:cs="宋体"/>
          <w:color w:val="auto"/>
          <w:szCs w:val="21"/>
        </w:rPr>
      </w:pPr>
      <w:r>
        <w:rPr>
          <w:rFonts w:hint="eastAsia" w:ascii="宋体" w:hAnsi="宋体" w:cs="宋体"/>
          <w:color w:val="auto"/>
          <w:szCs w:val="21"/>
        </w:rPr>
        <w:t>20.5除招标文件中指定的标准附件和专用工具外，投标人应提供货物正常运行和常规保养所需的全套标准附件、专用工具和消耗品。投标人在投标文件中需列出这些附件和工具的数量和单价的清单，这些附件和工具的报价的总值需计入投标报价中。</w:t>
      </w:r>
    </w:p>
    <w:p w14:paraId="334C4AF5">
      <w:pPr>
        <w:spacing w:line="360" w:lineRule="auto"/>
        <w:ind w:firstLine="420"/>
        <w:jc w:val="left"/>
        <w:rPr>
          <w:rFonts w:ascii="宋体" w:hAnsi="宋体" w:cs="宋体"/>
          <w:color w:val="auto"/>
          <w:szCs w:val="21"/>
        </w:rPr>
      </w:pPr>
      <w:r>
        <w:rPr>
          <w:rFonts w:hint="eastAsia" w:ascii="宋体" w:hAnsi="宋体" w:cs="宋体"/>
          <w:color w:val="auto"/>
          <w:szCs w:val="21"/>
        </w:rPr>
        <w:t>20.6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22DA77D">
      <w:pPr>
        <w:spacing w:line="360" w:lineRule="auto"/>
        <w:ind w:firstLine="420"/>
        <w:jc w:val="left"/>
        <w:rPr>
          <w:rFonts w:ascii="宋体" w:hAnsi="宋体" w:cs="宋体"/>
          <w:color w:val="auto"/>
          <w:szCs w:val="21"/>
        </w:rPr>
      </w:pPr>
      <w:r>
        <w:rPr>
          <w:rFonts w:hint="eastAsia" w:ascii="宋体" w:hAnsi="宋体" w:cs="宋体"/>
          <w:color w:val="auto"/>
          <w:szCs w:val="21"/>
        </w:rPr>
        <w:t>20.7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p w14:paraId="4DB8D1F3">
      <w:pPr>
        <w:spacing w:line="360" w:lineRule="auto"/>
        <w:ind w:firstLine="420"/>
        <w:jc w:val="left"/>
        <w:rPr>
          <w:rFonts w:ascii="宋体" w:hAnsi="宋体" w:cs="宋体"/>
          <w:color w:val="auto"/>
          <w:szCs w:val="21"/>
        </w:rPr>
      </w:pPr>
      <w:r>
        <w:rPr>
          <w:rFonts w:hint="eastAsia" w:ascii="宋体" w:hAnsi="宋体" w:cs="宋体"/>
          <w:color w:val="auto"/>
          <w:szCs w:val="21"/>
        </w:rPr>
        <w:t>20.8报价货币为人民币。</w:t>
      </w:r>
    </w:p>
    <w:p w14:paraId="572255E8">
      <w:pPr>
        <w:spacing w:line="500" w:lineRule="exact"/>
        <w:jc w:val="center"/>
        <w:rPr>
          <w:rFonts w:ascii="宋体" w:hAnsi="宋体" w:cs="宋体"/>
          <w:b/>
          <w:color w:val="auto"/>
          <w:sz w:val="30"/>
          <w:szCs w:val="30"/>
        </w:rPr>
      </w:pPr>
      <w:bookmarkStart w:id="246" w:name="_Toc27900"/>
      <w:bookmarkStart w:id="247" w:name="_Toc488633607"/>
      <w:bookmarkStart w:id="248" w:name="_Toc6164"/>
      <w:bookmarkStart w:id="249" w:name="_Toc489145727"/>
      <w:bookmarkStart w:id="250" w:name="_Toc489197831"/>
      <w:bookmarkStart w:id="251" w:name="_Toc528186475"/>
      <w:bookmarkStart w:id="252" w:name="_Toc23255"/>
      <w:bookmarkStart w:id="253" w:name="_Toc12423"/>
      <w:r>
        <w:rPr>
          <w:rFonts w:hint="eastAsia" w:ascii="宋体" w:hAnsi="宋体" w:cs="宋体"/>
          <w:b/>
          <w:color w:val="auto"/>
          <w:sz w:val="30"/>
          <w:szCs w:val="30"/>
        </w:rPr>
        <w:t>四、投标</w:t>
      </w:r>
      <w:bookmarkEnd w:id="246"/>
      <w:bookmarkEnd w:id="247"/>
      <w:bookmarkEnd w:id="248"/>
      <w:bookmarkEnd w:id="249"/>
      <w:bookmarkEnd w:id="250"/>
      <w:bookmarkEnd w:id="251"/>
      <w:bookmarkEnd w:id="252"/>
      <w:bookmarkEnd w:id="253"/>
    </w:p>
    <w:p w14:paraId="3E419A7A">
      <w:pPr>
        <w:spacing w:line="360" w:lineRule="auto"/>
        <w:jc w:val="left"/>
        <w:rPr>
          <w:rFonts w:ascii="宋体" w:hAnsi="宋体" w:cs="宋体"/>
          <w:b/>
          <w:bCs/>
          <w:color w:val="auto"/>
          <w:sz w:val="24"/>
          <w:szCs w:val="24"/>
        </w:rPr>
      </w:pPr>
      <w:bookmarkStart w:id="254" w:name="_Toc489145728"/>
      <w:bookmarkStart w:id="255" w:name="_Toc6233"/>
      <w:bookmarkStart w:id="256" w:name="_Toc489197832"/>
      <w:bookmarkStart w:id="257" w:name="_Toc12022"/>
      <w:bookmarkStart w:id="258" w:name="_Toc528186476"/>
      <w:bookmarkStart w:id="259" w:name="_Toc29859"/>
      <w:r>
        <w:rPr>
          <w:rFonts w:hint="eastAsia" w:ascii="宋体" w:hAnsi="宋体" w:cs="宋体"/>
          <w:b/>
          <w:bCs/>
          <w:color w:val="auto"/>
          <w:sz w:val="24"/>
          <w:szCs w:val="24"/>
        </w:rPr>
        <w:t>21.投标文</w:t>
      </w:r>
      <w:bookmarkStart w:id="260" w:name="_Toc378239354"/>
      <w:bookmarkStart w:id="261" w:name="_Toc378239081"/>
      <w:bookmarkStart w:id="262" w:name="_Toc401342137"/>
      <w:bookmarkStart w:id="263" w:name="_Toc296602443"/>
      <w:bookmarkStart w:id="264" w:name="_Toc378239173"/>
      <w:bookmarkStart w:id="265" w:name="_Toc4707"/>
      <w:bookmarkStart w:id="266" w:name="_Toc480817646"/>
      <w:r>
        <w:rPr>
          <w:rFonts w:hint="eastAsia" w:ascii="宋体" w:hAnsi="宋体" w:cs="宋体"/>
          <w:b/>
          <w:bCs/>
          <w:color w:val="auto"/>
          <w:sz w:val="24"/>
          <w:szCs w:val="24"/>
        </w:rPr>
        <w:t>件的密封</w:t>
      </w:r>
      <w:bookmarkEnd w:id="260"/>
      <w:bookmarkEnd w:id="261"/>
      <w:bookmarkEnd w:id="262"/>
      <w:bookmarkEnd w:id="263"/>
      <w:bookmarkEnd w:id="264"/>
      <w:bookmarkEnd w:id="265"/>
      <w:bookmarkEnd w:id="266"/>
      <w:r>
        <w:rPr>
          <w:rFonts w:hint="eastAsia" w:ascii="宋体" w:hAnsi="宋体" w:cs="宋体"/>
          <w:b/>
          <w:bCs/>
          <w:color w:val="auto"/>
          <w:sz w:val="24"/>
          <w:szCs w:val="24"/>
        </w:rPr>
        <w:t>和</w:t>
      </w:r>
      <w:bookmarkEnd w:id="254"/>
      <w:bookmarkEnd w:id="255"/>
      <w:bookmarkEnd w:id="256"/>
      <w:bookmarkEnd w:id="257"/>
      <w:bookmarkEnd w:id="258"/>
      <w:bookmarkEnd w:id="259"/>
      <w:bookmarkStart w:id="267" w:name="_Toc247085714"/>
      <w:bookmarkStart w:id="268" w:name="_Toc246996200"/>
      <w:bookmarkStart w:id="269" w:name="_Toc152045556"/>
      <w:bookmarkStart w:id="270" w:name="_Toc296602444"/>
      <w:bookmarkStart w:id="271" w:name="_Toc144974524"/>
      <w:bookmarkStart w:id="272" w:name="_Toc246996943"/>
      <w:bookmarkStart w:id="273" w:name="_Toc152042332"/>
      <w:bookmarkStart w:id="274" w:name="_Toc179632574"/>
      <w:r>
        <w:rPr>
          <w:rFonts w:hint="eastAsia" w:ascii="宋体" w:hAnsi="宋体" w:cs="宋体"/>
          <w:b/>
          <w:bCs/>
          <w:color w:val="auto"/>
          <w:sz w:val="24"/>
          <w:szCs w:val="24"/>
        </w:rPr>
        <w:t>解密</w:t>
      </w:r>
    </w:p>
    <w:bookmarkEnd w:id="267"/>
    <w:bookmarkEnd w:id="268"/>
    <w:bookmarkEnd w:id="269"/>
    <w:bookmarkEnd w:id="270"/>
    <w:bookmarkEnd w:id="271"/>
    <w:bookmarkEnd w:id="272"/>
    <w:bookmarkEnd w:id="273"/>
    <w:bookmarkEnd w:id="274"/>
    <w:p w14:paraId="33CA6A48">
      <w:pPr>
        <w:wordWrap w:val="0"/>
        <w:spacing w:line="360" w:lineRule="auto"/>
        <w:ind w:firstLine="420"/>
        <w:jc w:val="left"/>
        <w:rPr>
          <w:rFonts w:ascii="宋体" w:hAnsi="宋体" w:cs="宋体"/>
          <w:color w:val="auto"/>
          <w:szCs w:val="21"/>
        </w:rPr>
      </w:pPr>
      <w:bookmarkStart w:id="275" w:name="_Toc489197833"/>
      <w:bookmarkStart w:id="276" w:name="_Toc528186477"/>
      <w:bookmarkStart w:id="277" w:name="_Toc489145729"/>
      <w:bookmarkStart w:id="278" w:name="_Toc144974525"/>
      <w:bookmarkStart w:id="279" w:name="_Toc246996944"/>
      <w:bookmarkStart w:id="280" w:name="_Toc152042333"/>
      <w:bookmarkStart w:id="281" w:name="_Toc247085715"/>
      <w:bookmarkStart w:id="282" w:name="_Toc152045557"/>
      <w:bookmarkStart w:id="283" w:name="_Toc179632575"/>
      <w:bookmarkStart w:id="284" w:name="_Toc246996201"/>
      <w:r>
        <w:rPr>
          <w:rFonts w:hint="eastAsia" w:ascii="宋体" w:hAnsi="宋体" w:cs="宋体"/>
          <w:color w:val="auto"/>
          <w:szCs w:val="21"/>
        </w:rPr>
        <w:t>21.1投标文件的密封：</w:t>
      </w:r>
      <w:bookmarkStart w:id="285" w:name="_Toc34"/>
      <w:bookmarkStart w:id="286" w:name="_Toc17219"/>
      <w:bookmarkStart w:id="287" w:name="_Toc1260"/>
      <w:r>
        <w:rPr>
          <w:rFonts w:hint="eastAsia" w:ascii="宋体" w:hAnsi="宋体" w:cs="宋体"/>
          <w:color w:val="auto"/>
          <w:szCs w:val="21"/>
        </w:rPr>
        <w:t>投标人应按照"政采云"平台的要求编制、加密投标文件后在投标文件提交截止时间前上传至"政采云"平台，投标文件提交截止时间前未完成投标文件上传的，视为撤回投标文件。</w:t>
      </w:r>
    </w:p>
    <w:p w14:paraId="350D5CC5">
      <w:pPr>
        <w:spacing w:line="360" w:lineRule="auto"/>
        <w:ind w:firstLine="420"/>
        <w:jc w:val="left"/>
        <w:rPr>
          <w:rFonts w:ascii="宋体" w:hAnsi="宋体" w:cs="宋体"/>
          <w:color w:val="auto"/>
          <w:szCs w:val="21"/>
        </w:rPr>
      </w:pPr>
      <w:r>
        <w:rPr>
          <w:rFonts w:hint="eastAsia" w:ascii="宋体" w:hAnsi="宋体" w:cs="宋体"/>
          <w:color w:val="auto"/>
          <w:szCs w:val="21"/>
        </w:rPr>
        <w:t>21.2投标文件的解密：投标人无需到达开标地点，须在"政采云"平台进行远程解密电子版投标文件。解密时长为30分钟，因投标人自身原因导致未在规定时间内完成投标文件解密的，视为撤回投标文件。</w:t>
      </w:r>
    </w:p>
    <w:p w14:paraId="5FF0D1C7">
      <w:pPr>
        <w:spacing w:line="360" w:lineRule="auto"/>
        <w:jc w:val="left"/>
        <w:rPr>
          <w:rFonts w:ascii="宋体" w:hAnsi="宋体" w:cs="宋体"/>
          <w:b/>
          <w:bCs/>
          <w:color w:val="auto"/>
          <w:sz w:val="24"/>
          <w:szCs w:val="24"/>
        </w:rPr>
      </w:pPr>
      <w:r>
        <w:rPr>
          <w:rFonts w:hint="eastAsia" w:ascii="宋体" w:hAnsi="宋体" w:cs="宋体"/>
          <w:b/>
          <w:bCs/>
          <w:color w:val="auto"/>
          <w:sz w:val="24"/>
          <w:szCs w:val="24"/>
        </w:rPr>
        <w:t>22.投标文件的提交</w:t>
      </w:r>
      <w:bookmarkEnd w:id="275"/>
      <w:bookmarkEnd w:id="276"/>
      <w:bookmarkEnd w:id="277"/>
      <w:bookmarkEnd w:id="285"/>
      <w:bookmarkEnd w:id="286"/>
      <w:bookmarkEnd w:id="287"/>
    </w:p>
    <w:p w14:paraId="7E50F08A">
      <w:pPr>
        <w:spacing w:line="360" w:lineRule="auto"/>
        <w:ind w:firstLine="420"/>
        <w:jc w:val="left"/>
        <w:rPr>
          <w:rFonts w:ascii="宋体" w:hAnsi="宋体" w:cs="宋体"/>
          <w:color w:val="auto"/>
          <w:szCs w:val="21"/>
        </w:rPr>
      </w:pPr>
      <w:bookmarkStart w:id="288" w:name="_Toc296602445"/>
      <w:r>
        <w:rPr>
          <w:rFonts w:hint="eastAsia" w:ascii="宋体" w:hAnsi="宋体" w:cs="宋体"/>
          <w:color w:val="auto"/>
          <w:szCs w:val="21"/>
        </w:rPr>
        <w:t>22.1投标文件提</w:t>
      </w:r>
      <w:bookmarkEnd w:id="278"/>
      <w:bookmarkEnd w:id="279"/>
      <w:bookmarkEnd w:id="280"/>
      <w:bookmarkEnd w:id="281"/>
      <w:bookmarkEnd w:id="282"/>
      <w:bookmarkEnd w:id="283"/>
      <w:bookmarkEnd w:id="284"/>
      <w:bookmarkEnd w:id="288"/>
      <w:r>
        <w:rPr>
          <w:rFonts w:hint="eastAsia" w:ascii="宋体" w:hAnsi="宋体" w:cs="宋体"/>
          <w:color w:val="auto"/>
          <w:szCs w:val="21"/>
        </w:rPr>
        <w:t>交截止时间、提交投标文件的地点：详见《投标人须知前附表》；</w:t>
      </w:r>
    </w:p>
    <w:p w14:paraId="0A5C6758">
      <w:pPr>
        <w:spacing w:line="360" w:lineRule="auto"/>
        <w:ind w:firstLine="420"/>
        <w:jc w:val="left"/>
        <w:rPr>
          <w:color w:val="auto"/>
        </w:rPr>
      </w:pPr>
      <w:r>
        <w:rPr>
          <w:rFonts w:hint="eastAsia" w:ascii="宋体" w:hAnsi="宋体" w:cs="宋体"/>
          <w:color w:val="auto"/>
          <w:szCs w:val="21"/>
        </w:rPr>
        <w:t>22.2投标人应按照本项目采购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p w14:paraId="08D9F29E">
      <w:pPr>
        <w:spacing w:line="360" w:lineRule="auto"/>
        <w:jc w:val="left"/>
        <w:rPr>
          <w:rFonts w:ascii="宋体" w:hAnsi="宋体" w:cs="宋体"/>
          <w:b/>
          <w:bCs/>
          <w:color w:val="auto"/>
          <w:sz w:val="24"/>
          <w:szCs w:val="24"/>
        </w:rPr>
      </w:pPr>
      <w:bookmarkStart w:id="289" w:name="_Toc489145730"/>
      <w:bookmarkStart w:id="290" w:name="_Toc489197834"/>
      <w:bookmarkStart w:id="291" w:name="_Toc14578"/>
      <w:bookmarkStart w:id="292" w:name="_Toc21225"/>
      <w:bookmarkStart w:id="293" w:name="_Toc8866"/>
      <w:bookmarkStart w:id="294" w:name="_Toc528186478"/>
      <w:r>
        <w:rPr>
          <w:rFonts w:hint="eastAsia" w:ascii="宋体" w:hAnsi="宋体" w:cs="宋体"/>
          <w:b/>
          <w:bCs/>
          <w:color w:val="auto"/>
          <w:sz w:val="24"/>
          <w:szCs w:val="24"/>
        </w:rPr>
        <w:t>23.投标文件的补充、</w:t>
      </w:r>
      <w:bookmarkStart w:id="295" w:name="_Toc144974526"/>
      <w:bookmarkStart w:id="296" w:name="_Toc247085716"/>
      <w:bookmarkStart w:id="297" w:name="_Toc152042334"/>
      <w:bookmarkStart w:id="298" w:name="_Toc152045558"/>
      <w:bookmarkStart w:id="299" w:name="_Toc179632576"/>
      <w:bookmarkStart w:id="300" w:name="_Toc296602446"/>
      <w:bookmarkStart w:id="301" w:name="_Toc246996202"/>
      <w:bookmarkStart w:id="302" w:name="_Toc246996945"/>
      <w:r>
        <w:rPr>
          <w:rFonts w:hint="eastAsia" w:ascii="宋体" w:hAnsi="宋体" w:cs="宋体"/>
          <w:b/>
          <w:bCs/>
          <w:color w:val="auto"/>
          <w:sz w:val="24"/>
          <w:szCs w:val="24"/>
        </w:rPr>
        <w:t>修改或者撤回</w:t>
      </w:r>
      <w:bookmarkEnd w:id="289"/>
      <w:bookmarkEnd w:id="290"/>
      <w:bookmarkEnd w:id="291"/>
      <w:bookmarkEnd w:id="292"/>
      <w:bookmarkEnd w:id="293"/>
      <w:bookmarkEnd w:id="294"/>
    </w:p>
    <w:p w14:paraId="0E377885">
      <w:pPr>
        <w:spacing w:line="360" w:lineRule="auto"/>
        <w:ind w:firstLine="420"/>
        <w:jc w:val="left"/>
        <w:rPr>
          <w:rFonts w:ascii="宋体" w:hAnsi="宋体" w:cs="宋体"/>
          <w:color w:val="auto"/>
          <w:szCs w:val="21"/>
        </w:rPr>
      </w:pPr>
      <w:r>
        <w:rPr>
          <w:rFonts w:hint="eastAsia" w:ascii="宋体" w:hAnsi="宋体" w:cs="宋体"/>
          <w:color w:val="auto"/>
          <w:szCs w:val="21"/>
        </w:rPr>
        <w:t>23</w:t>
      </w:r>
      <w:bookmarkEnd w:id="295"/>
      <w:bookmarkEnd w:id="296"/>
      <w:bookmarkEnd w:id="297"/>
      <w:bookmarkEnd w:id="298"/>
      <w:bookmarkEnd w:id="299"/>
      <w:bookmarkEnd w:id="300"/>
      <w:bookmarkEnd w:id="301"/>
      <w:bookmarkEnd w:id="302"/>
      <w:r>
        <w:rPr>
          <w:rFonts w:hint="eastAsia" w:ascii="宋体" w:hAnsi="宋体" w:cs="宋体"/>
          <w:color w:val="auto"/>
          <w:szCs w:val="21"/>
        </w:rPr>
        <w:t>.1投标人在投标截止时间前，可以对所提交的投标文件进行补充、修改或者撤回，并书面通知采购人或者采购代理机构。补充、修改的内容应当按照招标文件要求签署、盖章、密封后，作为投标文件的组成部分。</w:t>
      </w:r>
    </w:p>
    <w:p w14:paraId="01174711">
      <w:pPr>
        <w:spacing w:line="360" w:lineRule="auto"/>
        <w:ind w:firstLine="420"/>
        <w:jc w:val="left"/>
        <w:rPr>
          <w:rFonts w:ascii="宋体" w:hAnsi="宋体" w:cs="宋体"/>
          <w:color w:val="auto"/>
          <w:szCs w:val="21"/>
        </w:rPr>
      </w:pPr>
      <w:r>
        <w:rPr>
          <w:rFonts w:hint="eastAsia" w:ascii="宋体" w:hAnsi="宋体" w:cs="宋体"/>
          <w:color w:val="auto"/>
          <w:szCs w:val="21"/>
        </w:rPr>
        <w:t>23.2投标人在投标截止时间前撤回已提交的投标文件的，采购人或者采购代理机构将自收到投标人书面撤回通知之日起5个工作日内，退还已收取的投标保证金，但因投标人自身原因导致无法及时退还的除外。</w:t>
      </w:r>
    </w:p>
    <w:p w14:paraId="7371F672">
      <w:pPr>
        <w:spacing w:line="500" w:lineRule="exact"/>
        <w:jc w:val="center"/>
        <w:rPr>
          <w:rFonts w:ascii="宋体" w:hAnsi="宋体" w:cs="宋体"/>
          <w:b/>
          <w:color w:val="auto"/>
          <w:sz w:val="30"/>
          <w:szCs w:val="30"/>
        </w:rPr>
      </w:pPr>
      <w:bookmarkStart w:id="303" w:name="_Toc488633608"/>
      <w:bookmarkStart w:id="304" w:name="_Toc17571"/>
      <w:bookmarkStart w:id="305" w:name="_Toc489145731"/>
      <w:bookmarkStart w:id="306" w:name="_Toc19851"/>
      <w:bookmarkStart w:id="307" w:name="_Toc23680"/>
      <w:bookmarkStart w:id="308" w:name="_Toc528186479"/>
      <w:bookmarkStart w:id="309" w:name="_Toc489197835"/>
      <w:bookmarkStart w:id="310" w:name="_Toc15436"/>
      <w:r>
        <w:rPr>
          <w:rFonts w:hint="eastAsia" w:ascii="宋体" w:hAnsi="宋体" w:cs="宋体"/>
          <w:b/>
          <w:color w:val="auto"/>
          <w:sz w:val="30"/>
          <w:szCs w:val="30"/>
        </w:rPr>
        <w:t>五、开标</w:t>
      </w:r>
      <w:bookmarkEnd w:id="303"/>
      <w:bookmarkEnd w:id="304"/>
      <w:bookmarkEnd w:id="305"/>
      <w:bookmarkEnd w:id="306"/>
      <w:bookmarkEnd w:id="307"/>
      <w:bookmarkEnd w:id="308"/>
      <w:bookmarkEnd w:id="309"/>
      <w:bookmarkEnd w:id="310"/>
    </w:p>
    <w:p w14:paraId="2FCF140E">
      <w:pPr>
        <w:spacing w:line="360" w:lineRule="auto"/>
        <w:jc w:val="left"/>
        <w:rPr>
          <w:rFonts w:ascii="宋体" w:hAnsi="宋体" w:cs="宋体"/>
          <w:b/>
          <w:bCs/>
          <w:color w:val="auto"/>
          <w:sz w:val="24"/>
          <w:szCs w:val="24"/>
        </w:rPr>
      </w:pPr>
      <w:bookmarkStart w:id="311" w:name="_Toc14962"/>
      <w:bookmarkStart w:id="312" w:name="_Toc528186480"/>
      <w:bookmarkStart w:id="313" w:name="_Toc14804"/>
      <w:bookmarkStart w:id="314" w:name="_Toc489197836"/>
      <w:bookmarkStart w:id="315" w:name="_Toc489145732"/>
      <w:bookmarkStart w:id="316" w:name="_Toc28158"/>
      <w:r>
        <w:rPr>
          <w:rFonts w:hint="eastAsia" w:ascii="宋体" w:hAnsi="宋体" w:cs="宋体"/>
          <w:b/>
          <w:bCs/>
          <w:color w:val="auto"/>
          <w:sz w:val="24"/>
          <w:szCs w:val="24"/>
        </w:rPr>
        <w:t>24.开标</w:t>
      </w:r>
      <w:bookmarkEnd w:id="311"/>
      <w:bookmarkEnd w:id="312"/>
      <w:bookmarkEnd w:id="313"/>
      <w:bookmarkEnd w:id="314"/>
      <w:bookmarkEnd w:id="315"/>
      <w:bookmarkEnd w:id="316"/>
    </w:p>
    <w:p w14:paraId="682D78A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24.1开标将在招标文件确定的提交投标文件截止时间的同一时间进行。开标地点为招标文件中预先确定的地点。</w:t>
      </w:r>
    </w:p>
    <w:p w14:paraId="744EF58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24.2开标时，投标人不足3家的，不得开标。</w:t>
      </w:r>
    </w:p>
    <w:p w14:paraId="1FFF9B0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24.3投标人的法定代表人或委托代理人应在线参加开标会，投标人代表对开标过程和开标记录有疑义，以及认为采购人、采购代理机构相关工作人员有需要回避的情形的，应当场提出询问或者回避申请。采购人、采购代理机构对投标人代表提出的询问或者回避申请将及时进行处理。</w:t>
      </w:r>
    </w:p>
    <w:p w14:paraId="16FCF0B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24.4开标程序</w:t>
      </w:r>
    </w:p>
    <w:p w14:paraId="5BDE521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24.4.1采购代理机构依托电子交易平台发起开始解密指令，投标人须使用加密时所用的 CA 锁按平台提示和招标文件的规定登录到“政采云”平台电子开标大厅签到，并在发起解密指令之时起30分钟内完成对电子投标文件在线解密。</w:t>
      </w:r>
    </w:p>
    <w:p w14:paraId="25CA225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24.4.2发起解密指令之时起5分钟内投标人还未进行解密的，代理机构可通知投标人，投标人未预留联系方式或预留联系方式无效，导致代理机构无法联系到投标人在规定时限内进行解密的，视为撤回投标文件。如投标人成功解密投标文件，但未在“政采云”电子开标大厅参加开标的，视同认可开标过程和结果，由此产生的后果由投标人自行负责。</w:t>
      </w:r>
    </w:p>
    <w:p w14:paraId="3223D7A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24.4.3开标工作人员将做开标记录。</w:t>
      </w:r>
    </w:p>
    <w:p w14:paraId="2FC4D57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24.4.4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p>
    <w:p w14:paraId="76638AD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24.5投标文件报价出现前后不一致的，按照下列规定修正：</w:t>
      </w:r>
    </w:p>
    <w:p w14:paraId="4B67754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（一）投标文件中开标一览表内容与投标文件中相应内容不一致的，以开标一览表为准；</w:t>
      </w:r>
    </w:p>
    <w:p w14:paraId="2722992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（二）大写金额和小写金额不一致的，以大写金额为准；</w:t>
      </w:r>
    </w:p>
    <w:p w14:paraId="7EB484E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（三）单价金额小数点或者百分比有明显错位的，以开标一览表的总价为准，并修改单价；</w:t>
      </w:r>
    </w:p>
    <w:p w14:paraId="0A46CFF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（四）总价金额与按单价汇总金额不一致的，以单价金额计算结果为准。</w:t>
      </w:r>
    </w:p>
    <w:p w14:paraId="384A77D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同时出现两种以上不一致的，按照前款规定的顺序修正。修正后的报价按照招标文件规定并经投标人确认后产生约束力，投标人不确认的，其投标无效。</w:t>
      </w:r>
    </w:p>
    <w:p w14:paraId="175E7A44">
      <w:pPr>
        <w:spacing w:line="500" w:lineRule="exact"/>
        <w:jc w:val="center"/>
        <w:rPr>
          <w:rFonts w:ascii="宋体" w:hAnsi="宋体" w:cs="宋体"/>
          <w:b/>
          <w:color w:val="auto"/>
          <w:sz w:val="30"/>
          <w:szCs w:val="30"/>
        </w:rPr>
      </w:pPr>
      <w:bookmarkStart w:id="317" w:name="_Toc489145733"/>
      <w:bookmarkStart w:id="318" w:name="_Toc489197837"/>
      <w:bookmarkStart w:id="319" w:name="_Toc488633609"/>
      <w:bookmarkStart w:id="320" w:name="_Toc3446"/>
      <w:bookmarkStart w:id="321" w:name="_Toc11285"/>
      <w:r>
        <w:rPr>
          <w:rFonts w:hint="eastAsia" w:ascii="宋体" w:hAnsi="宋体" w:cs="宋体"/>
          <w:b/>
          <w:color w:val="auto"/>
          <w:sz w:val="30"/>
          <w:szCs w:val="30"/>
        </w:rPr>
        <w:t>六、</w:t>
      </w:r>
      <w:bookmarkEnd w:id="317"/>
      <w:bookmarkEnd w:id="318"/>
      <w:bookmarkEnd w:id="319"/>
      <w:r>
        <w:rPr>
          <w:rFonts w:hint="eastAsia" w:ascii="宋体" w:hAnsi="宋体" w:cs="宋体"/>
          <w:b/>
          <w:color w:val="auto"/>
          <w:sz w:val="30"/>
          <w:szCs w:val="30"/>
        </w:rPr>
        <w:t>资格审查及评标</w:t>
      </w:r>
      <w:bookmarkEnd w:id="320"/>
      <w:bookmarkEnd w:id="321"/>
    </w:p>
    <w:p w14:paraId="5DC9552A">
      <w:pPr>
        <w:spacing w:line="360" w:lineRule="auto"/>
        <w:jc w:val="left"/>
        <w:rPr>
          <w:rFonts w:ascii="宋体" w:hAnsi="宋体" w:cs="宋体"/>
          <w:b/>
          <w:bCs/>
          <w:color w:val="auto"/>
          <w:sz w:val="24"/>
          <w:szCs w:val="24"/>
        </w:rPr>
      </w:pPr>
      <w:bookmarkStart w:id="322" w:name="_Toc32599"/>
      <w:r>
        <w:rPr>
          <w:rFonts w:hint="eastAsia" w:ascii="宋体" w:hAnsi="宋体" w:cs="宋体"/>
          <w:b/>
          <w:bCs/>
          <w:color w:val="auto"/>
          <w:sz w:val="24"/>
          <w:szCs w:val="24"/>
        </w:rPr>
        <w:t>25.资格审查</w:t>
      </w:r>
      <w:bookmarkEnd w:id="322"/>
    </w:p>
    <w:p w14:paraId="073AEDD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25.1开标结束后，采购人或者采购代理机构将根据招标文件规定，依法对投标人的资格进行审查。合格投标人不足3家的，不得评标。</w:t>
      </w:r>
    </w:p>
    <w:p w14:paraId="2B08789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25.2.采购人或者采购代理机构按照招标文件第一章《公开招标公告》二、投标人资格要求（投标人应符合《中华人民共和国政府采购法》第二十二条规定的条件）和第二章《投标人须知》“4.投标人资格要求”的规定对投标人电子投标文件中资格证明文件及采购人、采购代理机构通过互联网或者相关信息系统的查询结果进行审查。</w:t>
      </w:r>
    </w:p>
    <w:p w14:paraId="72BB9C4C">
      <w:pPr>
        <w:spacing w:line="360" w:lineRule="auto"/>
        <w:jc w:val="left"/>
        <w:rPr>
          <w:rFonts w:ascii="宋体" w:hAnsi="宋体" w:cs="宋体"/>
          <w:b/>
          <w:bCs/>
          <w:color w:val="auto"/>
          <w:sz w:val="24"/>
          <w:szCs w:val="24"/>
        </w:rPr>
      </w:pPr>
      <w:bookmarkStart w:id="323" w:name="_Toc30786"/>
      <w:r>
        <w:rPr>
          <w:rFonts w:hint="eastAsia" w:ascii="宋体" w:hAnsi="宋体" w:cs="宋体"/>
          <w:b/>
          <w:bCs/>
          <w:color w:val="auto"/>
          <w:sz w:val="24"/>
          <w:szCs w:val="24"/>
        </w:rPr>
        <w:t>26.评标</w:t>
      </w:r>
      <w:bookmarkEnd w:id="323"/>
    </w:p>
    <w:p w14:paraId="071F320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26.1评标委员会负责具体评标事务，并独立履行下列职责：</w:t>
      </w:r>
    </w:p>
    <w:p w14:paraId="3DB3E93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（一）审查、评价投标文件是否符合招标文件的商务、技术等实质性要求；</w:t>
      </w:r>
    </w:p>
    <w:p w14:paraId="4A82616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（二）要求投标人对投标文件有关事项作出澄清或者说明；</w:t>
      </w:r>
    </w:p>
    <w:p w14:paraId="35F0637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（三）对投标文件进行比较和评价；</w:t>
      </w:r>
    </w:p>
    <w:p w14:paraId="2975D2E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（四）确定中标候选人名单，以及根据采购人委托直接确定中标人；</w:t>
      </w:r>
    </w:p>
    <w:p w14:paraId="68BB8FE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（五）向采购人、采购代理机构或者有关部门报告评标中发现的违法行为。</w:t>
      </w:r>
    </w:p>
    <w:p w14:paraId="3D9123C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26.2评标委员会由采购人代表和评审专家组成，成员人数为5人以上单数，其中评审专家不得少于成员总数的三分之二。评标委员会应当推选组长，但采购人代表不得担任组长。</w:t>
      </w:r>
    </w:p>
    <w:p w14:paraId="29B26A4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26.3采购人委派代表参加评标委员会的，要向采购代理机构出具授权函。除授权代表外，采购人可以委派纪检监察等相关人员对评审工作实施监督，但不得超过2人。</w:t>
      </w:r>
    </w:p>
    <w:p w14:paraId="4889E96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26.4评标活动遵循公平、公正、科学和择优的原则。</w:t>
      </w:r>
    </w:p>
    <w:p w14:paraId="06D982D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26.5本项目评标方法采用综合评分法，是指投标文件满足招标文件全部实质性要求，且按照评审因素的量化指标评审得分最高的投标人为中标候选人的评标方法。</w:t>
      </w:r>
    </w:p>
    <w:p w14:paraId="6B14985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26.6评标过程的保密</w:t>
      </w:r>
    </w:p>
    <w:p w14:paraId="6723475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26.6.1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46A9AF5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p>
    <w:p w14:paraId="78294B59">
      <w:pPr>
        <w:spacing w:line="360" w:lineRule="auto"/>
        <w:jc w:val="left"/>
        <w:rPr>
          <w:rFonts w:ascii="宋体" w:hAnsi="宋体" w:cs="宋体"/>
          <w:b/>
          <w:bCs/>
          <w:color w:val="auto"/>
          <w:sz w:val="24"/>
          <w:szCs w:val="24"/>
        </w:rPr>
      </w:pPr>
      <w:bookmarkStart w:id="324" w:name="_Toc489197839"/>
      <w:bookmarkStart w:id="325" w:name="_Toc489145735"/>
      <w:bookmarkStart w:id="326" w:name="_Toc6041"/>
      <w:r>
        <w:rPr>
          <w:rFonts w:hint="eastAsia" w:ascii="宋体" w:hAnsi="宋体" w:cs="宋体"/>
          <w:b/>
          <w:bCs/>
          <w:color w:val="auto"/>
          <w:sz w:val="24"/>
          <w:szCs w:val="24"/>
        </w:rPr>
        <w:t>★27.有下列情形之一的，视为投标人串通投标，其投标无效：</w:t>
      </w:r>
      <w:bookmarkEnd w:id="324"/>
      <w:bookmarkEnd w:id="325"/>
      <w:bookmarkEnd w:id="326"/>
    </w:p>
    <w:p w14:paraId="7C33E8A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（一）不同投标人的投标文件由同一单位或者个人编制；</w:t>
      </w:r>
    </w:p>
    <w:p w14:paraId="5736EDE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（二）不同投标人委托同一单位或者个人办理投标事宜；</w:t>
      </w:r>
    </w:p>
    <w:p w14:paraId="676AD8C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（三）不同投标人的投标文件载明的项目管理成员或者联系人员为同一人；</w:t>
      </w:r>
    </w:p>
    <w:p w14:paraId="088C0F0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（四）不同投标人的投标文件异常一致或者投标报价呈规律性差异；</w:t>
      </w:r>
    </w:p>
    <w:p w14:paraId="5DA39CA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（五）不同投标人的投标文件相互混装；</w:t>
      </w:r>
    </w:p>
    <w:p w14:paraId="64EF0B7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（六）不同投标人的投标保证金从同一单位或者个人的账户转出。</w:t>
      </w:r>
    </w:p>
    <w:p w14:paraId="7B405E5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投标人应当遵循公平竞争的原则，不得恶意串通，不得妨碍其他投标人的竞争行为，不得损害采购人或者其他投标人的合法权益。</w:t>
      </w:r>
    </w:p>
    <w:p w14:paraId="444839E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在评标过程中发现投标人有上述情形的，评标委员会应当认定其投标无效，并书面报告本级财政部门。</w:t>
      </w:r>
    </w:p>
    <w:p w14:paraId="2F8DE954">
      <w:pPr>
        <w:spacing w:line="360" w:lineRule="auto"/>
        <w:jc w:val="left"/>
        <w:rPr>
          <w:rFonts w:ascii="宋体" w:hAnsi="宋体" w:cs="宋体"/>
          <w:b/>
          <w:bCs/>
          <w:color w:val="auto"/>
          <w:sz w:val="24"/>
          <w:szCs w:val="24"/>
        </w:rPr>
      </w:pPr>
      <w:bookmarkStart w:id="327" w:name="_Toc489197840"/>
      <w:bookmarkStart w:id="328" w:name="_Toc489145736"/>
      <w:bookmarkStart w:id="329" w:name="_Toc13502"/>
      <w:r>
        <w:rPr>
          <w:rFonts w:hint="eastAsia" w:ascii="宋体" w:hAnsi="宋体" w:cs="宋体"/>
          <w:b/>
          <w:bCs/>
          <w:color w:val="auto"/>
          <w:sz w:val="24"/>
          <w:szCs w:val="24"/>
        </w:rPr>
        <w:t>★28.投标人存在下列情</w:t>
      </w:r>
      <w:bookmarkStart w:id="330" w:name="_Toc417913977"/>
      <w:r>
        <w:rPr>
          <w:rFonts w:hint="eastAsia" w:ascii="宋体" w:hAnsi="宋体" w:cs="宋体"/>
          <w:b/>
          <w:bCs/>
          <w:color w:val="auto"/>
          <w:sz w:val="24"/>
          <w:szCs w:val="24"/>
        </w:rPr>
        <w:t>况之一的，投标无效：</w:t>
      </w:r>
      <w:bookmarkEnd w:id="327"/>
      <w:bookmarkEnd w:id="328"/>
      <w:bookmarkEnd w:id="329"/>
    </w:p>
    <w:p w14:paraId="76162FD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（一）未按照招标文件的</w:t>
      </w:r>
      <w:bookmarkEnd w:id="330"/>
      <w:r>
        <w:rPr>
          <w:rFonts w:hint="eastAsia" w:ascii="宋体" w:hAnsi="宋体" w:cs="宋体"/>
          <w:color w:val="auto"/>
          <w:szCs w:val="21"/>
        </w:rPr>
        <w:t>规定提交投标保证金的；</w:t>
      </w:r>
    </w:p>
    <w:p w14:paraId="2E5DBB0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（二）投标文件未按招标文件要求签署、盖章的；</w:t>
      </w:r>
    </w:p>
    <w:p w14:paraId="760E15E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（三）不具备招标文件中规定的资格要求的；</w:t>
      </w:r>
    </w:p>
    <w:p w14:paraId="350C4D8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（四）报价超过招标文件中规定的预算金额或者最高限价的；</w:t>
      </w:r>
    </w:p>
    <w:p w14:paraId="64FBAD5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（五）投标文件含有采购人不能接受的附加条件的；</w:t>
      </w:r>
    </w:p>
    <w:p w14:paraId="674F39D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（六）法律、法规和招标文件规定的其他无效情形。</w:t>
      </w:r>
    </w:p>
    <w:p w14:paraId="222A7EAD">
      <w:pPr>
        <w:spacing w:line="360" w:lineRule="auto"/>
        <w:jc w:val="left"/>
        <w:rPr>
          <w:rFonts w:ascii="宋体" w:hAnsi="宋体" w:cs="宋体"/>
          <w:b/>
          <w:bCs/>
          <w:color w:val="auto"/>
          <w:sz w:val="24"/>
          <w:szCs w:val="24"/>
        </w:rPr>
      </w:pPr>
      <w:bookmarkStart w:id="331" w:name="_Toc489145737"/>
      <w:bookmarkStart w:id="332" w:name="_Toc24450"/>
      <w:bookmarkStart w:id="333" w:name="_Toc489197841"/>
      <w:r>
        <w:rPr>
          <w:rFonts w:hint="eastAsia" w:ascii="宋体" w:hAnsi="宋体" w:cs="宋体"/>
          <w:b/>
          <w:bCs/>
          <w:color w:val="auto"/>
          <w:sz w:val="24"/>
          <w:szCs w:val="24"/>
        </w:rPr>
        <w:t>29.在招标采购中，出现下列情形之一的，应予废标：</w:t>
      </w:r>
      <w:bookmarkEnd w:id="331"/>
      <w:bookmarkEnd w:id="332"/>
      <w:bookmarkEnd w:id="333"/>
    </w:p>
    <w:p w14:paraId="5D0C777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（一）符合专业条件的投标人或者对招标文件作实质响应的投标人不足三家的；</w:t>
      </w:r>
    </w:p>
    <w:p w14:paraId="5C9A249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（二）出现影响采购公正的违法、违规行为的；</w:t>
      </w:r>
    </w:p>
    <w:p w14:paraId="7301C05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（三）投标人的报价均超过了采购预算，采购人不能支付的；</w:t>
      </w:r>
    </w:p>
    <w:p w14:paraId="778296E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（四）因重大变故，采购任务取消的。</w:t>
      </w:r>
    </w:p>
    <w:p w14:paraId="3D27592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废标后，采购人应当将废标理由通知所有投标人。</w:t>
      </w:r>
    </w:p>
    <w:p w14:paraId="4C4A014A">
      <w:pPr>
        <w:spacing w:line="500" w:lineRule="exact"/>
        <w:jc w:val="center"/>
        <w:rPr>
          <w:rFonts w:ascii="宋体" w:hAnsi="宋体" w:cs="宋体"/>
          <w:b/>
          <w:color w:val="auto"/>
          <w:sz w:val="30"/>
          <w:szCs w:val="30"/>
        </w:rPr>
      </w:pPr>
      <w:bookmarkStart w:id="334" w:name="_Toc489197842"/>
      <w:bookmarkStart w:id="335" w:name="_Toc528186486"/>
      <w:bookmarkStart w:id="336" w:name="_Toc10960"/>
      <w:bookmarkStart w:id="337" w:name="_Toc488633610"/>
      <w:bookmarkStart w:id="338" w:name="_Toc489145738"/>
      <w:bookmarkStart w:id="339" w:name="_Toc30648"/>
      <w:bookmarkStart w:id="340" w:name="_Toc15092"/>
      <w:bookmarkStart w:id="341" w:name="_Toc13118"/>
      <w:bookmarkStart w:id="342" w:name="_Toc6069"/>
      <w:bookmarkStart w:id="343" w:name="_Toc489145747"/>
      <w:r>
        <w:rPr>
          <w:rFonts w:hint="eastAsia" w:ascii="宋体" w:hAnsi="宋体" w:cs="宋体"/>
          <w:b/>
          <w:color w:val="auto"/>
          <w:sz w:val="30"/>
          <w:szCs w:val="30"/>
        </w:rPr>
        <w:t>七、中标结果</w:t>
      </w:r>
      <w:bookmarkEnd w:id="334"/>
      <w:bookmarkEnd w:id="335"/>
      <w:bookmarkEnd w:id="336"/>
      <w:bookmarkEnd w:id="337"/>
      <w:bookmarkEnd w:id="338"/>
      <w:bookmarkEnd w:id="339"/>
      <w:bookmarkEnd w:id="340"/>
      <w:bookmarkEnd w:id="341"/>
      <w:bookmarkEnd w:id="342"/>
    </w:p>
    <w:p w14:paraId="6EA9F9D0">
      <w:pPr>
        <w:spacing w:line="360" w:lineRule="auto"/>
        <w:jc w:val="left"/>
        <w:rPr>
          <w:rFonts w:ascii="宋体" w:hAnsi="宋体" w:cs="宋体"/>
          <w:b/>
          <w:bCs/>
          <w:color w:val="auto"/>
          <w:sz w:val="24"/>
          <w:szCs w:val="24"/>
        </w:rPr>
      </w:pPr>
      <w:bookmarkStart w:id="344" w:name="_Toc12331"/>
      <w:bookmarkStart w:id="345" w:name="_Toc26494"/>
      <w:bookmarkStart w:id="346" w:name="_Toc27751"/>
      <w:bookmarkStart w:id="347" w:name="_Toc489197843"/>
      <w:bookmarkStart w:id="348" w:name="_Toc489145739"/>
      <w:bookmarkStart w:id="349" w:name="_Toc528186487"/>
      <w:bookmarkStart w:id="350" w:name="_Toc18071"/>
      <w:r>
        <w:rPr>
          <w:rFonts w:hint="eastAsia" w:ascii="宋体" w:hAnsi="宋体" w:cs="宋体"/>
          <w:b/>
          <w:bCs/>
          <w:color w:val="auto"/>
          <w:sz w:val="24"/>
          <w:szCs w:val="24"/>
        </w:rPr>
        <w:t>30.中</w:t>
      </w:r>
      <w:bookmarkStart w:id="351" w:name="_Toc378239176"/>
      <w:bookmarkStart w:id="352" w:name="_Toc152042342"/>
      <w:bookmarkStart w:id="353" w:name="_Toc378239084"/>
      <w:bookmarkStart w:id="354" w:name="_Toc179632584"/>
      <w:bookmarkStart w:id="355" w:name="_Toc378239357"/>
      <w:bookmarkStart w:id="356" w:name="_Toc246996953"/>
      <w:bookmarkStart w:id="357" w:name="_Toc246996210"/>
      <w:bookmarkStart w:id="358" w:name="_Toc144974534"/>
      <w:bookmarkStart w:id="359" w:name="_Toc152045566"/>
      <w:bookmarkStart w:id="360" w:name="_Toc401342140"/>
      <w:bookmarkStart w:id="361" w:name="_Toc296602455"/>
      <w:bookmarkStart w:id="362" w:name="_Toc247085724"/>
      <w:bookmarkStart w:id="363" w:name="_Toc480817649"/>
      <w:bookmarkStart w:id="364" w:name="_Toc13517"/>
      <w:r>
        <w:rPr>
          <w:rFonts w:hint="eastAsia" w:ascii="宋体" w:hAnsi="宋体" w:cs="宋体"/>
          <w:b/>
          <w:bCs/>
          <w:color w:val="auto"/>
          <w:sz w:val="24"/>
          <w:szCs w:val="24"/>
        </w:rPr>
        <w:t>标</w:t>
      </w:r>
      <w:bookmarkEnd w:id="351"/>
      <w:bookmarkEnd w:id="352"/>
      <w:bookmarkEnd w:id="353"/>
      <w:bookmarkEnd w:id="354"/>
      <w:bookmarkEnd w:id="355"/>
      <w:bookmarkEnd w:id="356"/>
      <w:bookmarkEnd w:id="357"/>
      <w:bookmarkEnd w:id="358"/>
      <w:bookmarkEnd w:id="359"/>
      <w:bookmarkEnd w:id="360"/>
      <w:bookmarkEnd w:id="361"/>
      <w:bookmarkEnd w:id="362"/>
      <w:r>
        <w:rPr>
          <w:rFonts w:hint="eastAsia" w:ascii="宋体" w:hAnsi="宋体" w:cs="宋体"/>
          <w:b/>
          <w:bCs/>
          <w:color w:val="auto"/>
          <w:sz w:val="24"/>
          <w:szCs w:val="24"/>
        </w:rPr>
        <w:t>人的</w:t>
      </w:r>
      <w:bookmarkEnd w:id="363"/>
      <w:bookmarkEnd w:id="364"/>
      <w:r>
        <w:rPr>
          <w:rFonts w:hint="eastAsia" w:ascii="宋体" w:hAnsi="宋体" w:cs="宋体"/>
          <w:b/>
          <w:bCs/>
          <w:color w:val="auto"/>
          <w:sz w:val="24"/>
          <w:szCs w:val="24"/>
        </w:rPr>
        <w:t>确</w:t>
      </w:r>
      <w:bookmarkStart w:id="365" w:name="_Toc247085725"/>
      <w:bookmarkStart w:id="366" w:name="_Toc246996954"/>
      <w:bookmarkStart w:id="367" w:name="_Toc152042343"/>
      <w:bookmarkStart w:id="368" w:name="_Toc152045567"/>
      <w:bookmarkStart w:id="369" w:name="_Toc296602456"/>
      <w:bookmarkStart w:id="370" w:name="_Toc179632585"/>
      <w:bookmarkStart w:id="371" w:name="_Toc144974535"/>
      <w:bookmarkStart w:id="372" w:name="_Toc246996211"/>
      <w:r>
        <w:rPr>
          <w:rFonts w:hint="eastAsia" w:ascii="宋体" w:hAnsi="宋体" w:cs="宋体"/>
          <w:b/>
          <w:bCs/>
          <w:color w:val="auto"/>
          <w:sz w:val="24"/>
          <w:szCs w:val="24"/>
        </w:rPr>
        <w:t>定</w:t>
      </w:r>
      <w:bookmarkEnd w:id="344"/>
      <w:bookmarkEnd w:id="345"/>
      <w:bookmarkEnd w:id="346"/>
      <w:bookmarkEnd w:id="347"/>
      <w:bookmarkEnd w:id="348"/>
      <w:bookmarkEnd w:id="349"/>
      <w:bookmarkEnd w:id="350"/>
    </w:p>
    <w:p w14:paraId="2C40D9B8">
      <w:pPr>
        <w:spacing w:line="360" w:lineRule="auto"/>
        <w:ind w:firstLine="420" w:firstLineChars="200"/>
        <w:jc w:val="left"/>
        <w:rPr>
          <w:rFonts w:ascii="宋体" w:hAnsi="宋体" w:cs="宋体"/>
          <w:color w:val="auto"/>
          <w:szCs w:val="21"/>
        </w:rPr>
      </w:pPr>
      <w:bookmarkStart w:id="373" w:name="_Toc417913979"/>
      <w:r>
        <w:rPr>
          <w:rFonts w:hint="eastAsia" w:ascii="宋体" w:hAnsi="宋体" w:cs="宋体"/>
          <w:color w:val="auto"/>
          <w:szCs w:val="21"/>
        </w:rPr>
        <w:t>30.1采购代理机构应</w:t>
      </w:r>
      <w:bookmarkEnd w:id="365"/>
      <w:bookmarkEnd w:id="366"/>
      <w:bookmarkEnd w:id="367"/>
      <w:bookmarkEnd w:id="368"/>
      <w:bookmarkEnd w:id="369"/>
      <w:bookmarkEnd w:id="370"/>
      <w:bookmarkEnd w:id="371"/>
      <w:bookmarkEnd w:id="372"/>
      <w:bookmarkEnd w:id="373"/>
      <w:r>
        <w:rPr>
          <w:rFonts w:hint="eastAsia" w:ascii="宋体" w:hAnsi="宋体" w:cs="宋体"/>
          <w:color w:val="auto"/>
          <w:szCs w:val="21"/>
        </w:rPr>
        <w:t>当在评标结束后2个工作日内将评标报告送采购人。</w:t>
      </w:r>
    </w:p>
    <w:p w14:paraId="7C416C2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30.2采购人应当自收到评标报告之日起5个工作日内，在评标报告确定的中标候选人名单中按顺序确定中标人。中标候选人并列的，由评标委员会按照招标文件规定的方式确定中标人</w:t>
      </w:r>
    </w:p>
    <w:p w14:paraId="790A8C40">
      <w:pPr>
        <w:spacing w:line="360" w:lineRule="auto"/>
        <w:jc w:val="left"/>
        <w:rPr>
          <w:rFonts w:ascii="宋体" w:hAnsi="宋体" w:cs="宋体"/>
          <w:b/>
          <w:bCs/>
          <w:color w:val="auto"/>
          <w:sz w:val="24"/>
          <w:szCs w:val="24"/>
        </w:rPr>
      </w:pPr>
      <w:r>
        <w:rPr>
          <w:rFonts w:hint="eastAsia" w:ascii="宋体" w:hAnsi="宋体" w:cs="宋体"/>
          <w:b/>
          <w:bCs/>
          <w:color w:val="auto"/>
          <w:sz w:val="24"/>
          <w:szCs w:val="24"/>
        </w:rPr>
        <w:t>31.中标通知书</w:t>
      </w:r>
    </w:p>
    <w:p w14:paraId="4804AEA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31.1中标人确定之日起2个工作日内，采购代理机构向中标人发出中标通知书，并在财政部门指定的政府采购信息发布媒体上公告中标结果。中标公告期限为1个工作日。</w:t>
      </w:r>
    </w:p>
    <w:p w14:paraId="5FA924D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31.2中标通知书是合同的一个组成部分。</w:t>
      </w:r>
    </w:p>
    <w:p w14:paraId="3AFF8308">
      <w:pPr>
        <w:spacing w:line="360" w:lineRule="auto"/>
        <w:jc w:val="left"/>
        <w:rPr>
          <w:rFonts w:ascii="宋体" w:hAnsi="宋体" w:cs="宋体"/>
          <w:b/>
          <w:bCs/>
          <w:color w:val="auto"/>
          <w:sz w:val="24"/>
          <w:szCs w:val="24"/>
        </w:rPr>
      </w:pPr>
      <w:r>
        <w:rPr>
          <w:rFonts w:hint="eastAsia" w:ascii="宋体" w:hAnsi="宋体" w:cs="宋体"/>
          <w:b/>
          <w:bCs/>
          <w:color w:val="auto"/>
          <w:sz w:val="24"/>
          <w:szCs w:val="24"/>
        </w:rPr>
        <w:t>32.签订合同</w:t>
      </w:r>
    </w:p>
    <w:p w14:paraId="62DA815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32.1采购人应当自中标通知书发出之日起30日内，按照招标文件和中标人投标文件的规定，与中标人签订书面合同。所签订的合同不得对招标文件确定的事项和中标人投标文件作实质性修改。</w:t>
      </w:r>
    </w:p>
    <w:p w14:paraId="47F8998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32.2中标通知书发出后，中标人无正当理由放弃中标或拒签合同的，采购人取消其中标资格，其投标保证金不予退还；给采购人造成的损失超过投标保证金数额的，中标人还应当对超过部分予以赔偿。</w:t>
      </w:r>
    </w:p>
    <w:p w14:paraId="53209DF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17CA96A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32.4政府采购合同应当包括采购人与中标人的名称和住所、标的、数量、质量、价款或者报酬、履行期限及地点和方式、验收要求、违约责任、解决争议的方法等内容。</w:t>
      </w:r>
    </w:p>
    <w:p w14:paraId="4962937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32.5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2970C15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32.6除采购人与中标人在合同中另行商定将中标项目的非主体、非关键性工作分包的，中标人在中标后将中标项目分包的，采购人取消其中标资格，其投标保证金不予退还；给采购人造成的损失超过投标保证金数额的，中标人还应当对超过部分予以赔偿。</w:t>
      </w:r>
    </w:p>
    <w:p w14:paraId="167FC421">
      <w:pPr>
        <w:spacing w:line="360" w:lineRule="auto"/>
        <w:jc w:val="left"/>
        <w:rPr>
          <w:rFonts w:ascii="宋体" w:hAnsi="宋体" w:cs="宋体"/>
          <w:b/>
          <w:bCs/>
          <w:color w:val="auto"/>
          <w:sz w:val="24"/>
          <w:szCs w:val="24"/>
        </w:rPr>
      </w:pPr>
      <w:r>
        <w:rPr>
          <w:rFonts w:hint="eastAsia" w:ascii="宋体" w:hAnsi="宋体" w:cs="宋体"/>
          <w:b/>
          <w:bCs/>
          <w:color w:val="auto"/>
          <w:sz w:val="24"/>
          <w:szCs w:val="24"/>
        </w:rPr>
        <w:t>33.履约保证金</w:t>
      </w:r>
    </w:p>
    <w:p w14:paraId="4B2C249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33.1中标人应按《投标人须知前附表》上确定的履约保证金的金额及形式，向采购人提交履约保证金。否则，视为放弃中标项目，投标保证金将不予退还。</w:t>
      </w:r>
    </w:p>
    <w:p w14:paraId="12B029E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33.2签订合同后，如中标人不按双方签订合同约定履约，则没收其全部履约保证金，给采购人造成的损失超过履约保证金数额的，中标人还应当对超过部分予以赔偿。</w:t>
      </w:r>
    </w:p>
    <w:p w14:paraId="1AF17967">
      <w:pPr>
        <w:spacing w:line="500" w:lineRule="exact"/>
        <w:jc w:val="center"/>
        <w:rPr>
          <w:rFonts w:ascii="宋体" w:hAnsi="宋体" w:cs="宋体"/>
          <w:b/>
          <w:color w:val="auto"/>
          <w:sz w:val="30"/>
          <w:szCs w:val="30"/>
        </w:rPr>
      </w:pPr>
      <w:bookmarkStart w:id="374" w:name="_Toc528186491"/>
      <w:bookmarkStart w:id="375" w:name="_Toc489145743"/>
      <w:bookmarkStart w:id="376" w:name="_Toc3045"/>
      <w:bookmarkStart w:id="377" w:name="_Toc12084"/>
      <w:bookmarkStart w:id="378" w:name="_Toc32208"/>
      <w:bookmarkStart w:id="379" w:name="_Toc488633611"/>
      <w:bookmarkStart w:id="380" w:name="_Toc26286"/>
      <w:bookmarkStart w:id="381" w:name="_Toc32688"/>
      <w:bookmarkStart w:id="382" w:name="_Toc489197847"/>
      <w:r>
        <w:rPr>
          <w:rFonts w:hint="eastAsia" w:ascii="宋体" w:hAnsi="宋体" w:cs="宋体"/>
          <w:b/>
          <w:color w:val="auto"/>
          <w:sz w:val="30"/>
          <w:szCs w:val="30"/>
        </w:rPr>
        <w:t>八、其他事项</w:t>
      </w:r>
      <w:bookmarkEnd w:id="374"/>
      <w:bookmarkEnd w:id="375"/>
      <w:bookmarkEnd w:id="376"/>
      <w:bookmarkEnd w:id="377"/>
      <w:bookmarkEnd w:id="378"/>
      <w:bookmarkEnd w:id="379"/>
      <w:bookmarkEnd w:id="380"/>
      <w:bookmarkEnd w:id="381"/>
      <w:bookmarkEnd w:id="382"/>
    </w:p>
    <w:p w14:paraId="25A247E7">
      <w:pPr>
        <w:spacing w:line="360" w:lineRule="auto"/>
        <w:jc w:val="left"/>
        <w:rPr>
          <w:rFonts w:ascii="宋体" w:hAnsi="宋体" w:cs="宋体"/>
          <w:b/>
          <w:bCs/>
          <w:color w:val="auto"/>
          <w:sz w:val="24"/>
          <w:szCs w:val="24"/>
        </w:rPr>
      </w:pPr>
      <w:r>
        <w:rPr>
          <w:rFonts w:hint="eastAsia" w:ascii="宋体" w:hAnsi="宋体" w:cs="宋体"/>
          <w:b/>
          <w:bCs/>
          <w:color w:val="auto"/>
          <w:sz w:val="24"/>
          <w:szCs w:val="24"/>
        </w:rPr>
        <w:t>34.采购代理服务费</w:t>
      </w:r>
    </w:p>
    <w:p w14:paraId="567E0716">
      <w:pPr>
        <w:pStyle w:val="12"/>
        <w:spacing w:line="360" w:lineRule="auto"/>
        <w:ind w:firstLineChars="200"/>
        <w:rPr>
          <w:rFonts w:ascii="宋体" w:hAnsi="宋体" w:cs="宋体"/>
          <w:color w:val="auto"/>
          <w:szCs w:val="21"/>
        </w:rPr>
      </w:pPr>
      <w:r>
        <w:rPr>
          <w:rFonts w:hint="eastAsia" w:ascii="宋体" w:hAnsi="宋体" w:cs="宋体"/>
          <w:color w:val="auto"/>
          <w:szCs w:val="21"/>
        </w:rPr>
        <w:t>34.1采购代理服务费：采购代理服务费按计价格[2002]1980号文规定的收费标准及发改办价格[2003]857号文规定的货物类收费标准下浮35%收取，由中标人承担（计算基准价为中标金额），此费用包含在中标人报价中。</w:t>
      </w:r>
    </w:p>
    <w:tbl>
      <w:tblPr>
        <w:tblStyle w:val="41"/>
        <w:tblW w:w="7888" w:type="dxa"/>
        <w:jc w:val="center"/>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983"/>
        <w:gridCol w:w="1983"/>
        <w:gridCol w:w="1984"/>
      </w:tblGrid>
      <w:tr w14:paraId="1030AFA9">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1938" w:type="dxa"/>
            <w:vMerge w:val="restart"/>
            <w:vAlign w:val="center"/>
          </w:tcPr>
          <w:p w14:paraId="09A90A0C">
            <w:pPr>
              <w:spacing w:line="360" w:lineRule="auto"/>
              <w:jc w:val="center"/>
              <w:rPr>
                <w:rFonts w:ascii="宋体" w:hAnsi="宋体" w:cs="宋体"/>
                <w:color w:val="auto"/>
              </w:rPr>
            </w:pPr>
            <w:r>
              <w:rPr>
                <w:rFonts w:hint="eastAsia" w:ascii="宋体" w:hAnsi="宋体" w:cs="宋体"/>
                <w:color w:val="auto"/>
              </w:rPr>
              <w:t>中标金额</w:t>
            </w:r>
          </w:p>
          <w:p w14:paraId="1590C6BB">
            <w:pPr>
              <w:spacing w:line="360" w:lineRule="auto"/>
              <w:jc w:val="center"/>
              <w:rPr>
                <w:rFonts w:ascii="宋体" w:hAnsi="宋体" w:cs="宋体"/>
                <w:color w:val="auto"/>
              </w:rPr>
            </w:pPr>
            <w:r>
              <w:rPr>
                <w:rFonts w:hint="eastAsia" w:ascii="宋体" w:hAnsi="宋体" w:cs="宋体"/>
                <w:color w:val="auto"/>
              </w:rPr>
              <w:t>（万元）</w:t>
            </w:r>
          </w:p>
        </w:tc>
        <w:tc>
          <w:tcPr>
            <w:tcW w:w="5950" w:type="dxa"/>
            <w:gridSpan w:val="3"/>
            <w:vAlign w:val="center"/>
          </w:tcPr>
          <w:p w14:paraId="1C625E59">
            <w:pPr>
              <w:spacing w:line="360" w:lineRule="auto"/>
              <w:jc w:val="center"/>
              <w:rPr>
                <w:rFonts w:ascii="宋体" w:hAnsi="宋体" w:cs="宋体"/>
                <w:color w:val="auto"/>
              </w:rPr>
            </w:pPr>
            <w:r>
              <w:rPr>
                <w:rFonts w:hint="eastAsia" w:ascii="宋体" w:hAnsi="宋体" w:cs="宋体"/>
                <w:color w:val="auto"/>
              </w:rPr>
              <w:t>收费标准</w:t>
            </w:r>
          </w:p>
        </w:tc>
      </w:tr>
      <w:tr w14:paraId="189E8368">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38" w:type="dxa"/>
            <w:vMerge w:val="continue"/>
            <w:shd w:val="clear" w:color="auto" w:fill="auto"/>
            <w:vAlign w:val="center"/>
          </w:tcPr>
          <w:p w14:paraId="0777B6D6">
            <w:pPr>
              <w:spacing w:line="360" w:lineRule="auto"/>
              <w:jc w:val="center"/>
              <w:rPr>
                <w:rFonts w:ascii="宋体" w:hAnsi="宋体" w:cs="宋体"/>
                <w:color w:val="auto"/>
              </w:rPr>
            </w:pPr>
          </w:p>
        </w:tc>
        <w:tc>
          <w:tcPr>
            <w:tcW w:w="1983" w:type="dxa"/>
            <w:tcBorders>
              <w:top w:val="single" w:color="auto" w:sz="4" w:space="0"/>
              <w:bottom w:val="single" w:color="auto" w:sz="4" w:space="0"/>
            </w:tcBorders>
            <w:shd w:val="clear" w:color="auto" w:fill="FFFFFF"/>
            <w:vAlign w:val="center"/>
          </w:tcPr>
          <w:p w14:paraId="0CF9F737">
            <w:pPr>
              <w:spacing w:line="360" w:lineRule="auto"/>
              <w:jc w:val="center"/>
              <w:rPr>
                <w:rFonts w:ascii="宋体" w:hAnsi="宋体" w:cs="宋体"/>
                <w:color w:val="auto"/>
              </w:rPr>
            </w:pPr>
            <w:r>
              <w:rPr>
                <w:rFonts w:hint="eastAsia" w:ascii="宋体" w:hAnsi="宋体" w:cs="宋体"/>
                <w:color w:val="auto"/>
              </w:rPr>
              <w:t>货物招标</w:t>
            </w:r>
          </w:p>
        </w:tc>
        <w:tc>
          <w:tcPr>
            <w:tcW w:w="1983" w:type="dxa"/>
            <w:vAlign w:val="center"/>
          </w:tcPr>
          <w:p w14:paraId="0A15EC0A">
            <w:pPr>
              <w:spacing w:line="360" w:lineRule="auto"/>
              <w:jc w:val="center"/>
              <w:rPr>
                <w:rFonts w:ascii="宋体" w:hAnsi="宋体" w:cs="宋体"/>
                <w:color w:val="auto"/>
              </w:rPr>
            </w:pPr>
            <w:r>
              <w:rPr>
                <w:rFonts w:hint="eastAsia" w:ascii="宋体" w:hAnsi="宋体" w:cs="宋体"/>
                <w:color w:val="auto"/>
              </w:rPr>
              <w:t>服务招标</w:t>
            </w:r>
          </w:p>
        </w:tc>
        <w:tc>
          <w:tcPr>
            <w:tcW w:w="1984" w:type="dxa"/>
            <w:vAlign w:val="center"/>
          </w:tcPr>
          <w:p w14:paraId="3C1C1C20">
            <w:pPr>
              <w:spacing w:line="360" w:lineRule="auto"/>
              <w:jc w:val="center"/>
              <w:rPr>
                <w:rFonts w:ascii="宋体" w:hAnsi="宋体" w:cs="宋体"/>
                <w:color w:val="auto"/>
              </w:rPr>
            </w:pPr>
            <w:r>
              <w:rPr>
                <w:rFonts w:hint="eastAsia" w:ascii="宋体" w:hAnsi="宋体" w:cs="宋体"/>
                <w:color w:val="auto"/>
              </w:rPr>
              <w:t>工程招标</w:t>
            </w:r>
          </w:p>
        </w:tc>
      </w:tr>
      <w:tr w14:paraId="3FF3D41E">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38" w:type="dxa"/>
            <w:shd w:val="clear" w:color="auto" w:fill="auto"/>
          </w:tcPr>
          <w:p w14:paraId="460FB2D2">
            <w:pPr>
              <w:spacing w:line="360" w:lineRule="auto"/>
              <w:rPr>
                <w:rFonts w:ascii="宋体" w:hAnsi="宋体" w:cs="宋体"/>
                <w:color w:val="auto"/>
              </w:rPr>
            </w:pPr>
            <w:r>
              <w:rPr>
                <w:rFonts w:hint="eastAsia" w:ascii="宋体" w:hAnsi="宋体" w:cs="宋体"/>
                <w:color w:val="auto"/>
              </w:rPr>
              <w:t>100以下</w:t>
            </w:r>
          </w:p>
        </w:tc>
        <w:tc>
          <w:tcPr>
            <w:tcW w:w="1983" w:type="dxa"/>
            <w:tcBorders>
              <w:top w:val="single" w:color="auto" w:sz="4" w:space="0"/>
              <w:bottom w:val="single" w:color="auto" w:sz="4" w:space="0"/>
            </w:tcBorders>
            <w:shd w:val="clear" w:color="auto" w:fill="FFFFFF"/>
          </w:tcPr>
          <w:p w14:paraId="5E70F4B7">
            <w:pPr>
              <w:spacing w:line="360" w:lineRule="auto"/>
              <w:jc w:val="center"/>
              <w:rPr>
                <w:rFonts w:ascii="宋体" w:hAnsi="宋体" w:cs="宋体"/>
                <w:color w:val="auto"/>
              </w:rPr>
            </w:pPr>
            <w:r>
              <w:rPr>
                <w:rFonts w:hint="eastAsia" w:ascii="宋体" w:hAnsi="宋体" w:cs="宋体"/>
                <w:color w:val="auto"/>
              </w:rPr>
              <w:t>1.5%</w:t>
            </w:r>
          </w:p>
        </w:tc>
        <w:tc>
          <w:tcPr>
            <w:tcW w:w="1983" w:type="dxa"/>
          </w:tcPr>
          <w:p w14:paraId="18946911">
            <w:pPr>
              <w:spacing w:line="360" w:lineRule="auto"/>
              <w:jc w:val="center"/>
              <w:rPr>
                <w:rFonts w:ascii="宋体" w:hAnsi="宋体" w:cs="宋体"/>
                <w:color w:val="auto"/>
              </w:rPr>
            </w:pPr>
            <w:r>
              <w:rPr>
                <w:rFonts w:hint="eastAsia" w:ascii="宋体" w:hAnsi="宋体" w:cs="宋体"/>
                <w:color w:val="auto"/>
              </w:rPr>
              <w:t>1.5%</w:t>
            </w:r>
          </w:p>
        </w:tc>
        <w:tc>
          <w:tcPr>
            <w:tcW w:w="1984" w:type="dxa"/>
          </w:tcPr>
          <w:p w14:paraId="2C992E58">
            <w:pPr>
              <w:spacing w:line="360" w:lineRule="auto"/>
              <w:jc w:val="center"/>
              <w:rPr>
                <w:rFonts w:ascii="宋体" w:hAnsi="宋体" w:cs="宋体"/>
                <w:color w:val="auto"/>
              </w:rPr>
            </w:pPr>
            <w:r>
              <w:rPr>
                <w:rFonts w:hint="eastAsia" w:ascii="宋体" w:hAnsi="宋体" w:cs="宋体"/>
                <w:color w:val="auto"/>
              </w:rPr>
              <w:t>1.0%</w:t>
            </w:r>
          </w:p>
        </w:tc>
      </w:tr>
      <w:tr w14:paraId="7EAA0050">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38" w:type="dxa"/>
            <w:shd w:val="clear" w:color="auto" w:fill="auto"/>
          </w:tcPr>
          <w:p w14:paraId="2AB115A7">
            <w:pPr>
              <w:spacing w:line="360" w:lineRule="auto"/>
              <w:rPr>
                <w:rFonts w:ascii="宋体" w:hAnsi="宋体" w:cs="宋体"/>
                <w:color w:val="auto"/>
              </w:rPr>
            </w:pPr>
            <w:r>
              <w:rPr>
                <w:rFonts w:hint="eastAsia" w:ascii="宋体" w:hAnsi="宋体" w:cs="宋体"/>
                <w:color w:val="auto"/>
              </w:rPr>
              <w:t>100—500</w:t>
            </w:r>
          </w:p>
        </w:tc>
        <w:tc>
          <w:tcPr>
            <w:tcW w:w="1983" w:type="dxa"/>
            <w:tcBorders>
              <w:top w:val="single" w:color="auto" w:sz="4" w:space="0"/>
              <w:bottom w:val="single" w:color="auto" w:sz="4" w:space="0"/>
            </w:tcBorders>
            <w:shd w:val="clear" w:color="auto" w:fill="FFFFFF"/>
          </w:tcPr>
          <w:p w14:paraId="717AAC65">
            <w:pPr>
              <w:spacing w:line="360" w:lineRule="auto"/>
              <w:jc w:val="center"/>
              <w:rPr>
                <w:rFonts w:ascii="宋体" w:hAnsi="宋体" w:cs="宋体"/>
                <w:color w:val="auto"/>
              </w:rPr>
            </w:pPr>
            <w:r>
              <w:rPr>
                <w:rFonts w:hint="eastAsia" w:ascii="宋体" w:hAnsi="宋体" w:cs="宋体"/>
                <w:color w:val="auto"/>
              </w:rPr>
              <w:t>1.1%</w:t>
            </w:r>
          </w:p>
        </w:tc>
        <w:tc>
          <w:tcPr>
            <w:tcW w:w="1983" w:type="dxa"/>
          </w:tcPr>
          <w:p w14:paraId="568615B0">
            <w:pPr>
              <w:spacing w:line="360" w:lineRule="auto"/>
              <w:jc w:val="center"/>
              <w:rPr>
                <w:rFonts w:ascii="宋体" w:hAnsi="宋体" w:cs="宋体"/>
                <w:color w:val="auto"/>
              </w:rPr>
            </w:pPr>
            <w:r>
              <w:rPr>
                <w:rFonts w:hint="eastAsia" w:ascii="宋体" w:hAnsi="宋体" w:cs="宋体"/>
                <w:color w:val="auto"/>
              </w:rPr>
              <w:t>0.8%</w:t>
            </w:r>
          </w:p>
        </w:tc>
        <w:tc>
          <w:tcPr>
            <w:tcW w:w="1984" w:type="dxa"/>
          </w:tcPr>
          <w:p w14:paraId="5A7CAA5A">
            <w:pPr>
              <w:spacing w:line="360" w:lineRule="auto"/>
              <w:jc w:val="center"/>
              <w:rPr>
                <w:rFonts w:ascii="宋体" w:hAnsi="宋体" w:cs="宋体"/>
                <w:color w:val="auto"/>
              </w:rPr>
            </w:pPr>
            <w:r>
              <w:rPr>
                <w:rFonts w:hint="eastAsia" w:ascii="宋体" w:hAnsi="宋体" w:cs="宋体"/>
                <w:color w:val="auto"/>
              </w:rPr>
              <w:t>0.7%</w:t>
            </w:r>
          </w:p>
        </w:tc>
      </w:tr>
      <w:tr w14:paraId="1848B7AF">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38" w:type="dxa"/>
            <w:shd w:val="clear" w:color="auto" w:fill="auto"/>
          </w:tcPr>
          <w:p w14:paraId="6DA5F5AF">
            <w:pPr>
              <w:spacing w:line="360" w:lineRule="auto"/>
              <w:rPr>
                <w:rFonts w:ascii="宋体" w:hAnsi="宋体" w:cs="宋体"/>
                <w:color w:val="auto"/>
              </w:rPr>
            </w:pPr>
            <w:r>
              <w:rPr>
                <w:rFonts w:hint="eastAsia" w:ascii="宋体" w:hAnsi="宋体" w:cs="宋体"/>
                <w:color w:val="auto"/>
              </w:rPr>
              <w:t>500—1000</w:t>
            </w:r>
          </w:p>
        </w:tc>
        <w:tc>
          <w:tcPr>
            <w:tcW w:w="1983" w:type="dxa"/>
            <w:tcBorders>
              <w:top w:val="single" w:color="auto" w:sz="4" w:space="0"/>
              <w:bottom w:val="single" w:color="auto" w:sz="4" w:space="0"/>
            </w:tcBorders>
            <w:shd w:val="clear" w:color="auto" w:fill="FFFFFF"/>
          </w:tcPr>
          <w:p w14:paraId="529629BE">
            <w:pPr>
              <w:spacing w:line="360" w:lineRule="auto"/>
              <w:jc w:val="center"/>
              <w:rPr>
                <w:rFonts w:ascii="宋体" w:hAnsi="宋体" w:cs="宋体"/>
                <w:color w:val="auto"/>
              </w:rPr>
            </w:pPr>
            <w:r>
              <w:rPr>
                <w:rFonts w:hint="eastAsia" w:ascii="宋体" w:hAnsi="宋体" w:cs="宋体"/>
                <w:color w:val="auto"/>
              </w:rPr>
              <w:t>0.8%</w:t>
            </w:r>
          </w:p>
        </w:tc>
        <w:tc>
          <w:tcPr>
            <w:tcW w:w="1983" w:type="dxa"/>
          </w:tcPr>
          <w:p w14:paraId="48B99CD5">
            <w:pPr>
              <w:spacing w:line="360" w:lineRule="auto"/>
              <w:jc w:val="center"/>
              <w:rPr>
                <w:rFonts w:ascii="宋体" w:hAnsi="宋体" w:cs="宋体"/>
                <w:color w:val="auto"/>
              </w:rPr>
            </w:pPr>
            <w:r>
              <w:rPr>
                <w:rFonts w:hint="eastAsia" w:ascii="宋体" w:hAnsi="宋体" w:cs="宋体"/>
                <w:color w:val="auto"/>
              </w:rPr>
              <w:t>0.45%</w:t>
            </w:r>
          </w:p>
        </w:tc>
        <w:tc>
          <w:tcPr>
            <w:tcW w:w="1984" w:type="dxa"/>
          </w:tcPr>
          <w:p w14:paraId="30A60644">
            <w:pPr>
              <w:spacing w:line="360" w:lineRule="auto"/>
              <w:jc w:val="center"/>
              <w:rPr>
                <w:rFonts w:ascii="宋体" w:hAnsi="宋体" w:cs="宋体"/>
                <w:color w:val="auto"/>
              </w:rPr>
            </w:pPr>
            <w:r>
              <w:rPr>
                <w:rFonts w:hint="eastAsia" w:ascii="宋体" w:hAnsi="宋体" w:cs="宋体"/>
                <w:color w:val="auto"/>
              </w:rPr>
              <w:t>0.55%</w:t>
            </w:r>
          </w:p>
        </w:tc>
      </w:tr>
      <w:tr w14:paraId="70152568">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38" w:type="dxa"/>
            <w:shd w:val="clear" w:color="auto" w:fill="auto"/>
          </w:tcPr>
          <w:p w14:paraId="26696047">
            <w:pPr>
              <w:spacing w:line="360" w:lineRule="auto"/>
              <w:rPr>
                <w:rFonts w:ascii="宋体" w:hAnsi="宋体" w:cs="宋体"/>
                <w:color w:val="auto"/>
              </w:rPr>
            </w:pPr>
            <w:r>
              <w:rPr>
                <w:rFonts w:hint="eastAsia" w:ascii="宋体" w:hAnsi="宋体" w:cs="宋体"/>
                <w:color w:val="auto"/>
              </w:rPr>
              <w:t>1000—5000</w:t>
            </w:r>
          </w:p>
        </w:tc>
        <w:tc>
          <w:tcPr>
            <w:tcW w:w="1983" w:type="dxa"/>
            <w:tcBorders>
              <w:top w:val="single" w:color="auto" w:sz="4" w:space="0"/>
              <w:bottom w:val="single" w:color="auto" w:sz="4" w:space="0"/>
            </w:tcBorders>
            <w:shd w:val="clear" w:color="auto" w:fill="FFFFFF"/>
          </w:tcPr>
          <w:p w14:paraId="54F7FB2B">
            <w:pPr>
              <w:spacing w:line="360" w:lineRule="auto"/>
              <w:jc w:val="center"/>
              <w:rPr>
                <w:rFonts w:ascii="宋体" w:hAnsi="宋体" w:cs="宋体"/>
                <w:color w:val="auto"/>
              </w:rPr>
            </w:pPr>
            <w:r>
              <w:rPr>
                <w:rFonts w:hint="eastAsia" w:ascii="宋体" w:hAnsi="宋体" w:cs="宋体"/>
                <w:color w:val="auto"/>
              </w:rPr>
              <w:t>0.5%</w:t>
            </w:r>
          </w:p>
        </w:tc>
        <w:tc>
          <w:tcPr>
            <w:tcW w:w="1983" w:type="dxa"/>
          </w:tcPr>
          <w:p w14:paraId="62E8903D">
            <w:pPr>
              <w:spacing w:line="360" w:lineRule="auto"/>
              <w:jc w:val="center"/>
              <w:rPr>
                <w:rFonts w:ascii="宋体" w:hAnsi="宋体" w:cs="宋体"/>
                <w:color w:val="auto"/>
              </w:rPr>
            </w:pPr>
            <w:r>
              <w:rPr>
                <w:rFonts w:hint="eastAsia" w:ascii="宋体" w:hAnsi="宋体" w:cs="宋体"/>
                <w:color w:val="auto"/>
              </w:rPr>
              <w:t>0.25%</w:t>
            </w:r>
          </w:p>
        </w:tc>
        <w:tc>
          <w:tcPr>
            <w:tcW w:w="1984" w:type="dxa"/>
          </w:tcPr>
          <w:p w14:paraId="544C427C">
            <w:pPr>
              <w:spacing w:line="360" w:lineRule="auto"/>
              <w:jc w:val="center"/>
              <w:rPr>
                <w:rFonts w:ascii="宋体" w:hAnsi="宋体" w:cs="宋体"/>
                <w:color w:val="auto"/>
              </w:rPr>
            </w:pPr>
            <w:r>
              <w:rPr>
                <w:rFonts w:hint="eastAsia" w:ascii="宋体" w:hAnsi="宋体" w:cs="宋体"/>
                <w:color w:val="auto"/>
              </w:rPr>
              <w:t>0.35%</w:t>
            </w:r>
          </w:p>
        </w:tc>
      </w:tr>
      <w:tr w14:paraId="7B266A15">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938" w:type="dxa"/>
            <w:shd w:val="clear" w:color="auto" w:fill="auto"/>
          </w:tcPr>
          <w:p w14:paraId="1DEC59C5">
            <w:pPr>
              <w:spacing w:line="360" w:lineRule="auto"/>
              <w:rPr>
                <w:rFonts w:ascii="宋体" w:hAnsi="宋体" w:cs="宋体"/>
                <w:color w:val="auto"/>
              </w:rPr>
            </w:pPr>
            <w:r>
              <w:rPr>
                <w:rFonts w:hint="eastAsia" w:ascii="宋体" w:hAnsi="宋体" w:cs="宋体"/>
                <w:color w:val="auto"/>
              </w:rPr>
              <w:t>5000—10000</w:t>
            </w:r>
          </w:p>
        </w:tc>
        <w:tc>
          <w:tcPr>
            <w:tcW w:w="1983" w:type="dxa"/>
            <w:tcBorders>
              <w:top w:val="single" w:color="auto" w:sz="4" w:space="0"/>
              <w:bottom w:val="single" w:color="auto" w:sz="12" w:space="0"/>
            </w:tcBorders>
            <w:shd w:val="clear" w:color="auto" w:fill="FFFFFF"/>
          </w:tcPr>
          <w:p w14:paraId="1191B43C">
            <w:pPr>
              <w:spacing w:line="360" w:lineRule="auto"/>
              <w:jc w:val="center"/>
              <w:rPr>
                <w:rFonts w:ascii="宋体" w:hAnsi="宋体" w:cs="宋体"/>
                <w:color w:val="auto"/>
              </w:rPr>
            </w:pPr>
            <w:r>
              <w:rPr>
                <w:rFonts w:hint="eastAsia" w:ascii="宋体" w:hAnsi="宋体" w:cs="宋体"/>
                <w:color w:val="auto"/>
              </w:rPr>
              <w:t>0.25%</w:t>
            </w:r>
          </w:p>
        </w:tc>
        <w:tc>
          <w:tcPr>
            <w:tcW w:w="1983" w:type="dxa"/>
          </w:tcPr>
          <w:p w14:paraId="630D5B1A">
            <w:pPr>
              <w:spacing w:line="360" w:lineRule="auto"/>
              <w:jc w:val="center"/>
              <w:rPr>
                <w:rFonts w:ascii="宋体" w:hAnsi="宋体" w:cs="宋体"/>
                <w:color w:val="auto"/>
              </w:rPr>
            </w:pPr>
            <w:r>
              <w:rPr>
                <w:rFonts w:hint="eastAsia" w:ascii="宋体" w:hAnsi="宋体" w:cs="宋体"/>
                <w:color w:val="auto"/>
              </w:rPr>
              <w:t>0.1%</w:t>
            </w:r>
          </w:p>
        </w:tc>
        <w:tc>
          <w:tcPr>
            <w:tcW w:w="1984" w:type="dxa"/>
          </w:tcPr>
          <w:p w14:paraId="54F6E795">
            <w:pPr>
              <w:spacing w:line="360" w:lineRule="auto"/>
              <w:jc w:val="center"/>
              <w:rPr>
                <w:rFonts w:ascii="宋体" w:hAnsi="宋体" w:cs="宋体"/>
                <w:color w:val="auto"/>
              </w:rPr>
            </w:pPr>
            <w:r>
              <w:rPr>
                <w:rFonts w:hint="eastAsia" w:ascii="宋体" w:hAnsi="宋体" w:cs="宋体"/>
                <w:color w:val="auto"/>
              </w:rPr>
              <w:t>0.2%</w:t>
            </w:r>
          </w:p>
        </w:tc>
      </w:tr>
    </w:tbl>
    <w:p w14:paraId="29517AC6">
      <w:pPr>
        <w:pStyle w:val="12"/>
        <w:spacing w:line="360" w:lineRule="auto"/>
        <w:ind w:firstLineChars="200"/>
        <w:rPr>
          <w:rFonts w:ascii="宋体" w:hAnsi="宋体" w:cs="宋体"/>
          <w:color w:val="auto"/>
          <w:szCs w:val="21"/>
        </w:rPr>
      </w:pPr>
      <w:r>
        <w:rPr>
          <w:rFonts w:hint="eastAsia" w:ascii="宋体" w:hAnsi="宋体" w:cs="宋体"/>
          <w:color w:val="auto"/>
          <w:szCs w:val="21"/>
        </w:rPr>
        <w:t>备注：采购代理服务费按差额定率累进法计算。</w:t>
      </w:r>
    </w:p>
    <w:p w14:paraId="58541FC6">
      <w:pPr>
        <w:pStyle w:val="12"/>
        <w:spacing w:line="360" w:lineRule="auto"/>
        <w:ind w:firstLineChars="200"/>
        <w:rPr>
          <w:rFonts w:ascii="宋体" w:hAnsi="宋体" w:cs="宋体"/>
          <w:color w:val="auto"/>
          <w:szCs w:val="21"/>
        </w:rPr>
      </w:pPr>
      <w:r>
        <w:rPr>
          <w:rFonts w:hint="eastAsia" w:ascii="宋体" w:hAnsi="宋体" w:cs="宋体"/>
          <w:color w:val="auto"/>
          <w:szCs w:val="21"/>
        </w:rPr>
        <w:t>34.2中标人应在接受“中标通知书”时向采购代理机构一次付清采购代理服务费。</w:t>
      </w:r>
    </w:p>
    <w:p w14:paraId="63FC0767">
      <w:pPr>
        <w:spacing w:line="360" w:lineRule="auto"/>
        <w:jc w:val="left"/>
        <w:rPr>
          <w:rFonts w:ascii="宋体" w:hAnsi="宋体" w:cs="宋体"/>
          <w:b/>
          <w:bCs/>
          <w:color w:val="auto"/>
          <w:sz w:val="24"/>
          <w:szCs w:val="24"/>
        </w:rPr>
      </w:pPr>
      <w:r>
        <w:rPr>
          <w:rFonts w:hint="eastAsia" w:ascii="宋体" w:hAnsi="宋体" w:cs="宋体"/>
          <w:b/>
          <w:bCs/>
          <w:color w:val="auto"/>
          <w:sz w:val="24"/>
          <w:szCs w:val="24"/>
        </w:rPr>
        <w:t>35.招标文件编制依据</w:t>
      </w:r>
    </w:p>
    <w:p w14:paraId="7AE6A971">
      <w:pPr>
        <w:pStyle w:val="12"/>
        <w:spacing w:line="360" w:lineRule="auto"/>
        <w:ind w:firstLineChars="200"/>
        <w:rPr>
          <w:rFonts w:ascii="宋体" w:hAnsi="宋体" w:cs="宋体"/>
          <w:color w:val="auto"/>
          <w:szCs w:val="21"/>
        </w:rPr>
      </w:pPr>
      <w:r>
        <w:rPr>
          <w:rFonts w:hint="eastAsia" w:ascii="宋体" w:hAnsi="宋体" w:cs="宋体"/>
          <w:color w:val="auto"/>
          <w:szCs w:val="21"/>
        </w:rPr>
        <w:t>35.1本招标文件根据《中华人民共和国政府采购法》《中华人民共和国政府采购法实施条例》《政府采购货物和服务招标投标管理办法》（财政部令第87号）等有关法律、法规编制，解释权属于采购人、采购代理机构。</w:t>
      </w:r>
    </w:p>
    <w:p w14:paraId="0D545178">
      <w:pPr>
        <w:spacing w:line="360" w:lineRule="auto"/>
        <w:jc w:val="left"/>
        <w:rPr>
          <w:rFonts w:ascii="宋体" w:hAnsi="宋体" w:cs="宋体"/>
          <w:b/>
          <w:bCs/>
          <w:color w:val="auto"/>
          <w:sz w:val="24"/>
          <w:szCs w:val="24"/>
        </w:rPr>
      </w:pPr>
      <w:r>
        <w:rPr>
          <w:rFonts w:hint="eastAsia" w:ascii="宋体" w:hAnsi="宋体" w:cs="宋体"/>
          <w:b/>
          <w:bCs/>
          <w:color w:val="auto"/>
          <w:sz w:val="24"/>
          <w:szCs w:val="24"/>
        </w:rPr>
        <w:t>36.需要补充的其他内容</w:t>
      </w:r>
    </w:p>
    <w:p w14:paraId="7EB9043C">
      <w:pPr>
        <w:pStyle w:val="12"/>
        <w:spacing w:line="360" w:lineRule="auto"/>
        <w:ind w:firstLineChars="200"/>
        <w:rPr>
          <w:rFonts w:ascii="宋体" w:hAnsi="宋体" w:cs="宋体"/>
          <w:color w:val="auto"/>
          <w:szCs w:val="21"/>
        </w:rPr>
      </w:pPr>
      <w:r>
        <w:rPr>
          <w:rFonts w:hint="eastAsia" w:ascii="宋体" w:hAnsi="宋体" w:cs="宋体"/>
          <w:color w:val="auto"/>
          <w:szCs w:val="21"/>
        </w:rPr>
        <w:t>36.1关于中小企业：</w:t>
      </w:r>
    </w:p>
    <w:p w14:paraId="40C2E8AC">
      <w:pPr>
        <w:pStyle w:val="12"/>
        <w:spacing w:line="360" w:lineRule="auto"/>
        <w:ind w:firstLineChars="200"/>
        <w:rPr>
          <w:rFonts w:ascii="宋体" w:hAnsi="宋体" w:cs="宋体"/>
          <w:color w:val="auto"/>
          <w:szCs w:val="21"/>
        </w:rPr>
      </w:pPr>
      <w:r>
        <w:rPr>
          <w:rFonts w:hint="eastAsia" w:ascii="宋体" w:hAnsi="宋体" w:cs="宋体"/>
          <w:color w:val="auto"/>
          <w:szCs w:val="21"/>
        </w:rPr>
        <w:t>36.1.1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1F5225A0">
      <w:pPr>
        <w:pStyle w:val="12"/>
        <w:spacing w:line="360" w:lineRule="auto"/>
        <w:ind w:firstLineChars="200"/>
        <w:rPr>
          <w:rFonts w:ascii="宋体" w:hAnsi="宋体" w:cs="宋体"/>
          <w:color w:val="auto"/>
          <w:szCs w:val="21"/>
        </w:rPr>
      </w:pPr>
      <w:r>
        <w:rPr>
          <w:rFonts w:hint="eastAsia" w:ascii="宋体" w:hAnsi="宋体" w:cs="宋体"/>
          <w:color w:val="auto"/>
          <w:szCs w:val="21"/>
        </w:rPr>
        <w:t>36.1.2符合中小企业划分标准的个体工商户，在政府采购活动中视同中小企业。</w:t>
      </w:r>
    </w:p>
    <w:p w14:paraId="2BE9BAC1">
      <w:pPr>
        <w:pStyle w:val="12"/>
        <w:spacing w:line="360" w:lineRule="auto"/>
        <w:ind w:firstLineChars="200"/>
        <w:rPr>
          <w:rFonts w:ascii="宋体" w:hAnsi="宋体" w:cs="宋体"/>
          <w:color w:val="auto"/>
          <w:szCs w:val="21"/>
        </w:rPr>
      </w:pPr>
      <w:r>
        <w:rPr>
          <w:rFonts w:hint="eastAsia" w:ascii="宋体" w:hAnsi="宋体" w:cs="宋体"/>
          <w:color w:val="auto"/>
          <w:szCs w:val="21"/>
        </w:rPr>
        <w:t>36.1.3在政府采购活动中，投标人提供的货物、工程或者服务符合下列情形的，享受《关于印发&lt;政府采购促进中小企业发展管理办法&gt;的通知》（财库〔2020〕46号）规定的中小企业扶持政策：</w:t>
      </w:r>
    </w:p>
    <w:p w14:paraId="629B7A4F">
      <w:pPr>
        <w:pStyle w:val="12"/>
        <w:spacing w:line="360" w:lineRule="auto"/>
        <w:ind w:firstLineChars="200"/>
        <w:rPr>
          <w:rFonts w:ascii="宋体" w:hAnsi="宋体" w:cs="宋体"/>
          <w:color w:val="auto"/>
          <w:szCs w:val="21"/>
        </w:rPr>
      </w:pPr>
      <w:r>
        <w:rPr>
          <w:rFonts w:hint="eastAsia" w:ascii="宋体" w:hAnsi="宋体" w:cs="宋体"/>
          <w:color w:val="auto"/>
          <w:szCs w:val="21"/>
        </w:rPr>
        <w:t>（一）在货物采购项目中，货物由中小企业制造，即货物由中小企业生产且使用该中小企业商号或者注册商标；</w:t>
      </w:r>
    </w:p>
    <w:p w14:paraId="41C684FE">
      <w:pPr>
        <w:pStyle w:val="12"/>
        <w:spacing w:line="360" w:lineRule="auto"/>
        <w:ind w:firstLineChars="200"/>
        <w:rPr>
          <w:rFonts w:ascii="宋体" w:hAnsi="宋体" w:cs="宋体"/>
          <w:color w:val="auto"/>
          <w:szCs w:val="21"/>
        </w:rPr>
      </w:pPr>
      <w:r>
        <w:rPr>
          <w:rFonts w:hint="eastAsia" w:ascii="宋体" w:hAnsi="宋体" w:cs="宋体"/>
          <w:color w:val="auto"/>
          <w:szCs w:val="21"/>
        </w:rPr>
        <w:t>（二）在工程采购项目中，工程由中小企业承建，即工程施工单位为中小企业；</w:t>
      </w:r>
    </w:p>
    <w:p w14:paraId="6E8916E1">
      <w:pPr>
        <w:pStyle w:val="12"/>
        <w:spacing w:line="360" w:lineRule="auto"/>
        <w:ind w:firstLineChars="200"/>
        <w:rPr>
          <w:rFonts w:ascii="宋体" w:hAnsi="宋体" w:cs="宋体"/>
          <w:color w:val="auto"/>
          <w:szCs w:val="21"/>
        </w:rPr>
      </w:pPr>
      <w:r>
        <w:rPr>
          <w:rFonts w:hint="eastAsia" w:ascii="宋体" w:hAnsi="宋体" w:cs="宋体"/>
          <w:color w:val="auto"/>
          <w:szCs w:val="21"/>
        </w:rPr>
        <w:t>（三）在服务采购项目中，服务由中小企业承接，即提供服务的人员为中小企业依照《中华人民共和国劳动合同法》订立劳动合同的从业人员。</w:t>
      </w:r>
    </w:p>
    <w:p w14:paraId="124A5BB3">
      <w:pPr>
        <w:pStyle w:val="12"/>
        <w:spacing w:line="360" w:lineRule="auto"/>
        <w:ind w:firstLineChars="200"/>
        <w:rPr>
          <w:rFonts w:ascii="宋体" w:hAnsi="宋体" w:cs="宋体"/>
          <w:color w:val="auto"/>
          <w:szCs w:val="21"/>
        </w:rPr>
      </w:pPr>
      <w:r>
        <w:rPr>
          <w:rFonts w:hint="eastAsia" w:ascii="宋体" w:hAnsi="宋体" w:cs="宋体"/>
          <w:color w:val="auto"/>
          <w:szCs w:val="21"/>
        </w:rPr>
        <w:t>36.1.4在货物采购项目中，投标人提供的货物既有中小企业制造货物，也有大型企业制造货物的，不享受本办法规定的中小企业扶持政策。</w:t>
      </w:r>
    </w:p>
    <w:p w14:paraId="2FAA5F0D">
      <w:pPr>
        <w:pStyle w:val="12"/>
        <w:spacing w:line="360" w:lineRule="auto"/>
        <w:ind w:firstLineChars="200"/>
        <w:rPr>
          <w:rFonts w:ascii="宋体" w:hAnsi="宋体" w:cs="宋体"/>
          <w:color w:val="auto"/>
          <w:szCs w:val="21"/>
        </w:rPr>
      </w:pPr>
      <w:r>
        <w:rPr>
          <w:rFonts w:hint="eastAsia" w:ascii="宋体" w:hAnsi="宋体" w:cs="宋体"/>
          <w:color w:val="auto"/>
          <w:szCs w:val="21"/>
        </w:rPr>
        <w:t>36.1.5以联合体形式参加政府采购活动，联合体各方均为中小企业的，联合体视同中小企业。其中，联合体各方均为小微企业的,联合体视同小微企业。</w:t>
      </w:r>
    </w:p>
    <w:p w14:paraId="7F54BC64">
      <w:pPr>
        <w:pStyle w:val="12"/>
        <w:spacing w:line="360" w:lineRule="auto"/>
        <w:ind w:firstLineChars="200"/>
        <w:rPr>
          <w:rFonts w:ascii="宋体" w:hAnsi="宋体" w:cs="宋体"/>
          <w:color w:val="auto"/>
          <w:szCs w:val="21"/>
        </w:rPr>
      </w:pPr>
      <w:r>
        <w:rPr>
          <w:rFonts w:hint="eastAsia" w:ascii="宋体" w:hAnsi="宋体" w:cs="宋体"/>
          <w:color w:val="auto"/>
          <w:szCs w:val="21"/>
        </w:rPr>
        <w:t>36.1.6中小企业参加政府采购活动，应当出具《关于印发&lt;政府采购促进中小企业发展管理办法&gt;的通知》（财库〔2020〕46号）规定的《中小企业声明函》，否则不得享受相关中小企业扶持政策。</w:t>
      </w:r>
    </w:p>
    <w:p w14:paraId="1E14C86C">
      <w:pPr>
        <w:pStyle w:val="12"/>
        <w:spacing w:line="360" w:lineRule="auto"/>
        <w:ind w:firstLineChars="200"/>
        <w:rPr>
          <w:rFonts w:ascii="宋体" w:hAnsi="宋体" w:cs="宋体"/>
          <w:color w:val="auto"/>
          <w:szCs w:val="21"/>
        </w:rPr>
      </w:pPr>
      <w:r>
        <w:rPr>
          <w:rFonts w:hint="eastAsia" w:ascii="宋体" w:hAnsi="宋体" w:cs="宋体"/>
          <w:color w:val="auto"/>
          <w:szCs w:val="21"/>
        </w:rPr>
        <w:t>36.1.7规定依据《关于印发&lt;政府采购促进中小企业发展管理办法&gt;的通知》（财库〔2020〕46号）规定享受扶持政策获得政府采购合同的，小微企业不得将合同分包给大中型企业，中型企业不得将合同分包给大型企业。</w:t>
      </w:r>
    </w:p>
    <w:p w14:paraId="11C1D217">
      <w:pPr>
        <w:pStyle w:val="12"/>
        <w:spacing w:line="360" w:lineRule="auto"/>
        <w:ind w:firstLineChars="200"/>
        <w:rPr>
          <w:rFonts w:ascii="宋体" w:hAnsi="宋体" w:cs="宋体"/>
          <w:bCs/>
          <w:color w:val="auto"/>
          <w:szCs w:val="21"/>
        </w:rPr>
      </w:pPr>
      <w:r>
        <w:rPr>
          <w:rFonts w:hint="eastAsia" w:ascii="宋体" w:hAnsi="宋体" w:cs="宋体"/>
          <w:color w:val="auto"/>
          <w:szCs w:val="21"/>
        </w:rPr>
        <w:t>36.1.8根据《关于印发《政府采购促进中小企业发展管理办法》的通知》（财库〔2020〕46号）以及</w:t>
      </w:r>
      <w:r>
        <w:rPr>
          <w:color w:val="auto"/>
          <w:szCs w:val="21"/>
        </w:rPr>
        <w:t>《云南省人民政府办公厅关于印发云南省进一步帮扶中小微企业纾困发展工作方案的通知》（云政办〔2022〕42号</w:t>
      </w:r>
      <w:r>
        <w:rPr>
          <w:rFonts w:hint="eastAsia"/>
          <w:color w:val="auto"/>
          <w:szCs w:val="21"/>
        </w:rPr>
        <w:t>）</w:t>
      </w:r>
      <w:r>
        <w:rPr>
          <w:rFonts w:hint="eastAsia" w:ascii="宋体" w:hAnsi="宋体" w:cs="宋体"/>
          <w:color w:val="auto"/>
          <w:szCs w:val="21"/>
        </w:rPr>
        <w:t>的规定，本项目针对小微企业报价给予10%的扣除，用扣除后的价格参与评审。符合条件的投标人应填写《中小企业声明函》，“标的名称”“所属行业”详见第四章  投标文件格式。</w:t>
      </w:r>
    </w:p>
    <w:p w14:paraId="6E0FE056">
      <w:pPr>
        <w:pStyle w:val="12"/>
        <w:spacing w:line="360" w:lineRule="auto"/>
        <w:ind w:firstLineChars="200"/>
        <w:rPr>
          <w:rFonts w:ascii="宋体" w:hAnsi="宋体" w:cs="宋体"/>
          <w:color w:val="auto"/>
          <w:szCs w:val="21"/>
        </w:rPr>
      </w:pPr>
      <w:r>
        <w:rPr>
          <w:rFonts w:hint="eastAsia" w:ascii="宋体" w:hAnsi="宋体" w:cs="宋体"/>
          <w:color w:val="auto"/>
          <w:szCs w:val="21"/>
        </w:rPr>
        <w:t>36.1.9本项目针对小微企业报价给予10%的扣除，用扣除后的价格参与评审。</w:t>
      </w:r>
    </w:p>
    <w:p w14:paraId="385D0854">
      <w:pPr>
        <w:pStyle w:val="12"/>
        <w:spacing w:line="360" w:lineRule="auto"/>
        <w:ind w:firstLineChars="200"/>
        <w:rPr>
          <w:rFonts w:ascii="宋体" w:hAnsi="宋体" w:cs="宋体"/>
          <w:color w:val="auto"/>
          <w:szCs w:val="21"/>
        </w:rPr>
      </w:pPr>
      <w:r>
        <w:rPr>
          <w:rFonts w:hint="eastAsia" w:ascii="宋体" w:hAnsi="宋体" w:cs="宋体"/>
          <w:color w:val="auto"/>
          <w:szCs w:val="21"/>
        </w:rPr>
        <w:t>36.1.10中标、成交投标人享受本办法规定的中小企业扶持政策的，采购人、采购代理机构将随中标、成交结果公开中标、成交投标人的《中小企业声明函》。</w:t>
      </w:r>
    </w:p>
    <w:p w14:paraId="79608A9B">
      <w:pPr>
        <w:pStyle w:val="12"/>
        <w:spacing w:line="360" w:lineRule="auto"/>
        <w:ind w:firstLineChars="200"/>
        <w:rPr>
          <w:rFonts w:ascii="宋体" w:hAnsi="宋体" w:cs="宋体"/>
          <w:color w:val="auto"/>
          <w:szCs w:val="21"/>
        </w:rPr>
      </w:pPr>
      <w:r>
        <w:rPr>
          <w:rFonts w:hint="eastAsia" w:ascii="宋体" w:hAnsi="宋体" w:cs="宋体"/>
          <w:color w:val="auto"/>
          <w:szCs w:val="21"/>
        </w:rPr>
        <w:t>36.2关于监狱企业：</w:t>
      </w:r>
    </w:p>
    <w:p w14:paraId="5CBDC157">
      <w:pPr>
        <w:pStyle w:val="12"/>
        <w:spacing w:line="360" w:lineRule="auto"/>
        <w:ind w:firstLineChars="200"/>
        <w:rPr>
          <w:rFonts w:ascii="宋体" w:hAnsi="宋体" w:cs="宋体"/>
          <w:color w:val="auto"/>
          <w:szCs w:val="21"/>
        </w:rPr>
      </w:pPr>
      <w:r>
        <w:rPr>
          <w:rFonts w:hint="eastAsia" w:ascii="宋体" w:hAnsi="宋体" w:cs="宋体"/>
          <w:color w:val="auto"/>
          <w:szCs w:val="21"/>
        </w:rPr>
        <w:t>36.2.1根据《财政部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4E360D">
      <w:pPr>
        <w:pStyle w:val="12"/>
        <w:spacing w:line="360" w:lineRule="auto"/>
        <w:ind w:firstLineChars="200"/>
        <w:rPr>
          <w:rFonts w:ascii="宋体" w:hAnsi="宋体" w:cs="宋体"/>
          <w:color w:val="auto"/>
          <w:szCs w:val="21"/>
        </w:rPr>
      </w:pPr>
      <w:r>
        <w:rPr>
          <w:rFonts w:hint="eastAsia" w:ascii="宋体" w:hAnsi="宋体" w:cs="宋体"/>
          <w:color w:val="auto"/>
          <w:szCs w:val="21"/>
        </w:rPr>
        <w:t>36.2.2监狱企业参加政府采购活动时，应当提供由省级以上监狱管理局、戒毒管理局（含新疆生产建设兵团）出具的属于监狱企业的证明文件。</w:t>
      </w:r>
    </w:p>
    <w:p w14:paraId="0E914958">
      <w:pPr>
        <w:pStyle w:val="12"/>
        <w:spacing w:line="360" w:lineRule="auto"/>
        <w:ind w:firstLineChars="200"/>
        <w:rPr>
          <w:rFonts w:ascii="宋体" w:hAnsi="宋体" w:cs="宋体"/>
          <w:color w:val="auto"/>
          <w:szCs w:val="21"/>
        </w:rPr>
      </w:pPr>
      <w:r>
        <w:rPr>
          <w:rFonts w:hint="eastAsia" w:ascii="宋体" w:hAnsi="宋体" w:cs="宋体"/>
          <w:color w:val="auto"/>
          <w:szCs w:val="21"/>
        </w:rPr>
        <w:t>36.2.3在政府采购活动中，监狱企业视同小型、微型企业，享受预留份额、评审中价格扣除等政府采购促进中小企业发展的政府采购政策。</w:t>
      </w:r>
    </w:p>
    <w:p w14:paraId="47E32D85">
      <w:pPr>
        <w:pStyle w:val="12"/>
        <w:spacing w:line="360" w:lineRule="auto"/>
        <w:ind w:firstLineChars="200"/>
        <w:rPr>
          <w:rFonts w:ascii="宋体" w:hAnsi="宋体" w:cs="宋体"/>
          <w:color w:val="auto"/>
          <w:szCs w:val="21"/>
        </w:rPr>
      </w:pPr>
      <w:r>
        <w:rPr>
          <w:rFonts w:hint="eastAsia" w:ascii="宋体" w:hAnsi="宋体" w:cs="宋体"/>
          <w:color w:val="auto"/>
          <w:szCs w:val="21"/>
        </w:rPr>
        <w:t>36.3关于残疾人福利性单位：</w:t>
      </w:r>
    </w:p>
    <w:p w14:paraId="67922BBA">
      <w:pPr>
        <w:pStyle w:val="12"/>
        <w:spacing w:line="360" w:lineRule="auto"/>
        <w:ind w:firstLineChars="200"/>
        <w:rPr>
          <w:rFonts w:ascii="宋体" w:hAnsi="宋体" w:cs="宋体"/>
          <w:color w:val="auto"/>
          <w:szCs w:val="21"/>
        </w:rPr>
      </w:pPr>
      <w:r>
        <w:rPr>
          <w:rFonts w:hint="eastAsia" w:ascii="宋体" w:hAnsi="宋体" w:cs="宋体"/>
          <w:color w:val="auto"/>
          <w:szCs w:val="21"/>
        </w:rPr>
        <w:t>36.3.1根据《三部门联合发布关于促进残疾人就业政府采购政策的通知》（财库〔2017〕141号）的规定，享受政府采购支持政策的残疾人福利性单位应当同时满足以下条件：</w:t>
      </w:r>
    </w:p>
    <w:p w14:paraId="1BC30A47">
      <w:pPr>
        <w:pStyle w:val="12"/>
        <w:spacing w:line="360" w:lineRule="auto"/>
        <w:ind w:firstLineChars="200"/>
        <w:rPr>
          <w:rFonts w:ascii="宋体" w:hAnsi="宋体" w:cs="宋体"/>
          <w:color w:val="auto"/>
          <w:szCs w:val="21"/>
        </w:rPr>
      </w:pPr>
      <w:r>
        <w:rPr>
          <w:rFonts w:hint="eastAsia" w:ascii="宋体" w:hAnsi="宋体" w:cs="宋体"/>
          <w:color w:val="auto"/>
          <w:szCs w:val="21"/>
        </w:rPr>
        <w:t>（一）安置的残疾人占本单位在职职工人数的比例不低于25%（含25%），并且安置的残疾人人数不少于10人（含10人）；</w:t>
      </w:r>
    </w:p>
    <w:p w14:paraId="3F37A828">
      <w:pPr>
        <w:pStyle w:val="12"/>
        <w:spacing w:line="360" w:lineRule="auto"/>
        <w:ind w:firstLineChars="200"/>
        <w:rPr>
          <w:rFonts w:ascii="宋体" w:hAnsi="宋体" w:cs="宋体"/>
          <w:color w:val="auto"/>
          <w:szCs w:val="21"/>
        </w:rPr>
      </w:pPr>
      <w:r>
        <w:rPr>
          <w:rFonts w:hint="eastAsia" w:ascii="宋体" w:hAnsi="宋体" w:cs="宋体"/>
          <w:color w:val="auto"/>
          <w:szCs w:val="21"/>
        </w:rPr>
        <w:t>（二）依法与安置的每位残疾人签订了一年以上（含一年）的劳动合同或服务协议；</w:t>
      </w:r>
    </w:p>
    <w:p w14:paraId="09780542">
      <w:pPr>
        <w:pStyle w:val="12"/>
        <w:spacing w:line="360" w:lineRule="auto"/>
        <w:ind w:firstLineChars="200"/>
        <w:rPr>
          <w:rFonts w:ascii="宋体" w:hAnsi="宋体" w:cs="宋体"/>
          <w:color w:val="auto"/>
          <w:szCs w:val="21"/>
        </w:rPr>
      </w:pPr>
      <w:r>
        <w:rPr>
          <w:rFonts w:hint="eastAsia" w:ascii="宋体" w:hAnsi="宋体" w:cs="宋体"/>
          <w:color w:val="auto"/>
          <w:szCs w:val="21"/>
        </w:rPr>
        <w:t>（三）为安置的每位残疾人按月足额缴纳了基本养老保险、基本医疗保险、失业保险、工伤保险和生育保险等社会保险费；</w:t>
      </w:r>
    </w:p>
    <w:p w14:paraId="2842A2D3">
      <w:pPr>
        <w:pStyle w:val="12"/>
        <w:spacing w:line="360" w:lineRule="auto"/>
        <w:ind w:firstLineChars="200"/>
        <w:rPr>
          <w:rFonts w:ascii="宋体" w:hAnsi="宋体" w:cs="宋体"/>
          <w:color w:val="auto"/>
          <w:szCs w:val="21"/>
        </w:rPr>
      </w:pPr>
      <w:r>
        <w:rPr>
          <w:rFonts w:hint="eastAsia" w:ascii="宋体" w:hAnsi="宋体" w:cs="宋体"/>
          <w:color w:val="auto"/>
          <w:szCs w:val="21"/>
        </w:rPr>
        <w:t>（四）通过银行等金融机构向安置的每位残疾人，按月支付了不于单位所在区县适用的经省级人民政府批准的月最低工资标准的工资；</w:t>
      </w:r>
    </w:p>
    <w:p w14:paraId="232F0E9E">
      <w:pPr>
        <w:pStyle w:val="12"/>
        <w:spacing w:line="360" w:lineRule="auto"/>
        <w:ind w:firstLineChars="200"/>
        <w:rPr>
          <w:rFonts w:ascii="宋体" w:hAnsi="宋体" w:cs="宋体"/>
          <w:color w:val="auto"/>
          <w:szCs w:val="21"/>
        </w:rPr>
      </w:pPr>
      <w:r>
        <w:rPr>
          <w:rFonts w:hint="eastAsia" w:ascii="宋体" w:hAnsi="宋体" w:cs="宋体"/>
          <w:color w:val="auto"/>
          <w:szCs w:val="21"/>
        </w:rPr>
        <w:t>（五）提供本单位制造的货物、承担的工程或者服务（以下简称产品），或者提供其他残疾人福利性单位制造的货物（不包括使用非残疾人福利性单位注册商标的货物）。</w:t>
      </w:r>
    </w:p>
    <w:p w14:paraId="2DF2A988">
      <w:pPr>
        <w:pStyle w:val="12"/>
        <w:spacing w:line="360" w:lineRule="auto"/>
        <w:ind w:firstLineChars="200"/>
        <w:rPr>
          <w:rFonts w:ascii="宋体" w:hAnsi="宋体" w:cs="宋体"/>
          <w:color w:val="auto"/>
          <w:szCs w:val="21"/>
        </w:rPr>
      </w:pPr>
      <w:r>
        <w:rPr>
          <w:rFonts w:hint="eastAsia" w:ascii="宋体" w:hAnsi="宋体" w:cs="宋体"/>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6BF750">
      <w:pPr>
        <w:pStyle w:val="12"/>
        <w:spacing w:line="360" w:lineRule="auto"/>
        <w:ind w:firstLineChars="200"/>
        <w:rPr>
          <w:rFonts w:ascii="宋体" w:hAnsi="宋体" w:cs="宋体"/>
          <w:color w:val="auto"/>
          <w:szCs w:val="21"/>
        </w:rPr>
      </w:pPr>
      <w:r>
        <w:rPr>
          <w:rFonts w:hint="eastAsia" w:ascii="宋体" w:hAnsi="宋体" w:cs="宋体"/>
          <w:color w:val="auto"/>
          <w:szCs w:val="21"/>
        </w:rPr>
        <w:t>36.3.2符合条件的残疾人福利性单位在参加政府采购活动时，应当按《三部门联合发布关于促进残疾人就业政府采购政策的通知》（财库〔2017〕141号）提供规定的《残疾人福利性单位声明函》，并对声明的真实性负责。</w:t>
      </w:r>
    </w:p>
    <w:p w14:paraId="6F316537">
      <w:pPr>
        <w:pStyle w:val="12"/>
        <w:spacing w:line="360" w:lineRule="auto"/>
        <w:ind w:firstLineChars="200"/>
        <w:rPr>
          <w:rFonts w:ascii="宋体" w:hAnsi="宋体" w:cs="宋体"/>
          <w:color w:val="auto"/>
          <w:szCs w:val="21"/>
        </w:rPr>
      </w:pPr>
      <w:r>
        <w:rPr>
          <w:rFonts w:hint="eastAsia" w:ascii="宋体" w:hAnsi="宋体" w:cs="宋体"/>
          <w:color w:val="auto"/>
          <w:szCs w:val="21"/>
        </w:rPr>
        <w:t>36.3.3本项目针对残疾人福利性单位价格给予10%的扣除，用扣除后的价格参与评审。残疾人福利性单位属于小型、微型企业的，不重复享受政策。</w:t>
      </w:r>
    </w:p>
    <w:p w14:paraId="5DAD4EED">
      <w:pPr>
        <w:pStyle w:val="12"/>
        <w:spacing w:line="360" w:lineRule="auto"/>
        <w:ind w:firstLineChars="200"/>
        <w:rPr>
          <w:rFonts w:ascii="宋体" w:hAnsi="宋体" w:cs="宋体"/>
          <w:color w:val="auto"/>
          <w:szCs w:val="21"/>
        </w:rPr>
      </w:pPr>
      <w:r>
        <w:rPr>
          <w:rFonts w:hint="eastAsia" w:ascii="宋体" w:hAnsi="宋体" w:cs="宋体"/>
          <w:color w:val="auto"/>
          <w:szCs w:val="21"/>
        </w:rPr>
        <w:t>36.4关于节能产品及环境标志产品：</w:t>
      </w:r>
    </w:p>
    <w:p w14:paraId="6AD03DC6">
      <w:pPr>
        <w:pStyle w:val="12"/>
        <w:spacing w:line="360" w:lineRule="auto"/>
        <w:ind w:firstLineChars="200"/>
        <w:rPr>
          <w:rFonts w:ascii="宋体" w:hAnsi="宋体" w:cs="宋体"/>
          <w:color w:val="auto"/>
          <w:szCs w:val="21"/>
        </w:rPr>
      </w:pPr>
      <w:r>
        <w:rPr>
          <w:rFonts w:hint="eastAsia" w:ascii="宋体" w:hAnsi="宋体" w:cs="宋体"/>
          <w:color w:val="auto"/>
          <w:szCs w:val="21"/>
        </w:rPr>
        <w:t>36.4.1根据《财政部 发展改革委 生态环境部 市场监管总局 关于调整优化节能产品、环境标志产品政府采购执行机制的通知》（财库〔2019〕9号），对政府采购节能产品、环境标志产品实施品目清单管理。</w:t>
      </w:r>
    </w:p>
    <w:p w14:paraId="18072358">
      <w:pPr>
        <w:pStyle w:val="12"/>
        <w:spacing w:line="360" w:lineRule="auto"/>
        <w:ind w:firstLineChars="200"/>
        <w:rPr>
          <w:rFonts w:ascii="宋体" w:hAnsi="宋体" w:cs="宋体"/>
          <w:color w:val="auto"/>
          <w:szCs w:val="21"/>
        </w:rPr>
      </w:pPr>
      <w:r>
        <w:rPr>
          <w:rFonts w:hint="eastAsia" w:ascii="宋体" w:hAnsi="宋体" w:cs="宋体"/>
          <w:color w:val="auto"/>
          <w:szCs w:val="21"/>
        </w:rPr>
        <w:t>36.4.2节能产品是指列入财政部和发展改革委公布的《关于印发节能产品政府采购品目清单的通知》（财库〔2019〕19号）《节能产品政府采购品目清单》中的产品，其中以“★”标注的为政府强制采购产品。</w:t>
      </w:r>
    </w:p>
    <w:p w14:paraId="3BF7350A">
      <w:pPr>
        <w:pStyle w:val="12"/>
        <w:spacing w:line="360" w:lineRule="auto"/>
        <w:ind w:firstLineChars="200"/>
        <w:rPr>
          <w:rFonts w:ascii="宋体" w:hAnsi="宋体" w:cs="宋体"/>
          <w:color w:val="auto"/>
          <w:szCs w:val="21"/>
        </w:rPr>
      </w:pPr>
      <w:r>
        <w:rPr>
          <w:rFonts w:hint="eastAsia" w:ascii="宋体" w:hAnsi="宋体" w:cs="宋体"/>
          <w:color w:val="auto"/>
          <w:szCs w:val="21"/>
        </w:rPr>
        <w:t>36.4.3环境标志产品是指列入财政部和生态环境部公布的《关于印发环境标志产品政府采购品目清单的通知》（财库〔2019〕18号）《环境标志产品政府采购品目清单》中的产品。</w:t>
      </w:r>
    </w:p>
    <w:p w14:paraId="2AA700C8">
      <w:pPr>
        <w:pStyle w:val="12"/>
        <w:spacing w:line="360" w:lineRule="auto"/>
        <w:ind w:firstLineChars="200"/>
        <w:rPr>
          <w:rFonts w:ascii="宋体" w:hAnsi="宋体" w:cs="宋体"/>
          <w:color w:val="auto"/>
          <w:szCs w:val="21"/>
        </w:rPr>
      </w:pPr>
      <w:r>
        <w:rPr>
          <w:rFonts w:hint="eastAsia" w:ascii="宋体" w:hAnsi="宋体" w:cs="宋体"/>
          <w:color w:val="auto"/>
          <w:szCs w:val="21"/>
        </w:rPr>
        <w:t>36.4.4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0F1AB004">
      <w:pPr>
        <w:pStyle w:val="12"/>
        <w:spacing w:line="360" w:lineRule="auto"/>
        <w:ind w:firstLineChars="200"/>
        <w:rPr>
          <w:rFonts w:ascii="宋体" w:hAnsi="宋体" w:cs="宋体"/>
          <w:color w:val="auto"/>
          <w:szCs w:val="21"/>
        </w:rPr>
      </w:pPr>
      <w:r>
        <w:rPr>
          <w:rFonts w:hint="eastAsia" w:ascii="宋体" w:hAnsi="宋体" w:cs="宋体"/>
          <w:color w:val="auto"/>
          <w:szCs w:val="21"/>
        </w:rPr>
        <w:t>36.4.5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p>
    <w:p w14:paraId="141FFA68">
      <w:pPr>
        <w:pStyle w:val="12"/>
        <w:spacing w:line="360" w:lineRule="auto"/>
        <w:ind w:firstLineChars="200"/>
        <w:rPr>
          <w:rFonts w:ascii="宋体" w:hAnsi="宋体" w:cs="宋体"/>
          <w:color w:val="auto"/>
          <w:szCs w:val="21"/>
        </w:rPr>
      </w:pPr>
      <w:r>
        <w:rPr>
          <w:rFonts w:hint="eastAsia" w:ascii="宋体" w:hAnsi="宋体" w:cs="宋体"/>
          <w:color w:val="auto"/>
          <w:szCs w:val="21"/>
        </w:rPr>
        <w:t>36.5其它注意事项：以下情况视为投标人同意撤回已上传系统的投标文件或其投标文件无效：</w:t>
      </w:r>
    </w:p>
    <w:p w14:paraId="4DCA15F8">
      <w:pPr>
        <w:pStyle w:val="12"/>
        <w:spacing w:line="360" w:lineRule="auto"/>
        <w:ind w:firstLineChars="200"/>
        <w:rPr>
          <w:rFonts w:ascii="宋体" w:hAnsi="宋体" w:cs="宋体"/>
          <w:color w:val="auto"/>
          <w:szCs w:val="21"/>
        </w:rPr>
      </w:pPr>
      <w:r>
        <w:rPr>
          <w:rFonts w:hint="eastAsia" w:ascii="宋体" w:hAnsi="宋体" w:cs="宋体"/>
          <w:color w:val="auto"/>
          <w:szCs w:val="21"/>
        </w:rPr>
        <w:t>（1）政采云电子平台显示投标人未上传投标文件；</w:t>
      </w:r>
    </w:p>
    <w:p w14:paraId="2154E803">
      <w:pPr>
        <w:pStyle w:val="12"/>
        <w:spacing w:line="360" w:lineRule="auto"/>
        <w:ind w:firstLineChars="200"/>
        <w:rPr>
          <w:rFonts w:ascii="宋体" w:hAnsi="宋体" w:cs="宋体"/>
          <w:color w:val="auto"/>
          <w:szCs w:val="21"/>
        </w:rPr>
      </w:pPr>
      <w:r>
        <w:rPr>
          <w:rFonts w:hint="eastAsia" w:ascii="宋体" w:hAnsi="宋体" w:cs="宋体"/>
          <w:color w:val="auto"/>
          <w:szCs w:val="21"/>
        </w:rPr>
        <w:t>（2）因投标人原因上传的投标文件在开启文件时无法解密。</w:t>
      </w:r>
    </w:p>
    <w:p w14:paraId="7DA3CC81">
      <w:pPr>
        <w:pStyle w:val="12"/>
        <w:spacing w:line="360" w:lineRule="auto"/>
        <w:ind w:firstLineChars="200"/>
        <w:rPr>
          <w:rFonts w:ascii="宋体" w:hAnsi="宋体" w:cs="宋体"/>
          <w:color w:val="auto"/>
          <w:szCs w:val="21"/>
        </w:rPr>
      </w:pPr>
      <w:r>
        <w:rPr>
          <w:rFonts w:hint="eastAsia" w:ascii="宋体" w:hAnsi="宋体" w:cs="宋体"/>
          <w:color w:val="auto"/>
          <w:szCs w:val="21"/>
        </w:rPr>
        <w:t>（3）因投标人自身原因导致未在规定时间内完成投标文件解密。</w:t>
      </w:r>
    </w:p>
    <w:p w14:paraId="33A4CCD4">
      <w:pPr>
        <w:rPr>
          <w:rFonts w:ascii="宋体" w:hAnsi="宋体" w:cs="宋体"/>
          <w:b/>
          <w:bCs/>
          <w:color w:val="auto"/>
          <w:szCs w:val="21"/>
        </w:rPr>
      </w:pPr>
      <w:r>
        <w:rPr>
          <w:rFonts w:hint="eastAsia" w:ascii="宋体" w:hAnsi="宋体" w:cs="宋体"/>
          <w:b/>
          <w:bCs/>
          <w:color w:val="auto"/>
          <w:szCs w:val="21"/>
        </w:rPr>
        <w:br w:type="page"/>
      </w:r>
    </w:p>
    <w:p w14:paraId="104D60BE">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附件：</w:t>
      </w:r>
    </w:p>
    <w:p w14:paraId="3801DBCC">
      <w:pPr>
        <w:pStyle w:val="37"/>
        <w:shd w:val="clear" w:color="auto" w:fill="FFFFFF"/>
        <w:adjustRightInd w:val="0"/>
        <w:snapToGrid w:val="0"/>
        <w:spacing w:before="0" w:beforeAutospacing="0" w:after="0" w:afterAutospacing="0" w:line="360" w:lineRule="auto"/>
        <w:jc w:val="center"/>
        <w:rPr>
          <w:rFonts w:cs="宋体"/>
          <w:color w:val="auto"/>
        </w:rPr>
      </w:pPr>
      <w:r>
        <w:rPr>
          <w:rFonts w:hint="eastAsia" w:cs="宋体"/>
          <w:b/>
          <w:bCs/>
          <w:color w:val="auto"/>
          <w:shd w:val="clear" w:color="auto" w:fill="FFFFFF"/>
        </w:rPr>
        <w:t>《中小企业划型标准规定》</w:t>
      </w:r>
    </w:p>
    <w:p w14:paraId="00C35900">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一、根据《中华人民共和国中小企业促进法》和《国务院关于进一步促进中小企业发展的若干意见》（国发〔2009〕 36 号），制定本规定。</w:t>
      </w:r>
    </w:p>
    <w:p w14:paraId="32013DE9">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二、中小企业划分为中型、小型、微型三种类型，具体标准根据企业从业人员、营业收入、资产总额等指标，结合行业特点制定。</w:t>
      </w:r>
    </w:p>
    <w:p w14:paraId="5A114D15">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762731B">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四、各行业划型标准为：</w:t>
      </w:r>
    </w:p>
    <w:p w14:paraId="52A7885D">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（一）农、林、牧、渔业。营业收入20000 万元以下的为中小微型企业。其中，营业收入500万元及以上的为中型企业，营业收入50万元及以上的为小型企业，营业收入 50 万元以下的为微型企业。</w:t>
      </w:r>
    </w:p>
    <w:p w14:paraId="38E568A6">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DD63903">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5CB2B5D">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C9561D9">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19B36B">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2606A02">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1B6938">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7469FD8">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7BFCCD">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583DDA">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4DF5DF7">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96BF61E">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A0E994">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4AD86E7">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035EEA6">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（十六）其他未列明行业。从业人员300人以下的为中小微型企业。其中，从业人员100人及以上的为中型企业；从业人员10人及以上的为小型企业；从业人员10人以下的为微型企业。</w:t>
      </w:r>
    </w:p>
    <w:p w14:paraId="1138F2E8">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五、企业类型的划分以统计部门的统计数据为依据。</w:t>
      </w:r>
    </w:p>
    <w:p w14:paraId="697A6A85">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六、本规定适用于在中华人民共和国境内依法设立的各类所有制和各种组织形式的企业。个体工商户和本规定以外的行业，参照本规定进行划型。</w:t>
      </w:r>
    </w:p>
    <w:p w14:paraId="4723D607">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2AADBE8D">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shd w:val="clear" w:color="auto" w:fill="FFFFFF"/>
        </w:rPr>
        <w:t>八、本规定由工业和信息化部、国家统计局会同有关部门根据《国民经济行业分类》修订情况和企业发展变化情况适时修订。</w:t>
      </w:r>
    </w:p>
    <w:p w14:paraId="7EAE5F77">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shd w:val="clear" w:color="auto" w:fill="FFFFFF"/>
        </w:rPr>
      </w:pPr>
      <w:r>
        <w:rPr>
          <w:rFonts w:hint="eastAsia" w:cs="宋体"/>
          <w:color w:val="auto"/>
          <w:sz w:val="21"/>
          <w:szCs w:val="21"/>
          <w:shd w:val="clear" w:color="auto" w:fill="FFFFFF"/>
        </w:rPr>
        <w:t>九、本规定由工业和信息化部、国家统计局会同有关部门负责解释。</w:t>
      </w:r>
    </w:p>
    <w:p w14:paraId="52218FF6">
      <w:pPr>
        <w:pStyle w:val="37"/>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shd w:val="clear" w:color="auto" w:fill="FFFFFF"/>
        </w:rPr>
      </w:pPr>
      <w:r>
        <w:rPr>
          <w:rFonts w:hint="eastAsia" w:cs="宋体"/>
          <w:color w:val="auto"/>
          <w:sz w:val="21"/>
          <w:szCs w:val="21"/>
          <w:shd w:val="clear" w:color="auto" w:fill="FFFFFF"/>
        </w:rPr>
        <w:t>十、本规定自发布之日起执行，原国家经贸委、原国家计委、财政部和国家统计局2003年颁布的《中小企业标准暂行规定》国经贸中小企〔2003〕143号同时废止。</w:t>
      </w:r>
    </w:p>
    <w:p w14:paraId="3081D876">
      <w:pPr>
        <w:spacing w:line="360" w:lineRule="auto"/>
        <w:rPr>
          <w:rFonts w:ascii="宋体" w:hAnsi="宋体" w:cs="宋体"/>
          <w:color w:val="auto"/>
          <w:szCs w:val="32"/>
        </w:rPr>
      </w:pPr>
      <w:r>
        <w:rPr>
          <w:rFonts w:hint="eastAsia" w:ascii="宋体" w:hAnsi="宋体" w:cs="宋体"/>
          <w:color w:val="auto"/>
          <w:szCs w:val="32"/>
        </w:rPr>
        <w:br w:type="page"/>
      </w:r>
      <w:bookmarkStart w:id="383" w:name="_Toc3050"/>
      <w:bookmarkStart w:id="384" w:name="_Toc1641"/>
      <w:bookmarkStart w:id="385" w:name="_Toc1295"/>
    </w:p>
    <w:p w14:paraId="27DF17F0">
      <w:pPr>
        <w:spacing w:line="360" w:lineRule="auto"/>
        <w:rPr>
          <w:rFonts w:ascii="宋体" w:hAnsi="宋体" w:cs="宋体"/>
          <w:color w:val="auto"/>
          <w:szCs w:val="32"/>
        </w:rPr>
      </w:pPr>
    </w:p>
    <w:p w14:paraId="4C9813AC">
      <w:pPr>
        <w:pStyle w:val="2"/>
        <w:spacing w:before="4320" w:beforeLines="1800" w:after="0" w:line="360" w:lineRule="auto"/>
        <w:rPr>
          <w:rFonts w:ascii="宋体" w:hAnsi="宋体" w:cs="宋体"/>
          <w:color w:val="auto"/>
          <w:szCs w:val="21"/>
        </w:rPr>
      </w:pPr>
      <w:r>
        <w:rPr>
          <w:rFonts w:hint="eastAsia" w:ascii="宋体" w:hAnsi="宋体" w:cs="宋体"/>
          <w:color w:val="auto"/>
          <w:szCs w:val="32"/>
        </w:rPr>
        <w:t xml:space="preserve">第三章  </w:t>
      </w:r>
      <w:r>
        <w:rPr>
          <w:rFonts w:hint="eastAsia" w:ascii="宋体" w:hAnsi="宋体" w:cs="宋体"/>
          <w:color w:val="auto"/>
          <w:szCs w:val="21"/>
        </w:rPr>
        <w:t>合同书样式</w:t>
      </w:r>
      <w:bookmarkEnd w:id="343"/>
      <w:bookmarkEnd w:id="383"/>
      <w:bookmarkEnd w:id="384"/>
      <w:bookmarkEnd w:id="385"/>
      <w:r>
        <w:rPr>
          <w:rFonts w:hint="eastAsia" w:ascii="宋体" w:hAnsi="宋体" w:cs="宋体"/>
          <w:color w:val="auto"/>
          <w:szCs w:val="21"/>
        </w:rPr>
        <w:t>及主要条款</w:t>
      </w:r>
    </w:p>
    <w:p w14:paraId="3441CA76">
      <w:pPr>
        <w:rPr>
          <w:rFonts w:ascii="宋体" w:hAnsi="宋体" w:cs="宋体"/>
          <w:color w:val="auto"/>
        </w:rPr>
      </w:pPr>
      <w:bookmarkStart w:id="386" w:name="_Toc439344456"/>
      <w:bookmarkStart w:id="387" w:name="_Toc489145749"/>
      <w:r>
        <w:rPr>
          <w:rFonts w:hint="eastAsia" w:ascii="宋体" w:hAnsi="宋体" w:cs="宋体"/>
          <w:color w:val="auto"/>
        </w:rPr>
        <w:br w:type="page"/>
      </w:r>
    </w:p>
    <w:p w14:paraId="3DF96FE3">
      <w:pPr>
        <w:pStyle w:val="3"/>
        <w:jc w:val="center"/>
        <w:rPr>
          <w:rFonts w:ascii="黑体" w:hAnsi="黑体" w:eastAsia="黑体" w:cs="黑体"/>
          <w:bCs/>
          <w:snapToGrid w:val="0"/>
          <w:color w:val="auto"/>
          <w:kern w:val="21"/>
          <w:sz w:val="28"/>
          <w:szCs w:val="32"/>
        </w:rPr>
      </w:pPr>
      <w:bookmarkStart w:id="388" w:name="_Toc481694842"/>
      <w:bookmarkStart w:id="389" w:name="_Toc488633613"/>
      <w:bookmarkStart w:id="390" w:name="_Toc801"/>
      <w:bookmarkStart w:id="391" w:name="_Toc213141091"/>
      <w:r>
        <w:rPr>
          <w:rFonts w:hint="eastAsia" w:ascii="黑体" w:hAnsi="黑体" w:eastAsia="黑体" w:cs="黑体"/>
          <w:bCs/>
          <w:snapToGrid w:val="0"/>
          <w:color w:val="auto"/>
          <w:kern w:val="21"/>
          <w:sz w:val="28"/>
          <w:szCs w:val="32"/>
        </w:rPr>
        <w:t>合同条款前附表</w:t>
      </w:r>
      <w:bookmarkEnd w:id="388"/>
      <w:bookmarkEnd w:id="389"/>
      <w:bookmarkEnd w:id="390"/>
      <w:bookmarkEnd w:id="391"/>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445"/>
      </w:tblGrid>
      <w:tr w14:paraId="112C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51" w:type="dxa"/>
            <w:vAlign w:val="center"/>
          </w:tcPr>
          <w:p w14:paraId="5DB4EB8A">
            <w:pPr>
              <w:pStyle w:val="20"/>
              <w:jc w:val="center"/>
              <w:rPr>
                <w:rFonts w:hAnsi="宋体" w:cs="宋体"/>
                <w:b/>
                <w:bCs/>
                <w:color w:val="auto"/>
                <w:szCs w:val="21"/>
              </w:rPr>
            </w:pPr>
            <w:r>
              <w:rPr>
                <w:rFonts w:hint="eastAsia" w:hAnsi="宋体" w:cs="宋体"/>
                <w:b/>
                <w:bCs/>
                <w:color w:val="auto"/>
                <w:szCs w:val="21"/>
              </w:rPr>
              <w:t>序号</w:t>
            </w:r>
          </w:p>
        </w:tc>
        <w:tc>
          <w:tcPr>
            <w:tcW w:w="8445" w:type="dxa"/>
            <w:vAlign w:val="center"/>
          </w:tcPr>
          <w:p w14:paraId="2360ED46">
            <w:pPr>
              <w:pStyle w:val="20"/>
              <w:ind w:firstLine="211" w:firstLineChars="100"/>
              <w:jc w:val="center"/>
              <w:rPr>
                <w:rFonts w:hAnsi="宋体" w:cs="宋体"/>
                <w:b/>
                <w:bCs/>
                <w:color w:val="auto"/>
                <w:szCs w:val="21"/>
              </w:rPr>
            </w:pPr>
            <w:r>
              <w:rPr>
                <w:rFonts w:hint="eastAsia" w:hAnsi="宋体" w:cs="宋体"/>
                <w:b/>
                <w:bCs/>
                <w:color w:val="auto"/>
                <w:szCs w:val="21"/>
              </w:rPr>
              <w:t>内      容</w:t>
            </w:r>
          </w:p>
        </w:tc>
      </w:tr>
      <w:tr w14:paraId="3BEE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51" w:type="dxa"/>
            <w:vAlign w:val="center"/>
          </w:tcPr>
          <w:p w14:paraId="0DE70FA1">
            <w:pPr>
              <w:pStyle w:val="20"/>
              <w:spacing w:line="360" w:lineRule="auto"/>
              <w:jc w:val="center"/>
              <w:rPr>
                <w:rFonts w:hAnsi="宋体" w:cs="宋体"/>
                <w:color w:val="auto"/>
                <w:szCs w:val="21"/>
              </w:rPr>
            </w:pPr>
            <w:r>
              <w:rPr>
                <w:rFonts w:hint="eastAsia" w:hAnsi="宋体" w:cs="宋体"/>
                <w:color w:val="auto"/>
                <w:szCs w:val="21"/>
              </w:rPr>
              <w:t>★1</w:t>
            </w:r>
          </w:p>
        </w:tc>
        <w:tc>
          <w:tcPr>
            <w:tcW w:w="8445" w:type="dxa"/>
            <w:vAlign w:val="center"/>
          </w:tcPr>
          <w:p w14:paraId="5C4F352A">
            <w:pPr>
              <w:tabs>
                <w:tab w:val="left" w:pos="720"/>
                <w:tab w:val="left" w:pos="8295"/>
              </w:tabs>
              <w:spacing w:line="360" w:lineRule="auto"/>
              <w:rPr>
                <w:rFonts w:hAnsi="Calibri"/>
                <w:color w:val="auto"/>
              </w:rPr>
            </w:pPr>
            <w:r>
              <w:rPr>
                <w:rFonts w:hint="eastAsia" w:hAnsi="Calibri"/>
                <w:b/>
                <w:bCs/>
                <w:color w:val="auto"/>
              </w:rPr>
              <w:t>合同履行期限（项目交付和实施时间）：</w:t>
            </w:r>
            <w:r>
              <w:rPr>
                <w:rFonts w:hint="eastAsia" w:hAnsi="Calibri"/>
                <w:color w:val="auto"/>
              </w:rPr>
              <w:t>合同签订生效后30日内，乙方负责将完整配套的原封设备（含开机必要消耗品）送到甲方指定的地点（云南师范大学呈贡校区），由甲乙双方共同开箱初验，并由乙方按合同规范要求完成安装测试。交货时，乙方随货向甲方交付设备必需的合格证、保修卡，相关资料（如操作手册、使用指南、维修手册、安装调试说明书、服务手册等）及配备的用件、工具等。</w:t>
            </w:r>
          </w:p>
          <w:p w14:paraId="723D5E4F">
            <w:pPr>
              <w:tabs>
                <w:tab w:val="left" w:pos="720"/>
                <w:tab w:val="left" w:pos="8295"/>
              </w:tabs>
              <w:spacing w:line="360" w:lineRule="auto"/>
              <w:rPr>
                <w:rFonts w:hAnsi="Calibri"/>
                <w:color w:val="auto"/>
              </w:rPr>
            </w:pPr>
            <w:r>
              <w:rPr>
                <w:rFonts w:hint="eastAsia" w:hAnsi="Calibri"/>
                <w:b/>
                <w:bCs/>
                <w:color w:val="auto"/>
              </w:rPr>
              <w:t>实施的地点：</w:t>
            </w:r>
            <w:r>
              <w:rPr>
                <w:rFonts w:hint="eastAsia" w:hAnsi="Calibri"/>
                <w:color w:val="auto"/>
              </w:rPr>
              <w:t>云南师范大学呈贡校区。</w:t>
            </w:r>
          </w:p>
        </w:tc>
      </w:tr>
      <w:tr w14:paraId="7D6C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5115EF50">
            <w:pPr>
              <w:pStyle w:val="20"/>
              <w:spacing w:line="360" w:lineRule="auto"/>
              <w:jc w:val="center"/>
              <w:rPr>
                <w:rFonts w:hAnsi="宋体" w:cs="宋体"/>
                <w:color w:val="auto"/>
                <w:szCs w:val="21"/>
              </w:rPr>
            </w:pPr>
            <w:r>
              <w:rPr>
                <w:rFonts w:hint="eastAsia" w:hAnsi="宋体" w:cs="宋体"/>
                <w:color w:val="auto"/>
                <w:szCs w:val="21"/>
              </w:rPr>
              <w:t>★2</w:t>
            </w:r>
          </w:p>
        </w:tc>
        <w:tc>
          <w:tcPr>
            <w:tcW w:w="8445" w:type="dxa"/>
            <w:vAlign w:val="center"/>
          </w:tcPr>
          <w:p w14:paraId="2A0ECABC">
            <w:pPr>
              <w:pStyle w:val="20"/>
              <w:spacing w:line="360" w:lineRule="auto"/>
              <w:rPr>
                <w:rFonts w:hAnsi="宋体" w:cs="宋体"/>
                <w:snapToGrid w:val="0"/>
                <w:color w:val="auto"/>
                <w:kern w:val="21"/>
                <w:szCs w:val="21"/>
              </w:rPr>
            </w:pPr>
            <w:r>
              <w:rPr>
                <w:rFonts w:hint="eastAsia" w:asciiTheme="minorEastAsia" w:hAnsiTheme="minorEastAsia" w:eastAsiaTheme="minorEastAsia" w:cstheme="minorEastAsia"/>
                <w:b/>
                <w:bCs/>
                <w:color w:val="auto"/>
                <w:szCs w:val="21"/>
              </w:rPr>
              <w:t>付款方式：</w:t>
            </w:r>
            <w:r>
              <w:rPr>
                <w:rFonts w:hint="eastAsia" w:asciiTheme="minorEastAsia" w:hAnsiTheme="minorEastAsia" w:eastAsiaTheme="minorEastAsia" w:cstheme="minorEastAsia"/>
                <w:color w:val="auto"/>
                <w:szCs w:val="21"/>
              </w:rPr>
              <w:t>该项目没有预付款，乙方应在合同签订后5日内向甲方交纳合同金额2%的履约保证金，验收合格后凭收据退回履约保证金。在设备安装、调试、使用、验收合格，乙方提交完整的财务资料以后，在15个工作日内，甲方付合同总价的100%；</w:t>
            </w:r>
          </w:p>
        </w:tc>
      </w:tr>
      <w:tr w14:paraId="4083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13725906">
            <w:pPr>
              <w:pStyle w:val="20"/>
              <w:spacing w:line="360" w:lineRule="auto"/>
              <w:jc w:val="center"/>
              <w:rPr>
                <w:rFonts w:hAnsi="宋体" w:cs="宋体"/>
                <w:color w:val="auto"/>
                <w:szCs w:val="21"/>
              </w:rPr>
            </w:pPr>
            <w:r>
              <w:rPr>
                <w:rFonts w:hint="eastAsia" w:hAnsi="宋体" w:cs="宋体"/>
                <w:color w:val="auto"/>
                <w:szCs w:val="21"/>
              </w:rPr>
              <w:t>★3</w:t>
            </w:r>
          </w:p>
        </w:tc>
        <w:tc>
          <w:tcPr>
            <w:tcW w:w="8445" w:type="dxa"/>
            <w:vAlign w:val="center"/>
          </w:tcPr>
          <w:p w14:paraId="221A0949">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履约保证金金额：</w:t>
            </w:r>
            <w:r>
              <w:rPr>
                <w:rFonts w:hint="eastAsia" w:asciiTheme="minorEastAsia" w:hAnsiTheme="minorEastAsia" w:eastAsiaTheme="minorEastAsia" w:cstheme="minorEastAsia"/>
                <w:color w:val="auto"/>
                <w:szCs w:val="21"/>
              </w:rPr>
              <w:t>合同金额的2%。</w:t>
            </w:r>
          </w:p>
          <w:p w14:paraId="0A5B01BC">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履约保证金金额缴纳要求：</w:t>
            </w:r>
            <w:r>
              <w:rPr>
                <w:rFonts w:hint="eastAsia" w:asciiTheme="minorEastAsia" w:hAnsiTheme="minorEastAsia" w:eastAsiaTheme="minorEastAsia" w:cstheme="minorEastAsia"/>
                <w:color w:val="auto"/>
                <w:szCs w:val="21"/>
              </w:rPr>
              <w:t>中标人应在合同签订后5日内，以支票、汇票、本票或者金融机构、担保机构出具的保函等非现金形式提交。</w:t>
            </w:r>
          </w:p>
          <w:p w14:paraId="166D097C">
            <w:pPr>
              <w:spacing w:line="360" w:lineRule="auto"/>
              <w:rPr>
                <w:color w:val="auto"/>
              </w:rPr>
            </w:pPr>
            <w:r>
              <w:rPr>
                <w:rFonts w:hint="eastAsia" w:asciiTheme="minorEastAsia" w:hAnsiTheme="minorEastAsia" w:eastAsiaTheme="minorEastAsia" w:cstheme="minorEastAsia"/>
                <w:b/>
                <w:bCs/>
                <w:color w:val="auto"/>
                <w:szCs w:val="21"/>
              </w:rPr>
              <w:t>履约保证金退回：</w:t>
            </w:r>
            <w:r>
              <w:rPr>
                <w:rFonts w:hint="eastAsia" w:asciiTheme="minorEastAsia" w:hAnsiTheme="minorEastAsia" w:eastAsiaTheme="minorEastAsia" w:cstheme="minorEastAsia"/>
                <w:color w:val="auto"/>
                <w:szCs w:val="21"/>
              </w:rPr>
              <w:t>待设备验收合格且乙方提交完整的财务资料后无息返还乙方履约保证金。</w:t>
            </w:r>
          </w:p>
        </w:tc>
      </w:tr>
      <w:tr w14:paraId="3973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11036F56">
            <w:pPr>
              <w:pStyle w:val="20"/>
              <w:spacing w:line="360" w:lineRule="auto"/>
              <w:jc w:val="center"/>
              <w:rPr>
                <w:rFonts w:hAnsi="宋体" w:cs="宋体"/>
                <w:snapToGrid w:val="0"/>
                <w:color w:val="auto"/>
                <w:kern w:val="21"/>
                <w:szCs w:val="21"/>
                <w:lang w:eastAsia="zh-Hans"/>
              </w:rPr>
            </w:pPr>
            <w:r>
              <w:rPr>
                <w:rFonts w:hint="eastAsia" w:hAnsi="宋体" w:cs="宋体"/>
                <w:color w:val="auto"/>
                <w:szCs w:val="21"/>
              </w:rPr>
              <w:t>★4</w:t>
            </w:r>
          </w:p>
        </w:tc>
        <w:tc>
          <w:tcPr>
            <w:tcW w:w="8445" w:type="dxa"/>
            <w:vAlign w:val="center"/>
          </w:tcPr>
          <w:p w14:paraId="125BE474">
            <w:pPr>
              <w:spacing w:line="360" w:lineRule="auto"/>
              <w:rPr>
                <w:rFonts w:ascii="宋体" w:hAnsi="宋体" w:cs="宋体"/>
                <w:b/>
                <w:bCs/>
                <w:color w:val="auto"/>
                <w:kern w:val="21"/>
                <w:szCs w:val="21"/>
              </w:rPr>
            </w:pPr>
            <w:r>
              <w:rPr>
                <w:rFonts w:hint="eastAsia" w:ascii="宋体" w:hAnsi="宋体" w:cs="宋体"/>
                <w:b/>
                <w:bCs/>
                <w:color w:val="auto"/>
                <w:kern w:val="21"/>
                <w:szCs w:val="21"/>
              </w:rPr>
              <w:t xml:space="preserve">采购标的需满足的服务标准、期限、效率等要求： </w:t>
            </w:r>
          </w:p>
          <w:p w14:paraId="6150CB3F">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1.服务标准：</w:t>
            </w:r>
          </w:p>
          <w:p w14:paraId="58972DF7">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货和安装服务要求：中标人保证所售产品均符合国际、国内相关的公开技术指标以及安全标准；负责设备的安装调试，并培训相关人员熟练掌握操作方法及规范。提供至少3次免费培训，保证用户可以熟练使用产品。</w:t>
            </w:r>
          </w:p>
          <w:p w14:paraId="64C02458">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（2）售后服务要求：保修期内，中标人对设备提供全免费保修或免费更换；保修期满后，收取维修成本费（自然灾害及人为故意损坏除外）；</w:t>
            </w:r>
            <w:r>
              <w:rPr>
                <w:rFonts w:hint="eastAsia" w:asciiTheme="minorEastAsia" w:hAnsiTheme="minorEastAsia" w:eastAsiaTheme="minorEastAsia" w:cstheme="minorEastAsia"/>
                <w:color w:val="auto"/>
                <w:szCs w:val="21"/>
                <w:lang w:val="en-US" w:eastAsia="zh-CN"/>
              </w:rPr>
              <w:t>乙方</w:t>
            </w:r>
            <w:r>
              <w:rPr>
                <w:rFonts w:hint="eastAsia" w:asciiTheme="minorEastAsia" w:hAnsiTheme="minorEastAsia" w:eastAsiaTheme="minorEastAsia" w:cstheme="minorEastAsia"/>
                <w:color w:val="auto"/>
                <w:szCs w:val="21"/>
              </w:rPr>
              <w:t>向甲方提供设备使用人员现场例行免费培训，培训内容包括设备的使用、一般的维修、维护及保养等；食宿自理（各自负责）；</w:t>
            </w:r>
          </w:p>
          <w:p w14:paraId="3D0BF0E1">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2.服务期限：主要设备及主要配件质保期为验收合格后不少于5年。</w:t>
            </w:r>
          </w:p>
          <w:p w14:paraId="69F9F9E2">
            <w:pPr>
              <w:spacing w:line="360" w:lineRule="auto"/>
              <w:rPr>
                <w:rFonts w:ascii="宋体" w:hAnsi="宋体" w:cs="宋体"/>
                <w:snapToGrid w:val="0"/>
                <w:color w:val="auto"/>
                <w:kern w:val="21"/>
                <w:szCs w:val="21"/>
              </w:rPr>
            </w:pPr>
            <w:r>
              <w:rPr>
                <w:rFonts w:hint="eastAsia" w:asciiTheme="minorEastAsia" w:hAnsiTheme="minorEastAsia" w:eastAsiaTheme="minorEastAsia" w:cstheme="minorEastAsia"/>
                <w:color w:val="auto"/>
                <w:szCs w:val="21"/>
              </w:rPr>
              <w:t>3.服务效率：质保期内提供免费更新维护升级，提供终身技术支持服务。乙方提供免费驻场服务，驻场服务及维修人员在收到售后使用协助或故障报告后，常规类协助或故障保证2小时内响应解决，如无法在线解决，保证8小时内到达现场解决，复杂类协助或故障保证在3天内响应解决；</w:t>
            </w:r>
            <w:r>
              <w:rPr>
                <w:rFonts w:hint="eastAsia" w:asciiTheme="minorEastAsia" w:hAnsiTheme="minorEastAsia" w:eastAsiaTheme="minorEastAsia" w:cstheme="minorEastAsia"/>
                <w:color w:val="auto"/>
                <w:szCs w:val="21"/>
                <w:lang w:val="en-US" w:eastAsia="zh-CN"/>
              </w:rPr>
              <w:t>乙方</w:t>
            </w:r>
            <w:r>
              <w:rPr>
                <w:rFonts w:hint="eastAsia" w:asciiTheme="minorEastAsia" w:hAnsiTheme="minorEastAsia" w:eastAsiaTheme="minorEastAsia" w:cstheme="minorEastAsia"/>
                <w:color w:val="auto"/>
                <w:szCs w:val="21"/>
              </w:rPr>
              <w:t>保证在甲方指定地点供应备品备件（含易损件）和配套消耗品；</w:t>
            </w:r>
            <w:r>
              <w:rPr>
                <w:rFonts w:hint="eastAsia" w:asciiTheme="minorEastAsia" w:hAnsiTheme="minorEastAsia" w:eastAsiaTheme="minorEastAsia" w:cstheme="minorEastAsia"/>
                <w:color w:val="auto"/>
                <w:szCs w:val="21"/>
                <w:lang w:val="en-US" w:eastAsia="zh-CN"/>
              </w:rPr>
              <w:t>乙方</w:t>
            </w:r>
            <w:r>
              <w:rPr>
                <w:rFonts w:hint="eastAsia" w:asciiTheme="minorEastAsia" w:hAnsiTheme="minorEastAsia" w:eastAsiaTheme="minorEastAsia" w:cstheme="minorEastAsia"/>
                <w:color w:val="auto"/>
                <w:szCs w:val="21"/>
              </w:rPr>
              <w:t>对所提供的设备实行每6个月不少于一次的定期保养（或维护、巡检）制度</w:t>
            </w:r>
            <w:r>
              <w:rPr>
                <w:rFonts w:hint="eastAsia" w:ascii="宋体" w:hAnsi="宋体" w:cs="宋体"/>
                <w:color w:val="auto"/>
                <w:szCs w:val="21"/>
                <w:lang w:val="zh-TW"/>
              </w:rPr>
              <w:t>。</w:t>
            </w:r>
          </w:p>
        </w:tc>
      </w:tr>
      <w:tr w14:paraId="60B4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7A5322A9">
            <w:pPr>
              <w:pStyle w:val="20"/>
              <w:spacing w:line="360" w:lineRule="auto"/>
              <w:jc w:val="center"/>
              <w:rPr>
                <w:rFonts w:hAnsi="宋体" w:cs="宋体"/>
                <w:color w:val="auto"/>
                <w:szCs w:val="21"/>
                <w:lang w:eastAsia="zh-Hans"/>
              </w:rPr>
            </w:pPr>
            <w:r>
              <w:rPr>
                <w:rFonts w:hint="eastAsia" w:hAnsi="宋体" w:cs="宋体"/>
                <w:color w:val="auto"/>
                <w:szCs w:val="21"/>
                <w:lang w:bidi="ar"/>
              </w:rPr>
              <w:t>★</w:t>
            </w:r>
            <w:r>
              <w:rPr>
                <w:rFonts w:hint="eastAsia" w:hAnsi="宋体" w:cs="宋体"/>
                <w:color w:val="auto"/>
                <w:szCs w:val="21"/>
              </w:rPr>
              <w:t>5</w:t>
            </w:r>
          </w:p>
        </w:tc>
        <w:tc>
          <w:tcPr>
            <w:tcW w:w="8445" w:type="dxa"/>
            <w:vAlign w:val="center"/>
          </w:tcPr>
          <w:p w14:paraId="4E26AD97">
            <w:pPr>
              <w:pStyle w:val="20"/>
              <w:spacing w:line="360" w:lineRule="auto"/>
              <w:rPr>
                <w:rFonts w:hAnsi="宋体" w:cs="宋体"/>
                <w:b/>
                <w:bCs/>
                <w:snapToGrid w:val="0"/>
                <w:color w:val="auto"/>
                <w:kern w:val="21"/>
                <w:szCs w:val="21"/>
                <w:lang w:val="zh-TW" w:eastAsia="zh-TW"/>
              </w:rPr>
            </w:pPr>
            <w:r>
              <w:rPr>
                <w:rFonts w:hint="eastAsia" w:hAnsi="宋体" w:cs="宋体"/>
                <w:b/>
                <w:bCs/>
                <w:snapToGrid w:val="0"/>
                <w:color w:val="auto"/>
                <w:kern w:val="21"/>
                <w:szCs w:val="21"/>
                <w:lang w:val="zh-TW" w:eastAsia="zh-TW"/>
              </w:rPr>
              <w:t>采购标的的验收标准：</w:t>
            </w:r>
          </w:p>
          <w:p w14:paraId="7DC295E8">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1.设备到货验收：设备到达甲方指定地点后甲方统一初验是否符合合同要求；</w:t>
            </w:r>
          </w:p>
          <w:p w14:paraId="7A3A6C33">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2.项目验收：乙方负责设备安装和调试，完工后，甲方测试是否合格并满足技术要求；</w:t>
            </w:r>
          </w:p>
          <w:p w14:paraId="5C93F3DA">
            <w:pPr>
              <w:spacing w:line="360" w:lineRule="auto"/>
              <w:rPr>
                <w:rFonts w:ascii="宋体" w:hAnsi="宋体" w:cs="宋体"/>
                <w:snapToGrid w:val="0"/>
                <w:color w:val="auto"/>
                <w:kern w:val="21"/>
                <w:szCs w:val="21"/>
                <w:lang w:val="zh-TW" w:eastAsia="zh-TW"/>
              </w:rPr>
            </w:pPr>
            <w:r>
              <w:rPr>
                <w:rFonts w:hint="eastAsia" w:asciiTheme="minorEastAsia" w:hAnsiTheme="minorEastAsia" w:eastAsiaTheme="minorEastAsia" w:cstheme="minorEastAsia"/>
                <w:color w:val="auto"/>
                <w:szCs w:val="21"/>
              </w:rPr>
              <w:t>3.实作性操作验收：设备是否正常运作1个月或120个机时，具体时间按分项要求或在签订合同时协定。</w:t>
            </w:r>
          </w:p>
        </w:tc>
      </w:tr>
      <w:tr w14:paraId="69C5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001A7D72">
            <w:pPr>
              <w:pStyle w:val="20"/>
              <w:spacing w:line="360" w:lineRule="auto"/>
              <w:jc w:val="center"/>
              <w:rPr>
                <w:rFonts w:hAnsi="宋体" w:cs="宋体"/>
                <w:color w:val="auto"/>
                <w:szCs w:val="21"/>
              </w:rPr>
            </w:pPr>
            <w:r>
              <w:rPr>
                <w:rFonts w:hint="eastAsia" w:hAnsi="宋体" w:cs="宋体"/>
                <w:color w:val="auto"/>
                <w:szCs w:val="21"/>
                <w:lang w:bidi="ar"/>
              </w:rPr>
              <w:t>★</w:t>
            </w:r>
            <w:r>
              <w:rPr>
                <w:rFonts w:hint="eastAsia" w:hAnsi="宋体" w:cs="宋体"/>
                <w:color w:val="auto"/>
                <w:szCs w:val="21"/>
              </w:rPr>
              <w:t>6</w:t>
            </w:r>
          </w:p>
        </w:tc>
        <w:tc>
          <w:tcPr>
            <w:tcW w:w="8445" w:type="dxa"/>
            <w:vAlign w:val="center"/>
          </w:tcPr>
          <w:p w14:paraId="483B175C">
            <w:pPr>
              <w:spacing w:line="360" w:lineRule="auto"/>
              <w:jc w:val="left"/>
              <w:rPr>
                <w:rFonts w:ascii="宋体" w:hAnsi="宋体" w:cs="宋体"/>
                <w:b/>
                <w:bCs/>
                <w:color w:val="auto"/>
                <w:kern w:val="21"/>
                <w:szCs w:val="21"/>
                <w:lang w:val="zh-TW"/>
              </w:rPr>
            </w:pPr>
            <w:r>
              <w:rPr>
                <w:rFonts w:hint="eastAsia" w:ascii="宋体" w:hAnsi="宋体" w:cs="宋体"/>
                <w:b/>
                <w:bCs/>
                <w:color w:val="auto"/>
                <w:kern w:val="21"/>
                <w:szCs w:val="21"/>
                <w:lang w:val="zh-TW" w:eastAsia="zh-TW"/>
              </w:rPr>
              <w:t>采购标的的其他技术、服务等要求</w:t>
            </w:r>
            <w:r>
              <w:rPr>
                <w:rFonts w:hint="eastAsia" w:ascii="宋体" w:hAnsi="宋体" w:cs="宋体"/>
                <w:b/>
                <w:bCs/>
                <w:color w:val="auto"/>
                <w:kern w:val="21"/>
                <w:szCs w:val="21"/>
                <w:lang w:val="zh-TW"/>
              </w:rPr>
              <w:t>：</w:t>
            </w:r>
          </w:p>
          <w:p w14:paraId="239FB6D7">
            <w:pPr>
              <w:pStyle w:val="12"/>
              <w:spacing w:line="396" w:lineRule="auto"/>
              <w:ind w:firstLine="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1.保证所有设备均为原装正品。</w:t>
            </w:r>
          </w:p>
          <w:p w14:paraId="345939F0">
            <w:pPr>
              <w:pStyle w:val="12"/>
              <w:spacing w:line="396" w:lineRule="auto"/>
              <w:ind w:firstLine="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2.包装和运输：</w:t>
            </w:r>
          </w:p>
          <w:p w14:paraId="485EEF28">
            <w:pPr>
              <w:pStyle w:val="12"/>
              <w:spacing w:line="396" w:lineRule="auto"/>
              <w:ind w:firstLine="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2.1中标人提供的全部货物均应按标准保护措施进行包装。该包装应适应于远距离运输、防潮、防震、防锈和防野蛮装卸，以确保货物安全无损运抵甲方指定地点。由于包装不善等引起的货物损失均由中标人承担。</w:t>
            </w:r>
          </w:p>
          <w:p w14:paraId="28199F96">
            <w:pPr>
              <w:pStyle w:val="12"/>
              <w:spacing w:line="396" w:lineRule="auto"/>
              <w:ind w:firstLine="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中标人保证向采购人提供的设备（包括零部件）是全新、完整、未使用过的、符合招标文件要求、具有国家有关部门注册并符合国家质量检测标准和产品出厂标准的设备并应符合相关国家标准和行业的质量、技术标准。但采购人与中标人双方约定的质量标准高于国家标准、行业标准的，应符合双方约定的标准。</w:t>
            </w:r>
          </w:p>
          <w:p w14:paraId="10D13E73">
            <w:pPr>
              <w:spacing w:line="360" w:lineRule="auto"/>
              <w:jc w:val="left"/>
              <w:rPr>
                <w:rFonts w:ascii="宋体" w:hAnsi="宋体" w:cs="宋体"/>
                <w:snapToGrid w:val="0"/>
                <w:color w:val="auto"/>
                <w:kern w:val="21"/>
                <w:szCs w:val="21"/>
              </w:rPr>
            </w:pPr>
            <w:r>
              <w:rPr>
                <w:rFonts w:hint="eastAsia" w:asciiTheme="minorEastAsia" w:hAnsiTheme="minorEastAsia" w:eastAsiaTheme="minorEastAsia" w:cstheme="minorEastAsia"/>
                <w:color w:val="auto"/>
                <w:szCs w:val="21"/>
              </w:rPr>
              <w:t>2.3中标人须向采购人提供所交付设备的产地、品牌、型号标志、明显的识别标志、产品检验合格证明、产品技术规格性能保证、出厂证明及生产序号。</w:t>
            </w:r>
          </w:p>
        </w:tc>
      </w:tr>
      <w:tr w14:paraId="2E23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51" w:type="dxa"/>
            <w:vAlign w:val="center"/>
          </w:tcPr>
          <w:p w14:paraId="52DD3D5E">
            <w:pPr>
              <w:pStyle w:val="20"/>
              <w:spacing w:line="360" w:lineRule="auto"/>
              <w:jc w:val="center"/>
              <w:rPr>
                <w:rFonts w:hAnsi="宋体" w:cs="宋体"/>
                <w:color w:val="auto"/>
                <w:szCs w:val="21"/>
              </w:rPr>
            </w:pPr>
            <w:r>
              <w:rPr>
                <w:rFonts w:hint="eastAsia" w:hAnsi="宋体" w:cs="宋体"/>
                <w:color w:val="auto"/>
                <w:szCs w:val="21"/>
                <w:lang w:bidi="ar"/>
              </w:rPr>
              <w:t>★</w:t>
            </w:r>
            <w:r>
              <w:rPr>
                <w:rFonts w:hint="eastAsia" w:hAnsi="宋体" w:cs="宋体"/>
                <w:color w:val="auto"/>
                <w:szCs w:val="21"/>
              </w:rPr>
              <w:t>7</w:t>
            </w:r>
          </w:p>
        </w:tc>
        <w:tc>
          <w:tcPr>
            <w:tcW w:w="8445" w:type="dxa"/>
            <w:vAlign w:val="center"/>
          </w:tcPr>
          <w:p w14:paraId="5FE18F68">
            <w:pPr>
              <w:autoSpaceDE w:val="0"/>
              <w:autoSpaceDN w:val="0"/>
              <w:adjustRightInd w:val="0"/>
              <w:spacing w:line="360" w:lineRule="auto"/>
              <w:jc w:val="left"/>
              <w:rPr>
                <w:rFonts w:ascii="宋体" w:hAnsi="宋体" w:cs="宋体"/>
                <w:b/>
                <w:bCs/>
                <w:color w:val="auto"/>
                <w:szCs w:val="21"/>
              </w:rPr>
            </w:pPr>
            <w:r>
              <w:rPr>
                <w:rFonts w:hint="eastAsia" w:ascii="宋体" w:hAnsi="宋体" w:cs="宋体"/>
                <w:b/>
                <w:bCs/>
                <w:color w:val="auto"/>
                <w:szCs w:val="21"/>
              </w:rPr>
              <w:t>违约责任：</w:t>
            </w:r>
          </w:p>
          <w:p w14:paraId="7D4D6F8F">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1.除发生不可抗力事实外，乙方设备/成果与合同标准不相符合的，甲方有权拒绝支付；</w:t>
            </w:r>
          </w:p>
          <w:p w14:paraId="16096743">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乙方逾期交货的，每逾期一日，应向甲方支付合同总额千分之一的违约金。因乙方不能按期交付设备或完成安装调试和所交设备或安装调试与合同标准不符使甲方造成经济损失的，乙方应依法赔偿。逾期十五日的，甲方有权解除本合同，因此发生的一切损失，由乙方全部承担。</w:t>
            </w:r>
          </w:p>
          <w:p w14:paraId="4440C60A">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3.乙方不履行本合同或招标文件约定的售后、保修等义务的，甲方有权另行委托其他机构进行保修等，由此产生的费用及损失由乙方全部承担。</w:t>
            </w:r>
          </w:p>
          <w:p w14:paraId="266A286A">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服务期间因乙方原因造成甲方损失，乙方须向甲方每次偿付合同总额千分之一的违约金。乙方不当履行合同的，甲方有权单方面解除合同并要求乙方承担合同金额20%的违约金，若违约金不足以弥补甲方损失的，甲方有权要求乙方赔偿损失。甲方有权拒付合同金额以外的其他任何费用。因乙方违约导致甲方因诉讼、维权而产生的案件受理费、律师费、交通费、保全费等均由乙方负责。</w:t>
            </w:r>
          </w:p>
          <w:p w14:paraId="38D37FCD">
            <w:pPr>
              <w:autoSpaceDE w:val="0"/>
              <w:autoSpaceDN w:val="0"/>
              <w:adjustRightInd w:val="0"/>
              <w:spacing w:line="360" w:lineRule="auto"/>
              <w:jc w:val="left"/>
              <w:rPr>
                <w:rFonts w:hAnsi="宋体" w:cs="宋体"/>
                <w:snapToGrid w:val="0"/>
                <w:color w:val="auto"/>
                <w:kern w:val="21"/>
                <w:szCs w:val="21"/>
              </w:rPr>
            </w:pPr>
            <w:r>
              <w:rPr>
                <w:rFonts w:hint="eastAsia" w:asciiTheme="minorEastAsia" w:hAnsiTheme="minorEastAsia" w:eastAsiaTheme="minorEastAsia" w:cstheme="minorEastAsia"/>
                <w:color w:val="auto"/>
                <w:szCs w:val="21"/>
              </w:rPr>
              <w:t>5.其它违约细则：乙方给甲方造成的损失，甲方有权直接从乙方交纳的履约保证金中予以扣除，给甲方造成的损失超过履约保证金数额的，乙方还应当对超过部分予以赔偿。</w:t>
            </w:r>
          </w:p>
        </w:tc>
      </w:tr>
    </w:tbl>
    <w:p w14:paraId="730A59B0">
      <w:pPr>
        <w:rPr>
          <w:rFonts w:ascii="宋体" w:hAnsi="宋体" w:cs="宋体"/>
          <w:color w:val="auto"/>
        </w:rPr>
      </w:pPr>
      <w:r>
        <w:rPr>
          <w:rFonts w:hint="eastAsia" w:ascii="宋体" w:hAnsi="宋体" w:cs="宋体"/>
          <w:color w:val="auto"/>
        </w:rPr>
        <w:br w:type="page"/>
      </w:r>
    </w:p>
    <w:p w14:paraId="03D04468">
      <w:pPr>
        <w:adjustRightInd w:val="0"/>
        <w:snapToGrid w:val="0"/>
        <w:spacing w:line="360" w:lineRule="auto"/>
        <w:jc w:val="center"/>
        <w:rPr>
          <w:rFonts w:ascii="方正小标宋_GBK" w:hAnsi="方正小标宋_GBK" w:eastAsia="方正小标宋_GBK" w:cs="方正小标宋_GBK"/>
          <w:bCs/>
          <w:color w:val="auto"/>
          <w:sz w:val="44"/>
          <w:szCs w:val="44"/>
        </w:rPr>
      </w:pPr>
    </w:p>
    <w:p w14:paraId="22BCC233">
      <w:pPr>
        <w:pStyle w:val="16"/>
        <w:rPr>
          <w:color w:val="auto"/>
        </w:rPr>
      </w:pPr>
    </w:p>
    <w:p w14:paraId="4EFA1AE2">
      <w:pPr>
        <w:pStyle w:val="37"/>
        <w:spacing w:before="0" w:beforeAutospacing="0" w:after="0" w:afterAutospacing="0"/>
        <w:jc w:val="center"/>
        <w:rPr>
          <w:color w:val="auto"/>
        </w:rPr>
      </w:pPr>
      <w:r>
        <w:rPr>
          <w:rFonts w:ascii="方正小标宋简体" w:hAnsi="方正小标宋简体" w:eastAsia="方正小标宋简体" w:cs="方正小标宋简体"/>
          <w:color w:val="auto"/>
          <w:spacing w:val="10"/>
          <w:sz w:val="60"/>
          <w:szCs w:val="60"/>
        </w:rPr>
        <w:t>政府采购合同</w:t>
      </w:r>
    </w:p>
    <w:p w14:paraId="1841843A">
      <w:pPr>
        <w:pStyle w:val="37"/>
        <w:spacing w:before="0" w:beforeAutospacing="0" w:after="0" w:afterAutospacing="0"/>
        <w:jc w:val="center"/>
        <w:rPr>
          <w:color w:val="auto"/>
        </w:rPr>
      </w:pPr>
    </w:p>
    <w:p w14:paraId="4B22340E">
      <w:pPr>
        <w:pStyle w:val="37"/>
        <w:spacing w:before="0" w:beforeAutospacing="0" w:after="0" w:afterAutospacing="0"/>
        <w:jc w:val="center"/>
        <w:rPr>
          <w:color w:val="auto"/>
        </w:rPr>
      </w:pPr>
      <w:r>
        <w:rPr>
          <w:rFonts w:ascii="黑体" w:eastAsia="黑体" w:cs="黑体"/>
          <w:color w:val="auto"/>
          <w:sz w:val="28"/>
          <w:szCs w:val="28"/>
        </w:rPr>
        <w:t>(电子交易项目适用）</w:t>
      </w:r>
    </w:p>
    <w:p w14:paraId="5128BDC7">
      <w:pPr>
        <w:pStyle w:val="37"/>
        <w:spacing w:before="0" w:beforeAutospacing="0" w:after="0" w:afterAutospacing="0"/>
        <w:rPr>
          <w:color w:val="auto"/>
        </w:rPr>
      </w:pPr>
    </w:p>
    <w:p w14:paraId="53EC7205">
      <w:pPr>
        <w:pStyle w:val="37"/>
        <w:spacing w:before="0" w:beforeAutospacing="0" w:after="0" w:afterAutospacing="0"/>
        <w:rPr>
          <w:color w:val="auto"/>
        </w:rPr>
      </w:pPr>
    </w:p>
    <w:p w14:paraId="207C50BD">
      <w:pPr>
        <w:pStyle w:val="37"/>
        <w:spacing w:before="0" w:beforeAutospacing="0" w:after="0" w:afterAutospacing="0"/>
        <w:rPr>
          <w:color w:val="auto"/>
        </w:rPr>
      </w:pPr>
    </w:p>
    <w:p w14:paraId="342A4AD1">
      <w:pPr>
        <w:pStyle w:val="37"/>
        <w:spacing w:before="0" w:beforeAutospacing="0" w:after="0" w:afterAutospacing="0"/>
        <w:rPr>
          <w:color w:val="auto"/>
        </w:rPr>
      </w:pPr>
    </w:p>
    <w:p w14:paraId="42D52DFB">
      <w:pPr>
        <w:pStyle w:val="37"/>
        <w:spacing w:before="0" w:beforeAutospacing="0" w:after="0" w:afterAutospacing="0"/>
        <w:rPr>
          <w:color w:val="auto"/>
        </w:rPr>
      </w:pPr>
    </w:p>
    <w:tbl>
      <w:tblPr>
        <w:tblStyle w:val="41"/>
        <w:tblW w:w="0" w:type="auto"/>
        <w:tblInd w:w="0" w:type="dxa"/>
        <w:tblLayout w:type="autofit"/>
        <w:tblCellMar>
          <w:top w:w="15" w:type="dxa"/>
          <w:left w:w="15" w:type="dxa"/>
          <w:bottom w:w="15" w:type="dxa"/>
          <w:right w:w="15" w:type="dxa"/>
        </w:tblCellMar>
      </w:tblPr>
      <w:tblGrid>
        <w:gridCol w:w="3574"/>
        <w:gridCol w:w="5272"/>
      </w:tblGrid>
      <w:tr w14:paraId="02805821">
        <w:tblPrEx>
          <w:tblCellMar>
            <w:top w:w="15" w:type="dxa"/>
            <w:left w:w="15" w:type="dxa"/>
            <w:bottom w:w="15" w:type="dxa"/>
            <w:right w:w="15" w:type="dxa"/>
          </w:tblCellMar>
        </w:tblPrEx>
        <w:tc>
          <w:tcPr>
            <w:tcW w:w="3574" w:type="dxa"/>
            <w:tcBorders>
              <w:top w:val="single" w:color="FFFFFF" w:sz="4" w:space="0"/>
              <w:left w:val="single" w:color="FFFFFF" w:sz="4" w:space="0"/>
              <w:bottom w:val="single" w:color="FFFFFF" w:sz="4" w:space="0"/>
              <w:right w:val="single" w:color="FFFFFF" w:sz="4" w:space="0"/>
            </w:tcBorders>
            <w:shd w:val="clear" w:color="auto" w:fill="FFFFFF"/>
            <w:tcMar>
              <w:top w:w="50" w:type="dxa"/>
              <w:left w:w="100" w:type="dxa"/>
              <w:bottom w:w="50" w:type="dxa"/>
              <w:right w:w="100" w:type="dxa"/>
            </w:tcMar>
          </w:tcPr>
          <w:p w14:paraId="6774A561">
            <w:pPr>
              <w:pStyle w:val="37"/>
              <w:wordWrap w:val="0"/>
              <w:spacing w:before="0" w:beforeAutospacing="0" w:after="0" w:afterAutospacing="0"/>
              <w:jc w:val="right"/>
              <w:rPr>
                <w:color w:val="auto"/>
              </w:rPr>
            </w:pPr>
            <w:r>
              <w:rPr>
                <w:rFonts w:ascii="黑体" w:eastAsia="黑体" w:cs="黑体"/>
                <w:color w:val="auto"/>
                <w:sz w:val="31"/>
                <w:szCs w:val="31"/>
              </w:rPr>
              <w:t>项 目 名 称：</w:t>
            </w:r>
          </w:p>
        </w:tc>
        <w:tc>
          <w:tcPr>
            <w:tcW w:w="5272" w:type="dxa"/>
            <w:tcBorders>
              <w:top w:val="single" w:color="FFFFFF" w:sz="4" w:space="0"/>
              <w:left w:val="single" w:color="FFFFFF" w:sz="4" w:space="0"/>
              <w:bottom w:val="single" w:color="FFFFFF" w:sz="4" w:space="0"/>
              <w:right w:val="single" w:color="FFFFFF" w:sz="4" w:space="0"/>
            </w:tcBorders>
            <w:shd w:val="clear" w:color="auto" w:fill="FFFFFF"/>
            <w:tcMar>
              <w:top w:w="50" w:type="dxa"/>
              <w:left w:w="100" w:type="dxa"/>
              <w:bottom w:w="50" w:type="dxa"/>
              <w:right w:w="100" w:type="dxa"/>
            </w:tcMar>
          </w:tcPr>
          <w:p w14:paraId="1C0C645A">
            <w:pPr>
              <w:pStyle w:val="37"/>
              <w:wordWrap w:val="0"/>
              <w:spacing w:before="0" w:beforeAutospacing="0" w:after="0" w:afterAutospacing="0"/>
              <w:rPr>
                <w:color w:val="auto"/>
              </w:rPr>
            </w:pPr>
            <w:r>
              <w:rPr>
                <w:rStyle w:val="53"/>
                <w:rFonts w:hint="eastAsia" w:eastAsia="宋体"/>
                <w:color w:val="auto"/>
                <w:u w:val="single"/>
              </w:rPr>
              <w:t xml:space="preserve"> </w:t>
            </w:r>
          </w:p>
        </w:tc>
      </w:tr>
      <w:tr w14:paraId="048DAB38">
        <w:tblPrEx>
          <w:tblCellMar>
            <w:top w:w="15" w:type="dxa"/>
            <w:left w:w="15" w:type="dxa"/>
            <w:bottom w:w="15" w:type="dxa"/>
            <w:right w:w="15" w:type="dxa"/>
          </w:tblCellMar>
        </w:tblPrEx>
        <w:trPr>
          <w:trHeight w:val="330" w:hRule="atLeast"/>
        </w:trPr>
        <w:tc>
          <w:tcPr>
            <w:tcW w:w="3574"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639D6501">
            <w:pPr>
              <w:pStyle w:val="37"/>
              <w:spacing w:before="0" w:beforeAutospacing="0" w:after="0" w:afterAutospacing="0"/>
              <w:rPr>
                <w:color w:val="auto"/>
              </w:rPr>
            </w:pPr>
          </w:p>
        </w:tc>
        <w:tc>
          <w:tcPr>
            <w:tcW w:w="5272"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048631DF">
            <w:pPr>
              <w:pStyle w:val="37"/>
              <w:spacing w:before="0" w:beforeAutospacing="0" w:after="0" w:afterAutospacing="0"/>
              <w:rPr>
                <w:color w:val="auto"/>
              </w:rPr>
            </w:pPr>
          </w:p>
        </w:tc>
      </w:tr>
      <w:tr w14:paraId="1D361E6D">
        <w:tblPrEx>
          <w:tblCellMar>
            <w:top w:w="15" w:type="dxa"/>
            <w:left w:w="15" w:type="dxa"/>
            <w:bottom w:w="15" w:type="dxa"/>
            <w:right w:w="15" w:type="dxa"/>
          </w:tblCellMar>
        </w:tblPrEx>
        <w:tc>
          <w:tcPr>
            <w:tcW w:w="3574"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1CBCC08F">
            <w:pPr>
              <w:pStyle w:val="37"/>
              <w:wordWrap w:val="0"/>
              <w:spacing w:before="0" w:beforeAutospacing="0" w:after="0" w:afterAutospacing="0"/>
              <w:jc w:val="right"/>
              <w:rPr>
                <w:color w:val="auto"/>
              </w:rPr>
            </w:pPr>
            <w:r>
              <w:rPr>
                <w:rFonts w:ascii="黑体" w:eastAsia="黑体" w:cs="黑体"/>
                <w:color w:val="auto"/>
                <w:sz w:val="31"/>
                <w:szCs w:val="31"/>
                <w:shd w:val="clear" w:color="auto" w:fill="FFFFFF"/>
              </w:rPr>
              <w:t>合 同 编 号：</w:t>
            </w:r>
          </w:p>
        </w:tc>
        <w:tc>
          <w:tcPr>
            <w:tcW w:w="5272"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1A96A1CF">
            <w:pPr>
              <w:pStyle w:val="37"/>
              <w:wordWrap w:val="0"/>
              <w:spacing w:before="0" w:beforeAutospacing="0" w:after="0" w:afterAutospacing="0"/>
              <w:rPr>
                <w:color w:val="auto"/>
              </w:rPr>
            </w:pPr>
            <w:r>
              <w:rPr>
                <w:rFonts w:hint="eastAsia" w:ascii="仿宋" w:hAnsi="仿宋" w:eastAsia="仿宋" w:cs="仿宋"/>
                <w:color w:val="auto"/>
                <w:sz w:val="30"/>
                <w:szCs w:val="30"/>
              </w:rPr>
              <w:t>（系统编号）</w:t>
            </w:r>
          </w:p>
        </w:tc>
      </w:tr>
      <w:tr w14:paraId="3F8C20E8">
        <w:tblPrEx>
          <w:tblCellMar>
            <w:top w:w="15" w:type="dxa"/>
            <w:left w:w="15" w:type="dxa"/>
            <w:bottom w:w="15" w:type="dxa"/>
            <w:right w:w="15" w:type="dxa"/>
          </w:tblCellMar>
        </w:tblPrEx>
        <w:tc>
          <w:tcPr>
            <w:tcW w:w="3574"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2C4DE2A4">
            <w:pPr>
              <w:pStyle w:val="37"/>
              <w:spacing w:before="0" w:beforeAutospacing="0" w:after="0" w:afterAutospacing="0"/>
              <w:rPr>
                <w:color w:val="auto"/>
              </w:rPr>
            </w:pPr>
          </w:p>
        </w:tc>
        <w:tc>
          <w:tcPr>
            <w:tcW w:w="5272"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0360F467">
            <w:pPr>
              <w:pStyle w:val="37"/>
              <w:spacing w:before="0" w:beforeAutospacing="0" w:after="0" w:afterAutospacing="0"/>
              <w:rPr>
                <w:color w:val="auto"/>
              </w:rPr>
            </w:pPr>
          </w:p>
        </w:tc>
      </w:tr>
      <w:tr w14:paraId="45DE9D02">
        <w:tblPrEx>
          <w:tblCellMar>
            <w:top w:w="15" w:type="dxa"/>
            <w:left w:w="15" w:type="dxa"/>
            <w:bottom w:w="15" w:type="dxa"/>
            <w:right w:w="15" w:type="dxa"/>
          </w:tblCellMar>
        </w:tblPrEx>
        <w:tc>
          <w:tcPr>
            <w:tcW w:w="3574"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29158C5E">
            <w:pPr>
              <w:pStyle w:val="37"/>
              <w:spacing w:before="0" w:beforeAutospacing="0" w:after="0" w:afterAutospacing="0"/>
              <w:rPr>
                <w:color w:val="auto"/>
              </w:rPr>
            </w:pPr>
          </w:p>
        </w:tc>
        <w:tc>
          <w:tcPr>
            <w:tcW w:w="5272"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66F743E6">
            <w:pPr>
              <w:pStyle w:val="37"/>
              <w:wordWrap w:val="0"/>
              <w:spacing w:before="0" w:beforeAutospacing="0" w:after="0" w:afterAutospacing="0"/>
              <w:rPr>
                <w:color w:val="auto"/>
              </w:rPr>
            </w:pPr>
            <w:r>
              <w:rPr>
                <w:rFonts w:hint="eastAsia" w:ascii="仿宋" w:hAnsi="仿宋" w:eastAsia="仿宋" w:cs="仿宋"/>
                <w:color w:val="auto"/>
                <w:sz w:val="30"/>
                <w:szCs w:val="30"/>
              </w:rPr>
              <w:t>（自编号，如有）</w:t>
            </w:r>
          </w:p>
        </w:tc>
      </w:tr>
      <w:tr w14:paraId="22013569">
        <w:tblPrEx>
          <w:tblCellMar>
            <w:top w:w="15" w:type="dxa"/>
            <w:left w:w="15" w:type="dxa"/>
            <w:bottom w:w="15" w:type="dxa"/>
            <w:right w:w="15" w:type="dxa"/>
          </w:tblCellMar>
        </w:tblPrEx>
        <w:tc>
          <w:tcPr>
            <w:tcW w:w="3574"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680B8B9D">
            <w:pPr>
              <w:pStyle w:val="37"/>
              <w:spacing w:before="0" w:beforeAutospacing="0" w:after="0" w:afterAutospacing="0"/>
              <w:rPr>
                <w:color w:val="auto"/>
              </w:rPr>
            </w:pPr>
          </w:p>
        </w:tc>
        <w:tc>
          <w:tcPr>
            <w:tcW w:w="5272"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5E388AF9">
            <w:pPr>
              <w:pStyle w:val="37"/>
              <w:spacing w:before="0" w:beforeAutospacing="0" w:after="0" w:afterAutospacing="0"/>
              <w:rPr>
                <w:color w:val="auto"/>
              </w:rPr>
            </w:pPr>
          </w:p>
        </w:tc>
      </w:tr>
      <w:tr w14:paraId="75886FC2">
        <w:tblPrEx>
          <w:tblCellMar>
            <w:top w:w="15" w:type="dxa"/>
            <w:left w:w="15" w:type="dxa"/>
            <w:bottom w:w="15" w:type="dxa"/>
            <w:right w:w="15" w:type="dxa"/>
          </w:tblCellMar>
        </w:tblPrEx>
        <w:tc>
          <w:tcPr>
            <w:tcW w:w="3574"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49B84178">
            <w:pPr>
              <w:pStyle w:val="37"/>
              <w:wordWrap w:val="0"/>
              <w:spacing w:before="0" w:beforeAutospacing="0" w:after="0" w:afterAutospacing="0"/>
              <w:jc w:val="right"/>
              <w:rPr>
                <w:color w:val="auto"/>
              </w:rPr>
            </w:pPr>
            <w:r>
              <w:rPr>
                <w:rFonts w:ascii="黑体" w:eastAsia="黑体" w:cs="黑体"/>
                <w:color w:val="auto"/>
                <w:sz w:val="31"/>
                <w:szCs w:val="31"/>
                <w:shd w:val="clear" w:color="auto" w:fill="FFFFFF"/>
              </w:rPr>
              <w:t>甲       方：</w:t>
            </w:r>
          </w:p>
        </w:tc>
        <w:tc>
          <w:tcPr>
            <w:tcW w:w="5272"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27AC6A8E">
            <w:pPr>
              <w:pStyle w:val="37"/>
              <w:wordWrap w:val="0"/>
              <w:spacing w:before="0" w:beforeAutospacing="0" w:after="0" w:afterAutospacing="0"/>
              <w:rPr>
                <w:color w:val="auto"/>
              </w:rPr>
            </w:pPr>
            <w:r>
              <w:rPr>
                <w:rStyle w:val="53"/>
                <w:rFonts w:hint="eastAsia" w:ascii="仿宋" w:hAnsi="仿宋" w:eastAsia="仿宋" w:cs="仿宋"/>
                <w:color w:val="auto"/>
                <w:u w:val="single"/>
                <w:shd w:val="clear" w:color="auto" w:fill="FFFFFF"/>
              </w:rPr>
              <w:t xml:space="preserve"> </w:t>
            </w:r>
          </w:p>
        </w:tc>
      </w:tr>
      <w:tr w14:paraId="24307450">
        <w:tblPrEx>
          <w:tblCellMar>
            <w:top w:w="15" w:type="dxa"/>
            <w:left w:w="15" w:type="dxa"/>
            <w:bottom w:w="15" w:type="dxa"/>
            <w:right w:w="15" w:type="dxa"/>
          </w:tblCellMar>
        </w:tblPrEx>
        <w:tc>
          <w:tcPr>
            <w:tcW w:w="3574"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6E058808">
            <w:pPr>
              <w:pStyle w:val="37"/>
              <w:spacing w:before="0" w:beforeAutospacing="0" w:after="0" w:afterAutospacing="0"/>
              <w:rPr>
                <w:color w:val="auto"/>
              </w:rPr>
            </w:pPr>
          </w:p>
        </w:tc>
        <w:tc>
          <w:tcPr>
            <w:tcW w:w="5272"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79206543">
            <w:pPr>
              <w:pStyle w:val="37"/>
              <w:spacing w:before="0" w:beforeAutospacing="0" w:after="0" w:afterAutospacing="0"/>
              <w:rPr>
                <w:color w:val="auto"/>
              </w:rPr>
            </w:pPr>
          </w:p>
        </w:tc>
      </w:tr>
      <w:tr w14:paraId="022E16F6">
        <w:tblPrEx>
          <w:tblCellMar>
            <w:top w:w="15" w:type="dxa"/>
            <w:left w:w="15" w:type="dxa"/>
            <w:bottom w:w="15" w:type="dxa"/>
            <w:right w:w="15" w:type="dxa"/>
          </w:tblCellMar>
        </w:tblPrEx>
        <w:trPr>
          <w:trHeight w:val="570" w:hRule="atLeast"/>
        </w:trPr>
        <w:tc>
          <w:tcPr>
            <w:tcW w:w="3574"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2F9AC46F">
            <w:pPr>
              <w:pStyle w:val="37"/>
              <w:wordWrap w:val="0"/>
              <w:spacing w:before="0" w:beforeAutospacing="0" w:after="0" w:afterAutospacing="0"/>
              <w:jc w:val="right"/>
              <w:rPr>
                <w:color w:val="auto"/>
              </w:rPr>
            </w:pPr>
            <w:r>
              <w:rPr>
                <w:rFonts w:ascii="黑体" w:eastAsia="黑体" w:cs="黑体"/>
                <w:color w:val="auto"/>
                <w:sz w:val="31"/>
                <w:szCs w:val="31"/>
                <w:shd w:val="clear" w:color="auto" w:fill="FFFFFF"/>
              </w:rPr>
              <w:t>乙       方：</w:t>
            </w:r>
          </w:p>
        </w:tc>
        <w:tc>
          <w:tcPr>
            <w:tcW w:w="5272" w:type="dxa"/>
            <w:tcBorders>
              <w:top w:val="single" w:color="FFFFFF" w:sz="4" w:space="0"/>
              <w:left w:val="single" w:color="FFFFFF" w:sz="4" w:space="0"/>
              <w:bottom w:val="single" w:color="FFFFFF" w:sz="4" w:space="0"/>
              <w:right w:val="single" w:color="FFFFFF" w:sz="4" w:space="0"/>
            </w:tcBorders>
            <w:shd w:val="clear" w:color="auto" w:fill="auto"/>
            <w:tcMar>
              <w:top w:w="50" w:type="dxa"/>
              <w:left w:w="100" w:type="dxa"/>
              <w:bottom w:w="50" w:type="dxa"/>
              <w:right w:w="100" w:type="dxa"/>
            </w:tcMar>
          </w:tcPr>
          <w:p w14:paraId="55BFF6C9">
            <w:pPr>
              <w:pStyle w:val="37"/>
              <w:wordWrap w:val="0"/>
              <w:spacing w:before="0" w:beforeAutospacing="0" w:after="0" w:afterAutospacing="0"/>
              <w:rPr>
                <w:rFonts w:eastAsia="仿宋"/>
                <w:color w:val="auto"/>
              </w:rPr>
            </w:pPr>
            <w:r>
              <w:rPr>
                <w:rStyle w:val="53"/>
                <w:rFonts w:hint="eastAsia" w:ascii="仿宋" w:hAnsi="仿宋" w:eastAsia="仿宋" w:cs="仿宋"/>
                <w:color w:val="auto"/>
                <w:u w:val="single"/>
                <w:shd w:val="clear" w:color="auto" w:fill="FFFFFF"/>
              </w:rPr>
              <w:t xml:space="preserve"> </w:t>
            </w:r>
          </w:p>
        </w:tc>
      </w:tr>
    </w:tbl>
    <w:p w14:paraId="613F66ED">
      <w:pPr>
        <w:pStyle w:val="37"/>
        <w:spacing w:before="0" w:beforeAutospacing="0" w:after="0" w:afterAutospacing="0"/>
        <w:rPr>
          <w:color w:val="auto"/>
        </w:rPr>
      </w:pPr>
      <w:r>
        <w:rPr>
          <w:color w:val="auto"/>
        </w:rPr>
        <w:br w:type="page"/>
      </w:r>
    </w:p>
    <w:p w14:paraId="3BE19467">
      <w:pPr>
        <w:pStyle w:val="37"/>
        <w:spacing w:before="0" w:beforeAutospacing="0" w:after="0" w:afterAutospacing="0"/>
        <w:rPr>
          <w:color w:val="auto"/>
        </w:rPr>
      </w:pPr>
    </w:p>
    <w:p w14:paraId="1CA5CE64">
      <w:pPr>
        <w:jc w:val="center"/>
        <w:rPr>
          <w:rFonts w:ascii="宋体" w:hAnsi="宋体" w:cs="宋体"/>
          <w:color w:val="auto"/>
        </w:rPr>
      </w:pPr>
      <w:r>
        <w:rPr>
          <w:rFonts w:hint="eastAsia" w:ascii="宋体" w:hAnsi="宋体" w:cs="宋体"/>
          <w:b/>
          <w:bCs/>
          <w:color w:val="auto"/>
          <w:sz w:val="32"/>
          <w:szCs w:val="44"/>
        </w:rPr>
        <w:t xml:space="preserve"> </w:t>
      </w:r>
    </w:p>
    <w:tbl>
      <w:tblPr>
        <w:tblStyle w:val="41"/>
        <w:tblW w:w="8920" w:type="dxa"/>
        <w:tblCellSpacing w:w="0" w:type="dxa"/>
        <w:tblInd w:w="-113" w:type="dxa"/>
        <w:tblLayout w:type="fixed"/>
        <w:tblCellMar>
          <w:top w:w="0" w:type="dxa"/>
          <w:left w:w="0" w:type="dxa"/>
          <w:bottom w:w="0" w:type="dxa"/>
          <w:right w:w="0" w:type="dxa"/>
        </w:tblCellMar>
      </w:tblPr>
      <w:tblGrid>
        <w:gridCol w:w="1487"/>
        <w:gridCol w:w="7433"/>
      </w:tblGrid>
      <w:tr w14:paraId="4B2E1C24">
        <w:tblPrEx>
          <w:tblCellMar>
            <w:top w:w="0" w:type="dxa"/>
            <w:left w:w="0" w:type="dxa"/>
            <w:bottom w:w="0" w:type="dxa"/>
            <w:right w:w="0" w:type="dxa"/>
          </w:tblCellMar>
        </w:tblPrEx>
        <w:trPr>
          <w:trHeight w:val="844" w:hRule="atLeast"/>
          <w:tblCellSpacing w:w="0" w:type="dxa"/>
        </w:trPr>
        <w:tc>
          <w:tcPr>
            <w:tcW w:w="8920" w:type="dxa"/>
            <w:gridSpan w:val="2"/>
            <w:vAlign w:val="center"/>
          </w:tcPr>
          <w:p w14:paraId="341007BF">
            <w:pPr>
              <w:ind w:firstLine="480" w:firstLineChars="200"/>
              <w:rPr>
                <w:rFonts w:ascii="宋体" w:hAnsi="宋体" w:cs="宋体"/>
                <w:color w:val="auto"/>
              </w:rPr>
            </w:pPr>
            <w:r>
              <w:rPr>
                <w:rFonts w:hint="eastAsia" w:ascii="宋体" w:hAnsi="宋体" w:cs="宋体"/>
                <w:color w:val="auto"/>
                <w:kern w:val="0"/>
                <w:sz w:val="24"/>
                <w:szCs w:val="24"/>
                <w:lang w:bidi="ar"/>
              </w:rPr>
              <w:t>甲方（采购人公章）名 称：</w:t>
            </w:r>
          </w:p>
        </w:tc>
      </w:tr>
      <w:tr w14:paraId="10EAD615">
        <w:tblPrEx>
          <w:tblCellMar>
            <w:top w:w="0" w:type="dxa"/>
            <w:left w:w="0" w:type="dxa"/>
            <w:bottom w:w="0" w:type="dxa"/>
            <w:right w:w="0" w:type="dxa"/>
          </w:tblCellMar>
        </w:tblPrEx>
        <w:trPr>
          <w:trHeight w:val="853" w:hRule="atLeast"/>
          <w:tblCellSpacing w:w="0" w:type="dxa"/>
        </w:trPr>
        <w:tc>
          <w:tcPr>
            <w:tcW w:w="1487" w:type="dxa"/>
            <w:vAlign w:val="center"/>
          </w:tcPr>
          <w:p w14:paraId="2AC83FEE">
            <w:pPr>
              <w:widowControl/>
              <w:spacing w:line="300" w:lineRule="exact"/>
              <w:rPr>
                <w:rFonts w:ascii="宋体" w:hAnsi="宋体" w:cs="宋体"/>
                <w:color w:val="auto"/>
                <w:sz w:val="24"/>
                <w:szCs w:val="24"/>
              </w:rPr>
            </w:pPr>
          </w:p>
        </w:tc>
        <w:tc>
          <w:tcPr>
            <w:tcW w:w="7433" w:type="dxa"/>
            <w:vAlign w:val="center"/>
          </w:tcPr>
          <w:p w14:paraId="7C822A97">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地 址：</w:t>
            </w:r>
          </w:p>
        </w:tc>
      </w:tr>
      <w:tr w14:paraId="5066C3D3">
        <w:tblPrEx>
          <w:tblCellMar>
            <w:top w:w="0" w:type="dxa"/>
            <w:left w:w="0" w:type="dxa"/>
            <w:bottom w:w="0" w:type="dxa"/>
            <w:right w:w="0" w:type="dxa"/>
          </w:tblCellMar>
        </w:tblPrEx>
        <w:trPr>
          <w:trHeight w:val="853" w:hRule="atLeast"/>
          <w:tblCellSpacing w:w="0" w:type="dxa"/>
        </w:trPr>
        <w:tc>
          <w:tcPr>
            <w:tcW w:w="1487" w:type="dxa"/>
            <w:vAlign w:val="center"/>
          </w:tcPr>
          <w:p w14:paraId="01E6E27F">
            <w:pPr>
              <w:widowControl/>
              <w:spacing w:line="300" w:lineRule="exact"/>
              <w:rPr>
                <w:rFonts w:ascii="宋体" w:hAnsi="宋体" w:cs="宋体"/>
                <w:color w:val="auto"/>
                <w:sz w:val="24"/>
                <w:szCs w:val="24"/>
              </w:rPr>
            </w:pPr>
          </w:p>
        </w:tc>
        <w:tc>
          <w:tcPr>
            <w:tcW w:w="7433" w:type="dxa"/>
            <w:vAlign w:val="center"/>
          </w:tcPr>
          <w:p w14:paraId="0CE811C5">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邮 编：</w:t>
            </w:r>
          </w:p>
        </w:tc>
      </w:tr>
      <w:tr w14:paraId="1A25658C">
        <w:tblPrEx>
          <w:tblCellMar>
            <w:top w:w="0" w:type="dxa"/>
            <w:left w:w="0" w:type="dxa"/>
            <w:bottom w:w="0" w:type="dxa"/>
            <w:right w:w="0" w:type="dxa"/>
          </w:tblCellMar>
        </w:tblPrEx>
        <w:trPr>
          <w:trHeight w:val="853" w:hRule="atLeast"/>
          <w:tblCellSpacing w:w="0" w:type="dxa"/>
        </w:trPr>
        <w:tc>
          <w:tcPr>
            <w:tcW w:w="1487" w:type="dxa"/>
            <w:vAlign w:val="center"/>
          </w:tcPr>
          <w:p w14:paraId="7A088E2D">
            <w:pPr>
              <w:widowControl/>
              <w:spacing w:line="300" w:lineRule="exact"/>
              <w:rPr>
                <w:rFonts w:ascii="宋体" w:hAnsi="宋体" w:cs="宋体"/>
                <w:color w:val="auto"/>
                <w:sz w:val="24"/>
                <w:szCs w:val="24"/>
              </w:rPr>
            </w:pPr>
          </w:p>
        </w:tc>
        <w:tc>
          <w:tcPr>
            <w:tcW w:w="7433" w:type="dxa"/>
            <w:vAlign w:val="center"/>
          </w:tcPr>
          <w:p w14:paraId="13D88020">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法定代表人或委托代理人：</w:t>
            </w:r>
          </w:p>
        </w:tc>
      </w:tr>
      <w:tr w14:paraId="75A263FC">
        <w:tblPrEx>
          <w:tblCellMar>
            <w:top w:w="0" w:type="dxa"/>
            <w:left w:w="0" w:type="dxa"/>
            <w:bottom w:w="0" w:type="dxa"/>
            <w:right w:w="0" w:type="dxa"/>
          </w:tblCellMar>
        </w:tblPrEx>
        <w:trPr>
          <w:trHeight w:val="853" w:hRule="atLeast"/>
          <w:tblCellSpacing w:w="0" w:type="dxa"/>
        </w:trPr>
        <w:tc>
          <w:tcPr>
            <w:tcW w:w="1487" w:type="dxa"/>
            <w:vAlign w:val="center"/>
          </w:tcPr>
          <w:p w14:paraId="0B1F2223">
            <w:pPr>
              <w:widowControl/>
              <w:spacing w:line="300" w:lineRule="exact"/>
              <w:rPr>
                <w:rFonts w:ascii="宋体" w:hAnsi="宋体" w:cs="宋体"/>
                <w:color w:val="auto"/>
                <w:sz w:val="24"/>
                <w:szCs w:val="24"/>
              </w:rPr>
            </w:pPr>
          </w:p>
        </w:tc>
        <w:tc>
          <w:tcPr>
            <w:tcW w:w="7433" w:type="dxa"/>
            <w:vAlign w:val="center"/>
          </w:tcPr>
          <w:p w14:paraId="0A8DF823">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项目（技术）负责人：</w:t>
            </w:r>
          </w:p>
        </w:tc>
      </w:tr>
      <w:tr w14:paraId="1D085813">
        <w:tblPrEx>
          <w:tblCellMar>
            <w:top w:w="0" w:type="dxa"/>
            <w:left w:w="0" w:type="dxa"/>
            <w:bottom w:w="0" w:type="dxa"/>
            <w:right w:w="0" w:type="dxa"/>
          </w:tblCellMar>
        </w:tblPrEx>
        <w:trPr>
          <w:trHeight w:val="853" w:hRule="atLeast"/>
          <w:tblCellSpacing w:w="0" w:type="dxa"/>
        </w:trPr>
        <w:tc>
          <w:tcPr>
            <w:tcW w:w="1487" w:type="dxa"/>
            <w:vAlign w:val="center"/>
          </w:tcPr>
          <w:p w14:paraId="471F685A">
            <w:pPr>
              <w:widowControl/>
              <w:spacing w:line="300" w:lineRule="exact"/>
              <w:rPr>
                <w:rFonts w:ascii="宋体" w:hAnsi="宋体" w:cs="宋体"/>
                <w:color w:val="auto"/>
                <w:sz w:val="24"/>
                <w:szCs w:val="24"/>
              </w:rPr>
            </w:pPr>
          </w:p>
        </w:tc>
        <w:tc>
          <w:tcPr>
            <w:tcW w:w="7433" w:type="dxa"/>
            <w:vAlign w:val="center"/>
          </w:tcPr>
          <w:p w14:paraId="1DD3E1C7">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电 话：</w:t>
            </w:r>
          </w:p>
        </w:tc>
      </w:tr>
      <w:tr w14:paraId="658D0DB7">
        <w:tblPrEx>
          <w:tblCellMar>
            <w:top w:w="0" w:type="dxa"/>
            <w:left w:w="0" w:type="dxa"/>
            <w:bottom w:w="0" w:type="dxa"/>
            <w:right w:w="0" w:type="dxa"/>
          </w:tblCellMar>
        </w:tblPrEx>
        <w:trPr>
          <w:trHeight w:val="853" w:hRule="atLeast"/>
          <w:tblCellSpacing w:w="0" w:type="dxa"/>
        </w:trPr>
        <w:tc>
          <w:tcPr>
            <w:tcW w:w="1487" w:type="dxa"/>
            <w:vAlign w:val="center"/>
          </w:tcPr>
          <w:p w14:paraId="3975A987">
            <w:pPr>
              <w:widowControl/>
              <w:spacing w:line="300" w:lineRule="exact"/>
              <w:rPr>
                <w:rFonts w:ascii="宋体" w:hAnsi="宋体" w:cs="宋体"/>
                <w:color w:val="auto"/>
                <w:sz w:val="24"/>
                <w:szCs w:val="24"/>
              </w:rPr>
            </w:pPr>
          </w:p>
        </w:tc>
        <w:tc>
          <w:tcPr>
            <w:tcW w:w="7433" w:type="dxa"/>
            <w:vAlign w:val="center"/>
          </w:tcPr>
          <w:p w14:paraId="4563D88C">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签订日期：</w:t>
            </w:r>
          </w:p>
        </w:tc>
      </w:tr>
      <w:tr w14:paraId="30DD5195">
        <w:tblPrEx>
          <w:tblCellMar>
            <w:top w:w="0" w:type="dxa"/>
            <w:left w:w="0" w:type="dxa"/>
            <w:bottom w:w="0" w:type="dxa"/>
            <w:right w:w="0" w:type="dxa"/>
          </w:tblCellMar>
        </w:tblPrEx>
        <w:trPr>
          <w:trHeight w:val="853" w:hRule="atLeast"/>
          <w:tblCellSpacing w:w="0" w:type="dxa"/>
        </w:trPr>
        <w:tc>
          <w:tcPr>
            <w:tcW w:w="8920" w:type="dxa"/>
            <w:gridSpan w:val="2"/>
            <w:vAlign w:val="center"/>
          </w:tcPr>
          <w:p w14:paraId="20EA7E16">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乙方（投标人公章）名 称：</w:t>
            </w:r>
          </w:p>
        </w:tc>
      </w:tr>
      <w:tr w14:paraId="2DE87E15">
        <w:tblPrEx>
          <w:tblCellMar>
            <w:top w:w="0" w:type="dxa"/>
            <w:left w:w="0" w:type="dxa"/>
            <w:bottom w:w="0" w:type="dxa"/>
            <w:right w:w="0" w:type="dxa"/>
          </w:tblCellMar>
        </w:tblPrEx>
        <w:trPr>
          <w:trHeight w:val="853" w:hRule="atLeast"/>
          <w:tblCellSpacing w:w="0" w:type="dxa"/>
        </w:trPr>
        <w:tc>
          <w:tcPr>
            <w:tcW w:w="1487" w:type="dxa"/>
            <w:vAlign w:val="center"/>
          </w:tcPr>
          <w:p w14:paraId="2A5B602A">
            <w:pPr>
              <w:widowControl/>
              <w:spacing w:line="300" w:lineRule="exact"/>
              <w:rPr>
                <w:rFonts w:ascii="宋体" w:hAnsi="宋体" w:cs="宋体"/>
                <w:color w:val="auto"/>
                <w:sz w:val="24"/>
                <w:szCs w:val="24"/>
              </w:rPr>
            </w:pPr>
          </w:p>
        </w:tc>
        <w:tc>
          <w:tcPr>
            <w:tcW w:w="7433" w:type="dxa"/>
            <w:vAlign w:val="center"/>
          </w:tcPr>
          <w:p w14:paraId="02B67D7C">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地 址：</w:t>
            </w:r>
          </w:p>
        </w:tc>
      </w:tr>
      <w:tr w14:paraId="74E91D50">
        <w:tblPrEx>
          <w:tblCellMar>
            <w:top w:w="0" w:type="dxa"/>
            <w:left w:w="0" w:type="dxa"/>
            <w:bottom w:w="0" w:type="dxa"/>
            <w:right w:w="0" w:type="dxa"/>
          </w:tblCellMar>
        </w:tblPrEx>
        <w:trPr>
          <w:trHeight w:val="853" w:hRule="atLeast"/>
          <w:tblCellSpacing w:w="0" w:type="dxa"/>
        </w:trPr>
        <w:tc>
          <w:tcPr>
            <w:tcW w:w="1487" w:type="dxa"/>
            <w:vAlign w:val="center"/>
          </w:tcPr>
          <w:p w14:paraId="0B63F6BC">
            <w:pPr>
              <w:widowControl/>
              <w:spacing w:line="300" w:lineRule="exact"/>
              <w:rPr>
                <w:rFonts w:ascii="宋体" w:hAnsi="宋体" w:cs="宋体"/>
                <w:color w:val="auto"/>
                <w:sz w:val="24"/>
                <w:szCs w:val="24"/>
              </w:rPr>
            </w:pPr>
          </w:p>
        </w:tc>
        <w:tc>
          <w:tcPr>
            <w:tcW w:w="7433" w:type="dxa"/>
            <w:vAlign w:val="center"/>
          </w:tcPr>
          <w:p w14:paraId="059B501C">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邮 编：</w:t>
            </w:r>
          </w:p>
        </w:tc>
      </w:tr>
      <w:tr w14:paraId="10D8C779">
        <w:tblPrEx>
          <w:tblCellMar>
            <w:top w:w="0" w:type="dxa"/>
            <w:left w:w="0" w:type="dxa"/>
            <w:bottom w:w="0" w:type="dxa"/>
            <w:right w:w="0" w:type="dxa"/>
          </w:tblCellMar>
        </w:tblPrEx>
        <w:trPr>
          <w:trHeight w:val="853" w:hRule="atLeast"/>
          <w:tblCellSpacing w:w="0" w:type="dxa"/>
        </w:trPr>
        <w:tc>
          <w:tcPr>
            <w:tcW w:w="1487" w:type="dxa"/>
            <w:vAlign w:val="center"/>
          </w:tcPr>
          <w:p w14:paraId="6631B093">
            <w:pPr>
              <w:widowControl/>
              <w:spacing w:line="300" w:lineRule="exact"/>
              <w:rPr>
                <w:rFonts w:ascii="宋体" w:hAnsi="宋体" w:cs="宋体"/>
                <w:color w:val="auto"/>
                <w:sz w:val="24"/>
                <w:szCs w:val="24"/>
              </w:rPr>
            </w:pPr>
          </w:p>
        </w:tc>
        <w:tc>
          <w:tcPr>
            <w:tcW w:w="7433" w:type="dxa"/>
            <w:vAlign w:val="center"/>
          </w:tcPr>
          <w:p w14:paraId="76CEA25E">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法定代表人或委托代理人：</w:t>
            </w:r>
          </w:p>
        </w:tc>
      </w:tr>
      <w:tr w14:paraId="63448522">
        <w:tblPrEx>
          <w:tblCellMar>
            <w:top w:w="0" w:type="dxa"/>
            <w:left w:w="0" w:type="dxa"/>
            <w:bottom w:w="0" w:type="dxa"/>
            <w:right w:w="0" w:type="dxa"/>
          </w:tblCellMar>
        </w:tblPrEx>
        <w:trPr>
          <w:trHeight w:val="853" w:hRule="atLeast"/>
          <w:tblCellSpacing w:w="0" w:type="dxa"/>
        </w:trPr>
        <w:tc>
          <w:tcPr>
            <w:tcW w:w="1487" w:type="dxa"/>
            <w:vAlign w:val="center"/>
          </w:tcPr>
          <w:p w14:paraId="7FC9745D">
            <w:pPr>
              <w:widowControl/>
              <w:spacing w:line="300" w:lineRule="exact"/>
              <w:rPr>
                <w:rFonts w:ascii="宋体" w:hAnsi="宋体" w:cs="宋体"/>
                <w:color w:val="auto"/>
                <w:sz w:val="24"/>
                <w:szCs w:val="24"/>
              </w:rPr>
            </w:pPr>
          </w:p>
        </w:tc>
        <w:tc>
          <w:tcPr>
            <w:tcW w:w="7433" w:type="dxa"/>
            <w:vAlign w:val="center"/>
          </w:tcPr>
          <w:p w14:paraId="394FD3D7">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经办人：</w:t>
            </w:r>
          </w:p>
        </w:tc>
      </w:tr>
      <w:tr w14:paraId="536C9C6F">
        <w:tblPrEx>
          <w:tblCellMar>
            <w:top w:w="0" w:type="dxa"/>
            <w:left w:w="0" w:type="dxa"/>
            <w:bottom w:w="0" w:type="dxa"/>
            <w:right w:w="0" w:type="dxa"/>
          </w:tblCellMar>
        </w:tblPrEx>
        <w:trPr>
          <w:trHeight w:val="853" w:hRule="atLeast"/>
          <w:tblCellSpacing w:w="0" w:type="dxa"/>
        </w:trPr>
        <w:tc>
          <w:tcPr>
            <w:tcW w:w="1487" w:type="dxa"/>
            <w:vAlign w:val="center"/>
          </w:tcPr>
          <w:p w14:paraId="4593B2B3">
            <w:pPr>
              <w:widowControl/>
              <w:spacing w:line="300" w:lineRule="exact"/>
              <w:rPr>
                <w:rFonts w:ascii="宋体" w:hAnsi="宋体" w:cs="宋体"/>
                <w:color w:val="auto"/>
                <w:sz w:val="24"/>
                <w:szCs w:val="24"/>
              </w:rPr>
            </w:pPr>
          </w:p>
        </w:tc>
        <w:tc>
          <w:tcPr>
            <w:tcW w:w="7433" w:type="dxa"/>
            <w:vAlign w:val="center"/>
          </w:tcPr>
          <w:p w14:paraId="79C79C5F">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电 话：</w:t>
            </w:r>
          </w:p>
        </w:tc>
      </w:tr>
      <w:tr w14:paraId="3A6DDB42">
        <w:tblPrEx>
          <w:tblCellMar>
            <w:top w:w="0" w:type="dxa"/>
            <w:left w:w="0" w:type="dxa"/>
            <w:bottom w:w="0" w:type="dxa"/>
            <w:right w:w="0" w:type="dxa"/>
          </w:tblCellMar>
        </w:tblPrEx>
        <w:trPr>
          <w:trHeight w:val="853" w:hRule="atLeast"/>
          <w:tblCellSpacing w:w="0" w:type="dxa"/>
        </w:trPr>
        <w:tc>
          <w:tcPr>
            <w:tcW w:w="1487" w:type="dxa"/>
            <w:vAlign w:val="center"/>
          </w:tcPr>
          <w:p w14:paraId="0DA496AB">
            <w:pPr>
              <w:widowControl/>
              <w:spacing w:line="300" w:lineRule="exact"/>
              <w:rPr>
                <w:rFonts w:ascii="宋体" w:hAnsi="宋体" w:cs="宋体"/>
                <w:color w:val="auto"/>
                <w:sz w:val="24"/>
                <w:szCs w:val="24"/>
              </w:rPr>
            </w:pPr>
          </w:p>
        </w:tc>
        <w:tc>
          <w:tcPr>
            <w:tcW w:w="7433" w:type="dxa"/>
            <w:vAlign w:val="center"/>
          </w:tcPr>
          <w:p w14:paraId="1AEFD577">
            <w:pPr>
              <w:widowControl/>
              <w:spacing w:after="240" w:line="300" w:lineRule="exact"/>
              <w:jc w:val="left"/>
              <w:rPr>
                <w:rFonts w:ascii="宋体" w:hAnsi="宋体" w:cs="宋体"/>
                <w:color w:val="auto"/>
              </w:rPr>
            </w:pPr>
            <w:r>
              <w:rPr>
                <w:rFonts w:hint="eastAsia" w:ascii="宋体" w:hAnsi="宋体" w:cs="宋体"/>
                <w:color w:val="auto"/>
                <w:kern w:val="0"/>
                <w:sz w:val="24"/>
                <w:szCs w:val="24"/>
                <w:lang w:bidi="ar"/>
              </w:rPr>
              <w:t>签订日期：</w:t>
            </w:r>
          </w:p>
        </w:tc>
      </w:tr>
    </w:tbl>
    <w:p w14:paraId="57A5097E">
      <w:pPr>
        <w:spacing w:line="520" w:lineRule="exact"/>
        <w:rPr>
          <w:rFonts w:ascii="宋体" w:hAnsi="宋体" w:cs="宋体"/>
          <w:color w:val="auto"/>
          <w:szCs w:val="21"/>
        </w:rPr>
      </w:pPr>
      <w:r>
        <w:rPr>
          <w:rFonts w:hint="eastAsia" w:ascii="宋体" w:hAnsi="宋体" w:cs="宋体"/>
          <w:b/>
          <w:bCs/>
          <w:color w:val="auto"/>
          <w:sz w:val="32"/>
          <w:szCs w:val="32"/>
        </w:rPr>
        <w:br w:type="page"/>
      </w:r>
      <w:r>
        <w:rPr>
          <w:rFonts w:hint="eastAsia" w:ascii="宋体" w:hAnsi="宋体" w:cs="宋体"/>
          <w:b/>
          <w:color w:val="auto"/>
          <w:szCs w:val="21"/>
        </w:rPr>
        <w:t>甲方：</w:t>
      </w:r>
      <w:r>
        <w:rPr>
          <w:rFonts w:hint="eastAsia" w:ascii="宋体" w:hAnsi="宋体" w:cs="宋体"/>
          <w:b/>
          <w:color w:val="auto"/>
          <w:szCs w:val="21"/>
          <w:u w:val="single"/>
        </w:rPr>
        <w:t>云南师范大学</w:t>
      </w:r>
    </w:p>
    <w:p w14:paraId="5B76B7D0">
      <w:pPr>
        <w:spacing w:line="360" w:lineRule="auto"/>
        <w:rPr>
          <w:rFonts w:ascii="宋体" w:hAnsi="宋体" w:cs="宋体"/>
          <w:b/>
          <w:color w:val="auto"/>
          <w:szCs w:val="21"/>
          <w:u w:val="single"/>
        </w:rPr>
      </w:pPr>
      <w:r>
        <w:rPr>
          <w:rFonts w:hint="eastAsia" w:ascii="宋体" w:hAnsi="宋体" w:cs="宋体"/>
          <w:b/>
          <w:color w:val="auto"/>
          <w:szCs w:val="21"/>
        </w:rPr>
        <w:t>乙方：</w:t>
      </w:r>
      <w:r>
        <w:rPr>
          <w:rFonts w:hint="eastAsia" w:ascii="宋体" w:hAnsi="宋体" w:cs="宋体"/>
          <w:b/>
          <w:color w:val="auto"/>
          <w:szCs w:val="21"/>
          <w:u w:val="single"/>
        </w:rPr>
        <w:t>（投标人全称）</w:t>
      </w:r>
    </w:p>
    <w:p w14:paraId="0A1AEEBB">
      <w:pPr>
        <w:spacing w:line="360" w:lineRule="auto"/>
        <w:ind w:firstLine="472" w:firstLineChars="225"/>
        <w:rPr>
          <w:rFonts w:ascii="宋体" w:hAnsi="宋体" w:cs="宋体"/>
          <w:color w:val="auto"/>
          <w:szCs w:val="21"/>
        </w:rPr>
      </w:pPr>
      <w:r>
        <w:rPr>
          <w:rFonts w:hint="eastAsia" w:ascii="宋体" w:hAnsi="宋体" w:cs="宋体"/>
          <w:color w:val="auto"/>
          <w:szCs w:val="21"/>
        </w:rPr>
        <w:t>甲乙双方根据项目编号为</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YNZC2025-G1-07525-YNGR-0415</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u w:val="single"/>
        </w:rPr>
        <w:t>（云南师范大学经济学院实验室建设采购项目）</w:t>
      </w:r>
      <w:r>
        <w:rPr>
          <w:rFonts w:hint="eastAsia" w:ascii="宋体" w:hAnsi="宋体" w:cs="宋体"/>
          <w:color w:val="auto"/>
          <w:szCs w:val="21"/>
        </w:rPr>
        <w:t>”公开招标采购结果，就乙方向甲方提供本合同第一条约定设备（产品）的相关事宜，经双方协定达成一致，签订以下内容：</w:t>
      </w:r>
    </w:p>
    <w:p w14:paraId="0B3CEDF3">
      <w:pPr>
        <w:spacing w:line="360" w:lineRule="auto"/>
        <w:ind w:firstLine="413" w:firstLineChars="196"/>
        <w:rPr>
          <w:rFonts w:ascii="宋体" w:hAnsi="宋体" w:cs="宋体"/>
          <w:color w:val="auto"/>
          <w:szCs w:val="21"/>
        </w:rPr>
      </w:pPr>
      <w:r>
        <w:rPr>
          <w:rFonts w:hint="eastAsia" w:ascii="宋体" w:hAnsi="宋体" w:cs="宋体"/>
          <w:b/>
          <w:color w:val="auto"/>
          <w:szCs w:val="21"/>
        </w:rPr>
        <w:t>一、设备(产品)名称、品牌、型号规格、技术参数和数量、单价、总价：</w:t>
      </w:r>
    </w:p>
    <w:tbl>
      <w:tblPr>
        <w:tblStyle w:val="41"/>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820"/>
        <w:gridCol w:w="1752"/>
        <w:gridCol w:w="1080"/>
        <w:gridCol w:w="945"/>
        <w:gridCol w:w="1180"/>
        <w:gridCol w:w="1621"/>
      </w:tblGrid>
      <w:tr w14:paraId="5C5A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4C116478">
            <w:pPr>
              <w:spacing w:line="360" w:lineRule="auto"/>
              <w:jc w:val="center"/>
              <w:rPr>
                <w:rFonts w:ascii="宋体" w:hAnsi="宋体" w:cs="宋体"/>
                <w:b/>
                <w:color w:val="auto"/>
                <w:szCs w:val="21"/>
              </w:rPr>
            </w:pPr>
            <w:r>
              <w:rPr>
                <w:rFonts w:hint="eastAsia" w:ascii="宋体" w:hAnsi="宋体" w:cs="宋体"/>
                <w:b/>
                <w:color w:val="auto"/>
                <w:szCs w:val="21"/>
              </w:rPr>
              <w:t>设备名称</w:t>
            </w:r>
          </w:p>
        </w:tc>
        <w:tc>
          <w:tcPr>
            <w:tcW w:w="820" w:type="dxa"/>
            <w:tcBorders>
              <w:top w:val="single" w:color="auto" w:sz="4" w:space="0"/>
              <w:left w:val="single" w:color="auto" w:sz="4" w:space="0"/>
              <w:bottom w:val="single" w:color="auto" w:sz="4" w:space="0"/>
              <w:right w:val="single" w:color="auto" w:sz="4" w:space="0"/>
            </w:tcBorders>
            <w:vAlign w:val="center"/>
          </w:tcPr>
          <w:p w14:paraId="3B35E07B">
            <w:pPr>
              <w:spacing w:line="360" w:lineRule="auto"/>
              <w:jc w:val="center"/>
              <w:rPr>
                <w:rFonts w:ascii="宋体" w:hAnsi="宋体" w:cs="宋体"/>
                <w:b/>
                <w:color w:val="auto"/>
                <w:szCs w:val="21"/>
              </w:rPr>
            </w:pPr>
            <w:r>
              <w:rPr>
                <w:rFonts w:hint="eastAsia" w:ascii="宋体" w:hAnsi="宋体" w:cs="宋体"/>
                <w:b/>
                <w:color w:val="auto"/>
                <w:szCs w:val="21"/>
              </w:rPr>
              <w:t>国别品牌</w:t>
            </w:r>
          </w:p>
        </w:tc>
        <w:tc>
          <w:tcPr>
            <w:tcW w:w="1752" w:type="dxa"/>
            <w:tcBorders>
              <w:top w:val="single" w:color="auto" w:sz="4" w:space="0"/>
              <w:left w:val="single" w:color="auto" w:sz="4" w:space="0"/>
              <w:bottom w:val="single" w:color="auto" w:sz="4" w:space="0"/>
              <w:right w:val="single" w:color="auto" w:sz="4" w:space="0"/>
            </w:tcBorders>
            <w:vAlign w:val="center"/>
          </w:tcPr>
          <w:p w14:paraId="0F86A30D">
            <w:pPr>
              <w:spacing w:line="360" w:lineRule="auto"/>
              <w:jc w:val="center"/>
              <w:rPr>
                <w:rFonts w:ascii="宋体" w:hAnsi="宋体" w:cs="宋体"/>
                <w:b/>
                <w:color w:val="auto"/>
                <w:szCs w:val="21"/>
              </w:rPr>
            </w:pPr>
            <w:r>
              <w:rPr>
                <w:rFonts w:hint="eastAsia" w:ascii="宋体" w:hAnsi="宋体" w:cs="宋体"/>
                <w:b/>
                <w:color w:val="auto"/>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14:paraId="13E20A75">
            <w:pPr>
              <w:spacing w:line="360" w:lineRule="auto"/>
              <w:jc w:val="center"/>
              <w:rPr>
                <w:rFonts w:ascii="宋体" w:hAnsi="宋体" w:cs="宋体"/>
                <w:b/>
                <w:color w:val="auto"/>
                <w:szCs w:val="21"/>
              </w:rPr>
            </w:pPr>
            <w:r>
              <w:rPr>
                <w:rFonts w:hint="eastAsia" w:ascii="宋体" w:hAnsi="宋体" w:cs="宋体"/>
                <w:b/>
                <w:color w:val="auto"/>
                <w:szCs w:val="21"/>
              </w:rPr>
              <w:t>数量</w:t>
            </w:r>
          </w:p>
        </w:tc>
        <w:tc>
          <w:tcPr>
            <w:tcW w:w="945" w:type="dxa"/>
            <w:tcBorders>
              <w:top w:val="single" w:color="auto" w:sz="4" w:space="0"/>
              <w:left w:val="single" w:color="auto" w:sz="4" w:space="0"/>
              <w:bottom w:val="single" w:color="auto" w:sz="4" w:space="0"/>
              <w:right w:val="single" w:color="auto" w:sz="4" w:space="0"/>
            </w:tcBorders>
            <w:vAlign w:val="center"/>
          </w:tcPr>
          <w:p w14:paraId="44022A58">
            <w:pPr>
              <w:spacing w:line="360" w:lineRule="auto"/>
              <w:jc w:val="center"/>
              <w:rPr>
                <w:rFonts w:ascii="宋体" w:hAnsi="宋体" w:cs="宋体"/>
                <w:b/>
                <w:color w:val="auto"/>
                <w:szCs w:val="21"/>
              </w:rPr>
            </w:pPr>
            <w:r>
              <w:rPr>
                <w:rFonts w:hint="eastAsia" w:ascii="宋体" w:hAnsi="宋体" w:cs="宋体"/>
                <w:b/>
                <w:color w:val="auto"/>
                <w:szCs w:val="21"/>
              </w:rPr>
              <w:t>单位</w:t>
            </w:r>
          </w:p>
        </w:tc>
        <w:tc>
          <w:tcPr>
            <w:tcW w:w="1180" w:type="dxa"/>
            <w:tcBorders>
              <w:top w:val="single" w:color="auto" w:sz="4" w:space="0"/>
              <w:left w:val="single" w:color="auto" w:sz="4" w:space="0"/>
              <w:bottom w:val="single" w:color="auto" w:sz="4" w:space="0"/>
              <w:right w:val="single" w:color="auto" w:sz="4" w:space="0"/>
            </w:tcBorders>
            <w:vAlign w:val="center"/>
          </w:tcPr>
          <w:p w14:paraId="551B0815">
            <w:pPr>
              <w:spacing w:line="360" w:lineRule="auto"/>
              <w:jc w:val="center"/>
              <w:rPr>
                <w:rFonts w:ascii="宋体" w:hAnsi="宋体" w:cs="宋体"/>
                <w:b/>
                <w:color w:val="auto"/>
                <w:szCs w:val="21"/>
              </w:rPr>
            </w:pPr>
            <w:r>
              <w:rPr>
                <w:rFonts w:hint="eastAsia" w:ascii="宋体" w:hAnsi="宋体" w:cs="宋体"/>
                <w:b/>
                <w:color w:val="auto"/>
                <w:szCs w:val="21"/>
              </w:rPr>
              <w:t>单价（元）</w:t>
            </w:r>
          </w:p>
        </w:tc>
        <w:tc>
          <w:tcPr>
            <w:tcW w:w="1621" w:type="dxa"/>
            <w:tcBorders>
              <w:top w:val="single" w:color="auto" w:sz="4" w:space="0"/>
              <w:left w:val="single" w:color="auto" w:sz="4" w:space="0"/>
              <w:bottom w:val="single" w:color="auto" w:sz="4" w:space="0"/>
              <w:right w:val="single" w:color="auto" w:sz="4" w:space="0"/>
            </w:tcBorders>
            <w:vAlign w:val="center"/>
          </w:tcPr>
          <w:p w14:paraId="0B14AD85">
            <w:pPr>
              <w:spacing w:line="360" w:lineRule="auto"/>
              <w:jc w:val="center"/>
              <w:rPr>
                <w:rFonts w:ascii="宋体" w:hAnsi="宋体" w:cs="宋体"/>
                <w:b/>
                <w:color w:val="auto"/>
                <w:szCs w:val="21"/>
              </w:rPr>
            </w:pPr>
            <w:r>
              <w:rPr>
                <w:rFonts w:hint="eastAsia" w:ascii="宋体" w:hAnsi="宋体" w:cs="宋体"/>
                <w:b/>
                <w:color w:val="auto"/>
                <w:szCs w:val="21"/>
              </w:rPr>
              <w:t>总价</w:t>
            </w:r>
          </w:p>
        </w:tc>
      </w:tr>
      <w:tr w14:paraId="36B3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7284CD86">
            <w:pPr>
              <w:widowControl/>
              <w:jc w:val="center"/>
              <w:textAlignment w:val="center"/>
              <w:rPr>
                <w:rFonts w:ascii="宋体" w:hAnsi="宋体" w:cs="宋体"/>
                <w:color w:val="auto"/>
                <w:szCs w:val="21"/>
              </w:rPr>
            </w:pPr>
            <w:r>
              <w:rPr>
                <w:rFonts w:hint="eastAsia" w:ascii="宋体" w:hAnsi="宋体" w:cs="宋体"/>
                <w:color w:val="auto"/>
                <w:kern w:val="0"/>
                <w:szCs w:val="21"/>
                <w:lang w:bidi="ar"/>
              </w:rPr>
              <w:t>孪生教研教学空间系统</w:t>
            </w:r>
          </w:p>
        </w:tc>
        <w:tc>
          <w:tcPr>
            <w:tcW w:w="820" w:type="dxa"/>
            <w:tcBorders>
              <w:top w:val="single" w:color="auto" w:sz="4" w:space="0"/>
              <w:left w:val="single" w:color="auto" w:sz="4" w:space="0"/>
              <w:bottom w:val="single" w:color="auto" w:sz="4" w:space="0"/>
              <w:right w:val="single" w:color="auto" w:sz="4" w:space="0"/>
            </w:tcBorders>
            <w:vAlign w:val="center"/>
          </w:tcPr>
          <w:p w14:paraId="61E3AC7D">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23B48E94">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37914F8">
            <w:pPr>
              <w:widowControl/>
              <w:jc w:val="center"/>
              <w:textAlignment w:val="center"/>
              <w:rPr>
                <w:rFonts w:cs="宋体"/>
                <w:color w:val="auto"/>
                <w:szCs w:val="21"/>
              </w:rPr>
            </w:pPr>
            <w:r>
              <w:rPr>
                <w:rFonts w:hint="eastAsia" w:ascii="宋体" w:hAnsi="宋体" w:cs="宋体"/>
                <w:color w:val="auto"/>
                <w:kern w:val="0"/>
                <w:szCs w:val="21"/>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14:paraId="3DD2F913">
            <w:pPr>
              <w:widowControl/>
              <w:jc w:val="center"/>
              <w:textAlignment w:val="center"/>
              <w:rPr>
                <w:rFonts w:cs="宋体"/>
                <w:color w:val="auto"/>
                <w:szCs w:val="21"/>
              </w:rPr>
            </w:pPr>
            <w:r>
              <w:rPr>
                <w:rFonts w:hint="eastAsia" w:ascii="宋体" w:hAnsi="宋体" w:cs="宋体"/>
                <w:color w:val="auto"/>
                <w:szCs w:val="21"/>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57F3FB99">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52788FE5">
            <w:pPr>
              <w:spacing w:line="360" w:lineRule="auto"/>
              <w:jc w:val="center"/>
              <w:rPr>
                <w:rFonts w:ascii="宋体" w:hAnsi="宋体" w:cs="宋体"/>
                <w:color w:val="auto"/>
                <w:szCs w:val="21"/>
              </w:rPr>
            </w:pPr>
          </w:p>
        </w:tc>
      </w:tr>
      <w:tr w14:paraId="76A4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0D452B47">
            <w:pPr>
              <w:widowControl/>
              <w:jc w:val="center"/>
              <w:textAlignment w:val="center"/>
              <w:rPr>
                <w:rFonts w:ascii="宋体" w:hAnsi="宋体" w:cs="宋体"/>
                <w:color w:val="auto"/>
                <w:szCs w:val="21"/>
              </w:rPr>
            </w:pPr>
            <w:r>
              <w:rPr>
                <w:rFonts w:hint="eastAsia" w:ascii="宋体" w:hAnsi="宋体" w:cs="宋体"/>
                <w:color w:val="auto"/>
                <w:kern w:val="0"/>
                <w:szCs w:val="21"/>
                <w:lang w:bidi="ar"/>
              </w:rPr>
              <w:t>孪生教研接入系统</w:t>
            </w:r>
          </w:p>
        </w:tc>
        <w:tc>
          <w:tcPr>
            <w:tcW w:w="820" w:type="dxa"/>
            <w:tcBorders>
              <w:top w:val="single" w:color="auto" w:sz="4" w:space="0"/>
              <w:left w:val="single" w:color="auto" w:sz="4" w:space="0"/>
              <w:bottom w:val="single" w:color="auto" w:sz="4" w:space="0"/>
              <w:right w:val="single" w:color="auto" w:sz="4" w:space="0"/>
            </w:tcBorders>
            <w:vAlign w:val="center"/>
          </w:tcPr>
          <w:p w14:paraId="614ADA37">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1F637B31">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004EE4C">
            <w:pPr>
              <w:widowControl/>
              <w:jc w:val="center"/>
              <w:textAlignment w:val="center"/>
              <w:rPr>
                <w:rFonts w:cs="宋体"/>
                <w:color w:val="auto"/>
                <w:szCs w:val="21"/>
              </w:rPr>
            </w:pPr>
            <w:r>
              <w:rPr>
                <w:rFonts w:hint="eastAsia" w:ascii="宋体" w:hAnsi="宋体" w:cs="宋体"/>
                <w:color w:val="auto"/>
                <w:kern w:val="0"/>
                <w:szCs w:val="21"/>
                <w:lang w:bidi="ar"/>
              </w:rPr>
              <w:t>40</w:t>
            </w:r>
          </w:p>
        </w:tc>
        <w:tc>
          <w:tcPr>
            <w:tcW w:w="945" w:type="dxa"/>
            <w:tcBorders>
              <w:top w:val="single" w:color="auto" w:sz="4" w:space="0"/>
              <w:left w:val="single" w:color="auto" w:sz="4" w:space="0"/>
              <w:bottom w:val="single" w:color="auto" w:sz="4" w:space="0"/>
              <w:right w:val="single" w:color="auto" w:sz="4" w:space="0"/>
            </w:tcBorders>
            <w:vAlign w:val="center"/>
          </w:tcPr>
          <w:p w14:paraId="58FB7A83">
            <w:pPr>
              <w:widowControl/>
              <w:jc w:val="center"/>
              <w:textAlignment w:val="center"/>
              <w:rPr>
                <w:rFonts w:cs="宋体"/>
                <w:color w:val="auto"/>
                <w:szCs w:val="21"/>
              </w:rPr>
            </w:pPr>
            <w:r>
              <w:rPr>
                <w:rFonts w:hint="eastAsia" w:ascii="宋体" w:hAnsi="宋体" w:cs="宋体"/>
                <w:color w:val="auto"/>
                <w:kern w:val="0"/>
                <w:szCs w:val="21"/>
                <w:lang w:bidi="ar"/>
              </w:rPr>
              <w:t>点</w:t>
            </w:r>
          </w:p>
        </w:tc>
        <w:tc>
          <w:tcPr>
            <w:tcW w:w="1180" w:type="dxa"/>
            <w:tcBorders>
              <w:top w:val="single" w:color="auto" w:sz="4" w:space="0"/>
              <w:left w:val="single" w:color="auto" w:sz="4" w:space="0"/>
              <w:bottom w:val="single" w:color="auto" w:sz="4" w:space="0"/>
              <w:right w:val="single" w:color="auto" w:sz="4" w:space="0"/>
            </w:tcBorders>
            <w:vAlign w:val="center"/>
          </w:tcPr>
          <w:p w14:paraId="3EF9C250">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7FFC9A68">
            <w:pPr>
              <w:spacing w:line="360" w:lineRule="auto"/>
              <w:jc w:val="center"/>
              <w:rPr>
                <w:rFonts w:ascii="宋体" w:hAnsi="宋体" w:cs="宋体"/>
                <w:color w:val="auto"/>
                <w:szCs w:val="21"/>
              </w:rPr>
            </w:pPr>
          </w:p>
        </w:tc>
      </w:tr>
      <w:tr w14:paraId="1543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2E1F6DCB">
            <w:pPr>
              <w:widowControl/>
              <w:jc w:val="center"/>
              <w:textAlignment w:val="center"/>
              <w:rPr>
                <w:rFonts w:ascii="宋体" w:hAnsi="宋体" w:cs="宋体"/>
                <w:color w:val="auto"/>
                <w:szCs w:val="21"/>
              </w:rPr>
            </w:pPr>
            <w:r>
              <w:rPr>
                <w:rFonts w:hint="eastAsia" w:ascii="宋体" w:hAnsi="宋体" w:cs="宋体"/>
                <w:color w:val="auto"/>
                <w:kern w:val="0"/>
                <w:szCs w:val="21"/>
                <w:lang w:bidi="ar"/>
              </w:rPr>
              <w:t>教研实训交互系统</w:t>
            </w:r>
          </w:p>
        </w:tc>
        <w:tc>
          <w:tcPr>
            <w:tcW w:w="820" w:type="dxa"/>
            <w:tcBorders>
              <w:top w:val="single" w:color="auto" w:sz="4" w:space="0"/>
              <w:left w:val="single" w:color="auto" w:sz="4" w:space="0"/>
              <w:bottom w:val="single" w:color="auto" w:sz="4" w:space="0"/>
              <w:right w:val="single" w:color="auto" w:sz="4" w:space="0"/>
            </w:tcBorders>
            <w:vAlign w:val="center"/>
          </w:tcPr>
          <w:p w14:paraId="5ABF7654">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1D1BBF9F">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269E565">
            <w:pPr>
              <w:widowControl/>
              <w:jc w:val="center"/>
              <w:textAlignment w:val="center"/>
              <w:rPr>
                <w:rFonts w:cs="宋体"/>
                <w:color w:val="auto"/>
                <w:szCs w:val="21"/>
              </w:rPr>
            </w:pPr>
            <w:r>
              <w:rPr>
                <w:rFonts w:hint="eastAsia" w:ascii="宋体" w:hAnsi="宋体" w:cs="宋体"/>
                <w:color w:val="auto"/>
                <w:kern w:val="0"/>
                <w:szCs w:val="21"/>
                <w:lang w:bidi="ar"/>
              </w:rPr>
              <w:t>40</w:t>
            </w:r>
          </w:p>
        </w:tc>
        <w:tc>
          <w:tcPr>
            <w:tcW w:w="945" w:type="dxa"/>
            <w:tcBorders>
              <w:top w:val="single" w:color="auto" w:sz="4" w:space="0"/>
              <w:left w:val="single" w:color="auto" w:sz="4" w:space="0"/>
              <w:bottom w:val="single" w:color="auto" w:sz="4" w:space="0"/>
              <w:right w:val="single" w:color="auto" w:sz="4" w:space="0"/>
            </w:tcBorders>
            <w:vAlign w:val="center"/>
          </w:tcPr>
          <w:p w14:paraId="3DCA3357">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42B8EE2A">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66444D7D">
            <w:pPr>
              <w:spacing w:line="360" w:lineRule="auto"/>
              <w:jc w:val="center"/>
              <w:rPr>
                <w:rFonts w:ascii="宋体" w:hAnsi="宋体" w:cs="宋体"/>
                <w:color w:val="auto"/>
                <w:szCs w:val="21"/>
              </w:rPr>
            </w:pPr>
          </w:p>
        </w:tc>
      </w:tr>
      <w:tr w14:paraId="73EE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77202E6B">
            <w:pPr>
              <w:widowControl/>
              <w:jc w:val="center"/>
              <w:textAlignment w:val="center"/>
              <w:rPr>
                <w:rFonts w:ascii="宋体" w:hAnsi="宋体" w:cs="宋体"/>
                <w:color w:val="auto"/>
                <w:szCs w:val="21"/>
              </w:rPr>
            </w:pPr>
            <w:r>
              <w:rPr>
                <w:rFonts w:hint="eastAsia" w:ascii="宋体" w:hAnsi="宋体" w:cs="宋体"/>
                <w:color w:val="auto"/>
                <w:kern w:val="0"/>
                <w:szCs w:val="21"/>
                <w:lang w:bidi="ar"/>
              </w:rPr>
              <w:t>教研智算分析系统模块</w:t>
            </w:r>
          </w:p>
        </w:tc>
        <w:tc>
          <w:tcPr>
            <w:tcW w:w="820" w:type="dxa"/>
            <w:tcBorders>
              <w:top w:val="single" w:color="auto" w:sz="4" w:space="0"/>
              <w:left w:val="single" w:color="auto" w:sz="4" w:space="0"/>
              <w:bottom w:val="single" w:color="auto" w:sz="4" w:space="0"/>
              <w:right w:val="single" w:color="auto" w:sz="4" w:space="0"/>
            </w:tcBorders>
            <w:vAlign w:val="center"/>
          </w:tcPr>
          <w:p w14:paraId="263F3239">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07366CF9">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5921976">
            <w:pPr>
              <w:widowControl/>
              <w:jc w:val="center"/>
              <w:textAlignment w:val="center"/>
              <w:rPr>
                <w:rFonts w:cs="宋体"/>
                <w:color w:val="auto"/>
                <w:szCs w:val="21"/>
              </w:rPr>
            </w:pPr>
            <w:r>
              <w:rPr>
                <w:rFonts w:hint="eastAsia" w:ascii="宋体" w:hAnsi="宋体" w:cs="宋体"/>
                <w:color w:val="auto"/>
                <w:kern w:val="0"/>
                <w:szCs w:val="21"/>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14:paraId="138C2025">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6E768BF4">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2F6B85A4">
            <w:pPr>
              <w:spacing w:line="360" w:lineRule="auto"/>
              <w:jc w:val="center"/>
              <w:rPr>
                <w:rFonts w:ascii="宋体" w:hAnsi="宋体" w:cs="宋体"/>
                <w:color w:val="auto"/>
                <w:szCs w:val="21"/>
              </w:rPr>
            </w:pPr>
          </w:p>
        </w:tc>
      </w:tr>
      <w:tr w14:paraId="47E5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58F8CECC">
            <w:pPr>
              <w:widowControl/>
              <w:jc w:val="center"/>
              <w:textAlignment w:val="center"/>
              <w:rPr>
                <w:rFonts w:ascii="宋体" w:hAnsi="宋体" w:cs="宋体"/>
                <w:color w:val="auto"/>
                <w:szCs w:val="21"/>
              </w:rPr>
            </w:pPr>
            <w:r>
              <w:rPr>
                <w:rFonts w:hint="eastAsia" w:ascii="宋体" w:hAnsi="宋体" w:cs="宋体"/>
                <w:color w:val="auto"/>
                <w:kern w:val="0"/>
                <w:szCs w:val="21"/>
                <w:lang w:bidi="ar"/>
              </w:rPr>
              <w:t>数字化教学设备</w:t>
            </w:r>
          </w:p>
        </w:tc>
        <w:tc>
          <w:tcPr>
            <w:tcW w:w="820" w:type="dxa"/>
            <w:tcBorders>
              <w:top w:val="single" w:color="auto" w:sz="4" w:space="0"/>
              <w:left w:val="single" w:color="auto" w:sz="4" w:space="0"/>
              <w:bottom w:val="single" w:color="auto" w:sz="4" w:space="0"/>
              <w:right w:val="single" w:color="auto" w:sz="4" w:space="0"/>
            </w:tcBorders>
            <w:vAlign w:val="center"/>
          </w:tcPr>
          <w:p w14:paraId="0CB8C68C">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72D0EB26">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323187D">
            <w:pPr>
              <w:widowControl/>
              <w:jc w:val="center"/>
              <w:textAlignment w:val="center"/>
              <w:rPr>
                <w:rFonts w:cs="宋体"/>
                <w:color w:val="auto"/>
                <w:szCs w:val="21"/>
              </w:rPr>
            </w:pPr>
            <w:r>
              <w:rPr>
                <w:rFonts w:hint="eastAsia" w:ascii="宋体" w:hAnsi="宋体" w:cs="宋体"/>
                <w:color w:val="auto"/>
                <w:kern w:val="0"/>
                <w:szCs w:val="21"/>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14:paraId="795C395D">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439E8C8A">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58443864">
            <w:pPr>
              <w:spacing w:line="360" w:lineRule="auto"/>
              <w:jc w:val="center"/>
              <w:rPr>
                <w:rFonts w:ascii="宋体" w:hAnsi="宋体" w:cs="宋体"/>
                <w:color w:val="auto"/>
                <w:szCs w:val="21"/>
              </w:rPr>
            </w:pPr>
          </w:p>
        </w:tc>
      </w:tr>
      <w:tr w14:paraId="139C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5717C6E5">
            <w:pPr>
              <w:widowControl/>
              <w:jc w:val="center"/>
              <w:textAlignment w:val="center"/>
              <w:rPr>
                <w:rFonts w:ascii="宋体" w:hAnsi="宋体" w:cs="宋体"/>
                <w:color w:val="auto"/>
                <w:szCs w:val="21"/>
              </w:rPr>
            </w:pPr>
            <w:r>
              <w:rPr>
                <w:rFonts w:hint="eastAsia" w:ascii="宋体" w:hAnsi="宋体" w:cs="宋体"/>
                <w:color w:val="auto"/>
                <w:kern w:val="0"/>
                <w:szCs w:val="21"/>
                <w:lang w:bidi="ar"/>
              </w:rPr>
              <w:t>云端智算系统模块</w:t>
            </w:r>
          </w:p>
        </w:tc>
        <w:tc>
          <w:tcPr>
            <w:tcW w:w="820" w:type="dxa"/>
            <w:tcBorders>
              <w:top w:val="single" w:color="auto" w:sz="4" w:space="0"/>
              <w:left w:val="single" w:color="auto" w:sz="4" w:space="0"/>
              <w:bottom w:val="single" w:color="auto" w:sz="4" w:space="0"/>
              <w:right w:val="single" w:color="auto" w:sz="4" w:space="0"/>
            </w:tcBorders>
            <w:vAlign w:val="center"/>
          </w:tcPr>
          <w:p w14:paraId="7B173DA2">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55E3121C">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68EB5AC">
            <w:pPr>
              <w:widowControl/>
              <w:jc w:val="center"/>
              <w:textAlignment w:val="center"/>
              <w:rPr>
                <w:rFonts w:cs="宋体"/>
                <w:color w:val="auto"/>
                <w:szCs w:val="21"/>
              </w:rPr>
            </w:pPr>
            <w:r>
              <w:rPr>
                <w:rFonts w:hint="eastAsia" w:ascii="宋体" w:hAnsi="宋体" w:cs="宋体"/>
                <w:color w:val="auto"/>
                <w:kern w:val="0"/>
                <w:szCs w:val="21"/>
                <w:lang w:bidi="ar"/>
              </w:rPr>
              <w:t>120</w:t>
            </w:r>
          </w:p>
        </w:tc>
        <w:tc>
          <w:tcPr>
            <w:tcW w:w="945" w:type="dxa"/>
            <w:tcBorders>
              <w:top w:val="single" w:color="auto" w:sz="4" w:space="0"/>
              <w:left w:val="single" w:color="auto" w:sz="4" w:space="0"/>
              <w:bottom w:val="single" w:color="auto" w:sz="4" w:space="0"/>
              <w:right w:val="single" w:color="auto" w:sz="4" w:space="0"/>
            </w:tcBorders>
            <w:vAlign w:val="center"/>
          </w:tcPr>
          <w:p w14:paraId="64F7EAEC">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65DD6F5B">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2363CD7B">
            <w:pPr>
              <w:spacing w:line="360" w:lineRule="auto"/>
              <w:jc w:val="center"/>
              <w:rPr>
                <w:rFonts w:ascii="宋体" w:hAnsi="宋体" w:cs="宋体"/>
                <w:color w:val="auto"/>
                <w:szCs w:val="21"/>
              </w:rPr>
            </w:pPr>
          </w:p>
        </w:tc>
      </w:tr>
      <w:tr w14:paraId="6B68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0107CDDC">
            <w:pPr>
              <w:widowControl/>
              <w:jc w:val="center"/>
              <w:textAlignment w:val="center"/>
              <w:rPr>
                <w:rFonts w:ascii="宋体" w:hAnsi="宋体" w:cs="宋体"/>
                <w:color w:val="auto"/>
                <w:szCs w:val="21"/>
              </w:rPr>
            </w:pPr>
            <w:r>
              <w:rPr>
                <w:rFonts w:hint="eastAsia" w:ascii="宋体" w:hAnsi="宋体" w:cs="宋体"/>
                <w:color w:val="auto"/>
                <w:kern w:val="0"/>
                <w:szCs w:val="21"/>
                <w:lang w:bidi="ar"/>
              </w:rPr>
              <w:t>桌面云软件</w:t>
            </w:r>
          </w:p>
        </w:tc>
        <w:tc>
          <w:tcPr>
            <w:tcW w:w="820" w:type="dxa"/>
            <w:tcBorders>
              <w:top w:val="single" w:color="auto" w:sz="4" w:space="0"/>
              <w:left w:val="single" w:color="auto" w:sz="4" w:space="0"/>
              <w:bottom w:val="single" w:color="auto" w:sz="4" w:space="0"/>
              <w:right w:val="single" w:color="auto" w:sz="4" w:space="0"/>
            </w:tcBorders>
            <w:vAlign w:val="center"/>
          </w:tcPr>
          <w:p w14:paraId="12C7A0E2">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315850AC">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63B8751">
            <w:pPr>
              <w:widowControl/>
              <w:jc w:val="center"/>
              <w:textAlignment w:val="center"/>
              <w:rPr>
                <w:rFonts w:cs="宋体"/>
                <w:color w:val="auto"/>
                <w:szCs w:val="21"/>
              </w:rPr>
            </w:pPr>
            <w:r>
              <w:rPr>
                <w:rFonts w:hint="eastAsia" w:ascii="宋体" w:hAnsi="宋体" w:cs="宋体"/>
                <w:color w:val="auto"/>
                <w:kern w:val="0"/>
                <w:szCs w:val="21"/>
                <w:lang w:bidi="ar"/>
              </w:rPr>
              <w:t>123</w:t>
            </w:r>
          </w:p>
        </w:tc>
        <w:tc>
          <w:tcPr>
            <w:tcW w:w="945" w:type="dxa"/>
            <w:tcBorders>
              <w:top w:val="single" w:color="auto" w:sz="4" w:space="0"/>
              <w:left w:val="single" w:color="auto" w:sz="4" w:space="0"/>
              <w:bottom w:val="single" w:color="auto" w:sz="4" w:space="0"/>
              <w:right w:val="single" w:color="auto" w:sz="4" w:space="0"/>
            </w:tcBorders>
            <w:vAlign w:val="center"/>
          </w:tcPr>
          <w:p w14:paraId="714A03CE">
            <w:pPr>
              <w:widowControl/>
              <w:jc w:val="center"/>
              <w:textAlignment w:val="center"/>
              <w:rPr>
                <w:rFonts w:cs="宋体"/>
                <w:color w:val="auto"/>
                <w:szCs w:val="21"/>
              </w:rPr>
            </w:pPr>
            <w:r>
              <w:rPr>
                <w:rFonts w:hint="eastAsia" w:ascii="宋体" w:hAnsi="宋体" w:cs="宋体"/>
                <w:color w:val="auto"/>
                <w:kern w:val="0"/>
                <w:szCs w:val="21"/>
                <w:lang w:bidi="ar"/>
              </w:rPr>
              <w:t>点</w:t>
            </w:r>
          </w:p>
        </w:tc>
        <w:tc>
          <w:tcPr>
            <w:tcW w:w="1180" w:type="dxa"/>
            <w:tcBorders>
              <w:top w:val="single" w:color="auto" w:sz="4" w:space="0"/>
              <w:left w:val="single" w:color="auto" w:sz="4" w:space="0"/>
              <w:bottom w:val="single" w:color="auto" w:sz="4" w:space="0"/>
              <w:right w:val="single" w:color="auto" w:sz="4" w:space="0"/>
            </w:tcBorders>
            <w:vAlign w:val="center"/>
          </w:tcPr>
          <w:p w14:paraId="37E695AA">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17D13354">
            <w:pPr>
              <w:spacing w:line="360" w:lineRule="auto"/>
              <w:jc w:val="center"/>
              <w:rPr>
                <w:rFonts w:ascii="宋体" w:hAnsi="宋体" w:cs="宋体"/>
                <w:color w:val="auto"/>
                <w:szCs w:val="21"/>
              </w:rPr>
            </w:pPr>
          </w:p>
        </w:tc>
      </w:tr>
      <w:tr w14:paraId="5E8B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5CBF0E76">
            <w:pPr>
              <w:widowControl/>
              <w:jc w:val="center"/>
              <w:textAlignment w:val="center"/>
              <w:rPr>
                <w:rFonts w:ascii="宋体" w:hAnsi="宋体" w:cs="宋体"/>
                <w:color w:val="auto"/>
                <w:szCs w:val="21"/>
              </w:rPr>
            </w:pPr>
            <w:r>
              <w:rPr>
                <w:rFonts w:hint="eastAsia" w:ascii="宋体" w:hAnsi="宋体" w:cs="宋体"/>
                <w:color w:val="auto"/>
                <w:kern w:val="0"/>
                <w:szCs w:val="21"/>
                <w:lang w:bidi="ar"/>
              </w:rPr>
              <w:t>终端高可用容灾系统</w:t>
            </w:r>
          </w:p>
        </w:tc>
        <w:tc>
          <w:tcPr>
            <w:tcW w:w="820" w:type="dxa"/>
            <w:tcBorders>
              <w:top w:val="single" w:color="auto" w:sz="4" w:space="0"/>
              <w:left w:val="single" w:color="auto" w:sz="4" w:space="0"/>
              <w:bottom w:val="single" w:color="auto" w:sz="4" w:space="0"/>
              <w:right w:val="single" w:color="auto" w:sz="4" w:space="0"/>
            </w:tcBorders>
            <w:vAlign w:val="center"/>
          </w:tcPr>
          <w:p w14:paraId="659F0BCC">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740E2819">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A5AC59B">
            <w:pPr>
              <w:widowControl/>
              <w:jc w:val="center"/>
              <w:textAlignment w:val="center"/>
              <w:rPr>
                <w:rFonts w:cs="宋体"/>
                <w:color w:val="auto"/>
                <w:szCs w:val="21"/>
              </w:rPr>
            </w:pPr>
            <w:r>
              <w:rPr>
                <w:rFonts w:hint="eastAsia" w:ascii="宋体" w:hAnsi="宋体" w:cs="宋体"/>
                <w:color w:val="auto"/>
                <w:kern w:val="0"/>
                <w:szCs w:val="21"/>
                <w:lang w:bidi="ar"/>
              </w:rPr>
              <w:t>122</w:t>
            </w:r>
          </w:p>
        </w:tc>
        <w:tc>
          <w:tcPr>
            <w:tcW w:w="945" w:type="dxa"/>
            <w:tcBorders>
              <w:top w:val="single" w:color="auto" w:sz="4" w:space="0"/>
              <w:left w:val="single" w:color="auto" w:sz="4" w:space="0"/>
              <w:bottom w:val="single" w:color="auto" w:sz="4" w:space="0"/>
              <w:right w:val="single" w:color="auto" w:sz="4" w:space="0"/>
            </w:tcBorders>
            <w:vAlign w:val="center"/>
          </w:tcPr>
          <w:p w14:paraId="68A6CBBD">
            <w:pPr>
              <w:widowControl/>
              <w:jc w:val="center"/>
              <w:textAlignment w:val="center"/>
              <w:rPr>
                <w:rFonts w:cs="宋体"/>
                <w:color w:val="auto"/>
                <w:szCs w:val="21"/>
              </w:rPr>
            </w:pPr>
            <w:r>
              <w:rPr>
                <w:rFonts w:hint="eastAsia" w:ascii="宋体" w:hAnsi="宋体" w:cs="宋体"/>
                <w:color w:val="auto"/>
                <w:kern w:val="0"/>
                <w:szCs w:val="21"/>
                <w:lang w:bidi="ar"/>
              </w:rPr>
              <w:t>点</w:t>
            </w:r>
          </w:p>
        </w:tc>
        <w:tc>
          <w:tcPr>
            <w:tcW w:w="1180" w:type="dxa"/>
            <w:tcBorders>
              <w:top w:val="single" w:color="auto" w:sz="4" w:space="0"/>
              <w:left w:val="single" w:color="auto" w:sz="4" w:space="0"/>
              <w:bottom w:val="single" w:color="auto" w:sz="4" w:space="0"/>
              <w:right w:val="single" w:color="auto" w:sz="4" w:space="0"/>
            </w:tcBorders>
            <w:vAlign w:val="center"/>
          </w:tcPr>
          <w:p w14:paraId="55271252">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215B3BD8">
            <w:pPr>
              <w:spacing w:line="360" w:lineRule="auto"/>
              <w:jc w:val="center"/>
              <w:rPr>
                <w:rFonts w:ascii="宋体" w:hAnsi="宋体" w:cs="宋体"/>
                <w:color w:val="auto"/>
                <w:szCs w:val="21"/>
              </w:rPr>
            </w:pPr>
          </w:p>
        </w:tc>
      </w:tr>
      <w:tr w14:paraId="2E70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70A72C2D">
            <w:pPr>
              <w:widowControl/>
              <w:jc w:val="center"/>
              <w:textAlignment w:val="center"/>
              <w:rPr>
                <w:rFonts w:ascii="宋体" w:hAnsi="宋体" w:cs="宋体"/>
                <w:color w:val="auto"/>
                <w:szCs w:val="21"/>
              </w:rPr>
            </w:pPr>
            <w:r>
              <w:rPr>
                <w:rFonts w:hint="eastAsia" w:ascii="宋体" w:hAnsi="宋体" w:cs="宋体"/>
                <w:color w:val="auto"/>
                <w:kern w:val="0"/>
                <w:szCs w:val="21"/>
                <w:lang w:bidi="ar"/>
              </w:rPr>
              <w:t>课堂教学互动管理系统</w:t>
            </w:r>
          </w:p>
        </w:tc>
        <w:tc>
          <w:tcPr>
            <w:tcW w:w="820" w:type="dxa"/>
            <w:tcBorders>
              <w:top w:val="single" w:color="auto" w:sz="4" w:space="0"/>
              <w:left w:val="single" w:color="auto" w:sz="4" w:space="0"/>
              <w:bottom w:val="single" w:color="auto" w:sz="4" w:space="0"/>
              <w:right w:val="single" w:color="auto" w:sz="4" w:space="0"/>
            </w:tcBorders>
            <w:vAlign w:val="center"/>
          </w:tcPr>
          <w:p w14:paraId="40430ECA">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091C46D8">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237651D">
            <w:pPr>
              <w:widowControl/>
              <w:jc w:val="center"/>
              <w:textAlignment w:val="center"/>
              <w:rPr>
                <w:rFonts w:cs="宋体"/>
                <w:color w:val="auto"/>
                <w:szCs w:val="21"/>
              </w:rPr>
            </w:pPr>
            <w:r>
              <w:rPr>
                <w:rFonts w:hint="eastAsia" w:ascii="宋体" w:hAnsi="宋体" w:cs="宋体"/>
                <w:color w:val="auto"/>
                <w:kern w:val="0"/>
                <w:szCs w:val="21"/>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14:paraId="259A6916">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4BC3E006">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0BFB23BD">
            <w:pPr>
              <w:spacing w:line="360" w:lineRule="auto"/>
              <w:jc w:val="center"/>
              <w:rPr>
                <w:rFonts w:ascii="宋体" w:hAnsi="宋体" w:cs="宋体"/>
                <w:color w:val="auto"/>
                <w:szCs w:val="21"/>
              </w:rPr>
            </w:pPr>
          </w:p>
        </w:tc>
      </w:tr>
      <w:tr w14:paraId="40FC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2AC51DD1">
            <w:pPr>
              <w:widowControl/>
              <w:jc w:val="center"/>
              <w:textAlignment w:val="center"/>
              <w:rPr>
                <w:rFonts w:ascii="宋体" w:hAnsi="宋体" w:cs="宋体"/>
                <w:color w:val="auto"/>
                <w:szCs w:val="21"/>
              </w:rPr>
            </w:pPr>
            <w:r>
              <w:rPr>
                <w:rFonts w:hint="eastAsia" w:ascii="宋体" w:hAnsi="宋体" w:cs="宋体"/>
                <w:color w:val="auto"/>
                <w:kern w:val="0"/>
                <w:szCs w:val="21"/>
                <w:lang w:bidi="ar"/>
              </w:rPr>
              <w:t>服务器硬盘</w:t>
            </w:r>
          </w:p>
        </w:tc>
        <w:tc>
          <w:tcPr>
            <w:tcW w:w="820" w:type="dxa"/>
            <w:tcBorders>
              <w:top w:val="single" w:color="auto" w:sz="4" w:space="0"/>
              <w:left w:val="single" w:color="auto" w:sz="4" w:space="0"/>
              <w:bottom w:val="single" w:color="auto" w:sz="4" w:space="0"/>
              <w:right w:val="single" w:color="auto" w:sz="4" w:space="0"/>
            </w:tcBorders>
            <w:vAlign w:val="center"/>
          </w:tcPr>
          <w:p w14:paraId="5D10A37B">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5C3A2F45">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E9E0114">
            <w:pPr>
              <w:widowControl/>
              <w:jc w:val="center"/>
              <w:textAlignment w:val="center"/>
              <w:rPr>
                <w:rFonts w:cs="宋体"/>
                <w:color w:val="auto"/>
                <w:szCs w:val="21"/>
              </w:rPr>
            </w:pPr>
            <w:r>
              <w:rPr>
                <w:rFonts w:hint="eastAsia" w:ascii="宋体" w:hAnsi="宋体" w:cs="宋体"/>
                <w:color w:val="auto"/>
                <w:kern w:val="0"/>
                <w:szCs w:val="21"/>
                <w:lang w:bidi="ar"/>
              </w:rPr>
              <w:t>6</w:t>
            </w:r>
          </w:p>
        </w:tc>
        <w:tc>
          <w:tcPr>
            <w:tcW w:w="945" w:type="dxa"/>
            <w:tcBorders>
              <w:top w:val="single" w:color="auto" w:sz="4" w:space="0"/>
              <w:left w:val="single" w:color="auto" w:sz="4" w:space="0"/>
              <w:bottom w:val="single" w:color="auto" w:sz="4" w:space="0"/>
              <w:right w:val="single" w:color="auto" w:sz="4" w:space="0"/>
            </w:tcBorders>
            <w:vAlign w:val="center"/>
          </w:tcPr>
          <w:p w14:paraId="4495EA02">
            <w:pPr>
              <w:widowControl/>
              <w:jc w:val="center"/>
              <w:textAlignment w:val="center"/>
              <w:rPr>
                <w:rFonts w:cs="宋体"/>
                <w:color w:val="auto"/>
                <w:szCs w:val="21"/>
              </w:rPr>
            </w:pPr>
            <w:r>
              <w:rPr>
                <w:rFonts w:hint="eastAsia" w:ascii="宋体" w:hAnsi="宋体" w:cs="宋体"/>
                <w:color w:val="auto"/>
                <w:kern w:val="0"/>
                <w:szCs w:val="21"/>
                <w:lang w:bidi="ar"/>
              </w:rPr>
              <w:t>块</w:t>
            </w:r>
          </w:p>
        </w:tc>
        <w:tc>
          <w:tcPr>
            <w:tcW w:w="1180" w:type="dxa"/>
            <w:tcBorders>
              <w:top w:val="single" w:color="auto" w:sz="4" w:space="0"/>
              <w:left w:val="single" w:color="auto" w:sz="4" w:space="0"/>
              <w:bottom w:val="single" w:color="auto" w:sz="4" w:space="0"/>
              <w:right w:val="single" w:color="auto" w:sz="4" w:space="0"/>
            </w:tcBorders>
            <w:vAlign w:val="center"/>
          </w:tcPr>
          <w:p w14:paraId="47BA4DE2">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1FC06A36">
            <w:pPr>
              <w:spacing w:line="360" w:lineRule="auto"/>
              <w:jc w:val="center"/>
              <w:rPr>
                <w:rFonts w:ascii="宋体" w:hAnsi="宋体" w:cs="宋体"/>
                <w:color w:val="auto"/>
                <w:szCs w:val="21"/>
              </w:rPr>
            </w:pPr>
          </w:p>
        </w:tc>
      </w:tr>
      <w:tr w14:paraId="4EAD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2AEDB017">
            <w:pPr>
              <w:widowControl/>
              <w:jc w:val="center"/>
              <w:textAlignment w:val="center"/>
              <w:rPr>
                <w:rFonts w:ascii="宋体" w:hAnsi="宋体" w:cs="宋体"/>
                <w:color w:val="auto"/>
                <w:szCs w:val="21"/>
              </w:rPr>
            </w:pPr>
            <w:r>
              <w:rPr>
                <w:rFonts w:hint="eastAsia" w:ascii="宋体" w:hAnsi="宋体" w:cs="宋体"/>
                <w:color w:val="auto"/>
                <w:kern w:val="0"/>
                <w:szCs w:val="21"/>
                <w:lang w:bidi="ar"/>
              </w:rPr>
              <w:t>服务器内存</w:t>
            </w:r>
          </w:p>
        </w:tc>
        <w:tc>
          <w:tcPr>
            <w:tcW w:w="820" w:type="dxa"/>
            <w:tcBorders>
              <w:top w:val="single" w:color="auto" w:sz="4" w:space="0"/>
              <w:left w:val="single" w:color="auto" w:sz="4" w:space="0"/>
              <w:bottom w:val="single" w:color="auto" w:sz="4" w:space="0"/>
              <w:right w:val="single" w:color="auto" w:sz="4" w:space="0"/>
            </w:tcBorders>
            <w:vAlign w:val="center"/>
          </w:tcPr>
          <w:p w14:paraId="54706F2C">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7B2CFE5B">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9183C3E">
            <w:pPr>
              <w:widowControl/>
              <w:jc w:val="center"/>
              <w:textAlignment w:val="center"/>
              <w:rPr>
                <w:rFonts w:cs="宋体"/>
                <w:color w:val="auto"/>
                <w:szCs w:val="21"/>
              </w:rPr>
            </w:pPr>
            <w:r>
              <w:rPr>
                <w:rFonts w:hint="eastAsia" w:ascii="宋体" w:hAnsi="宋体" w:cs="宋体"/>
                <w:color w:val="auto"/>
                <w:kern w:val="0"/>
                <w:szCs w:val="21"/>
                <w:lang w:bidi="ar"/>
              </w:rPr>
              <w:t>24</w:t>
            </w:r>
          </w:p>
        </w:tc>
        <w:tc>
          <w:tcPr>
            <w:tcW w:w="945" w:type="dxa"/>
            <w:tcBorders>
              <w:top w:val="single" w:color="auto" w:sz="4" w:space="0"/>
              <w:left w:val="single" w:color="auto" w:sz="4" w:space="0"/>
              <w:bottom w:val="single" w:color="auto" w:sz="4" w:space="0"/>
              <w:right w:val="single" w:color="auto" w:sz="4" w:space="0"/>
            </w:tcBorders>
            <w:vAlign w:val="center"/>
          </w:tcPr>
          <w:p w14:paraId="292FE11B">
            <w:pPr>
              <w:widowControl/>
              <w:jc w:val="center"/>
              <w:textAlignment w:val="center"/>
              <w:rPr>
                <w:rFonts w:cs="宋体"/>
                <w:color w:val="auto"/>
                <w:szCs w:val="21"/>
              </w:rPr>
            </w:pPr>
            <w:r>
              <w:rPr>
                <w:rFonts w:hint="eastAsia" w:ascii="宋体" w:hAnsi="宋体" w:cs="宋体"/>
                <w:color w:val="auto"/>
                <w:szCs w:val="21"/>
              </w:rPr>
              <w:t>条</w:t>
            </w:r>
          </w:p>
        </w:tc>
        <w:tc>
          <w:tcPr>
            <w:tcW w:w="1180" w:type="dxa"/>
            <w:tcBorders>
              <w:top w:val="single" w:color="auto" w:sz="4" w:space="0"/>
              <w:left w:val="single" w:color="auto" w:sz="4" w:space="0"/>
              <w:bottom w:val="single" w:color="auto" w:sz="4" w:space="0"/>
              <w:right w:val="single" w:color="auto" w:sz="4" w:space="0"/>
            </w:tcBorders>
            <w:vAlign w:val="center"/>
          </w:tcPr>
          <w:p w14:paraId="662A147F">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2DA5D2B3">
            <w:pPr>
              <w:spacing w:line="360" w:lineRule="auto"/>
              <w:jc w:val="center"/>
              <w:rPr>
                <w:rFonts w:ascii="宋体" w:hAnsi="宋体" w:cs="宋体"/>
                <w:color w:val="auto"/>
                <w:szCs w:val="21"/>
              </w:rPr>
            </w:pPr>
          </w:p>
        </w:tc>
      </w:tr>
      <w:tr w14:paraId="26C4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73E3C111">
            <w:pPr>
              <w:widowControl/>
              <w:jc w:val="center"/>
              <w:textAlignment w:val="center"/>
              <w:rPr>
                <w:rFonts w:ascii="宋体" w:hAnsi="宋体" w:cs="宋体"/>
                <w:color w:val="auto"/>
                <w:szCs w:val="21"/>
              </w:rPr>
            </w:pPr>
            <w:r>
              <w:rPr>
                <w:rFonts w:hint="eastAsia" w:ascii="宋体" w:hAnsi="宋体" w:cs="宋体"/>
                <w:color w:val="auto"/>
                <w:kern w:val="0"/>
                <w:szCs w:val="21"/>
                <w:lang w:bidi="ar"/>
              </w:rPr>
              <w:t>教学实训扩容模块</w:t>
            </w:r>
          </w:p>
        </w:tc>
        <w:tc>
          <w:tcPr>
            <w:tcW w:w="820" w:type="dxa"/>
            <w:tcBorders>
              <w:top w:val="single" w:color="auto" w:sz="4" w:space="0"/>
              <w:left w:val="single" w:color="auto" w:sz="4" w:space="0"/>
              <w:bottom w:val="single" w:color="auto" w:sz="4" w:space="0"/>
              <w:right w:val="single" w:color="auto" w:sz="4" w:space="0"/>
            </w:tcBorders>
            <w:vAlign w:val="center"/>
          </w:tcPr>
          <w:p w14:paraId="03E42A3C">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58CF3AE5">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F8A0500">
            <w:pPr>
              <w:widowControl/>
              <w:jc w:val="center"/>
              <w:textAlignment w:val="center"/>
              <w:rPr>
                <w:rFonts w:cs="宋体"/>
                <w:color w:val="auto"/>
                <w:szCs w:val="21"/>
              </w:rPr>
            </w:pPr>
            <w:r>
              <w:rPr>
                <w:rFonts w:hint="eastAsia" w:ascii="宋体" w:hAnsi="宋体" w:cs="宋体"/>
                <w:color w:val="auto"/>
                <w:kern w:val="0"/>
                <w:szCs w:val="21"/>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14:paraId="73978216">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5DED9C40">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55B5F102">
            <w:pPr>
              <w:spacing w:line="360" w:lineRule="auto"/>
              <w:jc w:val="center"/>
              <w:rPr>
                <w:rFonts w:ascii="宋体" w:hAnsi="宋体" w:cs="宋体"/>
                <w:color w:val="auto"/>
                <w:szCs w:val="21"/>
              </w:rPr>
            </w:pPr>
          </w:p>
        </w:tc>
      </w:tr>
      <w:tr w14:paraId="3DE8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58C9B086">
            <w:pPr>
              <w:widowControl/>
              <w:jc w:val="center"/>
              <w:textAlignment w:val="center"/>
              <w:rPr>
                <w:rFonts w:ascii="宋体" w:hAnsi="宋体" w:cs="宋体"/>
                <w:color w:val="auto"/>
                <w:szCs w:val="21"/>
              </w:rPr>
            </w:pPr>
            <w:r>
              <w:rPr>
                <w:rFonts w:hint="eastAsia" w:ascii="宋体" w:hAnsi="宋体" w:cs="宋体"/>
                <w:color w:val="auto"/>
                <w:kern w:val="0"/>
                <w:szCs w:val="21"/>
                <w:lang w:bidi="ar"/>
              </w:rPr>
              <w:t>服务器汇聚交换机</w:t>
            </w:r>
          </w:p>
        </w:tc>
        <w:tc>
          <w:tcPr>
            <w:tcW w:w="820" w:type="dxa"/>
            <w:tcBorders>
              <w:top w:val="single" w:color="auto" w:sz="4" w:space="0"/>
              <w:left w:val="single" w:color="auto" w:sz="4" w:space="0"/>
              <w:bottom w:val="single" w:color="auto" w:sz="4" w:space="0"/>
              <w:right w:val="single" w:color="auto" w:sz="4" w:space="0"/>
            </w:tcBorders>
            <w:vAlign w:val="center"/>
          </w:tcPr>
          <w:p w14:paraId="02B8D006">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5382217B">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AD8A4B7">
            <w:pPr>
              <w:widowControl/>
              <w:jc w:val="center"/>
              <w:textAlignment w:val="center"/>
              <w:rPr>
                <w:rFonts w:cs="宋体"/>
                <w:color w:val="auto"/>
                <w:szCs w:val="21"/>
              </w:rPr>
            </w:pPr>
            <w:r>
              <w:rPr>
                <w:rFonts w:hint="eastAsia" w:ascii="宋体" w:hAnsi="宋体" w:cs="宋体"/>
                <w:color w:val="auto"/>
                <w:kern w:val="0"/>
                <w:szCs w:val="21"/>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14:paraId="15C141ED">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63F67A95">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22FAB634">
            <w:pPr>
              <w:spacing w:line="360" w:lineRule="auto"/>
              <w:jc w:val="center"/>
              <w:rPr>
                <w:rFonts w:ascii="宋体" w:hAnsi="宋体" w:cs="宋体"/>
                <w:color w:val="auto"/>
                <w:szCs w:val="21"/>
              </w:rPr>
            </w:pPr>
          </w:p>
        </w:tc>
      </w:tr>
      <w:tr w14:paraId="42F9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66D657F7">
            <w:pPr>
              <w:widowControl/>
              <w:jc w:val="center"/>
              <w:textAlignment w:val="center"/>
              <w:rPr>
                <w:rFonts w:ascii="宋体" w:hAnsi="宋体" w:cs="宋体"/>
                <w:color w:val="auto"/>
                <w:szCs w:val="21"/>
              </w:rPr>
            </w:pPr>
            <w:r>
              <w:rPr>
                <w:rFonts w:hint="eastAsia" w:ascii="宋体" w:hAnsi="宋体" w:cs="宋体"/>
                <w:color w:val="auto"/>
                <w:kern w:val="0"/>
                <w:szCs w:val="21"/>
                <w:lang w:bidi="ar"/>
              </w:rPr>
              <w:t>教学机房接入上行交换机</w:t>
            </w:r>
          </w:p>
        </w:tc>
        <w:tc>
          <w:tcPr>
            <w:tcW w:w="820" w:type="dxa"/>
            <w:tcBorders>
              <w:top w:val="single" w:color="auto" w:sz="4" w:space="0"/>
              <w:left w:val="single" w:color="auto" w:sz="4" w:space="0"/>
              <w:bottom w:val="single" w:color="auto" w:sz="4" w:space="0"/>
              <w:right w:val="single" w:color="auto" w:sz="4" w:space="0"/>
            </w:tcBorders>
            <w:vAlign w:val="center"/>
          </w:tcPr>
          <w:p w14:paraId="31F3C0A4">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4155C7CB">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98A33DD">
            <w:pPr>
              <w:widowControl/>
              <w:jc w:val="center"/>
              <w:textAlignment w:val="center"/>
              <w:rPr>
                <w:rFonts w:cs="宋体"/>
                <w:color w:val="auto"/>
                <w:szCs w:val="21"/>
              </w:rPr>
            </w:pPr>
            <w:r>
              <w:rPr>
                <w:rFonts w:hint="eastAsia" w:ascii="宋体" w:hAnsi="宋体" w:cs="宋体"/>
                <w:color w:val="auto"/>
                <w:kern w:val="0"/>
                <w:szCs w:val="21"/>
                <w:lang w:bidi="ar"/>
              </w:rPr>
              <w:t>11</w:t>
            </w:r>
          </w:p>
        </w:tc>
        <w:tc>
          <w:tcPr>
            <w:tcW w:w="945" w:type="dxa"/>
            <w:tcBorders>
              <w:top w:val="single" w:color="auto" w:sz="4" w:space="0"/>
              <w:left w:val="single" w:color="auto" w:sz="4" w:space="0"/>
              <w:bottom w:val="single" w:color="auto" w:sz="4" w:space="0"/>
              <w:right w:val="single" w:color="auto" w:sz="4" w:space="0"/>
            </w:tcBorders>
            <w:vAlign w:val="center"/>
          </w:tcPr>
          <w:p w14:paraId="3433DF6B">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55FEEB2A">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11A8AF74">
            <w:pPr>
              <w:spacing w:line="360" w:lineRule="auto"/>
              <w:jc w:val="center"/>
              <w:rPr>
                <w:rFonts w:ascii="宋体" w:hAnsi="宋体" w:cs="宋体"/>
                <w:color w:val="auto"/>
                <w:szCs w:val="21"/>
              </w:rPr>
            </w:pPr>
          </w:p>
        </w:tc>
      </w:tr>
      <w:tr w14:paraId="18A1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43E2B217">
            <w:pPr>
              <w:widowControl/>
              <w:jc w:val="center"/>
              <w:textAlignment w:val="center"/>
              <w:rPr>
                <w:rFonts w:ascii="宋体" w:hAnsi="宋体" w:cs="宋体"/>
                <w:color w:val="auto"/>
                <w:szCs w:val="21"/>
              </w:rPr>
            </w:pPr>
            <w:r>
              <w:rPr>
                <w:rFonts w:hint="eastAsia" w:ascii="宋体" w:hAnsi="宋体" w:cs="宋体"/>
                <w:color w:val="auto"/>
                <w:kern w:val="0"/>
                <w:szCs w:val="21"/>
                <w:lang w:bidi="ar"/>
              </w:rPr>
              <w:t>教学机房接入交换机</w:t>
            </w:r>
          </w:p>
        </w:tc>
        <w:tc>
          <w:tcPr>
            <w:tcW w:w="820" w:type="dxa"/>
            <w:tcBorders>
              <w:top w:val="single" w:color="auto" w:sz="4" w:space="0"/>
              <w:left w:val="single" w:color="auto" w:sz="4" w:space="0"/>
              <w:bottom w:val="single" w:color="auto" w:sz="4" w:space="0"/>
              <w:right w:val="single" w:color="auto" w:sz="4" w:space="0"/>
            </w:tcBorders>
            <w:vAlign w:val="center"/>
          </w:tcPr>
          <w:p w14:paraId="285FC8F9">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18682BF5">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CF5EE59">
            <w:pPr>
              <w:widowControl/>
              <w:jc w:val="center"/>
              <w:textAlignment w:val="center"/>
              <w:rPr>
                <w:rFonts w:cs="宋体"/>
                <w:color w:val="auto"/>
                <w:szCs w:val="21"/>
              </w:rPr>
            </w:pPr>
            <w:r>
              <w:rPr>
                <w:rFonts w:hint="eastAsia" w:ascii="宋体" w:hAnsi="宋体" w:cs="宋体"/>
                <w:color w:val="auto"/>
                <w:kern w:val="0"/>
                <w:szCs w:val="21"/>
                <w:lang w:bidi="ar"/>
              </w:rPr>
              <w:t>2</w:t>
            </w:r>
          </w:p>
        </w:tc>
        <w:tc>
          <w:tcPr>
            <w:tcW w:w="945" w:type="dxa"/>
            <w:tcBorders>
              <w:top w:val="single" w:color="auto" w:sz="4" w:space="0"/>
              <w:left w:val="single" w:color="auto" w:sz="4" w:space="0"/>
              <w:bottom w:val="single" w:color="auto" w:sz="4" w:space="0"/>
              <w:right w:val="single" w:color="auto" w:sz="4" w:space="0"/>
            </w:tcBorders>
            <w:vAlign w:val="center"/>
          </w:tcPr>
          <w:p w14:paraId="639481BC">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26A351BD">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4EAEEC84">
            <w:pPr>
              <w:spacing w:line="360" w:lineRule="auto"/>
              <w:jc w:val="center"/>
              <w:rPr>
                <w:rFonts w:ascii="宋体" w:hAnsi="宋体" w:cs="宋体"/>
                <w:color w:val="auto"/>
                <w:szCs w:val="21"/>
              </w:rPr>
            </w:pPr>
          </w:p>
        </w:tc>
      </w:tr>
      <w:tr w14:paraId="0F3E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401EA226">
            <w:pPr>
              <w:widowControl/>
              <w:jc w:val="center"/>
              <w:textAlignment w:val="center"/>
              <w:rPr>
                <w:rFonts w:ascii="宋体" w:hAnsi="宋体" w:cs="宋体"/>
                <w:color w:val="auto"/>
                <w:szCs w:val="21"/>
              </w:rPr>
            </w:pPr>
            <w:r>
              <w:rPr>
                <w:rFonts w:hint="eastAsia" w:ascii="宋体" w:hAnsi="宋体" w:cs="宋体"/>
                <w:color w:val="auto"/>
                <w:kern w:val="0"/>
                <w:szCs w:val="21"/>
                <w:lang w:bidi="ar"/>
              </w:rPr>
              <w:t>智能显示协同终端</w:t>
            </w:r>
          </w:p>
        </w:tc>
        <w:tc>
          <w:tcPr>
            <w:tcW w:w="820" w:type="dxa"/>
            <w:tcBorders>
              <w:top w:val="single" w:color="auto" w:sz="4" w:space="0"/>
              <w:left w:val="single" w:color="auto" w:sz="4" w:space="0"/>
              <w:bottom w:val="single" w:color="auto" w:sz="4" w:space="0"/>
              <w:right w:val="single" w:color="auto" w:sz="4" w:space="0"/>
            </w:tcBorders>
            <w:vAlign w:val="center"/>
          </w:tcPr>
          <w:p w14:paraId="18071CA0">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5A7C5771">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A494EC8">
            <w:pPr>
              <w:widowControl/>
              <w:jc w:val="center"/>
              <w:textAlignment w:val="center"/>
              <w:rPr>
                <w:rFonts w:cs="宋体"/>
                <w:color w:val="auto"/>
                <w:szCs w:val="21"/>
              </w:rPr>
            </w:pPr>
            <w:r>
              <w:rPr>
                <w:rFonts w:hint="eastAsia" w:ascii="宋体" w:hAnsi="宋体" w:cs="宋体"/>
                <w:color w:val="auto"/>
                <w:kern w:val="0"/>
                <w:szCs w:val="21"/>
                <w:lang w:bidi="ar"/>
              </w:rPr>
              <w:t>7</w:t>
            </w:r>
          </w:p>
        </w:tc>
        <w:tc>
          <w:tcPr>
            <w:tcW w:w="945" w:type="dxa"/>
            <w:tcBorders>
              <w:top w:val="single" w:color="auto" w:sz="4" w:space="0"/>
              <w:left w:val="single" w:color="auto" w:sz="4" w:space="0"/>
              <w:bottom w:val="single" w:color="auto" w:sz="4" w:space="0"/>
              <w:right w:val="single" w:color="auto" w:sz="4" w:space="0"/>
            </w:tcBorders>
            <w:vAlign w:val="center"/>
          </w:tcPr>
          <w:p w14:paraId="1BE0C16D">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641263E7">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3CD13828">
            <w:pPr>
              <w:spacing w:line="360" w:lineRule="auto"/>
              <w:jc w:val="center"/>
              <w:rPr>
                <w:rFonts w:ascii="宋体" w:hAnsi="宋体" w:cs="宋体"/>
                <w:color w:val="auto"/>
                <w:szCs w:val="21"/>
              </w:rPr>
            </w:pPr>
          </w:p>
        </w:tc>
      </w:tr>
      <w:tr w14:paraId="32F3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6D58AC48">
            <w:pPr>
              <w:widowControl/>
              <w:jc w:val="center"/>
              <w:textAlignment w:val="center"/>
              <w:rPr>
                <w:rFonts w:ascii="宋体" w:hAnsi="宋体" w:cs="宋体"/>
                <w:color w:val="auto"/>
                <w:szCs w:val="21"/>
              </w:rPr>
            </w:pPr>
            <w:r>
              <w:rPr>
                <w:rFonts w:hint="eastAsia" w:ascii="宋体" w:hAnsi="宋体" w:cs="宋体"/>
                <w:color w:val="auto"/>
                <w:kern w:val="0"/>
                <w:szCs w:val="21"/>
                <w:lang w:bidi="ar"/>
              </w:rPr>
              <w:t>光能黑板</w:t>
            </w:r>
          </w:p>
        </w:tc>
        <w:tc>
          <w:tcPr>
            <w:tcW w:w="820" w:type="dxa"/>
            <w:tcBorders>
              <w:top w:val="single" w:color="auto" w:sz="4" w:space="0"/>
              <w:left w:val="single" w:color="auto" w:sz="4" w:space="0"/>
              <w:bottom w:val="single" w:color="auto" w:sz="4" w:space="0"/>
              <w:right w:val="single" w:color="auto" w:sz="4" w:space="0"/>
            </w:tcBorders>
            <w:vAlign w:val="center"/>
          </w:tcPr>
          <w:p w14:paraId="1F650261">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30851842">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B43F69A">
            <w:pPr>
              <w:widowControl/>
              <w:jc w:val="center"/>
              <w:textAlignment w:val="center"/>
              <w:rPr>
                <w:rFonts w:cs="宋体"/>
                <w:color w:val="auto"/>
                <w:szCs w:val="21"/>
              </w:rPr>
            </w:pPr>
            <w:r>
              <w:rPr>
                <w:rFonts w:hint="eastAsia" w:ascii="宋体" w:hAnsi="宋体" w:cs="宋体"/>
                <w:color w:val="auto"/>
                <w:kern w:val="0"/>
                <w:szCs w:val="21"/>
                <w:lang w:bidi="ar"/>
              </w:rPr>
              <w:t>7</w:t>
            </w:r>
          </w:p>
        </w:tc>
        <w:tc>
          <w:tcPr>
            <w:tcW w:w="945" w:type="dxa"/>
            <w:tcBorders>
              <w:top w:val="single" w:color="auto" w:sz="4" w:space="0"/>
              <w:left w:val="single" w:color="auto" w:sz="4" w:space="0"/>
              <w:bottom w:val="single" w:color="auto" w:sz="4" w:space="0"/>
              <w:right w:val="single" w:color="auto" w:sz="4" w:space="0"/>
            </w:tcBorders>
            <w:vAlign w:val="center"/>
          </w:tcPr>
          <w:p w14:paraId="4D4DA18D">
            <w:pPr>
              <w:widowControl/>
              <w:jc w:val="center"/>
              <w:textAlignment w:val="center"/>
              <w:rPr>
                <w:rFonts w:cs="宋体"/>
                <w:color w:val="auto"/>
                <w:szCs w:val="21"/>
              </w:rPr>
            </w:pPr>
            <w:r>
              <w:rPr>
                <w:rFonts w:hint="eastAsia" w:ascii="宋体" w:hAnsi="宋体" w:cs="宋体"/>
                <w:color w:val="auto"/>
                <w:kern w:val="0"/>
                <w:szCs w:val="21"/>
                <w:lang w:bidi="ar"/>
              </w:rPr>
              <w:t>块</w:t>
            </w:r>
          </w:p>
        </w:tc>
        <w:tc>
          <w:tcPr>
            <w:tcW w:w="1180" w:type="dxa"/>
            <w:tcBorders>
              <w:top w:val="single" w:color="auto" w:sz="4" w:space="0"/>
              <w:left w:val="single" w:color="auto" w:sz="4" w:space="0"/>
              <w:bottom w:val="single" w:color="auto" w:sz="4" w:space="0"/>
              <w:right w:val="single" w:color="auto" w:sz="4" w:space="0"/>
            </w:tcBorders>
            <w:vAlign w:val="center"/>
          </w:tcPr>
          <w:p w14:paraId="26ED299C">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14191026">
            <w:pPr>
              <w:spacing w:line="360" w:lineRule="auto"/>
              <w:jc w:val="center"/>
              <w:rPr>
                <w:rFonts w:ascii="宋体" w:hAnsi="宋体" w:cs="宋体"/>
                <w:color w:val="auto"/>
                <w:szCs w:val="21"/>
              </w:rPr>
            </w:pPr>
          </w:p>
        </w:tc>
      </w:tr>
      <w:tr w14:paraId="026D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5D68D2B7">
            <w:pPr>
              <w:widowControl/>
              <w:jc w:val="center"/>
              <w:textAlignment w:val="center"/>
              <w:rPr>
                <w:rFonts w:ascii="宋体" w:hAnsi="宋体" w:cs="宋体"/>
                <w:color w:val="auto"/>
                <w:szCs w:val="21"/>
              </w:rPr>
            </w:pPr>
            <w:r>
              <w:rPr>
                <w:rFonts w:hint="eastAsia" w:ascii="宋体" w:hAnsi="宋体" w:cs="宋体"/>
                <w:color w:val="auto"/>
                <w:kern w:val="0"/>
                <w:szCs w:val="21"/>
                <w:lang w:bidi="ar"/>
              </w:rPr>
              <w:t>一体化多媒体设备柜</w:t>
            </w:r>
          </w:p>
        </w:tc>
        <w:tc>
          <w:tcPr>
            <w:tcW w:w="820" w:type="dxa"/>
            <w:tcBorders>
              <w:top w:val="single" w:color="auto" w:sz="4" w:space="0"/>
              <w:left w:val="single" w:color="auto" w:sz="4" w:space="0"/>
              <w:bottom w:val="single" w:color="auto" w:sz="4" w:space="0"/>
              <w:right w:val="single" w:color="auto" w:sz="4" w:space="0"/>
            </w:tcBorders>
            <w:vAlign w:val="center"/>
          </w:tcPr>
          <w:p w14:paraId="66F85A85">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5B12207B">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177D3BD">
            <w:pPr>
              <w:widowControl/>
              <w:jc w:val="center"/>
              <w:textAlignment w:val="center"/>
              <w:rPr>
                <w:rFonts w:cs="宋体"/>
                <w:color w:val="auto"/>
                <w:szCs w:val="21"/>
              </w:rPr>
            </w:pPr>
            <w:r>
              <w:rPr>
                <w:rFonts w:hint="eastAsia" w:ascii="宋体" w:hAnsi="宋体" w:cs="宋体"/>
                <w:color w:val="auto"/>
                <w:kern w:val="0"/>
                <w:szCs w:val="21"/>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14:paraId="4DE072FB">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48A430D5">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2BB4CBC2">
            <w:pPr>
              <w:spacing w:line="360" w:lineRule="auto"/>
              <w:jc w:val="center"/>
              <w:rPr>
                <w:rFonts w:ascii="宋体" w:hAnsi="宋体" w:cs="宋体"/>
                <w:color w:val="auto"/>
                <w:szCs w:val="21"/>
              </w:rPr>
            </w:pPr>
          </w:p>
        </w:tc>
      </w:tr>
      <w:tr w14:paraId="1170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6B45B065">
            <w:pPr>
              <w:widowControl/>
              <w:jc w:val="center"/>
              <w:textAlignment w:val="center"/>
              <w:rPr>
                <w:rFonts w:ascii="宋体" w:hAnsi="宋体" w:cs="宋体"/>
                <w:color w:val="auto"/>
                <w:szCs w:val="21"/>
              </w:rPr>
            </w:pPr>
            <w:r>
              <w:rPr>
                <w:rFonts w:hint="eastAsia" w:ascii="宋体" w:hAnsi="宋体" w:cs="宋体"/>
                <w:color w:val="auto"/>
                <w:kern w:val="0"/>
                <w:szCs w:val="21"/>
                <w:lang w:bidi="ar"/>
              </w:rPr>
              <w:t>拾音扩声主机</w:t>
            </w:r>
          </w:p>
        </w:tc>
        <w:tc>
          <w:tcPr>
            <w:tcW w:w="820" w:type="dxa"/>
            <w:tcBorders>
              <w:top w:val="single" w:color="auto" w:sz="4" w:space="0"/>
              <w:left w:val="single" w:color="auto" w:sz="4" w:space="0"/>
              <w:bottom w:val="single" w:color="auto" w:sz="4" w:space="0"/>
              <w:right w:val="single" w:color="auto" w:sz="4" w:space="0"/>
            </w:tcBorders>
            <w:vAlign w:val="center"/>
          </w:tcPr>
          <w:p w14:paraId="0FCF497B">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58C1F40E">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65E39FF">
            <w:pPr>
              <w:widowControl/>
              <w:jc w:val="center"/>
              <w:textAlignment w:val="center"/>
              <w:rPr>
                <w:rFonts w:cs="宋体"/>
                <w:color w:val="auto"/>
                <w:szCs w:val="21"/>
              </w:rPr>
            </w:pPr>
            <w:r>
              <w:rPr>
                <w:rFonts w:hint="eastAsia" w:ascii="宋体" w:hAnsi="宋体" w:cs="宋体"/>
                <w:color w:val="auto"/>
                <w:kern w:val="0"/>
                <w:szCs w:val="21"/>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14:paraId="3A5BDDF8">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71151714">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5FFF8D0C">
            <w:pPr>
              <w:spacing w:line="360" w:lineRule="auto"/>
              <w:jc w:val="center"/>
              <w:rPr>
                <w:rFonts w:ascii="宋体" w:hAnsi="宋体" w:cs="宋体"/>
                <w:color w:val="auto"/>
                <w:szCs w:val="21"/>
              </w:rPr>
            </w:pPr>
          </w:p>
        </w:tc>
      </w:tr>
      <w:tr w14:paraId="6EE3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34BAC08B">
            <w:pPr>
              <w:widowControl/>
              <w:jc w:val="center"/>
              <w:textAlignment w:val="center"/>
              <w:rPr>
                <w:rFonts w:ascii="宋体" w:hAnsi="宋体" w:cs="宋体"/>
                <w:color w:val="auto"/>
                <w:szCs w:val="21"/>
              </w:rPr>
            </w:pPr>
            <w:r>
              <w:rPr>
                <w:rFonts w:hint="eastAsia" w:ascii="宋体" w:hAnsi="宋体" w:cs="宋体"/>
                <w:color w:val="auto"/>
                <w:kern w:val="0"/>
                <w:szCs w:val="21"/>
                <w:lang w:bidi="ar"/>
              </w:rPr>
              <w:t>音柱</w:t>
            </w:r>
          </w:p>
        </w:tc>
        <w:tc>
          <w:tcPr>
            <w:tcW w:w="820" w:type="dxa"/>
            <w:tcBorders>
              <w:top w:val="single" w:color="auto" w:sz="4" w:space="0"/>
              <w:left w:val="single" w:color="auto" w:sz="4" w:space="0"/>
              <w:bottom w:val="single" w:color="auto" w:sz="4" w:space="0"/>
              <w:right w:val="single" w:color="auto" w:sz="4" w:space="0"/>
            </w:tcBorders>
            <w:vAlign w:val="center"/>
          </w:tcPr>
          <w:p w14:paraId="0FEC9078">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6D6B388B">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588E480">
            <w:pPr>
              <w:widowControl/>
              <w:jc w:val="center"/>
              <w:textAlignment w:val="center"/>
              <w:rPr>
                <w:rFonts w:cs="宋体"/>
                <w:color w:val="auto"/>
                <w:szCs w:val="21"/>
              </w:rPr>
            </w:pPr>
            <w:r>
              <w:rPr>
                <w:rFonts w:hint="eastAsia" w:ascii="宋体" w:hAnsi="宋体" w:cs="宋体"/>
                <w:color w:val="auto"/>
                <w:kern w:val="0"/>
                <w:szCs w:val="21"/>
                <w:lang w:bidi="ar"/>
              </w:rPr>
              <w:t>12</w:t>
            </w:r>
          </w:p>
        </w:tc>
        <w:tc>
          <w:tcPr>
            <w:tcW w:w="945" w:type="dxa"/>
            <w:tcBorders>
              <w:top w:val="single" w:color="auto" w:sz="4" w:space="0"/>
              <w:left w:val="single" w:color="auto" w:sz="4" w:space="0"/>
              <w:bottom w:val="single" w:color="auto" w:sz="4" w:space="0"/>
              <w:right w:val="single" w:color="auto" w:sz="4" w:space="0"/>
            </w:tcBorders>
            <w:vAlign w:val="center"/>
          </w:tcPr>
          <w:p w14:paraId="27036D1B">
            <w:pPr>
              <w:widowControl/>
              <w:jc w:val="center"/>
              <w:textAlignment w:val="center"/>
              <w:rPr>
                <w:rFonts w:cs="宋体"/>
                <w:color w:val="auto"/>
                <w:szCs w:val="21"/>
              </w:rPr>
            </w:pPr>
            <w:r>
              <w:rPr>
                <w:rFonts w:hint="eastAsia" w:ascii="宋体" w:hAnsi="宋体" w:cs="宋体"/>
                <w:color w:val="auto"/>
                <w:kern w:val="0"/>
                <w:szCs w:val="21"/>
                <w:lang w:bidi="ar"/>
              </w:rPr>
              <w:t>只</w:t>
            </w:r>
          </w:p>
        </w:tc>
        <w:tc>
          <w:tcPr>
            <w:tcW w:w="1180" w:type="dxa"/>
            <w:tcBorders>
              <w:top w:val="single" w:color="auto" w:sz="4" w:space="0"/>
              <w:left w:val="single" w:color="auto" w:sz="4" w:space="0"/>
              <w:bottom w:val="single" w:color="auto" w:sz="4" w:space="0"/>
              <w:right w:val="single" w:color="auto" w:sz="4" w:space="0"/>
            </w:tcBorders>
            <w:vAlign w:val="center"/>
          </w:tcPr>
          <w:p w14:paraId="5F7A625D">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68F008C1">
            <w:pPr>
              <w:spacing w:line="360" w:lineRule="auto"/>
              <w:jc w:val="center"/>
              <w:rPr>
                <w:rFonts w:ascii="宋体" w:hAnsi="宋体" w:cs="宋体"/>
                <w:color w:val="auto"/>
                <w:szCs w:val="21"/>
              </w:rPr>
            </w:pPr>
          </w:p>
        </w:tc>
      </w:tr>
      <w:tr w14:paraId="5FF5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179D68F4">
            <w:pPr>
              <w:widowControl/>
              <w:jc w:val="center"/>
              <w:textAlignment w:val="center"/>
              <w:rPr>
                <w:rFonts w:ascii="宋体" w:hAnsi="宋体" w:cs="宋体"/>
                <w:color w:val="auto"/>
                <w:szCs w:val="21"/>
              </w:rPr>
            </w:pPr>
            <w:r>
              <w:rPr>
                <w:rFonts w:hint="eastAsia" w:ascii="宋体" w:hAnsi="宋体" w:cs="宋体"/>
                <w:color w:val="auto"/>
                <w:kern w:val="0"/>
                <w:szCs w:val="21"/>
                <w:lang w:bidi="ar"/>
              </w:rPr>
              <w:t>充电底座</w:t>
            </w:r>
          </w:p>
        </w:tc>
        <w:tc>
          <w:tcPr>
            <w:tcW w:w="820" w:type="dxa"/>
            <w:tcBorders>
              <w:top w:val="single" w:color="auto" w:sz="4" w:space="0"/>
              <w:left w:val="single" w:color="auto" w:sz="4" w:space="0"/>
              <w:bottom w:val="single" w:color="auto" w:sz="4" w:space="0"/>
              <w:right w:val="single" w:color="auto" w:sz="4" w:space="0"/>
            </w:tcBorders>
            <w:vAlign w:val="center"/>
          </w:tcPr>
          <w:p w14:paraId="6C717201">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61690956">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0EA5149">
            <w:pPr>
              <w:widowControl/>
              <w:jc w:val="center"/>
              <w:textAlignment w:val="center"/>
              <w:rPr>
                <w:rFonts w:cs="宋体"/>
                <w:color w:val="auto"/>
                <w:szCs w:val="21"/>
              </w:rPr>
            </w:pPr>
            <w:r>
              <w:rPr>
                <w:rFonts w:hint="eastAsia" w:ascii="宋体" w:hAnsi="宋体" w:cs="宋体"/>
                <w:color w:val="auto"/>
                <w:kern w:val="0"/>
                <w:szCs w:val="21"/>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14:paraId="34BD3256">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4A7B0E55">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6830FD62">
            <w:pPr>
              <w:spacing w:line="360" w:lineRule="auto"/>
              <w:jc w:val="center"/>
              <w:rPr>
                <w:rFonts w:ascii="宋体" w:hAnsi="宋体" w:cs="宋体"/>
                <w:color w:val="auto"/>
                <w:szCs w:val="21"/>
              </w:rPr>
            </w:pPr>
          </w:p>
        </w:tc>
      </w:tr>
      <w:tr w14:paraId="2E29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676AC218">
            <w:pPr>
              <w:widowControl/>
              <w:jc w:val="center"/>
              <w:textAlignment w:val="center"/>
              <w:rPr>
                <w:rFonts w:ascii="宋体" w:hAnsi="宋体" w:cs="宋体"/>
                <w:color w:val="auto"/>
                <w:szCs w:val="21"/>
              </w:rPr>
            </w:pPr>
            <w:r>
              <w:rPr>
                <w:rFonts w:hint="eastAsia" w:ascii="宋体" w:hAnsi="宋体" w:cs="宋体"/>
                <w:color w:val="auto"/>
                <w:kern w:val="0"/>
                <w:szCs w:val="21"/>
                <w:lang w:bidi="ar"/>
              </w:rPr>
              <w:t>吊装式麦克风</w:t>
            </w:r>
          </w:p>
        </w:tc>
        <w:tc>
          <w:tcPr>
            <w:tcW w:w="820" w:type="dxa"/>
            <w:tcBorders>
              <w:top w:val="single" w:color="auto" w:sz="4" w:space="0"/>
              <w:left w:val="single" w:color="auto" w:sz="4" w:space="0"/>
              <w:bottom w:val="single" w:color="auto" w:sz="4" w:space="0"/>
              <w:right w:val="single" w:color="auto" w:sz="4" w:space="0"/>
            </w:tcBorders>
            <w:vAlign w:val="center"/>
          </w:tcPr>
          <w:p w14:paraId="02915C23">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0BF08A51">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54D8D81">
            <w:pPr>
              <w:widowControl/>
              <w:jc w:val="center"/>
              <w:textAlignment w:val="center"/>
              <w:rPr>
                <w:rFonts w:cs="宋体"/>
                <w:color w:val="auto"/>
                <w:szCs w:val="21"/>
              </w:rPr>
            </w:pPr>
            <w:r>
              <w:rPr>
                <w:rFonts w:hint="eastAsia" w:ascii="宋体" w:hAnsi="宋体" w:cs="宋体"/>
                <w:color w:val="auto"/>
                <w:kern w:val="0"/>
                <w:szCs w:val="21"/>
                <w:lang w:bidi="ar"/>
              </w:rPr>
              <w:t>6</w:t>
            </w:r>
          </w:p>
        </w:tc>
        <w:tc>
          <w:tcPr>
            <w:tcW w:w="945" w:type="dxa"/>
            <w:tcBorders>
              <w:top w:val="single" w:color="auto" w:sz="4" w:space="0"/>
              <w:left w:val="single" w:color="auto" w:sz="4" w:space="0"/>
              <w:bottom w:val="single" w:color="auto" w:sz="4" w:space="0"/>
              <w:right w:val="single" w:color="auto" w:sz="4" w:space="0"/>
            </w:tcBorders>
            <w:vAlign w:val="center"/>
          </w:tcPr>
          <w:p w14:paraId="09E4447B">
            <w:pPr>
              <w:widowControl/>
              <w:jc w:val="center"/>
              <w:textAlignment w:val="center"/>
              <w:rPr>
                <w:rFonts w:cs="宋体"/>
                <w:color w:val="auto"/>
                <w:szCs w:val="21"/>
              </w:rPr>
            </w:pPr>
            <w:r>
              <w:rPr>
                <w:rFonts w:hint="eastAsia" w:ascii="宋体" w:hAnsi="宋体" w:cs="宋体"/>
                <w:color w:val="auto"/>
                <w:kern w:val="0"/>
                <w:szCs w:val="21"/>
                <w:lang w:bidi="ar"/>
              </w:rPr>
              <w:t>支</w:t>
            </w:r>
          </w:p>
        </w:tc>
        <w:tc>
          <w:tcPr>
            <w:tcW w:w="1180" w:type="dxa"/>
            <w:tcBorders>
              <w:top w:val="single" w:color="auto" w:sz="4" w:space="0"/>
              <w:left w:val="single" w:color="auto" w:sz="4" w:space="0"/>
              <w:bottom w:val="single" w:color="auto" w:sz="4" w:space="0"/>
              <w:right w:val="single" w:color="auto" w:sz="4" w:space="0"/>
            </w:tcBorders>
            <w:vAlign w:val="center"/>
          </w:tcPr>
          <w:p w14:paraId="51965D14">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6CBD1D8A">
            <w:pPr>
              <w:spacing w:line="360" w:lineRule="auto"/>
              <w:jc w:val="center"/>
              <w:rPr>
                <w:rFonts w:ascii="宋体" w:hAnsi="宋体" w:cs="宋体"/>
                <w:color w:val="auto"/>
                <w:szCs w:val="21"/>
              </w:rPr>
            </w:pPr>
          </w:p>
        </w:tc>
      </w:tr>
      <w:tr w14:paraId="2FB6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34C0BC86">
            <w:pPr>
              <w:widowControl/>
              <w:jc w:val="center"/>
              <w:textAlignment w:val="center"/>
              <w:rPr>
                <w:rFonts w:ascii="宋体" w:hAnsi="宋体" w:cs="宋体"/>
                <w:color w:val="auto"/>
                <w:szCs w:val="21"/>
              </w:rPr>
            </w:pPr>
            <w:r>
              <w:rPr>
                <w:rFonts w:hint="eastAsia" w:ascii="宋体" w:hAnsi="宋体" w:cs="宋体"/>
                <w:color w:val="auto"/>
                <w:kern w:val="0"/>
                <w:szCs w:val="21"/>
                <w:lang w:bidi="ar"/>
              </w:rPr>
              <w:t>无线麦克风</w:t>
            </w:r>
          </w:p>
        </w:tc>
        <w:tc>
          <w:tcPr>
            <w:tcW w:w="820" w:type="dxa"/>
            <w:tcBorders>
              <w:top w:val="single" w:color="auto" w:sz="4" w:space="0"/>
              <w:left w:val="single" w:color="auto" w:sz="4" w:space="0"/>
              <w:bottom w:val="single" w:color="auto" w:sz="4" w:space="0"/>
              <w:right w:val="single" w:color="auto" w:sz="4" w:space="0"/>
            </w:tcBorders>
            <w:vAlign w:val="center"/>
          </w:tcPr>
          <w:p w14:paraId="590146B9">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63DBC94C">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D668EB">
            <w:pPr>
              <w:widowControl/>
              <w:jc w:val="center"/>
              <w:textAlignment w:val="center"/>
              <w:rPr>
                <w:rFonts w:cs="宋体"/>
                <w:color w:val="auto"/>
                <w:szCs w:val="21"/>
              </w:rPr>
            </w:pPr>
            <w:r>
              <w:rPr>
                <w:rFonts w:hint="eastAsia" w:ascii="宋体" w:hAnsi="宋体" w:cs="宋体"/>
                <w:color w:val="auto"/>
                <w:kern w:val="0"/>
                <w:szCs w:val="21"/>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14:paraId="631E75A7">
            <w:pPr>
              <w:widowControl/>
              <w:jc w:val="center"/>
              <w:textAlignment w:val="center"/>
              <w:rPr>
                <w:rFonts w:cs="宋体"/>
                <w:color w:val="auto"/>
                <w:szCs w:val="21"/>
              </w:rPr>
            </w:pPr>
            <w:r>
              <w:rPr>
                <w:rFonts w:hint="eastAsia" w:ascii="宋体" w:hAnsi="宋体" w:cs="宋体"/>
                <w:color w:val="auto"/>
                <w:kern w:val="0"/>
                <w:szCs w:val="21"/>
                <w:lang w:bidi="ar"/>
              </w:rPr>
              <w:t>支</w:t>
            </w:r>
          </w:p>
        </w:tc>
        <w:tc>
          <w:tcPr>
            <w:tcW w:w="1180" w:type="dxa"/>
            <w:tcBorders>
              <w:top w:val="single" w:color="auto" w:sz="4" w:space="0"/>
              <w:left w:val="single" w:color="auto" w:sz="4" w:space="0"/>
              <w:bottom w:val="single" w:color="auto" w:sz="4" w:space="0"/>
              <w:right w:val="single" w:color="auto" w:sz="4" w:space="0"/>
            </w:tcBorders>
            <w:vAlign w:val="center"/>
          </w:tcPr>
          <w:p w14:paraId="35589BE8">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47D5FC75">
            <w:pPr>
              <w:spacing w:line="360" w:lineRule="auto"/>
              <w:jc w:val="center"/>
              <w:rPr>
                <w:rFonts w:ascii="宋体" w:hAnsi="宋体" w:cs="宋体"/>
                <w:color w:val="auto"/>
                <w:szCs w:val="21"/>
              </w:rPr>
            </w:pPr>
          </w:p>
        </w:tc>
      </w:tr>
      <w:tr w14:paraId="3AD3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567404B4">
            <w:pPr>
              <w:widowControl/>
              <w:jc w:val="center"/>
              <w:textAlignment w:val="center"/>
              <w:rPr>
                <w:rFonts w:ascii="宋体" w:hAnsi="宋体" w:cs="宋体"/>
                <w:color w:val="auto"/>
                <w:szCs w:val="21"/>
              </w:rPr>
            </w:pPr>
            <w:r>
              <w:rPr>
                <w:rFonts w:hint="eastAsia" w:ascii="宋体" w:hAnsi="宋体" w:cs="宋体"/>
                <w:color w:val="auto"/>
                <w:kern w:val="0"/>
                <w:szCs w:val="21"/>
                <w:lang w:bidi="ar"/>
              </w:rPr>
              <w:t>数字红外接收器</w:t>
            </w:r>
          </w:p>
        </w:tc>
        <w:tc>
          <w:tcPr>
            <w:tcW w:w="820" w:type="dxa"/>
            <w:tcBorders>
              <w:top w:val="single" w:color="auto" w:sz="4" w:space="0"/>
              <w:left w:val="single" w:color="auto" w:sz="4" w:space="0"/>
              <w:bottom w:val="single" w:color="auto" w:sz="4" w:space="0"/>
              <w:right w:val="single" w:color="auto" w:sz="4" w:space="0"/>
            </w:tcBorders>
            <w:vAlign w:val="center"/>
          </w:tcPr>
          <w:p w14:paraId="704DA1CD">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0A650763">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C8642F2">
            <w:pPr>
              <w:widowControl/>
              <w:jc w:val="center"/>
              <w:textAlignment w:val="center"/>
              <w:rPr>
                <w:rFonts w:cs="宋体"/>
                <w:color w:val="auto"/>
                <w:szCs w:val="21"/>
              </w:rPr>
            </w:pPr>
            <w:r>
              <w:rPr>
                <w:rFonts w:hint="eastAsia" w:ascii="宋体" w:hAnsi="宋体" w:cs="宋体"/>
                <w:color w:val="auto"/>
                <w:kern w:val="0"/>
                <w:szCs w:val="21"/>
                <w:lang w:bidi="ar"/>
              </w:rPr>
              <w:t>6</w:t>
            </w:r>
          </w:p>
        </w:tc>
        <w:tc>
          <w:tcPr>
            <w:tcW w:w="945" w:type="dxa"/>
            <w:tcBorders>
              <w:top w:val="single" w:color="auto" w:sz="4" w:space="0"/>
              <w:left w:val="single" w:color="auto" w:sz="4" w:space="0"/>
              <w:bottom w:val="single" w:color="auto" w:sz="4" w:space="0"/>
              <w:right w:val="single" w:color="auto" w:sz="4" w:space="0"/>
            </w:tcBorders>
            <w:vAlign w:val="center"/>
          </w:tcPr>
          <w:p w14:paraId="5B561C82">
            <w:pPr>
              <w:widowControl/>
              <w:jc w:val="center"/>
              <w:textAlignment w:val="center"/>
              <w:rPr>
                <w:rFonts w:cs="宋体"/>
                <w:color w:val="auto"/>
                <w:szCs w:val="21"/>
              </w:rPr>
            </w:pPr>
            <w:r>
              <w:rPr>
                <w:rFonts w:hint="eastAsia" w:ascii="宋体" w:hAnsi="宋体" w:cs="宋体"/>
                <w:color w:val="auto"/>
                <w:kern w:val="0"/>
                <w:szCs w:val="21"/>
                <w:lang w:bidi="ar"/>
              </w:rPr>
              <w:t>个</w:t>
            </w:r>
          </w:p>
        </w:tc>
        <w:tc>
          <w:tcPr>
            <w:tcW w:w="1180" w:type="dxa"/>
            <w:tcBorders>
              <w:top w:val="single" w:color="auto" w:sz="4" w:space="0"/>
              <w:left w:val="single" w:color="auto" w:sz="4" w:space="0"/>
              <w:bottom w:val="single" w:color="auto" w:sz="4" w:space="0"/>
              <w:right w:val="single" w:color="auto" w:sz="4" w:space="0"/>
            </w:tcBorders>
            <w:vAlign w:val="center"/>
          </w:tcPr>
          <w:p w14:paraId="7C88AA0E">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10C462BE">
            <w:pPr>
              <w:spacing w:line="360" w:lineRule="auto"/>
              <w:jc w:val="center"/>
              <w:rPr>
                <w:rFonts w:ascii="宋体" w:hAnsi="宋体" w:cs="宋体"/>
                <w:color w:val="auto"/>
                <w:szCs w:val="21"/>
              </w:rPr>
            </w:pPr>
          </w:p>
        </w:tc>
      </w:tr>
      <w:tr w14:paraId="3B5D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51CFC8C3">
            <w:pPr>
              <w:widowControl/>
              <w:jc w:val="center"/>
              <w:textAlignment w:val="center"/>
              <w:rPr>
                <w:rFonts w:ascii="宋体" w:hAnsi="宋体" w:cs="宋体"/>
                <w:color w:val="auto"/>
                <w:szCs w:val="21"/>
              </w:rPr>
            </w:pPr>
            <w:r>
              <w:rPr>
                <w:rFonts w:hint="eastAsia" w:ascii="宋体" w:hAnsi="宋体" w:cs="宋体"/>
                <w:color w:val="auto"/>
                <w:kern w:val="0"/>
                <w:szCs w:val="21"/>
                <w:lang w:bidi="ar"/>
              </w:rPr>
              <w:t>智慧管理主机</w:t>
            </w:r>
          </w:p>
        </w:tc>
        <w:tc>
          <w:tcPr>
            <w:tcW w:w="820" w:type="dxa"/>
            <w:tcBorders>
              <w:top w:val="single" w:color="auto" w:sz="4" w:space="0"/>
              <w:left w:val="single" w:color="auto" w:sz="4" w:space="0"/>
              <w:bottom w:val="single" w:color="auto" w:sz="4" w:space="0"/>
              <w:right w:val="single" w:color="auto" w:sz="4" w:space="0"/>
            </w:tcBorders>
            <w:vAlign w:val="center"/>
          </w:tcPr>
          <w:p w14:paraId="4F396770">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0234985E">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206C658">
            <w:pPr>
              <w:widowControl/>
              <w:jc w:val="center"/>
              <w:textAlignment w:val="center"/>
              <w:rPr>
                <w:rFonts w:cs="宋体"/>
                <w:color w:val="auto"/>
                <w:szCs w:val="21"/>
              </w:rPr>
            </w:pPr>
            <w:r>
              <w:rPr>
                <w:rFonts w:hint="eastAsia" w:ascii="宋体" w:hAnsi="宋体" w:cs="宋体"/>
                <w:color w:val="auto"/>
                <w:kern w:val="0"/>
                <w:szCs w:val="21"/>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14:paraId="72D86148">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1B62873E">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5DD749EB">
            <w:pPr>
              <w:spacing w:line="360" w:lineRule="auto"/>
              <w:jc w:val="center"/>
              <w:rPr>
                <w:rFonts w:ascii="宋体" w:hAnsi="宋体" w:cs="宋体"/>
                <w:color w:val="auto"/>
                <w:szCs w:val="21"/>
              </w:rPr>
            </w:pPr>
          </w:p>
        </w:tc>
      </w:tr>
      <w:tr w14:paraId="68E1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3CEBAEE9">
            <w:pPr>
              <w:widowControl/>
              <w:jc w:val="center"/>
              <w:textAlignment w:val="center"/>
              <w:rPr>
                <w:rFonts w:ascii="宋体" w:hAnsi="宋体" w:cs="宋体"/>
                <w:color w:val="auto"/>
                <w:szCs w:val="21"/>
              </w:rPr>
            </w:pPr>
            <w:r>
              <w:rPr>
                <w:rFonts w:hint="eastAsia" w:ascii="宋体" w:hAnsi="宋体" w:cs="宋体"/>
                <w:color w:val="auto"/>
                <w:kern w:val="0"/>
                <w:szCs w:val="21"/>
                <w:lang w:bidi="ar"/>
              </w:rPr>
              <w:t>触摸控制面板</w:t>
            </w:r>
          </w:p>
        </w:tc>
        <w:tc>
          <w:tcPr>
            <w:tcW w:w="820" w:type="dxa"/>
            <w:tcBorders>
              <w:top w:val="single" w:color="auto" w:sz="4" w:space="0"/>
              <w:left w:val="single" w:color="auto" w:sz="4" w:space="0"/>
              <w:bottom w:val="single" w:color="auto" w:sz="4" w:space="0"/>
              <w:right w:val="single" w:color="auto" w:sz="4" w:space="0"/>
            </w:tcBorders>
            <w:vAlign w:val="center"/>
          </w:tcPr>
          <w:p w14:paraId="5784F887">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0C27603E">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343BF92">
            <w:pPr>
              <w:widowControl/>
              <w:jc w:val="center"/>
              <w:textAlignment w:val="center"/>
              <w:rPr>
                <w:rFonts w:cs="宋体"/>
                <w:color w:val="auto"/>
                <w:szCs w:val="21"/>
              </w:rPr>
            </w:pPr>
            <w:r>
              <w:rPr>
                <w:rFonts w:hint="eastAsia" w:ascii="宋体" w:hAnsi="宋体" w:cs="宋体"/>
                <w:color w:val="auto"/>
                <w:kern w:val="0"/>
                <w:szCs w:val="21"/>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14:paraId="08FF6C60">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57E7BB7D">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353BB8DB">
            <w:pPr>
              <w:spacing w:line="360" w:lineRule="auto"/>
              <w:jc w:val="center"/>
              <w:rPr>
                <w:rFonts w:ascii="宋体" w:hAnsi="宋体" w:cs="宋体"/>
                <w:color w:val="auto"/>
                <w:szCs w:val="21"/>
              </w:rPr>
            </w:pPr>
          </w:p>
        </w:tc>
      </w:tr>
      <w:tr w14:paraId="2E41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4E407B1A">
            <w:pPr>
              <w:widowControl/>
              <w:jc w:val="center"/>
              <w:textAlignment w:val="center"/>
              <w:rPr>
                <w:rFonts w:ascii="宋体" w:hAnsi="宋体" w:cs="宋体"/>
                <w:color w:val="auto"/>
                <w:szCs w:val="21"/>
              </w:rPr>
            </w:pPr>
            <w:r>
              <w:rPr>
                <w:rFonts w:hint="eastAsia" w:ascii="宋体" w:hAnsi="宋体" w:cs="宋体"/>
                <w:color w:val="auto"/>
                <w:kern w:val="0"/>
                <w:szCs w:val="21"/>
                <w:lang w:bidi="ar"/>
              </w:rPr>
              <w:t>电源时序控制器</w:t>
            </w:r>
          </w:p>
        </w:tc>
        <w:tc>
          <w:tcPr>
            <w:tcW w:w="820" w:type="dxa"/>
            <w:tcBorders>
              <w:top w:val="single" w:color="auto" w:sz="4" w:space="0"/>
              <w:left w:val="single" w:color="auto" w:sz="4" w:space="0"/>
              <w:bottom w:val="single" w:color="auto" w:sz="4" w:space="0"/>
              <w:right w:val="single" w:color="auto" w:sz="4" w:space="0"/>
            </w:tcBorders>
            <w:vAlign w:val="center"/>
          </w:tcPr>
          <w:p w14:paraId="268982E8">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462530B0">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6313006">
            <w:pPr>
              <w:widowControl/>
              <w:jc w:val="center"/>
              <w:textAlignment w:val="center"/>
              <w:rPr>
                <w:rFonts w:cs="宋体"/>
                <w:color w:val="auto"/>
                <w:szCs w:val="21"/>
              </w:rPr>
            </w:pPr>
            <w:r>
              <w:rPr>
                <w:rFonts w:hint="eastAsia" w:ascii="宋体" w:hAnsi="宋体" w:cs="宋体"/>
                <w:color w:val="auto"/>
                <w:kern w:val="0"/>
                <w:szCs w:val="21"/>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14:paraId="5B43EF21">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6D061F78">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2CA588E3">
            <w:pPr>
              <w:spacing w:line="360" w:lineRule="auto"/>
              <w:jc w:val="center"/>
              <w:rPr>
                <w:rFonts w:ascii="宋体" w:hAnsi="宋体" w:cs="宋体"/>
                <w:color w:val="auto"/>
                <w:szCs w:val="21"/>
              </w:rPr>
            </w:pPr>
          </w:p>
        </w:tc>
      </w:tr>
      <w:tr w14:paraId="6CA3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176EF313">
            <w:pPr>
              <w:widowControl/>
              <w:jc w:val="center"/>
              <w:textAlignment w:val="center"/>
              <w:rPr>
                <w:rFonts w:ascii="宋体" w:hAnsi="宋体" w:cs="宋体"/>
                <w:color w:val="auto"/>
                <w:szCs w:val="21"/>
              </w:rPr>
            </w:pPr>
            <w:r>
              <w:rPr>
                <w:rFonts w:hint="eastAsia" w:ascii="宋体" w:hAnsi="宋体" w:cs="宋体"/>
                <w:color w:val="auto"/>
                <w:kern w:val="0"/>
                <w:szCs w:val="21"/>
                <w:lang w:bidi="ar"/>
              </w:rPr>
              <w:t>高清录播系统</w:t>
            </w:r>
          </w:p>
        </w:tc>
        <w:tc>
          <w:tcPr>
            <w:tcW w:w="820" w:type="dxa"/>
            <w:tcBorders>
              <w:top w:val="single" w:color="auto" w:sz="4" w:space="0"/>
              <w:left w:val="single" w:color="auto" w:sz="4" w:space="0"/>
              <w:bottom w:val="single" w:color="auto" w:sz="4" w:space="0"/>
              <w:right w:val="single" w:color="auto" w:sz="4" w:space="0"/>
            </w:tcBorders>
            <w:vAlign w:val="center"/>
          </w:tcPr>
          <w:p w14:paraId="073A1CEE">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79418B07">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080B8A8">
            <w:pPr>
              <w:widowControl/>
              <w:jc w:val="center"/>
              <w:textAlignment w:val="center"/>
              <w:rPr>
                <w:rFonts w:cs="宋体"/>
                <w:color w:val="auto"/>
                <w:szCs w:val="21"/>
              </w:rPr>
            </w:pPr>
            <w:r>
              <w:rPr>
                <w:rFonts w:hint="eastAsia" w:ascii="宋体" w:hAnsi="宋体" w:cs="宋体"/>
                <w:color w:val="auto"/>
                <w:kern w:val="0"/>
                <w:szCs w:val="21"/>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14:paraId="0B1556B6">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689F5C65">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79E1ACAF">
            <w:pPr>
              <w:spacing w:line="360" w:lineRule="auto"/>
              <w:jc w:val="center"/>
              <w:rPr>
                <w:rFonts w:ascii="宋体" w:hAnsi="宋体" w:cs="宋体"/>
                <w:color w:val="auto"/>
                <w:szCs w:val="21"/>
              </w:rPr>
            </w:pPr>
          </w:p>
        </w:tc>
      </w:tr>
      <w:tr w14:paraId="60A6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5A33A4CE">
            <w:pPr>
              <w:widowControl/>
              <w:jc w:val="center"/>
              <w:textAlignment w:val="center"/>
              <w:rPr>
                <w:rFonts w:ascii="宋体" w:hAnsi="宋体" w:cs="宋体"/>
                <w:color w:val="auto"/>
                <w:szCs w:val="21"/>
              </w:rPr>
            </w:pPr>
            <w:r>
              <w:rPr>
                <w:rFonts w:hint="eastAsia" w:ascii="宋体" w:hAnsi="宋体" w:cs="宋体"/>
                <w:color w:val="auto"/>
                <w:kern w:val="0"/>
                <w:szCs w:val="21"/>
                <w:lang w:bidi="ar"/>
              </w:rPr>
              <w:t>高清云台摄像机</w:t>
            </w:r>
          </w:p>
        </w:tc>
        <w:tc>
          <w:tcPr>
            <w:tcW w:w="820" w:type="dxa"/>
            <w:tcBorders>
              <w:top w:val="single" w:color="auto" w:sz="4" w:space="0"/>
              <w:left w:val="single" w:color="auto" w:sz="4" w:space="0"/>
              <w:bottom w:val="single" w:color="auto" w:sz="4" w:space="0"/>
              <w:right w:val="single" w:color="auto" w:sz="4" w:space="0"/>
            </w:tcBorders>
            <w:vAlign w:val="center"/>
          </w:tcPr>
          <w:p w14:paraId="31E869A6">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31FB7948">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867EAB8">
            <w:pPr>
              <w:widowControl/>
              <w:jc w:val="center"/>
              <w:textAlignment w:val="center"/>
              <w:rPr>
                <w:rFonts w:cs="宋体"/>
                <w:color w:val="auto"/>
                <w:szCs w:val="21"/>
              </w:rPr>
            </w:pPr>
            <w:r>
              <w:rPr>
                <w:rFonts w:hint="eastAsia" w:ascii="宋体" w:hAnsi="宋体" w:cs="宋体"/>
                <w:color w:val="auto"/>
                <w:kern w:val="0"/>
                <w:szCs w:val="21"/>
                <w:lang w:bidi="ar"/>
              </w:rPr>
              <w:t>5</w:t>
            </w:r>
          </w:p>
        </w:tc>
        <w:tc>
          <w:tcPr>
            <w:tcW w:w="945" w:type="dxa"/>
            <w:tcBorders>
              <w:top w:val="single" w:color="auto" w:sz="4" w:space="0"/>
              <w:left w:val="single" w:color="auto" w:sz="4" w:space="0"/>
              <w:bottom w:val="single" w:color="auto" w:sz="4" w:space="0"/>
              <w:right w:val="single" w:color="auto" w:sz="4" w:space="0"/>
            </w:tcBorders>
            <w:vAlign w:val="center"/>
          </w:tcPr>
          <w:p w14:paraId="000B3417">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52DA4760">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47D0241E">
            <w:pPr>
              <w:spacing w:line="360" w:lineRule="auto"/>
              <w:jc w:val="center"/>
              <w:rPr>
                <w:rFonts w:ascii="宋体" w:hAnsi="宋体" w:cs="宋体"/>
                <w:color w:val="auto"/>
                <w:szCs w:val="21"/>
              </w:rPr>
            </w:pPr>
          </w:p>
        </w:tc>
      </w:tr>
      <w:tr w14:paraId="70BA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7E21A38B">
            <w:pPr>
              <w:widowControl/>
              <w:jc w:val="center"/>
              <w:textAlignment w:val="center"/>
              <w:rPr>
                <w:rFonts w:ascii="宋体" w:hAnsi="宋体" w:cs="宋体"/>
                <w:color w:val="auto"/>
                <w:szCs w:val="21"/>
              </w:rPr>
            </w:pPr>
            <w:r>
              <w:rPr>
                <w:rFonts w:hint="eastAsia" w:ascii="宋体" w:hAnsi="宋体" w:cs="宋体"/>
                <w:color w:val="auto"/>
                <w:kern w:val="0"/>
                <w:szCs w:val="21"/>
                <w:lang w:bidi="ar"/>
              </w:rPr>
              <w:t>录播教室声学材料</w:t>
            </w:r>
          </w:p>
        </w:tc>
        <w:tc>
          <w:tcPr>
            <w:tcW w:w="820" w:type="dxa"/>
            <w:tcBorders>
              <w:top w:val="single" w:color="auto" w:sz="4" w:space="0"/>
              <w:left w:val="single" w:color="auto" w:sz="4" w:space="0"/>
              <w:bottom w:val="single" w:color="auto" w:sz="4" w:space="0"/>
              <w:right w:val="single" w:color="auto" w:sz="4" w:space="0"/>
            </w:tcBorders>
            <w:vAlign w:val="center"/>
          </w:tcPr>
          <w:p w14:paraId="71F388F1">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1CC74FD6">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1BB18A">
            <w:pPr>
              <w:widowControl/>
              <w:jc w:val="center"/>
              <w:textAlignment w:val="center"/>
              <w:rPr>
                <w:rFonts w:cs="宋体"/>
                <w:color w:val="auto"/>
                <w:szCs w:val="21"/>
              </w:rPr>
            </w:pPr>
            <w:r>
              <w:rPr>
                <w:rFonts w:hint="eastAsia" w:ascii="宋体" w:hAnsi="宋体" w:cs="宋体"/>
                <w:color w:val="auto"/>
                <w:kern w:val="0"/>
                <w:szCs w:val="21"/>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14:paraId="02FEB6BC">
            <w:pPr>
              <w:widowControl/>
              <w:jc w:val="center"/>
              <w:textAlignment w:val="center"/>
              <w:rPr>
                <w:rFonts w:cs="宋体"/>
                <w:color w:val="auto"/>
                <w:szCs w:val="21"/>
              </w:rPr>
            </w:pPr>
            <w:r>
              <w:rPr>
                <w:rFonts w:hint="eastAsia" w:ascii="宋体" w:hAnsi="宋体" w:cs="宋体"/>
                <w:color w:val="auto"/>
                <w:szCs w:val="21"/>
              </w:rPr>
              <w:t>批</w:t>
            </w:r>
          </w:p>
        </w:tc>
        <w:tc>
          <w:tcPr>
            <w:tcW w:w="1180" w:type="dxa"/>
            <w:tcBorders>
              <w:top w:val="single" w:color="auto" w:sz="4" w:space="0"/>
              <w:left w:val="single" w:color="auto" w:sz="4" w:space="0"/>
              <w:bottom w:val="single" w:color="auto" w:sz="4" w:space="0"/>
              <w:right w:val="single" w:color="auto" w:sz="4" w:space="0"/>
            </w:tcBorders>
            <w:vAlign w:val="center"/>
          </w:tcPr>
          <w:p w14:paraId="3F4C27C5">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0042424E">
            <w:pPr>
              <w:spacing w:line="360" w:lineRule="auto"/>
              <w:jc w:val="center"/>
              <w:rPr>
                <w:rFonts w:ascii="宋体" w:hAnsi="宋体" w:cs="宋体"/>
                <w:color w:val="auto"/>
                <w:szCs w:val="21"/>
              </w:rPr>
            </w:pPr>
          </w:p>
        </w:tc>
      </w:tr>
      <w:tr w14:paraId="3B8C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0E63DE10">
            <w:pPr>
              <w:widowControl/>
              <w:jc w:val="center"/>
              <w:textAlignment w:val="center"/>
              <w:rPr>
                <w:rFonts w:ascii="宋体" w:hAnsi="宋体" w:cs="宋体"/>
                <w:color w:val="auto"/>
                <w:szCs w:val="21"/>
              </w:rPr>
            </w:pPr>
            <w:r>
              <w:rPr>
                <w:rFonts w:hint="eastAsia" w:ascii="宋体" w:hAnsi="宋体" w:cs="宋体"/>
                <w:color w:val="auto"/>
                <w:kern w:val="0"/>
                <w:szCs w:val="21"/>
                <w:lang w:bidi="ar"/>
              </w:rPr>
              <w:t>网络摄像机</w:t>
            </w:r>
          </w:p>
        </w:tc>
        <w:tc>
          <w:tcPr>
            <w:tcW w:w="820" w:type="dxa"/>
            <w:tcBorders>
              <w:top w:val="single" w:color="auto" w:sz="4" w:space="0"/>
              <w:left w:val="single" w:color="auto" w:sz="4" w:space="0"/>
              <w:bottom w:val="single" w:color="auto" w:sz="4" w:space="0"/>
              <w:right w:val="single" w:color="auto" w:sz="4" w:space="0"/>
            </w:tcBorders>
            <w:vAlign w:val="center"/>
          </w:tcPr>
          <w:p w14:paraId="20BF7902">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1A2C4F95">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0C7135F">
            <w:pPr>
              <w:widowControl/>
              <w:jc w:val="center"/>
              <w:textAlignment w:val="center"/>
              <w:rPr>
                <w:rFonts w:cs="宋体"/>
                <w:color w:val="auto"/>
                <w:szCs w:val="21"/>
              </w:rPr>
            </w:pPr>
            <w:r>
              <w:rPr>
                <w:rFonts w:hint="eastAsia" w:ascii="宋体" w:hAnsi="宋体" w:cs="宋体"/>
                <w:color w:val="auto"/>
                <w:kern w:val="0"/>
                <w:szCs w:val="21"/>
                <w:lang w:bidi="ar"/>
              </w:rPr>
              <w:t>16</w:t>
            </w:r>
          </w:p>
        </w:tc>
        <w:tc>
          <w:tcPr>
            <w:tcW w:w="945" w:type="dxa"/>
            <w:tcBorders>
              <w:top w:val="single" w:color="auto" w:sz="4" w:space="0"/>
              <w:left w:val="single" w:color="auto" w:sz="4" w:space="0"/>
              <w:bottom w:val="single" w:color="auto" w:sz="4" w:space="0"/>
              <w:right w:val="single" w:color="auto" w:sz="4" w:space="0"/>
            </w:tcBorders>
            <w:vAlign w:val="center"/>
          </w:tcPr>
          <w:p w14:paraId="516BF0A5">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09DBB938">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4B71387E">
            <w:pPr>
              <w:spacing w:line="360" w:lineRule="auto"/>
              <w:jc w:val="center"/>
              <w:rPr>
                <w:rFonts w:ascii="宋体" w:hAnsi="宋体" w:cs="宋体"/>
                <w:color w:val="auto"/>
                <w:szCs w:val="21"/>
              </w:rPr>
            </w:pPr>
          </w:p>
        </w:tc>
      </w:tr>
      <w:tr w14:paraId="1FEE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50C72CDF">
            <w:pPr>
              <w:widowControl/>
              <w:jc w:val="center"/>
              <w:textAlignment w:val="center"/>
              <w:rPr>
                <w:rFonts w:ascii="宋体" w:hAnsi="宋体" w:cs="宋体"/>
                <w:color w:val="auto"/>
                <w:szCs w:val="21"/>
              </w:rPr>
            </w:pPr>
            <w:r>
              <w:rPr>
                <w:rFonts w:hint="eastAsia" w:ascii="宋体" w:hAnsi="宋体" w:cs="宋体"/>
                <w:color w:val="auto"/>
                <w:kern w:val="0"/>
                <w:szCs w:val="21"/>
                <w:lang w:bidi="ar"/>
              </w:rPr>
              <w:t>网络硬盘录像机</w:t>
            </w:r>
          </w:p>
        </w:tc>
        <w:tc>
          <w:tcPr>
            <w:tcW w:w="820" w:type="dxa"/>
            <w:tcBorders>
              <w:top w:val="single" w:color="auto" w:sz="4" w:space="0"/>
              <w:left w:val="single" w:color="auto" w:sz="4" w:space="0"/>
              <w:bottom w:val="single" w:color="auto" w:sz="4" w:space="0"/>
              <w:right w:val="single" w:color="auto" w:sz="4" w:space="0"/>
            </w:tcBorders>
            <w:vAlign w:val="center"/>
          </w:tcPr>
          <w:p w14:paraId="38CF4090">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06C12766">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56A9B55">
            <w:pPr>
              <w:widowControl/>
              <w:jc w:val="center"/>
              <w:textAlignment w:val="center"/>
              <w:rPr>
                <w:rFonts w:cs="宋体"/>
                <w:color w:val="auto"/>
                <w:szCs w:val="21"/>
              </w:rPr>
            </w:pPr>
            <w:r>
              <w:rPr>
                <w:rFonts w:hint="eastAsia" w:ascii="宋体" w:hAnsi="宋体" w:cs="宋体"/>
                <w:color w:val="auto"/>
                <w:kern w:val="0"/>
                <w:szCs w:val="21"/>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14:paraId="5B56CC46">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1D241937">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2D79D567">
            <w:pPr>
              <w:spacing w:line="360" w:lineRule="auto"/>
              <w:jc w:val="center"/>
              <w:rPr>
                <w:rFonts w:ascii="宋体" w:hAnsi="宋体" w:cs="宋体"/>
                <w:color w:val="auto"/>
                <w:szCs w:val="21"/>
              </w:rPr>
            </w:pPr>
          </w:p>
        </w:tc>
      </w:tr>
      <w:tr w14:paraId="0ED5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37D22404">
            <w:pPr>
              <w:widowControl/>
              <w:jc w:val="center"/>
              <w:textAlignment w:val="center"/>
              <w:rPr>
                <w:rFonts w:ascii="宋体" w:hAnsi="宋体" w:cs="宋体"/>
                <w:color w:val="auto"/>
                <w:szCs w:val="21"/>
              </w:rPr>
            </w:pPr>
            <w:r>
              <w:rPr>
                <w:rFonts w:hint="eastAsia" w:ascii="宋体" w:hAnsi="宋体" w:cs="宋体"/>
                <w:color w:val="auto"/>
                <w:kern w:val="0"/>
                <w:szCs w:val="21"/>
                <w:lang w:bidi="ar"/>
              </w:rPr>
              <w:t>POE交换机</w:t>
            </w:r>
          </w:p>
        </w:tc>
        <w:tc>
          <w:tcPr>
            <w:tcW w:w="820" w:type="dxa"/>
            <w:tcBorders>
              <w:top w:val="single" w:color="auto" w:sz="4" w:space="0"/>
              <w:left w:val="single" w:color="auto" w:sz="4" w:space="0"/>
              <w:bottom w:val="single" w:color="auto" w:sz="4" w:space="0"/>
              <w:right w:val="single" w:color="auto" w:sz="4" w:space="0"/>
            </w:tcBorders>
            <w:vAlign w:val="center"/>
          </w:tcPr>
          <w:p w14:paraId="072B0142">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3BE94A2B">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719E297">
            <w:pPr>
              <w:widowControl/>
              <w:jc w:val="center"/>
              <w:textAlignment w:val="center"/>
              <w:rPr>
                <w:rFonts w:cs="宋体"/>
                <w:color w:val="auto"/>
                <w:szCs w:val="21"/>
              </w:rPr>
            </w:pPr>
            <w:r>
              <w:rPr>
                <w:rFonts w:hint="eastAsia" w:ascii="宋体" w:hAnsi="宋体" w:cs="宋体"/>
                <w:color w:val="auto"/>
                <w:kern w:val="0"/>
                <w:szCs w:val="21"/>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14:paraId="39C43F0C">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279E41AA">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46A894CD">
            <w:pPr>
              <w:spacing w:line="360" w:lineRule="auto"/>
              <w:jc w:val="center"/>
              <w:rPr>
                <w:rFonts w:ascii="宋体" w:hAnsi="宋体" w:cs="宋体"/>
                <w:color w:val="auto"/>
                <w:szCs w:val="21"/>
              </w:rPr>
            </w:pPr>
          </w:p>
        </w:tc>
      </w:tr>
      <w:tr w14:paraId="4E20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2F94063A">
            <w:pPr>
              <w:widowControl/>
              <w:jc w:val="center"/>
              <w:textAlignment w:val="center"/>
              <w:rPr>
                <w:rFonts w:ascii="宋体" w:hAnsi="宋体" w:cs="宋体"/>
                <w:color w:val="auto"/>
                <w:szCs w:val="21"/>
              </w:rPr>
            </w:pPr>
            <w:r>
              <w:rPr>
                <w:rFonts w:hint="eastAsia" w:ascii="宋体" w:hAnsi="宋体" w:cs="宋体"/>
                <w:color w:val="auto"/>
                <w:kern w:val="0"/>
                <w:szCs w:val="21"/>
                <w:lang w:bidi="ar"/>
              </w:rPr>
              <w:t>智能指纹门禁一体机</w:t>
            </w:r>
          </w:p>
        </w:tc>
        <w:tc>
          <w:tcPr>
            <w:tcW w:w="820" w:type="dxa"/>
            <w:tcBorders>
              <w:top w:val="single" w:color="auto" w:sz="4" w:space="0"/>
              <w:left w:val="single" w:color="auto" w:sz="4" w:space="0"/>
              <w:bottom w:val="single" w:color="auto" w:sz="4" w:space="0"/>
              <w:right w:val="single" w:color="auto" w:sz="4" w:space="0"/>
            </w:tcBorders>
            <w:vAlign w:val="center"/>
          </w:tcPr>
          <w:p w14:paraId="3AF5B036">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27F85C8E">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34B25D5">
            <w:pPr>
              <w:widowControl/>
              <w:jc w:val="center"/>
              <w:textAlignment w:val="center"/>
              <w:rPr>
                <w:rFonts w:cs="宋体"/>
                <w:color w:val="auto"/>
                <w:szCs w:val="21"/>
              </w:rPr>
            </w:pPr>
            <w:r>
              <w:rPr>
                <w:rFonts w:hint="eastAsia" w:ascii="宋体" w:hAnsi="宋体" w:cs="宋体"/>
                <w:color w:val="auto"/>
                <w:kern w:val="0"/>
                <w:szCs w:val="21"/>
                <w:lang w:bidi="ar"/>
              </w:rPr>
              <w:t>9</w:t>
            </w:r>
          </w:p>
        </w:tc>
        <w:tc>
          <w:tcPr>
            <w:tcW w:w="945" w:type="dxa"/>
            <w:tcBorders>
              <w:top w:val="single" w:color="auto" w:sz="4" w:space="0"/>
              <w:left w:val="single" w:color="auto" w:sz="4" w:space="0"/>
              <w:bottom w:val="single" w:color="auto" w:sz="4" w:space="0"/>
              <w:right w:val="single" w:color="auto" w:sz="4" w:space="0"/>
            </w:tcBorders>
            <w:vAlign w:val="center"/>
          </w:tcPr>
          <w:p w14:paraId="25FA8AC1">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34244684">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6ECB0D4C">
            <w:pPr>
              <w:spacing w:line="360" w:lineRule="auto"/>
              <w:jc w:val="center"/>
              <w:rPr>
                <w:rFonts w:ascii="宋体" w:hAnsi="宋体" w:cs="宋体"/>
                <w:color w:val="auto"/>
                <w:szCs w:val="21"/>
              </w:rPr>
            </w:pPr>
          </w:p>
        </w:tc>
      </w:tr>
      <w:tr w14:paraId="5CEE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561FC0AE">
            <w:pPr>
              <w:widowControl/>
              <w:jc w:val="center"/>
              <w:textAlignment w:val="center"/>
              <w:rPr>
                <w:rFonts w:ascii="宋体" w:hAnsi="宋体" w:cs="宋体"/>
                <w:color w:val="auto"/>
                <w:szCs w:val="21"/>
              </w:rPr>
            </w:pPr>
            <w:r>
              <w:rPr>
                <w:rFonts w:hint="eastAsia" w:ascii="宋体" w:hAnsi="宋体" w:cs="宋体"/>
                <w:color w:val="auto"/>
                <w:kern w:val="0"/>
                <w:szCs w:val="21"/>
                <w:lang w:bidi="ar"/>
              </w:rPr>
              <w:t>矿棉吸音板</w:t>
            </w:r>
          </w:p>
        </w:tc>
        <w:tc>
          <w:tcPr>
            <w:tcW w:w="820" w:type="dxa"/>
            <w:tcBorders>
              <w:top w:val="single" w:color="auto" w:sz="4" w:space="0"/>
              <w:left w:val="single" w:color="auto" w:sz="4" w:space="0"/>
              <w:bottom w:val="single" w:color="auto" w:sz="4" w:space="0"/>
              <w:right w:val="single" w:color="auto" w:sz="4" w:space="0"/>
            </w:tcBorders>
            <w:vAlign w:val="center"/>
          </w:tcPr>
          <w:p w14:paraId="0CD1AF19">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2B5764BC">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CC8E30C">
            <w:pPr>
              <w:widowControl/>
              <w:jc w:val="center"/>
              <w:textAlignment w:val="center"/>
              <w:rPr>
                <w:rFonts w:cs="宋体"/>
                <w:color w:val="auto"/>
                <w:szCs w:val="21"/>
              </w:rPr>
            </w:pPr>
            <w:r>
              <w:rPr>
                <w:rFonts w:hint="eastAsia" w:ascii="宋体" w:hAnsi="宋体" w:cs="宋体"/>
                <w:color w:val="auto"/>
                <w:kern w:val="0"/>
                <w:szCs w:val="21"/>
                <w:lang w:bidi="ar"/>
              </w:rPr>
              <w:t>600</w:t>
            </w:r>
          </w:p>
        </w:tc>
        <w:tc>
          <w:tcPr>
            <w:tcW w:w="945" w:type="dxa"/>
            <w:tcBorders>
              <w:top w:val="single" w:color="auto" w:sz="4" w:space="0"/>
              <w:left w:val="single" w:color="auto" w:sz="4" w:space="0"/>
              <w:bottom w:val="single" w:color="auto" w:sz="4" w:space="0"/>
              <w:right w:val="single" w:color="auto" w:sz="4" w:space="0"/>
            </w:tcBorders>
            <w:vAlign w:val="center"/>
          </w:tcPr>
          <w:p w14:paraId="4EE3F6FA">
            <w:pPr>
              <w:widowControl/>
              <w:jc w:val="center"/>
              <w:textAlignment w:val="center"/>
              <w:rPr>
                <w:rFonts w:cs="宋体"/>
                <w:color w:val="auto"/>
                <w:szCs w:val="21"/>
              </w:rPr>
            </w:pPr>
            <w:r>
              <w:rPr>
                <w:rFonts w:hint="eastAsia" w:ascii="宋体" w:hAnsi="宋体" w:cs="宋体"/>
                <w:color w:val="auto"/>
                <w:kern w:val="0"/>
                <w:szCs w:val="21"/>
                <w:lang w:bidi="ar"/>
              </w:rPr>
              <w:t>㎡</w:t>
            </w:r>
          </w:p>
        </w:tc>
        <w:tc>
          <w:tcPr>
            <w:tcW w:w="1180" w:type="dxa"/>
            <w:tcBorders>
              <w:top w:val="single" w:color="auto" w:sz="4" w:space="0"/>
              <w:left w:val="single" w:color="auto" w:sz="4" w:space="0"/>
              <w:bottom w:val="single" w:color="auto" w:sz="4" w:space="0"/>
              <w:right w:val="single" w:color="auto" w:sz="4" w:space="0"/>
            </w:tcBorders>
            <w:vAlign w:val="center"/>
          </w:tcPr>
          <w:p w14:paraId="31D6F810">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36C3E8BA">
            <w:pPr>
              <w:spacing w:line="360" w:lineRule="auto"/>
              <w:jc w:val="center"/>
              <w:rPr>
                <w:rFonts w:ascii="宋体" w:hAnsi="宋体" w:cs="宋体"/>
                <w:color w:val="auto"/>
                <w:szCs w:val="21"/>
              </w:rPr>
            </w:pPr>
          </w:p>
        </w:tc>
      </w:tr>
      <w:tr w14:paraId="4440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26F5E9E6">
            <w:pPr>
              <w:widowControl/>
              <w:jc w:val="center"/>
              <w:textAlignment w:val="center"/>
              <w:rPr>
                <w:rFonts w:ascii="宋体" w:hAnsi="宋体" w:cs="宋体"/>
                <w:color w:val="auto"/>
                <w:szCs w:val="21"/>
              </w:rPr>
            </w:pPr>
            <w:r>
              <w:rPr>
                <w:rFonts w:hint="eastAsia" w:ascii="宋体" w:hAnsi="宋体" w:cs="宋体"/>
                <w:color w:val="auto"/>
                <w:kern w:val="0"/>
                <w:szCs w:val="21"/>
                <w:lang w:bidi="ar"/>
              </w:rPr>
              <w:t>全钢防静电地板</w:t>
            </w:r>
          </w:p>
        </w:tc>
        <w:tc>
          <w:tcPr>
            <w:tcW w:w="820" w:type="dxa"/>
            <w:tcBorders>
              <w:top w:val="single" w:color="auto" w:sz="4" w:space="0"/>
              <w:left w:val="single" w:color="auto" w:sz="4" w:space="0"/>
              <w:bottom w:val="single" w:color="auto" w:sz="4" w:space="0"/>
              <w:right w:val="single" w:color="auto" w:sz="4" w:space="0"/>
            </w:tcBorders>
            <w:vAlign w:val="center"/>
          </w:tcPr>
          <w:p w14:paraId="54A9749A">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58D39703">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102653B">
            <w:pPr>
              <w:widowControl/>
              <w:jc w:val="center"/>
              <w:textAlignment w:val="center"/>
              <w:rPr>
                <w:rFonts w:cs="宋体"/>
                <w:color w:val="auto"/>
                <w:szCs w:val="21"/>
              </w:rPr>
            </w:pPr>
            <w:r>
              <w:rPr>
                <w:rFonts w:hint="eastAsia" w:ascii="宋体" w:hAnsi="宋体" w:cs="宋体"/>
                <w:color w:val="auto"/>
                <w:kern w:val="0"/>
                <w:szCs w:val="21"/>
                <w:lang w:bidi="ar"/>
              </w:rPr>
              <w:t>6</w:t>
            </w:r>
          </w:p>
        </w:tc>
        <w:tc>
          <w:tcPr>
            <w:tcW w:w="945" w:type="dxa"/>
            <w:tcBorders>
              <w:top w:val="single" w:color="auto" w:sz="4" w:space="0"/>
              <w:left w:val="single" w:color="auto" w:sz="4" w:space="0"/>
              <w:bottom w:val="single" w:color="auto" w:sz="4" w:space="0"/>
              <w:right w:val="single" w:color="auto" w:sz="4" w:space="0"/>
            </w:tcBorders>
            <w:vAlign w:val="center"/>
          </w:tcPr>
          <w:p w14:paraId="4151EB30">
            <w:pPr>
              <w:widowControl/>
              <w:jc w:val="center"/>
              <w:textAlignment w:val="center"/>
              <w:rPr>
                <w:rFonts w:cs="宋体"/>
                <w:color w:val="auto"/>
                <w:szCs w:val="21"/>
              </w:rPr>
            </w:pPr>
            <w:r>
              <w:rPr>
                <w:rFonts w:hint="eastAsia" w:ascii="宋体" w:hAnsi="宋体" w:cs="宋体"/>
                <w:color w:val="auto"/>
                <w:kern w:val="0"/>
                <w:szCs w:val="21"/>
                <w:lang w:bidi="ar"/>
              </w:rPr>
              <w:t>间</w:t>
            </w:r>
          </w:p>
        </w:tc>
        <w:tc>
          <w:tcPr>
            <w:tcW w:w="1180" w:type="dxa"/>
            <w:tcBorders>
              <w:top w:val="single" w:color="auto" w:sz="4" w:space="0"/>
              <w:left w:val="single" w:color="auto" w:sz="4" w:space="0"/>
              <w:bottom w:val="single" w:color="auto" w:sz="4" w:space="0"/>
              <w:right w:val="single" w:color="auto" w:sz="4" w:space="0"/>
            </w:tcBorders>
            <w:vAlign w:val="center"/>
          </w:tcPr>
          <w:p w14:paraId="7EB88CF4">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20C93BA8">
            <w:pPr>
              <w:spacing w:line="360" w:lineRule="auto"/>
              <w:jc w:val="center"/>
              <w:rPr>
                <w:rFonts w:ascii="宋体" w:hAnsi="宋体" w:cs="宋体"/>
                <w:color w:val="auto"/>
                <w:szCs w:val="21"/>
              </w:rPr>
            </w:pPr>
          </w:p>
        </w:tc>
      </w:tr>
      <w:tr w14:paraId="3EDF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0C20A180">
            <w:pPr>
              <w:widowControl/>
              <w:jc w:val="center"/>
              <w:textAlignment w:val="center"/>
              <w:rPr>
                <w:rFonts w:ascii="宋体" w:hAnsi="宋体" w:cs="宋体"/>
                <w:color w:val="auto"/>
                <w:szCs w:val="21"/>
              </w:rPr>
            </w:pPr>
            <w:r>
              <w:rPr>
                <w:rFonts w:hint="eastAsia" w:ascii="宋体" w:hAnsi="宋体" w:cs="宋体"/>
                <w:color w:val="auto"/>
                <w:kern w:val="0"/>
                <w:szCs w:val="21"/>
                <w:lang w:bidi="ar"/>
              </w:rPr>
              <w:t>机房运维管控系统</w:t>
            </w:r>
          </w:p>
        </w:tc>
        <w:tc>
          <w:tcPr>
            <w:tcW w:w="820" w:type="dxa"/>
            <w:tcBorders>
              <w:top w:val="single" w:color="auto" w:sz="4" w:space="0"/>
              <w:left w:val="single" w:color="auto" w:sz="4" w:space="0"/>
              <w:bottom w:val="single" w:color="auto" w:sz="4" w:space="0"/>
              <w:right w:val="single" w:color="auto" w:sz="4" w:space="0"/>
            </w:tcBorders>
            <w:vAlign w:val="center"/>
          </w:tcPr>
          <w:p w14:paraId="70E8E8D1">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6C137B56">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3DC0F32">
            <w:pPr>
              <w:widowControl/>
              <w:jc w:val="center"/>
              <w:textAlignment w:val="center"/>
              <w:rPr>
                <w:rFonts w:cs="宋体"/>
                <w:color w:val="auto"/>
                <w:szCs w:val="21"/>
              </w:rPr>
            </w:pPr>
            <w:r>
              <w:rPr>
                <w:rFonts w:hint="eastAsia" w:ascii="宋体" w:hAnsi="宋体" w:cs="宋体"/>
                <w:color w:val="auto"/>
                <w:kern w:val="0"/>
                <w:szCs w:val="21"/>
                <w:lang w:bidi="ar"/>
              </w:rPr>
              <w:t>1</w:t>
            </w:r>
          </w:p>
        </w:tc>
        <w:tc>
          <w:tcPr>
            <w:tcW w:w="945" w:type="dxa"/>
            <w:tcBorders>
              <w:top w:val="single" w:color="auto" w:sz="4" w:space="0"/>
              <w:left w:val="single" w:color="auto" w:sz="4" w:space="0"/>
              <w:bottom w:val="single" w:color="auto" w:sz="4" w:space="0"/>
              <w:right w:val="single" w:color="auto" w:sz="4" w:space="0"/>
            </w:tcBorders>
            <w:vAlign w:val="center"/>
          </w:tcPr>
          <w:p w14:paraId="395B69E6">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63B96A6B">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020A393F">
            <w:pPr>
              <w:spacing w:line="360" w:lineRule="auto"/>
              <w:jc w:val="center"/>
              <w:rPr>
                <w:rFonts w:ascii="宋体" w:hAnsi="宋体" w:cs="宋体"/>
                <w:color w:val="auto"/>
                <w:szCs w:val="21"/>
              </w:rPr>
            </w:pPr>
          </w:p>
        </w:tc>
      </w:tr>
      <w:tr w14:paraId="3418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4EBE69C4">
            <w:pPr>
              <w:widowControl/>
              <w:jc w:val="center"/>
              <w:textAlignment w:val="center"/>
              <w:rPr>
                <w:rFonts w:ascii="宋体" w:hAnsi="宋体" w:cs="宋体"/>
                <w:color w:val="auto"/>
                <w:szCs w:val="21"/>
              </w:rPr>
            </w:pPr>
            <w:r>
              <w:rPr>
                <w:rFonts w:hint="eastAsia" w:ascii="宋体" w:hAnsi="宋体" w:cs="宋体"/>
                <w:color w:val="auto"/>
                <w:kern w:val="0"/>
                <w:szCs w:val="21"/>
                <w:lang w:bidi="ar"/>
              </w:rPr>
              <w:t>精密空调</w:t>
            </w:r>
          </w:p>
        </w:tc>
        <w:tc>
          <w:tcPr>
            <w:tcW w:w="820" w:type="dxa"/>
            <w:tcBorders>
              <w:top w:val="single" w:color="auto" w:sz="4" w:space="0"/>
              <w:left w:val="single" w:color="auto" w:sz="4" w:space="0"/>
              <w:bottom w:val="single" w:color="auto" w:sz="4" w:space="0"/>
              <w:right w:val="single" w:color="auto" w:sz="4" w:space="0"/>
            </w:tcBorders>
            <w:vAlign w:val="center"/>
          </w:tcPr>
          <w:p w14:paraId="6E50E87D">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05B5ACA0">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4035FB1">
            <w:pPr>
              <w:widowControl/>
              <w:jc w:val="center"/>
              <w:textAlignment w:val="center"/>
              <w:rPr>
                <w:rFonts w:cs="宋体"/>
                <w:color w:val="auto"/>
                <w:szCs w:val="21"/>
              </w:rPr>
            </w:pPr>
            <w:r>
              <w:rPr>
                <w:rFonts w:hint="eastAsia" w:ascii="宋体" w:hAnsi="宋体" w:cs="宋体"/>
                <w:color w:val="auto"/>
                <w:szCs w:val="21"/>
              </w:rPr>
              <w:t>2</w:t>
            </w:r>
          </w:p>
        </w:tc>
        <w:tc>
          <w:tcPr>
            <w:tcW w:w="945" w:type="dxa"/>
            <w:tcBorders>
              <w:top w:val="single" w:color="auto" w:sz="4" w:space="0"/>
              <w:left w:val="single" w:color="auto" w:sz="4" w:space="0"/>
              <w:bottom w:val="single" w:color="auto" w:sz="4" w:space="0"/>
              <w:right w:val="single" w:color="auto" w:sz="4" w:space="0"/>
            </w:tcBorders>
            <w:vAlign w:val="center"/>
          </w:tcPr>
          <w:p w14:paraId="5BB2E83E">
            <w:pPr>
              <w:widowControl/>
              <w:jc w:val="center"/>
              <w:textAlignment w:val="center"/>
              <w:rPr>
                <w:rFonts w:cs="宋体"/>
                <w:color w:val="auto"/>
                <w:szCs w:val="21"/>
              </w:rPr>
            </w:pPr>
            <w:r>
              <w:rPr>
                <w:rFonts w:hint="eastAsia" w:ascii="宋体" w:hAnsi="宋体" w:cs="宋体"/>
                <w:color w:val="auto"/>
                <w:kern w:val="0"/>
                <w:szCs w:val="21"/>
                <w:lang w:bidi="ar"/>
              </w:rPr>
              <w:t>套</w:t>
            </w:r>
          </w:p>
        </w:tc>
        <w:tc>
          <w:tcPr>
            <w:tcW w:w="1180" w:type="dxa"/>
            <w:tcBorders>
              <w:top w:val="single" w:color="auto" w:sz="4" w:space="0"/>
              <w:left w:val="single" w:color="auto" w:sz="4" w:space="0"/>
              <w:bottom w:val="single" w:color="auto" w:sz="4" w:space="0"/>
              <w:right w:val="single" w:color="auto" w:sz="4" w:space="0"/>
            </w:tcBorders>
            <w:vAlign w:val="center"/>
          </w:tcPr>
          <w:p w14:paraId="77946CBA">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6598D64E">
            <w:pPr>
              <w:spacing w:line="360" w:lineRule="auto"/>
              <w:jc w:val="center"/>
              <w:rPr>
                <w:rFonts w:ascii="宋体" w:hAnsi="宋体" w:cs="宋体"/>
                <w:color w:val="auto"/>
                <w:szCs w:val="21"/>
              </w:rPr>
            </w:pPr>
          </w:p>
        </w:tc>
      </w:tr>
      <w:tr w14:paraId="60E7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70045D2B">
            <w:pPr>
              <w:widowControl/>
              <w:jc w:val="center"/>
              <w:textAlignment w:val="center"/>
              <w:rPr>
                <w:rFonts w:ascii="宋体" w:hAnsi="宋体" w:cs="宋体"/>
                <w:color w:val="auto"/>
                <w:szCs w:val="21"/>
              </w:rPr>
            </w:pPr>
            <w:r>
              <w:rPr>
                <w:rFonts w:hint="eastAsia" w:ascii="宋体" w:hAnsi="宋体" w:cs="宋体"/>
                <w:color w:val="auto"/>
                <w:kern w:val="0"/>
                <w:szCs w:val="21"/>
                <w:lang w:bidi="ar"/>
              </w:rPr>
              <w:t>42U机柜</w:t>
            </w:r>
          </w:p>
        </w:tc>
        <w:tc>
          <w:tcPr>
            <w:tcW w:w="820" w:type="dxa"/>
            <w:tcBorders>
              <w:top w:val="single" w:color="auto" w:sz="4" w:space="0"/>
              <w:left w:val="single" w:color="auto" w:sz="4" w:space="0"/>
              <w:bottom w:val="single" w:color="auto" w:sz="4" w:space="0"/>
              <w:right w:val="single" w:color="auto" w:sz="4" w:space="0"/>
            </w:tcBorders>
            <w:vAlign w:val="center"/>
          </w:tcPr>
          <w:p w14:paraId="007F2266">
            <w:pPr>
              <w:spacing w:line="360" w:lineRule="auto"/>
              <w:jc w:val="center"/>
              <w:rPr>
                <w:rFonts w:ascii="宋体" w:hAnsi="宋体" w:cs="宋体"/>
                <w:color w:val="auto"/>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6AAB2F33">
            <w:pPr>
              <w:spacing w:line="360" w:lineRule="auto"/>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E0C2A2A">
            <w:pPr>
              <w:widowControl/>
              <w:jc w:val="center"/>
              <w:textAlignment w:val="center"/>
              <w:rPr>
                <w:rFonts w:cs="宋体"/>
                <w:color w:val="auto"/>
                <w:szCs w:val="21"/>
              </w:rPr>
            </w:pPr>
            <w:r>
              <w:rPr>
                <w:rFonts w:hint="eastAsia" w:ascii="宋体" w:hAnsi="宋体" w:cs="宋体"/>
                <w:color w:val="auto"/>
                <w:kern w:val="0"/>
                <w:szCs w:val="21"/>
                <w:lang w:bidi="ar"/>
              </w:rPr>
              <w:t>3</w:t>
            </w:r>
          </w:p>
        </w:tc>
        <w:tc>
          <w:tcPr>
            <w:tcW w:w="945" w:type="dxa"/>
            <w:tcBorders>
              <w:top w:val="single" w:color="auto" w:sz="4" w:space="0"/>
              <w:left w:val="single" w:color="auto" w:sz="4" w:space="0"/>
              <w:bottom w:val="single" w:color="auto" w:sz="4" w:space="0"/>
              <w:right w:val="single" w:color="auto" w:sz="4" w:space="0"/>
            </w:tcBorders>
            <w:vAlign w:val="center"/>
          </w:tcPr>
          <w:p w14:paraId="08009BEC">
            <w:pPr>
              <w:widowControl/>
              <w:jc w:val="center"/>
              <w:textAlignment w:val="center"/>
              <w:rPr>
                <w:rFonts w:cs="宋体"/>
                <w:color w:val="auto"/>
                <w:szCs w:val="21"/>
              </w:rPr>
            </w:pPr>
            <w:r>
              <w:rPr>
                <w:rFonts w:hint="eastAsia" w:ascii="宋体" w:hAnsi="宋体" w:cs="宋体"/>
                <w:color w:val="auto"/>
                <w:kern w:val="0"/>
                <w:szCs w:val="21"/>
                <w:lang w:bidi="ar"/>
              </w:rPr>
              <w:t>台</w:t>
            </w:r>
          </w:p>
        </w:tc>
        <w:tc>
          <w:tcPr>
            <w:tcW w:w="1180" w:type="dxa"/>
            <w:tcBorders>
              <w:top w:val="single" w:color="auto" w:sz="4" w:space="0"/>
              <w:left w:val="single" w:color="auto" w:sz="4" w:space="0"/>
              <w:bottom w:val="single" w:color="auto" w:sz="4" w:space="0"/>
              <w:right w:val="single" w:color="auto" w:sz="4" w:space="0"/>
            </w:tcBorders>
            <w:vAlign w:val="center"/>
          </w:tcPr>
          <w:p w14:paraId="057A5FA8">
            <w:pPr>
              <w:spacing w:line="360" w:lineRule="auto"/>
              <w:jc w:val="center"/>
              <w:rPr>
                <w:rFonts w:ascii="宋体" w:hAnsi="宋体" w:cs="宋体"/>
                <w:color w:val="auto"/>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7F9A846B">
            <w:pPr>
              <w:spacing w:line="360" w:lineRule="auto"/>
              <w:jc w:val="center"/>
              <w:rPr>
                <w:rFonts w:ascii="宋体" w:hAnsi="宋体" w:cs="宋体"/>
                <w:color w:val="auto"/>
                <w:szCs w:val="21"/>
              </w:rPr>
            </w:pPr>
          </w:p>
        </w:tc>
      </w:tr>
      <w:tr w14:paraId="4513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22" w:type="dxa"/>
            <w:tcBorders>
              <w:top w:val="single" w:color="auto" w:sz="4" w:space="0"/>
              <w:left w:val="single" w:color="auto" w:sz="4" w:space="0"/>
              <w:bottom w:val="single" w:color="auto" w:sz="4" w:space="0"/>
              <w:right w:val="single" w:color="auto" w:sz="4" w:space="0"/>
            </w:tcBorders>
            <w:vAlign w:val="center"/>
          </w:tcPr>
          <w:p w14:paraId="288A822A">
            <w:pPr>
              <w:spacing w:line="360" w:lineRule="auto"/>
              <w:jc w:val="center"/>
              <w:rPr>
                <w:rFonts w:ascii="宋体" w:hAnsi="宋体" w:cs="宋体"/>
                <w:color w:val="auto"/>
                <w:szCs w:val="21"/>
              </w:rPr>
            </w:pPr>
            <w:r>
              <w:rPr>
                <w:rFonts w:hint="eastAsia" w:ascii="宋体" w:hAnsi="宋体" w:cs="宋体"/>
                <w:color w:val="auto"/>
                <w:szCs w:val="21"/>
              </w:rPr>
              <w:t>合计</w:t>
            </w:r>
          </w:p>
        </w:tc>
        <w:tc>
          <w:tcPr>
            <w:tcW w:w="7398" w:type="dxa"/>
            <w:gridSpan w:val="6"/>
            <w:tcBorders>
              <w:top w:val="single" w:color="auto" w:sz="4" w:space="0"/>
              <w:left w:val="single" w:color="auto" w:sz="4" w:space="0"/>
              <w:bottom w:val="single" w:color="auto" w:sz="4" w:space="0"/>
              <w:right w:val="single" w:color="auto" w:sz="4" w:space="0"/>
            </w:tcBorders>
            <w:vAlign w:val="center"/>
          </w:tcPr>
          <w:p w14:paraId="48682827">
            <w:pPr>
              <w:spacing w:line="360" w:lineRule="auto"/>
              <w:jc w:val="center"/>
              <w:rPr>
                <w:rFonts w:ascii="宋体" w:hAnsi="宋体" w:cs="宋体"/>
                <w:color w:val="auto"/>
                <w:szCs w:val="21"/>
              </w:rPr>
            </w:pPr>
          </w:p>
        </w:tc>
      </w:tr>
    </w:tbl>
    <w:p w14:paraId="5E95A3BB">
      <w:pPr>
        <w:spacing w:line="360" w:lineRule="auto"/>
        <w:ind w:firstLine="420" w:firstLineChars="200"/>
        <w:rPr>
          <w:rFonts w:ascii="宋体" w:hAnsi="宋体" w:cs="宋体"/>
          <w:color w:val="auto"/>
          <w:szCs w:val="21"/>
        </w:rPr>
      </w:pPr>
      <w:r>
        <w:rPr>
          <w:rFonts w:hint="eastAsia" w:ascii="宋体" w:hAnsi="宋体" w:cs="宋体"/>
          <w:color w:val="auto"/>
          <w:szCs w:val="21"/>
        </w:rPr>
        <w:t>详细的设备明细附后。</w:t>
      </w:r>
    </w:p>
    <w:p w14:paraId="19FCBF65">
      <w:pPr>
        <w:spacing w:line="360" w:lineRule="auto"/>
        <w:ind w:firstLine="413" w:firstLineChars="196"/>
        <w:rPr>
          <w:rFonts w:ascii="宋体" w:hAnsi="宋体" w:cs="宋体"/>
          <w:color w:val="auto"/>
          <w:szCs w:val="21"/>
        </w:rPr>
      </w:pPr>
      <w:r>
        <w:rPr>
          <w:rFonts w:hint="eastAsia" w:ascii="宋体" w:hAnsi="宋体" w:cs="宋体"/>
          <w:b/>
          <w:color w:val="auto"/>
          <w:szCs w:val="21"/>
        </w:rPr>
        <w:t>二、随机资料和配套附属设备要求</w:t>
      </w:r>
    </w:p>
    <w:p w14:paraId="34A3C204">
      <w:pPr>
        <w:spacing w:line="360" w:lineRule="auto"/>
        <w:ind w:firstLine="413" w:firstLineChars="196"/>
        <w:rPr>
          <w:rFonts w:ascii="宋体" w:hAnsi="宋体" w:cs="宋体"/>
          <w:color w:val="auto"/>
          <w:szCs w:val="21"/>
        </w:rPr>
      </w:pPr>
      <w:r>
        <w:rPr>
          <w:rFonts w:hint="eastAsia" w:ascii="宋体" w:hAnsi="宋体" w:cs="宋体"/>
          <w:b/>
          <w:color w:val="auto"/>
          <w:szCs w:val="21"/>
        </w:rPr>
        <w:t>三、产品使用要求</w:t>
      </w:r>
    </w:p>
    <w:p w14:paraId="7BC82333">
      <w:pPr>
        <w:spacing w:line="360" w:lineRule="auto"/>
        <w:ind w:firstLine="480"/>
        <w:rPr>
          <w:rFonts w:ascii="宋体" w:hAnsi="宋体" w:cs="宋体"/>
          <w:color w:val="auto"/>
          <w:szCs w:val="21"/>
        </w:rPr>
      </w:pPr>
      <w:r>
        <w:rPr>
          <w:rFonts w:hint="eastAsia" w:ascii="宋体" w:hAnsi="宋体" w:cs="宋体"/>
          <w:color w:val="auto"/>
          <w:szCs w:val="21"/>
        </w:rPr>
        <w:t xml:space="preserve">产品使用符合 </w:t>
      </w:r>
      <w:r>
        <w:rPr>
          <w:rFonts w:hint="eastAsia" w:ascii="宋体" w:hAnsi="宋体" w:cs="宋体"/>
          <w:color w:val="auto"/>
          <w:szCs w:val="21"/>
          <w:u w:val="single"/>
        </w:rPr>
        <w:t xml:space="preserve">   国家现行  </w:t>
      </w:r>
      <w:r>
        <w:rPr>
          <w:rFonts w:hint="eastAsia" w:ascii="宋体" w:hAnsi="宋体" w:cs="宋体"/>
          <w:color w:val="auto"/>
          <w:szCs w:val="21"/>
        </w:rPr>
        <w:t>标准，并满足甲方技术要求。</w:t>
      </w:r>
    </w:p>
    <w:p w14:paraId="5A62398F">
      <w:pPr>
        <w:spacing w:line="360" w:lineRule="auto"/>
        <w:ind w:firstLine="413" w:firstLineChars="196"/>
        <w:rPr>
          <w:rFonts w:ascii="宋体" w:hAnsi="宋体" w:cs="宋体"/>
          <w:b/>
          <w:color w:val="auto"/>
          <w:szCs w:val="21"/>
        </w:rPr>
      </w:pPr>
      <w:r>
        <w:rPr>
          <w:rFonts w:hint="eastAsia" w:ascii="宋体" w:hAnsi="宋体" w:cs="宋体"/>
          <w:b/>
          <w:color w:val="auto"/>
          <w:szCs w:val="21"/>
        </w:rPr>
        <w:t>四、配套设备要求及长期供应优惠条件</w:t>
      </w:r>
    </w:p>
    <w:p w14:paraId="79C86E76">
      <w:pPr>
        <w:spacing w:line="360" w:lineRule="auto"/>
        <w:ind w:firstLine="413" w:firstLineChars="196"/>
        <w:rPr>
          <w:rFonts w:ascii="宋体" w:hAnsi="宋体" w:cs="宋体"/>
          <w:color w:val="auto"/>
          <w:szCs w:val="21"/>
        </w:rPr>
      </w:pPr>
      <w:r>
        <w:rPr>
          <w:rFonts w:hint="eastAsia" w:ascii="宋体" w:hAnsi="宋体" w:cs="宋体"/>
          <w:b/>
          <w:color w:val="auto"/>
          <w:szCs w:val="21"/>
        </w:rPr>
        <w:t>五、备品备件（含易损件）要求及长期供应优惠条件</w:t>
      </w:r>
    </w:p>
    <w:p w14:paraId="725FB3A2">
      <w:pPr>
        <w:spacing w:line="360" w:lineRule="auto"/>
        <w:ind w:firstLine="413" w:firstLineChars="196"/>
        <w:rPr>
          <w:rFonts w:ascii="宋体" w:hAnsi="宋体" w:cs="宋体"/>
          <w:color w:val="auto"/>
          <w:szCs w:val="21"/>
        </w:rPr>
      </w:pPr>
      <w:r>
        <w:rPr>
          <w:rFonts w:hint="eastAsia" w:ascii="宋体" w:hAnsi="宋体" w:cs="宋体"/>
          <w:b/>
          <w:color w:val="auto"/>
          <w:szCs w:val="21"/>
        </w:rPr>
        <w:t xml:space="preserve">六、合同总价（大写）：人民币                    元整，  </w:t>
      </w:r>
      <w:r>
        <w:rPr>
          <w:rFonts w:hint="eastAsia" w:ascii="宋体" w:hAnsi="宋体" w:cs="宋体"/>
          <w:color w:val="auto"/>
          <w:szCs w:val="21"/>
        </w:rPr>
        <w:t xml:space="preserve">小写：¥         </w:t>
      </w:r>
      <w:r>
        <w:rPr>
          <w:rFonts w:hint="eastAsia" w:ascii="宋体" w:hAnsi="宋体" w:cs="宋体"/>
          <w:b/>
          <w:bCs/>
          <w:color w:val="auto"/>
          <w:szCs w:val="21"/>
        </w:rPr>
        <w:t>元。</w:t>
      </w:r>
    </w:p>
    <w:p w14:paraId="43FB006E">
      <w:pPr>
        <w:spacing w:line="360" w:lineRule="auto"/>
        <w:ind w:firstLine="480"/>
        <w:rPr>
          <w:rFonts w:ascii="宋体" w:hAnsi="宋体" w:cs="宋体"/>
          <w:color w:val="auto"/>
          <w:szCs w:val="21"/>
        </w:rPr>
      </w:pPr>
      <w:r>
        <w:rPr>
          <w:rFonts w:hint="eastAsia" w:ascii="宋体" w:hAnsi="宋体" w:cs="宋体"/>
          <w:color w:val="auto"/>
          <w:szCs w:val="21"/>
        </w:rPr>
        <w:t>以上价格为甲方指定地点统一交货价并包含安装运输调试及培训、售后服务等的全部费用，合同总价外乙方不得再向甲方收取任何费用，甲方有权拒付合同总价外的任何费用。</w:t>
      </w:r>
    </w:p>
    <w:p w14:paraId="3369175D">
      <w:pPr>
        <w:spacing w:line="360" w:lineRule="auto"/>
        <w:ind w:firstLine="413" w:firstLineChars="196"/>
        <w:rPr>
          <w:rFonts w:ascii="宋体" w:hAnsi="宋体" w:cs="宋体"/>
          <w:color w:val="auto"/>
          <w:szCs w:val="21"/>
        </w:rPr>
      </w:pPr>
      <w:r>
        <w:rPr>
          <w:rFonts w:hint="eastAsia" w:ascii="宋体" w:hAnsi="宋体" w:cs="宋体"/>
          <w:b/>
          <w:color w:val="auto"/>
          <w:szCs w:val="21"/>
        </w:rPr>
        <w:t>七、甲乙双方的权利和义务</w:t>
      </w:r>
    </w:p>
    <w:p w14:paraId="6589CB2E">
      <w:pPr>
        <w:spacing w:line="360" w:lineRule="auto"/>
        <w:ind w:firstLine="315" w:firstLineChars="150"/>
        <w:rPr>
          <w:rFonts w:ascii="宋体" w:hAnsi="宋体" w:cs="宋体"/>
          <w:color w:val="auto"/>
          <w:szCs w:val="21"/>
        </w:rPr>
      </w:pPr>
      <w:r>
        <w:rPr>
          <w:rFonts w:hint="eastAsia" w:ascii="宋体" w:hAnsi="宋体" w:cs="宋体"/>
          <w:color w:val="auto"/>
          <w:szCs w:val="21"/>
        </w:rPr>
        <w:t>（一）甲方的权利和义务</w:t>
      </w:r>
    </w:p>
    <w:p w14:paraId="0CA18A49">
      <w:pPr>
        <w:spacing w:line="360" w:lineRule="auto"/>
        <w:ind w:firstLine="420" w:firstLineChars="200"/>
        <w:rPr>
          <w:rFonts w:ascii="宋体" w:hAnsi="宋体" w:cs="宋体"/>
          <w:color w:val="auto"/>
          <w:szCs w:val="21"/>
        </w:rPr>
      </w:pPr>
      <w:r>
        <w:rPr>
          <w:rFonts w:hint="eastAsia" w:ascii="宋体" w:hAnsi="宋体" w:cs="宋体"/>
          <w:color w:val="auto"/>
          <w:szCs w:val="21"/>
        </w:rPr>
        <w:t>1.负责合同签订</w:t>
      </w:r>
      <w:r>
        <w:rPr>
          <w:rStyle w:val="83"/>
          <w:rFonts w:hint="eastAsia" w:ascii="宋体" w:hAnsi="宋体" w:cs="宋体"/>
          <w:color w:val="auto"/>
          <w:szCs w:val="21"/>
        </w:rPr>
        <w:t>后的项目</w:t>
      </w:r>
      <w:r>
        <w:rPr>
          <w:rFonts w:hint="eastAsia" w:ascii="宋体" w:hAnsi="宋体" w:cs="宋体"/>
          <w:color w:val="auto"/>
          <w:szCs w:val="21"/>
        </w:rPr>
        <w:t>实施工作（如与乙方的具体联系和衔接，现场安装调试时配备人员进行监管控制等）；</w:t>
      </w:r>
    </w:p>
    <w:p w14:paraId="3490D32E">
      <w:pPr>
        <w:spacing w:line="360" w:lineRule="auto"/>
        <w:ind w:firstLine="420" w:firstLineChars="200"/>
        <w:rPr>
          <w:rFonts w:ascii="宋体" w:hAnsi="宋体" w:cs="宋体"/>
          <w:color w:val="auto"/>
          <w:szCs w:val="21"/>
        </w:rPr>
      </w:pPr>
      <w:r>
        <w:rPr>
          <w:rFonts w:hint="eastAsia" w:ascii="宋体" w:hAnsi="宋体" w:cs="宋体"/>
          <w:color w:val="auto"/>
          <w:szCs w:val="21"/>
        </w:rPr>
        <w:t>2.负责提供设备和项目安装调试所必须的场地和环境；</w:t>
      </w:r>
    </w:p>
    <w:p w14:paraId="72756B66">
      <w:pPr>
        <w:spacing w:line="360" w:lineRule="auto"/>
        <w:ind w:firstLine="420" w:firstLineChars="200"/>
        <w:rPr>
          <w:rFonts w:ascii="宋体" w:hAnsi="宋体" w:cs="宋体"/>
          <w:color w:val="auto"/>
          <w:szCs w:val="21"/>
        </w:rPr>
      </w:pPr>
      <w:r>
        <w:rPr>
          <w:rFonts w:hint="eastAsia" w:ascii="宋体" w:hAnsi="宋体" w:cs="宋体"/>
          <w:color w:val="auto"/>
          <w:szCs w:val="21"/>
        </w:rPr>
        <w:t>3.负责对设备和项目进行验收并签署验收报告；</w:t>
      </w:r>
    </w:p>
    <w:p w14:paraId="369A2136">
      <w:pPr>
        <w:spacing w:line="360" w:lineRule="auto"/>
        <w:ind w:firstLine="420" w:firstLineChars="200"/>
        <w:rPr>
          <w:rFonts w:ascii="宋体" w:hAnsi="宋体" w:cs="宋体"/>
          <w:color w:val="auto"/>
          <w:szCs w:val="21"/>
        </w:rPr>
      </w:pPr>
      <w:r>
        <w:rPr>
          <w:rFonts w:hint="eastAsia" w:ascii="宋体" w:hAnsi="宋体" w:cs="宋体"/>
          <w:color w:val="auto"/>
          <w:szCs w:val="21"/>
        </w:rPr>
        <w:t>4.按合同约定享有乙方提供的设备服务。</w:t>
      </w:r>
    </w:p>
    <w:p w14:paraId="536DC9B2">
      <w:pPr>
        <w:spacing w:line="360" w:lineRule="auto"/>
        <w:ind w:firstLine="315" w:firstLineChars="150"/>
        <w:rPr>
          <w:rFonts w:ascii="宋体" w:hAnsi="宋体" w:cs="宋体"/>
          <w:color w:val="auto"/>
          <w:szCs w:val="21"/>
        </w:rPr>
      </w:pPr>
      <w:r>
        <w:rPr>
          <w:rFonts w:hint="eastAsia" w:ascii="宋体" w:hAnsi="宋体" w:cs="宋体"/>
          <w:color w:val="auto"/>
          <w:szCs w:val="21"/>
        </w:rPr>
        <w:t>（二）乙方的权利和义务</w:t>
      </w:r>
    </w:p>
    <w:p w14:paraId="44A22178">
      <w:pPr>
        <w:spacing w:line="360" w:lineRule="auto"/>
        <w:ind w:firstLine="420" w:firstLineChars="200"/>
        <w:rPr>
          <w:rFonts w:ascii="宋体" w:hAnsi="宋体" w:cs="宋体"/>
          <w:color w:val="auto"/>
          <w:szCs w:val="21"/>
        </w:rPr>
      </w:pPr>
      <w:r>
        <w:rPr>
          <w:rFonts w:hint="eastAsia" w:ascii="宋体" w:hAnsi="宋体" w:cs="宋体"/>
          <w:color w:val="auto"/>
          <w:szCs w:val="21"/>
        </w:rPr>
        <w:t>1.乙方保证按</w:t>
      </w:r>
      <w:r>
        <w:rPr>
          <w:rStyle w:val="83"/>
          <w:rFonts w:hint="eastAsia" w:ascii="宋体" w:hAnsi="宋体" w:cs="宋体"/>
          <w:color w:val="auto"/>
          <w:szCs w:val="21"/>
        </w:rPr>
        <w:t>本合同</w:t>
      </w:r>
      <w:r>
        <w:rPr>
          <w:rFonts w:hint="eastAsia" w:ascii="宋体" w:hAnsi="宋体" w:cs="宋体"/>
          <w:color w:val="auto"/>
          <w:szCs w:val="21"/>
        </w:rPr>
        <w:t>一、二、三、四、五条款负责完成甲方项目，并保证提供的设备是全新（包括零部件）、符合招标文件约定、具有国家有关部门注册并符合国家质量检测标准（进口产品具有国家有关部门完整手续）和产品出厂标准的设备，各项技术参数符合招标文件要求和乙方投标文件承诺；设备及主要配件质保期为验收合格之日起（  ）年，并保证设备正常使用，报废</w:t>
      </w:r>
      <w:r>
        <w:rPr>
          <w:rStyle w:val="83"/>
          <w:rFonts w:hint="eastAsia" w:ascii="宋体" w:hAnsi="宋体" w:cs="宋体"/>
          <w:color w:val="auto"/>
          <w:szCs w:val="21"/>
        </w:rPr>
        <w:t>前正常</w:t>
      </w:r>
      <w:r>
        <w:rPr>
          <w:rFonts w:hint="eastAsia" w:ascii="宋体" w:hAnsi="宋体" w:cs="宋体"/>
          <w:color w:val="auto"/>
          <w:szCs w:val="21"/>
        </w:rPr>
        <w:t>运行。具体服务：</w:t>
      </w:r>
      <w:r>
        <w:rPr>
          <w:rFonts w:hint="eastAsia" w:asciiTheme="minorEastAsia" w:hAnsiTheme="minorEastAsia" w:eastAsiaTheme="minorEastAsia" w:cstheme="minorEastAsia"/>
          <w:color w:val="auto"/>
          <w:szCs w:val="21"/>
        </w:rPr>
        <w:t>质保期内提供免费更新维护升级，提供终身技术支持服务。乙方提供免费驻场服务，驻场服务及维修人员在收到售后使用协助或故障报告后，常规类协助或故障保证</w:t>
      </w:r>
      <w:r>
        <w:rPr>
          <w:rFonts w:hint="eastAsia" w:ascii="宋体" w:hAnsi="宋体" w:cs="宋体"/>
          <w:color w:val="auto"/>
          <w:szCs w:val="21"/>
        </w:rPr>
        <w:t>（  ）</w:t>
      </w:r>
      <w:r>
        <w:rPr>
          <w:rFonts w:hint="eastAsia" w:asciiTheme="minorEastAsia" w:hAnsiTheme="minorEastAsia" w:eastAsiaTheme="minorEastAsia" w:cstheme="minorEastAsia"/>
          <w:color w:val="auto"/>
          <w:szCs w:val="21"/>
        </w:rPr>
        <w:t>小时内响应解决，如无法在线解决，保证</w:t>
      </w:r>
      <w:r>
        <w:rPr>
          <w:rFonts w:hint="eastAsia" w:ascii="宋体" w:hAnsi="宋体" w:cs="宋体"/>
          <w:color w:val="auto"/>
          <w:szCs w:val="21"/>
        </w:rPr>
        <w:t>（  ）</w:t>
      </w:r>
      <w:r>
        <w:rPr>
          <w:rFonts w:hint="eastAsia" w:asciiTheme="minorEastAsia" w:hAnsiTheme="minorEastAsia" w:eastAsiaTheme="minorEastAsia" w:cstheme="minorEastAsia"/>
          <w:color w:val="auto"/>
          <w:szCs w:val="21"/>
        </w:rPr>
        <w:t>小时内到达现场解决，复杂类协助或故障保证在</w:t>
      </w:r>
      <w:r>
        <w:rPr>
          <w:rFonts w:hint="eastAsia" w:ascii="宋体" w:hAnsi="宋体" w:cs="宋体"/>
          <w:color w:val="auto"/>
          <w:szCs w:val="21"/>
        </w:rPr>
        <w:t>（  ）</w:t>
      </w:r>
      <w:r>
        <w:rPr>
          <w:rFonts w:hint="eastAsia" w:asciiTheme="minorEastAsia" w:hAnsiTheme="minorEastAsia" w:eastAsiaTheme="minorEastAsia" w:cstheme="minorEastAsia"/>
          <w:color w:val="auto"/>
          <w:szCs w:val="21"/>
        </w:rPr>
        <w:t>天内响应解决；</w:t>
      </w:r>
      <w:r>
        <w:rPr>
          <w:rFonts w:hint="eastAsia" w:asciiTheme="minorEastAsia" w:hAnsiTheme="minorEastAsia" w:eastAsiaTheme="minorEastAsia" w:cstheme="minorEastAsia"/>
          <w:color w:val="auto"/>
          <w:szCs w:val="21"/>
          <w:lang w:val="en-US" w:eastAsia="zh-CN"/>
        </w:rPr>
        <w:t>乙方</w:t>
      </w:r>
      <w:r>
        <w:rPr>
          <w:rFonts w:hint="eastAsia" w:asciiTheme="minorEastAsia" w:hAnsiTheme="minorEastAsia" w:eastAsiaTheme="minorEastAsia" w:cstheme="minorEastAsia"/>
          <w:color w:val="auto"/>
          <w:szCs w:val="21"/>
        </w:rPr>
        <w:t>保证在甲方指定地点供应备品备件（含易损件）和配套消耗品；</w:t>
      </w:r>
      <w:r>
        <w:rPr>
          <w:rFonts w:hint="eastAsia" w:asciiTheme="minorEastAsia" w:hAnsiTheme="minorEastAsia" w:eastAsiaTheme="minorEastAsia" w:cstheme="minorEastAsia"/>
          <w:color w:val="auto"/>
          <w:szCs w:val="21"/>
          <w:lang w:val="en-US" w:eastAsia="zh-CN"/>
        </w:rPr>
        <w:t>乙方</w:t>
      </w:r>
      <w:r>
        <w:rPr>
          <w:rFonts w:hint="eastAsia" w:asciiTheme="minorEastAsia" w:hAnsiTheme="minorEastAsia" w:eastAsiaTheme="minorEastAsia" w:cstheme="minorEastAsia"/>
          <w:color w:val="auto"/>
          <w:szCs w:val="21"/>
        </w:rPr>
        <w:t>对所提供的设备实行每</w:t>
      </w:r>
      <w:r>
        <w:rPr>
          <w:rFonts w:hint="eastAsia" w:ascii="宋体" w:hAnsi="宋体" w:cs="宋体"/>
          <w:color w:val="auto"/>
          <w:szCs w:val="21"/>
        </w:rPr>
        <w:t>（  ）</w:t>
      </w:r>
      <w:r>
        <w:rPr>
          <w:rFonts w:hint="eastAsia" w:asciiTheme="minorEastAsia" w:hAnsiTheme="minorEastAsia" w:eastAsiaTheme="minorEastAsia" w:cstheme="minorEastAsia"/>
          <w:color w:val="auto"/>
          <w:szCs w:val="21"/>
        </w:rPr>
        <w:t>个月不少于一次的定期保养（或维护、巡检）制度</w:t>
      </w:r>
      <w:r>
        <w:rPr>
          <w:rFonts w:hint="eastAsia" w:ascii="宋体" w:hAnsi="宋体" w:cs="宋体"/>
          <w:color w:val="auto"/>
          <w:szCs w:val="21"/>
          <w:lang w:val="zh-TW"/>
        </w:rPr>
        <w:t>。</w:t>
      </w:r>
    </w:p>
    <w:p w14:paraId="01352CF6">
      <w:pPr>
        <w:spacing w:line="360" w:lineRule="auto"/>
        <w:ind w:firstLine="420" w:firstLineChars="200"/>
        <w:rPr>
          <w:rFonts w:ascii="宋体" w:hAnsi="宋体" w:cs="宋体"/>
          <w:color w:val="auto"/>
          <w:szCs w:val="21"/>
        </w:rPr>
      </w:pPr>
      <w:r>
        <w:rPr>
          <w:rFonts w:hint="eastAsia" w:ascii="宋体" w:hAnsi="宋体" w:cs="宋体"/>
          <w:color w:val="auto"/>
          <w:szCs w:val="21"/>
        </w:rPr>
        <w:t>2.保证甲方在合同设备（有配套软件的还包括软件产品）使用期间不受第三方提出侵犯其专利权、商标权、工业设计权和知识产权的起诉，否则乙方应承担甲方因此所遭受的一切损失。</w:t>
      </w:r>
    </w:p>
    <w:p w14:paraId="11D6E846">
      <w:pPr>
        <w:spacing w:line="360" w:lineRule="auto"/>
        <w:ind w:firstLine="420" w:firstLineChars="200"/>
        <w:rPr>
          <w:rFonts w:ascii="宋体" w:hAnsi="宋体" w:cs="宋体"/>
          <w:color w:val="auto"/>
          <w:szCs w:val="21"/>
        </w:rPr>
      </w:pPr>
      <w:r>
        <w:rPr>
          <w:rFonts w:hint="eastAsia" w:ascii="宋体" w:hAnsi="宋体" w:cs="宋体"/>
          <w:color w:val="auto"/>
          <w:szCs w:val="21"/>
        </w:rPr>
        <w:t>3.严格遵守所承诺的一切规定和条款；</w:t>
      </w:r>
    </w:p>
    <w:p w14:paraId="4147085A">
      <w:pPr>
        <w:spacing w:line="360" w:lineRule="auto"/>
        <w:ind w:firstLine="420" w:firstLineChars="200"/>
        <w:rPr>
          <w:rFonts w:ascii="宋体" w:hAnsi="宋体" w:cs="宋体"/>
          <w:color w:val="auto"/>
          <w:szCs w:val="21"/>
        </w:rPr>
      </w:pPr>
      <w:r>
        <w:rPr>
          <w:rFonts w:hint="eastAsia" w:ascii="宋体" w:hAnsi="宋体" w:cs="宋体"/>
          <w:color w:val="auto"/>
          <w:szCs w:val="21"/>
        </w:rPr>
        <w:t>4.参与甲方共同进行设备和项目的验收。</w:t>
      </w:r>
    </w:p>
    <w:p w14:paraId="0077726F">
      <w:pPr>
        <w:spacing w:line="360" w:lineRule="auto"/>
        <w:ind w:firstLine="413" w:firstLineChars="196"/>
        <w:rPr>
          <w:rFonts w:ascii="宋体" w:hAnsi="宋体" w:cs="宋体"/>
          <w:b/>
          <w:color w:val="auto"/>
          <w:szCs w:val="21"/>
        </w:rPr>
      </w:pPr>
      <w:r>
        <w:rPr>
          <w:rFonts w:hint="eastAsia" w:ascii="宋体" w:hAnsi="宋体" w:cs="宋体"/>
          <w:b/>
          <w:color w:val="auto"/>
          <w:szCs w:val="21"/>
        </w:rPr>
        <w:t>八、以上内容与甲方采购确认和乙方中标承诺情况一致（或中标产品和设备的技术及服务保证甲方正常使用）。</w:t>
      </w:r>
    </w:p>
    <w:p w14:paraId="1AA18A84">
      <w:pPr>
        <w:spacing w:line="360" w:lineRule="auto"/>
        <w:ind w:firstLine="413" w:firstLineChars="196"/>
        <w:rPr>
          <w:rFonts w:ascii="宋体" w:hAnsi="宋体" w:cs="宋体"/>
          <w:color w:val="auto"/>
          <w:szCs w:val="21"/>
        </w:rPr>
      </w:pPr>
      <w:r>
        <w:rPr>
          <w:rFonts w:hint="eastAsia" w:ascii="宋体" w:hAnsi="宋体" w:cs="宋体"/>
          <w:b/>
          <w:color w:val="auto"/>
          <w:szCs w:val="21"/>
        </w:rPr>
        <w:t>九、技术培训：</w:t>
      </w:r>
    </w:p>
    <w:p w14:paraId="64E4EAAB">
      <w:pPr>
        <w:spacing w:line="360" w:lineRule="auto"/>
        <w:ind w:firstLine="420" w:firstLineChars="200"/>
        <w:rPr>
          <w:rFonts w:ascii="宋体" w:hAnsi="宋体" w:cs="宋体"/>
          <w:color w:val="auto"/>
          <w:szCs w:val="21"/>
        </w:rPr>
      </w:pPr>
      <w:r>
        <w:rPr>
          <w:rStyle w:val="83"/>
          <w:rFonts w:hint="eastAsia" w:ascii="宋体" w:hAnsi="宋体" w:cs="宋体"/>
          <w:color w:val="auto"/>
          <w:szCs w:val="21"/>
        </w:rPr>
        <w:t>乙方向</w:t>
      </w:r>
      <w:r>
        <w:rPr>
          <w:rFonts w:hint="eastAsia" w:ascii="宋体" w:hAnsi="宋体" w:cs="宋体"/>
          <w:color w:val="auto"/>
          <w:szCs w:val="21"/>
        </w:rPr>
        <w:t>甲方提供</w:t>
      </w:r>
      <w:r>
        <w:rPr>
          <w:rFonts w:hint="eastAsia" w:ascii="宋体" w:hAnsi="宋体" w:cs="宋体"/>
          <w:color w:val="auto"/>
          <w:szCs w:val="21"/>
          <w:u w:val="single"/>
        </w:rPr>
        <w:t xml:space="preserve">    </w:t>
      </w:r>
      <w:r>
        <w:rPr>
          <w:rFonts w:hint="eastAsia" w:ascii="宋体" w:hAnsi="宋体" w:cs="宋体"/>
          <w:color w:val="auto"/>
          <w:szCs w:val="21"/>
        </w:rPr>
        <w:t>天的设备使用人员现场例行免费培训，培训内容包括设备的使用、一般的维修、维护及保养等；食宿自理（各自负责）；大型设备（或招标文件有要求、或投标文件承诺的），乙方还将负责甲方</w:t>
      </w:r>
      <w:r>
        <w:rPr>
          <w:rFonts w:hint="eastAsia" w:ascii="宋体" w:hAnsi="宋体" w:cs="宋体"/>
          <w:color w:val="auto"/>
          <w:szCs w:val="21"/>
          <w:u w:val="single"/>
        </w:rPr>
        <w:t xml:space="preserve">   </w:t>
      </w:r>
      <w:r>
        <w:rPr>
          <w:rFonts w:hint="eastAsia" w:ascii="宋体" w:hAnsi="宋体" w:cs="宋体"/>
          <w:color w:val="auto"/>
          <w:szCs w:val="21"/>
        </w:rPr>
        <w:t>人专业技术人员（或工程师）国内培训并应获得技术证书，费用由乙方负责，具体时间为</w:t>
      </w:r>
      <w:r>
        <w:rPr>
          <w:rFonts w:hint="eastAsia" w:ascii="宋体" w:hAnsi="宋体" w:cs="宋体"/>
          <w:color w:val="auto"/>
          <w:szCs w:val="21"/>
          <w:u w:val="single"/>
        </w:rPr>
        <w:t xml:space="preserve">     </w:t>
      </w:r>
      <w:r>
        <w:rPr>
          <w:rFonts w:hint="eastAsia" w:ascii="宋体" w:hAnsi="宋体" w:cs="宋体"/>
          <w:color w:val="auto"/>
          <w:szCs w:val="21"/>
        </w:rPr>
        <w:t>天、地点为</w:t>
      </w:r>
      <w:r>
        <w:rPr>
          <w:rFonts w:hint="eastAsia" w:ascii="宋体" w:hAnsi="宋体" w:cs="宋体"/>
          <w:color w:val="auto"/>
          <w:szCs w:val="21"/>
          <w:u w:val="single"/>
        </w:rPr>
        <w:t xml:space="preserve">                   </w:t>
      </w:r>
      <w:r>
        <w:rPr>
          <w:rFonts w:hint="eastAsia" w:ascii="宋体" w:hAnsi="宋体" w:cs="宋体"/>
          <w:color w:val="auto"/>
          <w:szCs w:val="21"/>
        </w:rPr>
        <w:t>，其他由甲乙双方协定。</w:t>
      </w:r>
    </w:p>
    <w:p w14:paraId="3683D5C9">
      <w:pPr>
        <w:spacing w:line="360" w:lineRule="auto"/>
        <w:ind w:firstLine="413" w:firstLineChars="196"/>
        <w:rPr>
          <w:rFonts w:ascii="宋体" w:hAnsi="宋体" w:cs="宋体"/>
          <w:color w:val="auto"/>
          <w:szCs w:val="21"/>
        </w:rPr>
      </w:pPr>
      <w:r>
        <w:rPr>
          <w:rFonts w:hint="eastAsia" w:ascii="宋体" w:hAnsi="宋体" w:cs="宋体"/>
          <w:b/>
          <w:color w:val="auto"/>
          <w:szCs w:val="21"/>
        </w:rPr>
        <w:t>十、甲方在设备使用过程中发生技术质量问题，乙方应提供及时有效的技术支持。</w:t>
      </w:r>
    </w:p>
    <w:p w14:paraId="2404419A">
      <w:pPr>
        <w:spacing w:line="360" w:lineRule="auto"/>
        <w:ind w:firstLine="480"/>
        <w:rPr>
          <w:rFonts w:ascii="宋体" w:hAnsi="宋体" w:cs="宋体"/>
          <w:color w:val="auto"/>
          <w:szCs w:val="21"/>
        </w:rPr>
      </w:pPr>
      <w:r>
        <w:rPr>
          <w:rFonts w:hint="eastAsia" w:ascii="宋体" w:hAnsi="宋体" w:cs="宋体"/>
          <w:color w:val="auto"/>
          <w:szCs w:val="21"/>
        </w:rPr>
        <w:t>乙方技术支持电话：</w:t>
      </w:r>
      <w:r>
        <w:rPr>
          <w:rFonts w:hint="eastAsia" w:ascii="宋体" w:hAnsi="宋体" w:cs="宋体"/>
          <w:color w:val="auto"/>
          <w:szCs w:val="21"/>
          <w:u w:val="single"/>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324D4DEC">
      <w:pPr>
        <w:spacing w:line="360" w:lineRule="auto"/>
        <w:ind w:firstLine="413" w:firstLineChars="196"/>
        <w:rPr>
          <w:rFonts w:ascii="宋体" w:hAnsi="宋体" w:cs="宋体"/>
          <w:b/>
          <w:color w:val="auto"/>
          <w:szCs w:val="21"/>
          <w:u w:val="single"/>
        </w:rPr>
      </w:pPr>
      <w:r>
        <w:rPr>
          <w:rFonts w:hint="eastAsia" w:ascii="宋体" w:hAnsi="宋体" w:cs="宋体"/>
          <w:b/>
          <w:color w:val="auto"/>
          <w:szCs w:val="21"/>
        </w:rPr>
        <w:t>十一、整体项目完成时间（即设备送达甲方指定地点并按规范安装调试完毕时间）为合同签订生效之日起</w:t>
      </w:r>
      <w:r>
        <w:rPr>
          <w:rFonts w:hint="eastAsia" w:ascii="宋体" w:hAnsi="宋体" w:cs="宋体"/>
          <w:b/>
          <w:color w:val="auto"/>
          <w:szCs w:val="21"/>
          <w:u w:val="single"/>
        </w:rPr>
        <w:t xml:space="preserve">     </w:t>
      </w:r>
      <w:r>
        <w:rPr>
          <w:rFonts w:hint="eastAsia" w:ascii="宋体" w:hAnsi="宋体" w:cs="宋体"/>
          <w:b/>
          <w:color w:val="auto"/>
          <w:szCs w:val="21"/>
        </w:rPr>
        <w:t>日内。</w:t>
      </w:r>
    </w:p>
    <w:p w14:paraId="470FA430">
      <w:pPr>
        <w:spacing w:line="360" w:lineRule="auto"/>
        <w:ind w:firstLine="420" w:firstLineChars="200"/>
        <w:rPr>
          <w:rFonts w:ascii="宋体" w:hAnsi="宋体" w:cs="宋体"/>
          <w:color w:val="auto"/>
          <w:szCs w:val="21"/>
        </w:rPr>
      </w:pPr>
      <w:r>
        <w:rPr>
          <w:rFonts w:hint="eastAsia" w:ascii="宋体" w:hAnsi="宋体" w:cs="宋体"/>
          <w:color w:val="auto"/>
          <w:szCs w:val="21"/>
        </w:rPr>
        <w:t>设备交验地点和方式：合同签订后</w:t>
      </w:r>
      <w:r>
        <w:rPr>
          <w:rFonts w:hint="eastAsia" w:ascii="宋体" w:hAnsi="宋体" w:cs="宋体"/>
          <w:color w:val="auto"/>
          <w:szCs w:val="21"/>
          <w:u w:val="single"/>
        </w:rPr>
        <w:t xml:space="preserve">          </w:t>
      </w:r>
      <w:r>
        <w:rPr>
          <w:rFonts w:hint="eastAsia" w:ascii="宋体" w:hAnsi="宋体" w:cs="宋体"/>
          <w:color w:val="auto"/>
          <w:szCs w:val="21"/>
        </w:rPr>
        <w:t>日内，乙方负责将完整配套的原封设备（含开机必要消耗品）送到甲方指定的地点（             ），由甲乙双方共同开箱初验，并由乙方按合同规范要求完成安装测试。交货时，乙方随货向甲方交付设备必需的合格证、保修卡，相关资料（如操作手册、使用指南、维修手册、安装调试说明书、服务手册等）及配备</w:t>
      </w:r>
      <w:r>
        <w:rPr>
          <w:rStyle w:val="83"/>
          <w:rFonts w:hint="eastAsia" w:ascii="宋体" w:hAnsi="宋体" w:cs="宋体"/>
          <w:color w:val="auto"/>
          <w:szCs w:val="21"/>
        </w:rPr>
        <w:t>的用件</w:t>
      </w:r>
      <w:r>
        <w:rPr>
          <w:rFonts w:hint="eastAsia" w:ascii="宋体" w:hAnsi="宋体" w:cs="宋体"/>
          <w:color w:val="auto"/>
          <w:szCs w:val="21"/>
        </w:rPr>
        <w:t>、工具等。</w:t>
      </w:r>
    </w:p>
    <w:p w14:paraId="04E2EA4D">
      <w:pPr>
        <w:spacing w:line="360" w:lineRule="auto"/>
        <w:ind w:firstLine="413" w:firstLineChars="196"/>
        <w:rPr>
          <w:rFonts w:ascii="宋体" w:hAnsi="宋体" w:cs="宋体"/>
          <w:color w:val="auto"/>
          <w:szCs w:val="21"/>
        </w:rPr>
      </w:pPr>
      <w:r>
        <w:rPr>
          <w:rFonts w:hint="eastAsia" w:ascii="宋体" w:hAnsi="宋体" w:cs="宋体"/>
          <w:b/>
          <w:color w:val="auto"/>
          <w:szCs w:val="21"/>
        </w:rPr>
        <w:t>十二、验收及验收标准</w:t>
      </w:r>
    </w:p>
    <w:p w14:paraId="0CFA84B5">
      <w:pPr>
        <w:spacing w:line="360" w:lineRule="auto"/>
        <w:ind w:firstLine="420" w:firstLineChars="200"/>
        <w:rPr>
          <w:rFonts w:ascii="宋体" w:hAnsi="宋体" w:cs="宋体"/>
          <w:color w:val="auto"/>
          <w:szCs w:val="21"/>
        </w:rPr>
      </w:pPr>
      <w:r>
        <w:rPr>
          <w:rFonts w:hint="eastAsia" w:ascii="宋体" w:hAnsi="宋体" w:cs="宋体"/>
          <w:color w:val="auto"/>
          <w:szCs w:val="21"/>
        </w:rPr>
        <w:t>1.设备验收：设备到达甲方指定地点后甲方统一初验是否符合合同要求；</w:t>
      </w:r>
    </w:p>
    <w:p w14:paraId="6D1136D0">
      <w:pPr>
        <w:spacing w:line="360" w:lineRule="auto"/>
        <w:ind w:firstLine="420" w:firstLineChars="200"/>
        <w:rPr>
          <w:rFonts w:ascii="宋体" w:hAnsi="宋体" w:cs="宋体"/>
          <w:color w:val="auto"/>
          <w:szCs w:val="21"/>
        </w:rPr>
      </w:pPr>
      <w:r>
        <w:rPr>
          <w:rFonts w:hint="eastAsia" w:ascii="宋体" w:hAnsi="宋体" w:cs="宋体"/>
          <w:color w:val="auto"/>
          <w:szCs w:val="21"/>
        </w:rPr>
        <w:t>2.项目验收：乙方负责设备安装和调试，完工后，甲方测试是否合格并满足技术要求；</w:t>
      </w:r>
    </w:p>
    <w:p w14:paraId="7DFD9CEF">
      <w:pPr>
        <w:spacing w:line="360" w:lineRule="auto"/>
        <w:ind w:firstLine="420" w:firstLineChars="200"/>
        <w:rPr>
          <w:rFonts w:ascii="宋体" w:hAnsi="宋体" w:cs="宋体"/>
          <w:color w:val="auto"/>
          <w:szCs w:val="21"/>
        </w:rPr>
      </w:pPr>
      <w:r>
        <w:rPr>
          <w:rFonts w:hint="eastAsia" w:ascii="宋体" w:hAnsi="宋体" w:cs="宋体"/>
          <w:color w:val="auto"/>
          <w:szCs w:val="21"/>
        </w:rPr>
        <w:t>3.实作性操作验收：设备是否正常运作（</w:t>
      </w:r>
      <w:r>
        <w:rPr>
          <w:rFonts w:hint="eastAsia" w:ascii="宋体" w:hAnsi="宋体" w:cs="宋体"/>
          <w:color w:val="auto"/>
          <w:szCs w:val="21"/>
          <w:u w:val="single"/>
        </w:rPr>
        <w:t xml:space="preserve">    </w:t>
      </w:r>
      <w:r>
        <w:rPr>
          <w:rFonts w:hint="eastAsia" w:ascii="宋体" w:hAnsi="宋体" w:cs="宋体"/>
          <w:color w:val="auto"/>
          <w:szCs w:val="21"/>
        </w:rPr>
        <w:t>个月或120机时，具体时间按分项要求或在签订合同时协定）。</w:t>
      </w:r>
    </w:p>
    <w:p w14:paraId="2104EBF3">
      <w:pPr>
        <w:spacing w:line="360" w:lineRule="auto"/>
        <w:rPr>
          <w:rFonts w:ascii="宋体" w:hAnsi="宋体" w:cs="宋体"/>
          <w:color w:val="auto"/>
          <w:szCs w:val="21"/>
        </w:rPr>
      </w:pPr>
      <w:r>
        <w:rPr>
          <w:rFonts w:hint="eastAsia" w:ascii="宋体" w:hAnsi="宋体" w:cs="宋体"/>
          <w:color w:val="auto"/>
          <w:szCs w:val="21"/>
        </w:rPr>
        <w:t xml:space="preserve">    设备经甲方实作性操作验收合格后，甲乙双方共同在《验收报告》上签字盖章。</w:t>
      </w:r>
    </w:p>
    <w:p w14:paraId="749B49EF">
      <w:pPr>
        <w:tabs>
          <w:tab w:val="left" w:pos="6930"/>
        </w:tabs>
        <w:spacing w:line="360" w:lineRule="auto"/>
        <w:ind w:firstLine="413" w:firstLineChars="196"/>
        <w:rPr>
          <w:rFonts w:ascii="宋体" w:hAnsi="宋体" w:cs="宋体"/>
          <w:b/>
          <w:color w:val="auto"/>
          <w:szCs w:val="21"/>
        </w:rPr>
      </w:pPr>
      <w:r>
        <w:rPr>
          <w:rFonts w:hint="eastAsia" w:ascii="宋体" w:hAnsi="宋体" w:cs="宋体"/>
          <w:b/>
          <w:color w:val="auto"/>
          <w:szCs w:val="21"/>
        </w:rPr>
        <w:t>十三、合同价款结算</w:t>
      </w:r>
    </w:p>
    <w:p w14:paraId="373BE60D">
      <w:pPr>
        <w:spacing w:line="360" w:lineRule="auto"/>
        <w:ind w:firstLine="420" w:firstLineChars="200"/>
        <w:rPr>
          <w:rFonts w:ascii="宋体" w:hAnsi="宋体" w:cs="宋体"/>
          <w:color w:val="auto"/>
          <w:szCs w:val="21"/>
        </w:rPr>
      </w:pPr>
      <w:r>
        <w:rPr>
          <w:rFonts w:hint="eastAsia" w:ascii="宋体" w:hAnsi="宋体" w:cs="宋体"/>
          <w:color w:val="auto"/>
          <w:szCs w:val="21"/>
        </w:rPr>
        <w:t>1.本项目无预付款，在设备（产品）安装、调试、使用、验收合格后，乙方提交完整的符合甲方要求的财务资料以后，在   个工作日内，甲方向乙方支付签约合同总价的100%，即人民币     元。甲方转账至乙方基本账户内视为付款义务履行完毕。</w:t>
      </w:r>
    </w:p>
    <w:p w14:paraId="706CF0D7">
      <w:pPr>
        <w:spacing w:line="360" w:lineRule="auto"/>
        <w:ind w:firstLine="420" w:firstLineChars="200"/>
        <w:rPr>
          <w:rFonts w:ascii="宋体" w:hAnsi="宋体" w:cs="宋体"/>
          <w:color w:val="auto"/>
          <w:szCs w:val="21"/>
        </w:rPr>
      </w:pPr>
      <w:r>
        <w:rPr>
          <w:rFonts w:hint="eastAsia" w:ascii="宋体" w:hAnsi="宋体" w:cs="宋体"/>
          <w:color w:val="auto"/>
          <w:szCs w:val="21"/>
        </w:rPr>
        <w:t>2.甲方付款前，乙方应向甲方开具符合法律规定的发票。乙方未向甲方提供发票的，甲方有权拒绝付款且不视为甲方违约。</w:t>
      </w:r>
    </w:p>
    <w:p w14:paraId="24FFD5E9">
      <w:pPr>
        <w:spacing w:line="360" w:lineRule="auto"/>
        <w:rPr>
          <w:rFonts w:ascii="宋体" w:hAnsi="宋体" w:cs="宋体"/>
          <w:b/>
          <w:color w:val="auto"/>
          <w:szCs w:val="21"/>
        </w:rPr>
      </w:pPr>
      <w:r>
        <w:rPr>
          <w:rFonts w:hint="eastAsia" w:ascii="宋体" w:hAnsi="宋体" w:cs="宋体"/>
          <w:color w:val="auto"/>
          <w:szCs w:val="21"/>
        </w:rPr>
        <w:t xml:space="preserve">    </w:t>
      </w:r>
      <w:r>
        <w:rPr>
          <w:rFonts w:hint="eastAsia" w:ascii="宋体" w:hAnsi="宋体" w:cs="宋体"/>
          <w:b/>
          <w:color w:val="auto"/>
          <w:szCs w:val="21"/>
        </w:rPr>
        <w:t>十四、履约保证金：</w:t>
      </w:r>
    </w:p>
    <w:p w14:paraId="5C4F6992">
      <w:pPr>
        <w:spacing w:line="360" w:lineRule="auto"/>
        <w:ind w:firstLine="420" w:firstLineChars="200"/>
        <w:rPr>
          <w:rFonts w:ascii="宋体" w:hAnsi="宋体" w:cs="宋体"/>
          <w:color w:val="auto"/>
          <w:szCs w:val="21"/>
        </w:rPr>
      </w:pPr>
      <w:r>
        <w:rPr>
          <w:rFonts w:hint="eastAsia" w:ascii="宋体" w:hAnsi="宋体" w:cs="宋体"/>
          <w:color w:val="auto"/>
        </w:rPr>
        <w:t>乙方应在合同签订后5日内</w:t>
      </w:r>
      <w:r>
        <w:rPr>
          <w:rFonts w:hint="eastAsia" w:ascii="宋体" w:hAnsi="宋体" w:cs="宋体"/>
          <w:color w:val="auto"/>
          <w:szCs w:val="21"/>
        </w:rPr>
        <w:t>向甲方交纳合同总价2%即人民币</w:t>
      </w:r>
      <w:r>
        <w:rPr>
          <w:rFonts w:hint="eastAsia" w:ascii="宋体" w:hAnsi="宋体" w:cs="宋体"/>
          <w:color w:val="auto"/>
          <w:szCs w:val="21"/>
          <w:u w:val="single"/>
        </w:rPr>
        <w:t xml:space="preserve">             </w:t>
      </w:r>
      <w:r>
        <w:rPr>
          <w:rFonts w:hint="eastAsia" w:ascii="宋体" w:hAnsi="宋体" w:cs="宋体"/>
          <w:color w:val="auto"/>
          <w:szCs w:val="21"/>
        </w:rPr>
        <w:t>元的履约保证金，待设备验收合格且乙方提交完整的财务资料后无息返还乙方履约保证金。</w:t>
      </w:r>
    </w:p>
    <w:p w14:paraId="45F1FEDF">
      <w:pPr>
        <w:spacing w:line="360" w:lineRule="auto"/>
        <w:ind w:firstLine="413" w:firstLineChars="196"/>
        <w:rPr>
          <w:rFonts w:ascii="宋体" w:hAnsi="宋体" w:cs="宋体"/>
          <w:color w:val="auto"/>
          <w:szCs w:val="21"/>
        </w:rPr>
      </w:pPr>
      <w:r>
        <w:rPr>
          <w:rFonts w:hint="eastAsia" w:ascii="宋体" w:hAnsi="宋体" w:cs="宋体"/>
          <w:b/>
          <w:color w:val="auto"/>
          <w:szCs w:val="21"/>
        </w:rPr>
        <w:t>十五、违约责任：</w:t>
      </w:r>
    </w:p>
    <w:p w14:paraId="67FB092B">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1.除发生不可抗力事实外，乙方设备/成果与合同标准不相符合的，甲方有权拒绝支付；</w:t>
      </w:r>
    </w:p>
    <w:p w14:paraId="635130E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乙方逾期交货的，每逾期一日，应向甲方支付合同总额千分之一的违约金。因乙方不能按期交付设备或完成安装调试和所交设备或安装调试与合同标准不符使甲方造成经济损失的，乙方应依法赔偿。逾期十五日的，甲方有权解除本合同，因此发生的一切损失，由乙方全部承担。</w:t>
      </w:r>
    </w:p>
    <w:p w14:paraId="4CC1900E">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3.乙方不履行本合同或招标文件约定的售后、保修等义务的，甲方有权另行委托其他机构进行保修等，由此产生的费用及损失由乙方全部承担。</w:t>
      </w:r>
    </w:p>
    <w:p w14:paraId="51A7FD3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服务期间因乙方原因造成甲方损失，乙方须向甲方每次偿付合同总额千分之一的违约金。乙方不当履行合同的，甲方有权单方面解除合同并要求乙方承担合同金额20%的违约金，若违约金不足以弥补甲方损失的，甲方有权要求乙方赔偿损失。甲方有权拒付合同金额以外的其他任何费用。因乙方违约导致甲方因诉讼、维权而产生的案件受理费、律师费、交通费、保全费等均由乙方负责。</w:t>
      </w:r>
    </w:p>
    <w:p w14:paraId="4928F140">
      <w:pPr>
        <w:tabs>
          <w:tab w:val="left" w:pos="6930"/>
        </w:tabs>
        <w:spacing w:line="360" w:lineRule="auto"/>
        <w:ind w:firstLine="420" w:firstLineChars="200"/>
        <w:rPr>
          <w:rFonts w:ascii="宋体" w:hAnsi="宋体" w:cs="宋体"/>
          <w:color w:val="auto"/>
          <w:szCs w:val="21"/>
        </w:rPr>
      </w:pPr>
      <w:r>
        <w:rPr>
          <w:rFonts w:hint="eastAsia" w:asciiTheme="minorEastAsia" w:hAnsiTheme="minorEastAsia" w:eastAsiaTheme="minorEastAsia" w:cstheme="minorEastAsia"/>
          <w:color w:val="auto"/>
          <w:szCs w:val="21"/>
        </w:rPr>
        <w:t>5.其它违约细则：乙方给甲方造成的损失，甲方有权直接从乙方交纳的履约保证金中予以扣除，给甲方造成的损失超过履约保证金数额的，乙方还应当对超过部分予以赔偿。</w:t>
      </w:r>
    </w:p>
    <w:p w14:paraId="25135AF1">
      <w:pPr>
        <w:tabs>
          <w:tab w:val="left" w:pos="6930"/>
        </w:tabs>
        <w:spacing w:line="360" w:lineRule="auto"/>
        <w:ind w:firstLine="316" w:firstLineChars="150"/>
        <w:rPr>
          <w:rFonts w:ascii="宋体" w:hAnsi="宋体" w:cs="宋体"/>
          <w:b/>
          <w:color w:val="auto"/>
          <w:szCs w:val="21"/>
        </w:rPr>
      </w:pPr>
      <w:r>
        <w:rPr>
          <w:rFonts w:hint="eastAsia" w:ascii="宋体" w:hAnsi="宋体" w:cs="宋体"/>
          <w:b/>
          <w:color w:val="auto"/>
          <w:szCs w:val="21"/>
        </w:rPr>
        <w:t>十六、甲乙双方在履行合同过程中发生纠纷，应协商解决，协商不成的向甲方所在地人民法院提起诉讼。</w:t>
      </w:r>
    </w:p>
    <w:p w14:paraId="21F18CD1">
      <w:pPr>
        <w:tabs>
          <w:tab w:val="left" w:pos="6930"/>
        </w:tabs>
        <w:spacing w:line="360" w:lineRule="auto"/>
        <w:ind w:firstLine="422" w:firstLineChars="200"/>
        <w:rPr>
          <w:rFonts w:ascii="宋体" w:hAnsi="宋体" w:cs="宋体"/>
          <w:b/>
          <w:color w:val="auto"/>
          <w:szCs w:val="21"/>
        </w:rPr>
      </w:pPr>
      <w:r>
        <w:rPr>
          <w:rFonts w:hint="eastAsia" w:ascii="宋体" w:hAnsi="宋体" w:cs="宋体"/>
          <w:b/>
          <w:color w:val="auto"/>
          <w:szCs w:val="21"/>
        </w:rPr>
        <w:t>十七、本合同其他未尽事宜，按《中华人民共和国民法典》及《中华人民共和国政府采购法》有关规定处理。</w:t>
      </w:r>
    </w:p>
    <w:p w14:paraId="383DB6E4">
      <w:pPr>
        <w:tabs>
          <w:tab w:val="left" w:pos="6930"/>
        </w:tabs>
        <w:spacing w:line="360" w:lineRule="auto"/>
        <w:ind w:firstLine="422" w:firstLineChars="200"/>
        <w:rPr>
          <w:rFonts w:ascii="宋体" w:hAnsi="宋体" w:cs="宋体"/>
          <w:b/>
          <w:color w:val="auto"/>
          <w:szCs w:val="21"/>
        </w:rPr>
      </w:pPr>
      <w:r>
        <w:rPr>
          <w:rFonts w:hint="eastAsia" w:ascii="宋体" w:hAnsi="宋体" w:cs="宋体"/>
          <w:b/>
          <w:color w:val="auto"/>
          <w:szCs w:val="21"/>
        </w:rPr>
        <w:t>十八、本合同一式伍份，甲方叁份(招标与采购管理中心壹份，采购部门贰份)，乙方贰份。</w:t>
      </w:r>
    </w:p>
    <w:p w14:paraId="13A59B74">
      <w:pPr>
        <w:tabs>
          <w:tab w:val="left" w:pos="6930"/>
        </w:tabs>
        <w:spacing w:line="360" w:lineRule="auto"/>
        <w:ind w:firstLine="422" w:firstLineChars="200"/>
        <w:rPr>
          <w:rFonts w:ascii="宋体" w:hAnsi="宋体" w:cs="宋体"/>
          <w:color w:val="auto"/>
          <w:szCs w:val="21"/>
        </w:rPr>
      </w:pPr>
      <w:r>
        <w:rPr>
          <w:rFonts w:hint="eastAsia" w:ascii="宋体" w:hAnsi="宋体" w:cs="宋体"/>
          <w:b/>
          <w:color w:val="auto"/>
          <w:szCs w:val="21"/>
        </w:rPr>
        <w:t>十九、本合同自乙方按照招标文件要求向甲方交纳履约保证金后，甲、乙双方签字盖章之日起生效。</w:t>
      </w:r>
    </w:p>
    <w:p w14:paraId="69724F68">
      <w:pPr>
        <w:tabs>
          <w:tab w:val="left" w:pos="6930"/>
        </w:tabs>
        <w:spacing w:line="360" w:lineRule="auto"/>
        <w:ind w:firstLine="422" w:firstLineChars="200"/>
        <w:rPr>
          <w:rFonts w:ascii="宋体" w:hAnsi="宋体" w:cs="宋体"/>
          <w:color w:val="auto"/>
          <w:szCs w:val="21"/>
        </w:rPr>
      </w:pPr>
      <w:r>
        <w:rPr>
          <w:rFonts w:hint="eastAsia" w:ascii="宋体" w:hAnsi="宋体" w:cs="宋体"/>
          <w:b/>
          <w:color w:val="auto"/>
          <w:szCs w:val="21"/>
        </w:rPr>
        <w:t>二十、下列文件是本合同不可分割之部分，与本合同具有同等法律效力：</w:t>
      </w:r>
    </w:p>
    <w:p w14:paraId="4DEB2CEA">
      <w:pPr>
        <w:spacing w:line="360" w:lineRule="auto"/>
        <w:ind w:firstLine="480"/>
        <w:rPr>
          <w:rFonts w:ascii="宋体" w:hAnsi="宋体" w:cs="宋体"/>
          <w:color w:val="auto"/>
          <w:szCs w:val="21"/>
        </w:rPr>
      </w:pPr>
      <w:r>
        <w:rPr>
          <w:rFonts w:hint="eastAsia" w:ascii="宋体" w:hAnsi="宋体" w:cs="宋体"/>
          <w:color w:val="auto"/>
          <w:szCs w:val="21"/>
        </w:rPr>
        <w:t>1.招标文件；</w:t>
      </w:r>
    </w:p>
    <w:p w14:paraId="1B8D73DE">
      <w:pPr>
        <w:spacing w:line="360" w:lineRule="auto"/>
        <w:ind w:firstLine="480"/>
        <w:rPr>
          <w:rFonts w:ascii="宋体" w:hAnsi="宋体" w:cs="宋体"/>
          <w:color w:val="auto"/>
          <w:szCs w:val="21"/>
        </w:rPr>
      </w:pPr>
      <w:r>
        <w:rPr>
          <w:rFonts w:hint="eastAsia" w:ascii="宋体" w:hAnsi="宋体" w:cs="宋体"/>
          <w:color w:val="auto"/>
          <w:szCs w:val="21"/>
        </w:rPr>
        <w:t>2.中标人投标文件及其附录（如果有）；</w:t>
      </w:r>
    </w:p>
    <w:p w14:paraId="7985EF2D">
      <w:pPr>
        <w:spacing w:line="360" w:lineRule="auto"/>
        <w:ind w:firstLine="480"/>
        <w:rPr>
          <w:rFonts w:ascii="宋体" w:hAnsi="宋体" w:cs="宋体"/>
          <w:color w:val="auto"/>
          <w:szCs w:val="21"/>
        </w:rPr>
      </w:pPr>
      <w:r>
        <w:rPr>
          <w:rFonts w:hint="eastAsia" w:ascii="宋体" w:hAnsi="宋体" w:cs="宋体"/>
          <w:color w:val="auto"/>
          <w:szCs w:val="21"/>
        </w:rPr>
        <w:t>3.中标通知书；</w:t>
      </w:r>
    </w:p>
    <w:p w14:paraId="70B8CEB1">
      <w:pPr>
        <w:spacing w:line="360" w:lineRule="auto"/>
        <w:ind w:firstLine="480"/>
        <w:rPr>
          <w:rFonts w:ascii="宋体" w:hAnsi="宋体" w:cs="宋体"/>
          <w:color w:val="auto"/>
          <w:szCs w:val="21"/>
        </w:rPr>
      </w:pPr>
      <w:r>
        <w:rPr>
          <w:rFonts w:hint="eastAsia" w:ascii="宋体" w:hAnsi="宋体" w:cs="宋体"/>
          <w:color w:val="auto"/>
          <w:szCs w:val="21"/>
        </w:rPr>
        <w:t>4.合同书附件。</w:t>
      </w:r>
    </w:p>
    <w:p w14:paraId="08CE33B1">
      <w:pPr>
        <w:spacing w:line="360" w:lineRule="auto"/>
        <w:ind w:firstLine="480"/>
        <w:rPr>
          <w:rFonts w:ascii="宋体" w:hAnsi="宋体" w:cs="宋体"/>
          <w:color w:val="auto"/>
          <w:szCs w:val="21"/>
        </w:rPr>
      </w:pPr>
      <w:r>
        <w:rPr>
          <w:rFonts w:hint="eastAsia" w:ascii="宋体" w:hAnsi="宋体" w:cs="宋体"/>
          <w:color w:val="auto"/>
          <w:szCs w:val="21"/>
        </w:rPr>
        <w:t>5.其他合同文件。</w:t>
      </w:r>
    </w:p>
    <w:p w14:paraId="63F9F5C6">
      <w:pPr>
        <w:autoSpaceDE w:val="0"/>
        <w:autoSpaceDN w:val="0"/>
        <w:adjustRightInd w:val="0"/>
        <w:spacing w:line="520" w:lineRule="exact"/>
        <w:ind w:firstLine="420" w:firstLineChars="200"/>
        <w:jc w:val="left"/>
        <w:rPr>
          <w:rFonts w:ascii="宋体" w:hAnsi="宋体" w:cs="宋体"/>
          <w:color w:val="auto"/>
          <w:sz w:val="24"/>
          <w:szCs w:val="24"/>
        </w:rPr>
      </w:pPr>
      <w:r>
        <w:rPr>
          <w:rFonts w:hint="eastAsia" w:ascii="宋体" w:hAnsi="宋体" w:cs="宋体"/>
          <w:color w:val="auto"/>
          <w:szCs w:val="21"/>
        </w:rPr>
        <w:t xml:space="preserve">   </w:t>
      </w:r>
      <w:r>
        <w:rPr>
          <w:rFonts w:hint="eastAsia" w:ascii="宋体" w:hAnsi="宋体" w:cs="宋体"/>
          <w:b/>
          <w:color w:val="auto"/>
          <w:szCs w:val="21"/>
        </w:rPr>
        <w:t>在合同订立及履行过程中形成的与合同有关的文件均构成合同文件组成部分。上述各项合同文件包括合同当事人就该项合同文件所作出的补充和修改，属于同一类内容的文件，应以最新签署的为准。</w:t>
      </w:r>
    </w:p>
    <w:p w14:paraId="27730BCA">
      <w:pPr>
        <w:widowControl/>
        <w:adjustRightInd w:val="0"/>
        <w:snapToGrid w:val="0"/>
        <w:spacing w:line="360" w:lineRule="auto"/>
        <w:jc w:val="center"/>
        <w:rPr>
          <w:rFonts w:ascii="宋体" w:hAnsi="宋体" w:cs="宋体"/>
          <w:color w:val="auto"/>
        </w:rPr>
      </w:pPr>
      <w:r>
        <w:rPr>
          <w:rFonts w:eastAsia="仿宋"/>
          <w:bCs/>
          <w:color w:val="auto"/>
          <w:sz w:val="24"/>
        </w:rPr>
        <w:br w:type="page"/>
      </w:r>
    </w:p>
    <w:p w14:paraId="7A541803">
      <w:pPr>
        <w:spacing w:line="360" w:lineRule="auto"/>
        <w:jc w:val="center"/>
        <w:rPr>
          <w:rFonts w:ascii="宋体" w:hAnsi="宋体" w:cs="宋体"/>
          <w:color w:val="auto"/>
          <w:sz w:val="32"/>
          <w:szCs w:val="32"/>
        </w:rPr>
      </w:pPr>
    </w:p>
    <w:bookmarkEnd w:id="386"/>
    <w:p w14:paraId="5FEAB777">
      <w:pPr>
        <w:spacing w:line="360" w:lineRule="auto"/>
        <w:jc w:val="center"/>
        <w:rPr>
          <w:rFonts w:ascii="宋体" w:hAnsi="宋体" w:cs="宋体"/>
          <w:color w:val="auto"/>
          <w:sz w:val="32"/>
          <w:szCs w:val="32"/>
        </w:rPr>
      </w:pPr>
    </w:p>
    <w:p w14:paraId="3AF4D09F">
      <w:pPr>
        <w:spacing w:line="360" w:lineRule="auto"/>
        <w:jc w:val="center"/>
        <w:rPr>
          <w:rFonts w:ascii="宋体" w:hAnsi="宋体" w:cs="宋体"/>
          <w:color w:val="auto"/>
          <w:sz w:val="32"/>
          <w:szCs w:val="32"/>
        </w:rPr>
      </w:pPr>
    </w:p>
    <w:p w14:paraId="2A5392C0">
      <w:pPr>
        <w:spacing w:line="360" w:lineRule="auto"/>
        <w:jc w:val="center"/>
        <w:rPr>
          <w:rFonts w:ascii="宋体" w:hAnsi="宋体" w:cs="宋体"/>
          <w:color w:val="auto"/>
          <w:sz w:val="32"/>
          <w:szCs w:val="32"/>
        </w:rPr>
      </w:pPr>
    </w:p>
    <w:p w14:paraId="41A988AA">
      <w:pPr>
        <w:spacing w:line="360" w:lineRule="auto"/>
        <w:jc w:val="center"/>
        <w:rPr>
          <w:rFonts w:ascii="宋体" w:hAnsi="宋体" w:cs="宋体"/>
          <w:color w:val="auto"/>
          <w:sz w:val="32"/>
          <w:szCs w:val="32"/>
        </w:rPr>
      </w:pPr>
    </w:p>
    <w:p w14:paraId="3250299A">
      <w:pPr>
        <w:spacing w:line="360" w:lineRule="auto"/>
        <w:jc w:val="center"/>
        <w:rPr>
          <w:rFonts w:ascii="宋体" w:hAnsi="宋体" w:cs="宋体"/>
          <w:color w:val="auto"/>
          <w:sz w:val="32"/>
          <w:szCs w:val="32"/>
        </w:rPr>
      </w:pPr>
    </w:p>
    <w:p w14:paraId="38F225DB">
      <w:pPr>
        <w:spacing w:line="360" w:lineRule="auto"/>
        <w:jc w:val="center"/>
        <w:rPr>
          <w:rFonts w:ascii="宋体" w:hAnsi="宋体" w:cs="宋体"/>
          <w:color w:val="auto"/>
          <w:sz w:val="32"/>
          <w:szCs w:val="32"/>
        </w:rPr>
      </w:pPr>
    </w:p>
    <w:p w14:paraId="01C1D292">
      <w:pPr>
        <w:spacing w:line="360" w:lineRule="auto"/>
        <w:jc w:val="center"/>
        <w:rPr>
          <w:rFonts w:ascii="宋体" w:hAnsi="宋体" w:cs="宋体"/>
          <w:color w:val="auto"/>
          <w:sz w:val="32"/>
          <w:szCs w:val="32"/>
        </w:rPr>
      </w:pPr>
    </w:p>
    <w:p w14:paraId="11F01D3F">
      <w:pPr>
        <w:spacing w:line="360" w:lineRule="auto"/>
        <w:jc w:val="center"/>
        <w:rPr>
          <w:rFonts w:ascii="宋体" w:hAnsi="宋体" w:cs="宋体"/>
          <w:color w:val="auto"/>
          <w:sz w:val="32"/>
          <w:szCs w:val="32"/>
        </w:rPr>
      </w:pPr>
    </w:p>
    <w:p w14:paraId="2421208A">
      <w:pPr>
        <w:pStyle w:val="2"/>
        <w:rPr>
          <w:rFonts w:ascii="宋体" w:hAnsi="宋体" w:cs="宋体"/>
          <w:color w:val="auto"/>
          <w:szCs w:val="21"/>
        </w:rPr>
      </w:pPr>
      <w:bookmarkStart w:id="392" w:name="_Toc9500"/>
      <w:bookmarkStart w:id="393" w:name="_Toc12123"/>
      <w:r>
        <w:rPr>
          <w:rFonts w:hint="eastAsia" w:ascii="宋体" w:hAnsi="宋体" w:cs="宋体"/>
          <w:color w:val="auto"/>
          <w:szCs w:val="21"/>
        </w:rPr>
        <w:t>第四章 投标文件格式</w:t>
      </w:r>
      <w:bookmarkEnd w:id="387"/>
      <w:bookmarkEnd w:id="392"/>
      <w:bookmarkEnd w:id="393"/>
    </w:p>
    <w:p w14:paraId="18F3E905">
      <w:pPr>
        <w:widowControl/>
        <w:jc w:val="left"/>
        <w:rPr>
          <w:rFonts w:ascii="宋体" w:hAnsi="宋体" w:cs="宋体"/>
          <w:b/>
          <w:bCs/>
          <w:color w:val="auto"/>
          <w:kern w:val="0"/>
          <w:sz w:val="44"/>
          <w:szCs w:val="44"/>
        </w:rPr>
      </w:pPr>
      <w:r>
        <w:rPr>
          <w:rFonts w:hint="eastAsia" w:ascii="宋体" w:hAnsi="宋体" w:cs="宋体"/>
          <w:b/>
          <w:color w:val="auto"/>
          <w:sz w:val="44"/>
          <w:szCs w:val="44"/>
        </w:rPr>
        <w:br w:type="page"/>
      </w:r>
    </w:p>
    <w:p w14:paraId="78E423DA">
      <w:pPr>
        <w:spacing w:line="360" w:lineRule="auto"/>
        <w:ind w:left="425"/>
        <w:jc w:val="center"/>
        <w:rPr>
          <w:rFonts w:ascii="宋体" w:hAnsi="宋体" w:cs="宋体"/>
          <w:b/>
          <w:bCs/>
          <w:color w:val="auto"/>
          <w:sz w:val="28"/>
          <w:szCs w:val="32"/>
        </w:rPr>
      </w:pPr>
      <w:bookmarkStart w:id="394" w:name="_Toc5069"/>
      <w:bookmarkStart w:id="395" w:name="_Toc19640"/>
      <w:bookmarkStart w:id="396" w:name="_Toc8306"/>
      <w:bookmarkStart w:id="397" w:name="_Toc10116"/>
      <w:bookmarkStart w:id="398" w:name="_Toc491307484"/>
      <w:bookmarkStart w:id="399" w:name="_Toc494043338"/>
      <w:bookmarkStart w:id="400" w:name="_Toc491307364"/>
      <w:bookmarkStart w:id="401" w:name="_Toc14582"/>
      <w:bookmarkStart w:id="402" w:name="_Toc26152"/>
      <w:bookmarkStart w:id="403" w:name="_Toc491307302"/>
      <w:r>
        <w:rPr>
          <w:rFonts w:hint="eastAsia" w:ascii="宋体" w:hAnsi="宋体" w:cs="宋体"/>
          <w:b/>
          <w:bCs/>
          <w:color w:val="auto"/>
          <w:sz w:val="28"/>
          <w:szCs w:val="32"/>
        </w:rPr>
        <w:t>一、资格证明文件</w:t>
      </w:r>
      <w:bookmarkEnd w:id="394"/>
      <w:bookmarkEnd w:id="395"/>
      <w:bookmarkEnd w:id="396"/>
      <w:bookmarkEnd w:id="397"/>
      <w:bookmarkEnd w:id="398"/>
      <w:bookmarkEnd w:id="399"/>
      <w:bookmarkEnd w:id="400"/>
      <w:bookmarkEnd w:id="401"/>
      <w:bookmarkEnd w:id="402"/>
      <w:bookmarkEnd w:id="403"/>
    </w:p>
    <w:p w14:paraId="53CB7D2A">
      <w:pPr>
        <w:pStyle w:val="20"/>
        <w:spacing w:line="360" w:lineRule="auto"/>
        <w:rPr>
          <w:rFonts w:hAnsi="宋体" w:cs="宋体"/>
          <w:color w:val="auto"/>
          <w:szCs w:val="21"/>
        </w:rPr>
      </w:pPr>
      <w:r>
        <w:rPr>
          <w:rFonts w:hint="eastAsia" w:hAnsi="宋体" w:cs="宋体"/>
          <w:color w:val="auto"/>
          <w:szCs w:val="21"/>
        </w:rPr>
        <w:t>1.投标人应填写和提交下述规定的有关资料。</w:t>
      </w:r>
    </w:p>
    <w:p w14:paraId="7E8C3990">
      <w:pPr>
        <w:pStyle w:val="20"/>
        <w:spacing w:line="360" w:lineRule="auto"/>
        <w:rPr>
          <w:rFonts w:hAnsi="宋体" w:cs="宋体"/>
          <w:color w:val="auto"/>
          <w:szCs w:val="21"/>
        </w:rPr>
      </w:pPr>
      <w:r>
        <w:rPr>
          <w:rFonts w:hint="eastAsia" w:hAnsi="宋体" w:cs="宋体"/>
          <w:color w:val="auto"/>
          <w:szCs w:val="21"/>
        </w:rPr>
        <w:t>2.所附格式要求填写的全部内容都必须填写。</w:t>
      </w:r>
    </w:p>
    <w:p w14:paraId="2F170881">
      <w:pPr>
        <w:pStyle w:val="20"/>
        <w:spacing w:line="360" w:lineRule="auto"/>
        <w:rPr>
          <w:rFonts w:hAnsi="宋体" w:cs="宋体"/>
          <w:color w:val="auto"/>
          <w:szCs w:val="21"/>
        </w:rPr>
      </w:pPr>
      <w:r>
        <w:rPr>
          <w:rFonts w:hint="eastAsia" w:hAnsi="宋体" w:cs="宋体"/>
          <w:color w:val="auto"/>
          <w:szCs w:val="21"/>
        </w:rPr>
        <w:t>3.投标人应保证全部声明和填写的内容是真实的和正确的。</w:t>
      </w:r>
    </w:p>
    <w:p w14:paraId="31FD60ED">
      <w:pPr>
        <w:pStyle w:val="20"/>
        <w:spacing w:line="360" w:lineRule="auto"/>
        <w:rPr>
          <w:rFonts w:hAnsi="宋体" w:cs="宋体"/>
          <w:b/>
          <w:bCs/>
          <w:color w:val="auto"/>
          <w:sz w:val="28"/>
          <w:szCs w:val="32"/>
        </w:rPr>
      </w:pPr>
      <w:r>
        <w:rPr>
          <w:rFonts w:hint="eastAsia" w:hAnsi="宋体" w:cs="宋体"/>
          <w:color w:val="auto"/>
          <w:szCs w:val="21"/>
        </w:rPr>
        <w:t>4.投标人提交的材料将被保密，但不退还。</w:t>
      </w:r>
    </w:p>
    <w:p w14:paraId="77A3CFB9">
      <w:pPr>
        <w:spacing w:line="360" w:lineRule="auto"/>
        <w:rPr>
          <w:rFonts w:ascii="宋体" w:hAnsi="宋体" w:cs="宋体"/>
          <w:b/>
          <w:bCs/>
          <w:color w:val="auto"/>
          <w:sz w:val="28"/>
          <w:szCs w:val="32"/>
        </w:rPr>
      </w:pPr>
      <w:r>
        <w:rPr>
          <w:rFonts w:hint="eastAsia" w:ascii="宋体" w:hAnsi="宋体" w:cs="宋体"/>
          <w:color w:val="auto"/>
          <w:szCs w:val="21"/>
        </w:rPr>
        <w:br w:type="page"/>
      </w:r>
    </w:p>
    <w:p w14:paraId="14825B7B">
      <w:pPr>
        <w:pStyle w:val="20"/>
        <w:spacing w:line="600" w:lineRule="exact"/>
        <w:rPr>
          <w:rFonts w:hAnsi="宋体" w:cs="宋体"/>
          <w:b/>
          <w:color w:val="auto"/>
          <w:sz w:val="28"/>
          <w:szCs w:val="28"/>
        </w:rPr>
      </w:pPr>
      <w:r>
        <w:rPr>
          <w:rFonts w:hint="eastAsia" w:hAnsi="宋体" w:cs="宋体"/>
          <w:b/>
          <w:color w:val="auto"/>
          <w:sz w:val="28"/>
          <w:szCs w:val="28"/>
        </w:rPr>
        <w:t>格式1</w:t>
      </w:r>
    </w:p>
    <w:p w14:paraId="5D526ADD">
      <w:pPr>
        <w:widowControl/>
        <w:spacing w:line="440" w:lineRule="exact"/>
        <w:jc w:val="left"/>
        <w:rPr>
          <w:rFonts w:ascii="宋体" w:hAnsi="宋体" w:cs="宋体"/>
          <w:b/>
          <w:color w:val="auto"/>
          <w:szCs w:val="21"/>
        </w:rPr>
      </w:pPr>
      <w:r>
        <w:rPr>
          <w:rFonts w:hint="eastAsia" w:ascii="宋体" w:hAnsi="宋体" w:cs="宋体"/>
          <w:b/>
          <w:color w:val="auto"/>
          <w:szCs w:val="21"/>
        </w:rPr>
        <w:t>具有独立承担民事责任的能力：</w:t>
      </w:r>
      <w:r>
        <w:rPr>
          <w:rFonts w:hint="eastAsia" w:hAnsi="宋体" w:cs="宋体"/>
          <w:bCs/>
          <w:color w:val="auto"/>
          <w:kern w:val="0"/>
          <w:szCs w:val="21"/>
        </w:rPr>
        <w:t>投标人为法人、其他组织或者自然人，提供有效的营业执照或事业单位法人证书或民办非企业登记证书或执业许可证或社会团体登记证或自然人身份证明</w:t>
      </w:r>
      <w:r>
        <w:rPr>
          <w:rFonts w:hint="eastAsia" w:hAnsi="宋体" w:cs="宋体"/>
          <w:bCs/>
          <w:color w:val="auto"/>
          <w:szCs w:val="21"/>
        </w:rPr>
        <w:t>；</w:t>
      </w:r>
    </w:p>
    <w:p w14:paraId="3C167226">
      <w:pPr>
        <w:widowControl/>
        <w:jc w:val="left"/>
        <w:rPr>
          <w:rFonts w:ascii="宋体" w:hAnsi="宋体" w:cs="宋体"/>
          <w:b/>
          <w:color w:val="auto"/>
          <w:szCs w:val="21"/>
        </w:rPr>
      </w:pPr>
      <w:r>
        <w:rPr>
          <w:rFonts w:hint="eastAsia" w:ascii="宋体" w:hAnsi="宋体" w:cs="宋体"/>
          <w:b/>
          <w:color w:val="auto"/>
          <w:szCs w:val="21"/>
        </w:rPr>
        <w:br w:type="page"/>
      </w:r>
    </w:p>
    <w:p w14:paraId="4D75671C">
      <w:pPr>
        <w:pStyle w:val="20"/>
        <w:pageBreakBefore/>
        <w:spacing w:line="600" w:lineRule="exact"/>
        <w:rPr>
          <w:rFonts w:hAnsi="宋体" w:cs="宋体"/>
          <w:b/>
          <w:color w:val="auto"/>
          <w:sz w:val="28"/>
          <w:szCs w:val="28"/>
        </w:rPr>
      </w:pPr>
      <w:r>
        <w:rPr>
          <w:rFonts w:hint="eastAsia" w:hAnsi="宋体" w:cs="宋体"/>
          <w:b/>
          <w:color w:val="auto"/>
          <w:sz w:val="28"/>
          <w:szCs w:val="28"/>
        </w:rPr>
        <w:t>格式2</w:t>
      </w:r>
    </w:p>
    <w:p w14:paraId="689637B6">
      <w:pPr>
        <w:widowControl/>
        <w:spacing w:line="440" w:lineRule="exact"/>
        <w:jc w:val="left"/>
        <w:rPr>
          <w:rFonts w:ascii="宋体" w:hAnsi="宋体" w:cs="宋体"/>
          <w:b/>
          <w:bCs/>
          <w:color w:val="auto"/>
          <w:szCs w:val="21"/>
        </w:rPr>
      </w:pPr>
      <w:r>
        <w:rPr>
          <w:rFonts w:hint="eastAsia" w:ascii="宋体" w:hAnsi="宋体" w:cs="宋体"/>
          <w:b/>
          <w:bCs/>
          <w:color w:val="auto"/>
          <w:szCs w:val="21"/>
        </w:rPr>
        <w:t>具有良好的商业信誉和健全的财务会计制度：</w:t>
      </w:r>
    </w:p>
    <w:p w14:paraId="73449292">
      <w:pPr>
        <w:spacing w:line="500" w:lineRule="exact"/>
        <w:rPr>
          <w:rFonts w:ascii="宋体" w:hAnsi="宋体" w:cs="宋体"/>
          <w:color w:val="auto"/>
          <w:szCs w:val="21"/>
        </w:rPr>
      </w:pPr>
      <w:r>
        <w:rPr>
          <w:rFonts w:hint="eastAsia" w:ascii="宋体" w:hAnsi="宋体" w:cs="宋体"/>
          <w:color w:val="auto"/>
          <w:szCs w:val="21"/>
        </w:rPr>
        <w:t>投标人可根据自身情况提供下述①-④任意一种证明材料：①2023年或2024年任意一年度经审计的财务会计报告及报表（至少包括资产负债表、利润表（损益表）、现金流量表)；若为至提交投标文件截止时间新成立不满1年的公司，</w:t>
      </w:r>
      <w:r>
        <w:rPr>
          <w:color w:val="auto"/>
          <w:kern w:val="0"/>
          <w:szCs w:val="21"/>
        </w:rPr>
        <w:t>可提供成立至今的财务报表</w:t>
      </w:r>
      <w:r>
        <w:rPr>
          <w:rFonts w:hint="eastAsia" w:ascii="宋体" w:hAnsi="宋体" w:cs="宋体"/>
          <w:color w:val="auto"/>
          <w:szCs w:val="21"/>
        </w:rPr>
        <w:t>；②提供其开户行出具的至本项目提交投标文件截止时间前1年内的资信证明或财政部门认可的政府采购专业担保机构出具的投标担保函（需同时提供专业担保机构经财政部门认可的证明文件）。③投标人为事业单位提供财务报表；④投标人为自然人的提供具有良好的商业信誉和健全的财务会计制度的承诺函（自然人投标人电子签名）</w:t>
      </w:r>
      <w:r>
        <w:rPr>
          <w:rFonts w:hint="eastAsia" w:hAnsi="宋体" w:cs="宋体"/>
          <w:color w:val="auto"/>
          <w:szCs w:val="21"/>
        </w:rPr>
        <w:t>；</w:t>
      </w:r>
    </w:p>
    <w:p w14:paraId="5517B4D6">
      <w:pPr>
        <w:widowControl/>
        <w:spacing w:line="440" w:lineRule="exact"/>
        <w:jc w:val="left"/>
        <w:rPr>
          <w:rFonts w:ascii="宋体" w:hAnsi="宋体" w:cs="宋体"/>
          <w:color w:val="auto"/>
          <w:kern w:val="0"/>
          <w:szCs w:val="21"/>
        </w:rPr>
      </w:pPr>
      <w:r>
        <w:rPr>
          <w:rFonts w:hint="eastAsia" w:ascii="宋体" w:hAnsi="宋体" w:cs="宋体"/>
          <w:b/>
          <w:color w:val="auto"/>
          <w:kern w:val="0"/>
          <w:szCs w:val="21"/>
        </w:rPr>
        <w:br w:type="page"/>
      </w:r>
      <w:r>
        <w:rPr>
          <w:rFonts w:hint="eastAsia" w:ascii="宋体" w:hAnsi="宋体" w:cs="宋体"/>
          <w:b/>
          <w:color w:val="auto"/>
          <w:sz w:val="28"/>
          <w:szCs w:val="28"/>
        </w:rPr>
        <w:t>格式3</w:t>
      </w:r>
    </w:p>
    <w:p w14:paraId="525C6B96">
      <w:pPr>
        <w:widowControl/>
        <w:spacing w:line="440" w:lineRule="exact"/>
        <w:jc w:val="left"/>
        <w:rPr>
          <w:rFonts w:ascii="宋体" w:hAnsi="宋体" w:cs="宋体"/>
          <w:b/>
          <w:color w:val="auto"/>
          <w:szCs w:val="21"/>
        </w:rPr>
      </w:pPr>
      <w:r>
        <w:rPr>
          <w:rFonts w:hint="eastAsia" w:ascii="宋体" w:hAnsi="宋体" w:cs="宋体"/>
          <w:b/>
          <w:color w:val="auto"/>
          <w:szCs w:val="21"/>
        </w:rPr>
        <w:t>具有履行合同所必需的设备和专业技术能力：</w:t>
      </w:r>
      <w:r>
        <w:rPr>
          <w:rFonts w:hint="eastAsia" w:ascii="宋体" w:hAnsi="宋体" w:cs="宋体"/>
          <w:color w:val="auto"/>
          <w:szCs w:val="21"/>
        </w:rPr>
        <w:t>投标人须提供具有履行合同所必需的设备和专业技术能力的承诺函（加盖投标人电子公章）或证明材料；</w:t>
      </w:r>
    </w:p>
    <w:p w14:paraId="36486BB4">
      <w:pPr>
        <w:widowControl/>
        <w:spacing w:line="440" w:lineRule="exact"/>
        <w:jc w:val="left"/>
        <w:rPr>
          <w:rFonts w:ascii="宋体" w:hAnsi="宋体" w:cs="宋体"/>
          <w:b/>
          <w:color w:val="auto"/>
          <w:szCs w:val="21"/>
        </w:rPr>
      </w:pPr>
      <w:r>
        <w:rPr>
          <w:rFonts w:hint="eastAsia" w:ascii="宋体" w:hAnsi="宋体" w:cs="宋体"/>
          <w:b/>
          <w:color w:val="auto"/>
          <w:szCs w:val="21"/>
        </w:rPr>
        <w:br w:type="page"/>
      </w:r>
      <w:r>
        <w:rPr>
          <w:rFonts w:hint="eastAsia" w:ascii="宋体" w:hAnsi="宋体" w:cs="宋体"/>
          <w:b/>
          <w:color w:val="auto"/>
          <w:sz w:val="28"/>
          <w:szCs w:val="28"/>
        </w:rPr>
        <w:t>格式4</w:t>
      </w:r>
    </w:p>
    <w:p w14:paraId="4DA72E0E">
      <w:pPr>
        <w:widowControl/>
        <w:spacing w:line="440" w:lineRule="exact"/>
        <w:jc w:val="left"/>
        <w:rPr>
          <w:rFonts w:ascii="宋体" w:hAnsi="宋体" w:cs="宋体"/>
          <w:b/>
          <w:bCs/>
          <w:color w:val="auto"/>
          <w:kern w:val="0"/>
          <w:szCs w:val="21"/>
        </w:rPr>
      </w:pPr>
      <w:r>
        <w:rPr>
          <w:rFonts w:hint="eastAsia" w:ascii="宋体" w:hAnsi="宋体" w:cs="宋体"/>
          <w:b/>
          <w:bCs/>
          <w:color w:val="auto"/>
          <w:kern w:val="0"/>
          <w:szCs w:val="21"/>
        </w:rPr>
        <w:t>有依法缴纳税收和社会保障资金的良好记录：</w:t>
      </w:r>
    </w:p>
    <w:p w14:paraId="56E93F43">
      <w:pPr>
        <w:widowControl/>
        <w:spacing w:line="440" w:lineRule="exact"/>
        <w:jc w:val="left"/>
        <w:rPr>
          <w:rFonts w:ascii="宋体" w:hAnsi="宋体" w:cs="宋体"/>
          <w:b/>
          <w:bCs/>
          <w:color w:val="auto"/>
          <w:kern w:val="0"/>
          <w:szCs w:val="21"/>
        </w:rPr>
      </w:pPr>
      <w:r>
        <w:rPr>
          <w:rFonts w:hint="eastAsia" w:ascii="宋体" w:hAnsi="宋体" w:cs="宋体"/>
          <w:b/>
          <w:bCs/>
          <w:color w:val="auto"/>
          <w:kern w:val="0"/>
          <w:szCs w:val="21"/>
        </w:rPr>
        <w:t>1.</w:t>
      </w:r>
      <w:r>
        <w:rPr>
          <w:rFonts w:hint="eastAsia" w:ascii="宋体" w:hAnsi="宋体" w:cs="宋体"/>
          <w:color w:val="auto"/>
          <w:szCs w:val="21"/>
        </w:rPr>
        <w:t>投标人提供缴税所属时间在2024年01月至本项目提交投标文件截止时间前任意2个月的税务局税收通用缴款书或银行电子缴税（费）凭证或税务局出具纳税情况的相关证明，成立未满2个月的提供成立以来的纳税证明材料，依法免税的应提供依法免税的相关证明文件</w:t>
      </w:r>
      <w:r>
        <w:rPr>
          <w:rFonts w:hint="eastAsia" w:hAnsi="宋体" w:cs="宋体"/>
          <w:color w:val="auto"/>
          <w:szCs w:val="21"/>
        </w:rPr>
        <w:t>；</w:t>
      </w:r>
    </w:p>
    <w:p w14:paraId="4032029D">
      <w:pPr>
        <w:widowControl/>
        <w:spacing w:line="440" w:lineRule="exact"/>
        <w:jc w:val="left"/>
        <w:rPr>
          <w:rFonts w:ascii="宋体" w:hAnsi="宋体" w:cs="宋体"/>
          <w:b/>
          <w:bCs/>
          <w:color w:val="auto"/>
          <w:sz w:val="28"/>
          <w:szCs w:val="28"/>
        </w:rPr>
      </w:pPr>
      <w:r>
        <w:rPr>
          <w:rFonts w:hint="eastAsia" w:ascii="宋体" w:hAnsi="宋体" w:cs="宋体"/>
          <w:b/>
          <w:bCs/>
          <w:color w:val="auto"/>
          <w:kern w:val="0"/>
          <w:szCs w:val="21"/>
        </w:rPr>
        <w:t>2.</w:t>
      </w:r>
      <w:r>
        <w:rPr>
          <w:rFonts w:hint="eastAsia" w:ascii="宋体" w:hAnsi="宋体" w:cs="宋体"/>
          <w:color w:val="auto"/>
          <w:szCs w:val="21"/>
        </w:rPr>
        <w:t>投标人提供缴费所属时间在2024年01月至本项目提交投标文件截止时间前任意2个月的社会保险费缴款书或银行电子缴税（费）凭证或社保管理部门出具的有效的缴款证明，成立未满2个月的提供成立以来的社保资金缴纳证明材料，依法免缴的应提供依法免缴的相关证明文件；</w:t>
      </w:r>
      <w:r>
        <w:rPr>
          <w:rFonts w:hint="eastAsia" w:ascii="宋体" w:hAnsi="宋体" w:cs="宋体"/>
          <w:b/>
          <w:bCs/>
          <w:color w:val="auto"/>
          <w:sz w:val="28"/>
          <w:szCs w:val="28"/>
        </w:rPr>
        <w:br w:type="page"/>
      </w:r>
      <w:r>
        <w:rPr>
          <w:rFonts w:hint="eastAsia" w:ascii="宋体" w:hAnsi="宋体" w:cs="宋体"/>
          <w:b/>
          <w:color w:val="auto"/>
          <w:sz w:val="28"/>
          <w:szCs w:val="28"/>
        </w:rPr>
        <w:t>格式5</w:t>
      </w:r>
    </w:p>
    <w:p w14:paraId="623D124A">
      <w:pPr>
        <w:widowControl/>
        <w:spacing w:line="440" w:lineRule="exact"/>
        <w:jc w:val="left"/>
        <w:rPr>
          <w:rFonts w:ascii="宋体" w:hAnsi="宋体" w:cs="宋体"/>
          <w:b/>
          <w:color w:val="auto"/>
          <w:kern w:val="0"/>
          <w:szCs w:val="21"/>
        </w:rPr>
      </w:pPr>
      <w:r>
        <w:rPr>
          <w:rFonts w:hint="eastAsia" w:ascii="宋体" w:hAnsi="宋体" w:cs="宋体"/>
          <w:color w:val="auto"/>
          <w:szCs w:val="21"/>
        </w:rPr>
        <w:t>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加盖投标人电子公章）；</w:t>
      </w:r>
    </w:p>
    <w:p w14:paraId="371F731B">
      <w:pPr>
        <w:rPr>
          <w:rFonts w:ascii="宋体" w:hAnsi="宋体" w:cs="宋体"/>
          <w:b/>
          <w:color w:val="auto"/>
          <w:kern w:val="0"/>
          <w:szCs w:val="21"/>
        </w:rPr>
      </w:pPr>
      <w:r>
        <w:rPr>
          <w:rFonts w:hint="eastAsia" w:ascii="宋体" w:hAnsi="宋体" w:cs="宋体"/>
          <w:b/>
          <w:color w:val="auto"/>
          <w:kern w:val="0"/>
          <w:szCs w:val="21"/>
        </w:rPr>
        <w:br w:type="page"/>
      </w:r>
    </w:p>
    <w:p w14:paraId="65BE22C1">
      <w:pPr>
        <w:widowControl/>
        <w:spacing w:line="440" w:lineRule="exact"/>
        <w:rPr>
          <w:rFonts w:ascii="宋体" w:hAnsi="宋体" w:cs="宋体"/>
          <w:b/>
          <w:color w:val="auto"/>
          <w:sz w:val="28"/>
          <w:szCs w:val="28"/>
        </w:rPr>
      </w:pPr>
      <w:r>
        <w:rPr>
          <w:rFonts w:hint="eastAsia" w:ascii="宋体" w:hAnsi="宋体" w:cs="宋体"/>
          <w:b/>
          <w:color w:val="auto"/>
          <w:sz w:val="28"/>
          <w:szCs w:val="28"/>
        </w:rPr>
        <w:t>格式6</w:t>
      </w:r>
    </w:p>
    <w:p w14:paraId="029CE7C1">
      <w:pPr>
        <w:widowControl/>
        <w:spacing w:line="440" w:lineRule="exact"/>
        <w:jc w:val="left"/>
        <w:rPr>
          <w:rFonts w:ascii="宋体" w:hAnsi="宋体" w:cs="宋体"/>
          <w:b/>
          <w:color w:val="auto"/>
          <w:kern w:val="0"/>
          <w:szCs w:val="21"/>
        </w:rPr>
      </w:pPr>
      <w:r>
        <w:rPr>
          <w:rFonts w:hint="eastAsia" w:ascii="宋体" w:hAnsi="宋体" w:cs="宋体"/>
          <w:b/>
          <w:color w:val="auto"/>
          <w:kern w:val="0"/>
          <w:szCs w:val="21"/>
        </w:rPr>
        <w:t>法律、行政法规规定的其他条件：</w:t>
      </w:r>
    </w:p>
    <w:p w14:paraId="2CCA0666">
      <w:pPr>
        <w:widowControl/>
        <w:spacing w:line="440" w:lineRule="exact"/>
        <w:jc w:val="left"/>
        <w:rPr>
          <w:rFonts w:ascii="宋体" w:hAnsi="宋体" w:cs="宋体"/>
          <w:color w:val="auto"/>
          <w:szCs w:val="21"/>
        </w:rPr>
      </w:pPr>
      <w:r>
        <w:rPr>
          <w:rFonts w:hint="eastAsia" w:ascii="宋体" w:hAnsi="宋体" w:cs="宋体"/>
          <w:color w:val="auto"/>
          <w:szCs w:val="21"/>
        </w:rPr>
        <w:t>1.单位负责人为同一人或者存在直接控股、管理关系的不同投标人，不得同时参加本项目的采购活动（提供书面声明，加盖投标人电子公章）；</w:t>
      </w:r>
    </w:p>
    <w:p w14:paraId="7000159E">
      <w:pPr>
        <w:widowControl/>
        <w:spacing w:line="440" w:lineRule="exact"/>
        <w:jc w:val="left"/>
        <w:rPr>
          <w:rFonts w:ascii="宋体" w:hAnsi="宋体" w:cs="宋体"/>
          <w:b/>
          <w:color w:val="auto"/>
          <w:kern w:val="0"/>
          <w:szCs w:val="21"/>
        </w:rPr>
      </w:pPr>
      <w:r>
        <w:rPr>
          <w:rFonts w:hint="eastAsia" w:ascii="宋体" w:hAnsi="宋体" w:cs="宋体"/>
          <w:color w:val="auto"/>
          <w:szCs w:val="21"/>
        </w:rPr>
        <w:t>2.为本项目提供整体设计、规范编制或者项目管理、监理、检测等服务的投标人，不得参与本项目采购活动（提供书面声明，加盖投标人电子公章）</w:t>
      </w:r>
      <w:r>
        <w:rPr>
          <w:rFonts w:hint="eastAsia" w:ascii="宋体" w:hAnsi="宋体" w:cs="宋体"/>
          <w:bCs/>
          <w:color w:val="auto"/>
          <w:kern w:val="0"/>
          <w:szCs w:val="21"/>
        </w:rPr>
        <w:t>；</w:t>
      </w:r>
    </w:p>
    <w:p w14:paraId="33D1BC06">
      <w:pPr>
        <w:widowControl/>
        <w:spacing w:line="440" w:lineRule="exact"/>
        <w:jc w:val="left"/>
        <w:rPr>
          <w:rFonts w:ascii="宋体" w:hAnsi="宋体" w:cs="宋体"/>
          <w:color w:val="auto"/>
          <w:szCs w:val="21"/>
        </w:rPr>
      </w:pPr>
    </w:p>
    <w:p w14:paraId="4439A7E9">
      <w:pPr>
        <w:widowControl/>
        <w:jc w:val="center"/>
        <w:rPr>
          <w:rFonts w:eastAsia="黑体"/>
          <w:color w:val="auto"/>
          <w:sz w:val="28"/>
          <w:szCs w:val="28"/>
        </w:rPr>
      </w:pPr>
    </w:p>
    <w:p w14:paraId="112C206B">
      <w:pPr>
        <w:widowControl/>
        <w:jc w:val="center"/>
        <w:rPr>
          <w:rFonts w:eastAsia="黑体"/>
          <w:color w:val="auto"/>
          <w:sz w:val="28"/>
          <w:szCs w:val="28"/>
        </w:rPr>
      </w:pPr>
      <w:r>
        <w:rPr>
          <w:rFonts w:hint="eastAsia" w:eastAsia="黑体"/>
          <w:color w:val="auto"/>
          <w:sz w:val="28"/>
          <w:szCs w:val="28"/>
        </w:rPr>
        <w:t>书面声明</w:t>
      </w:r>
    </w:p>
    <w:p w14:paraId="301FC04F">
      <w:pPr>
        <w:widowControl/>
        <w:spacing w:line="48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致：</w:t>
      </w:r>
      <w:r>
        <w:rPr>
          <w:rFonts w:hint="eastAsia" w:asciiTheme="minorEastAsia" w:hAnsiTheme="minorEastAsia" w:eastAsiaTheme="minorEastAsia" w:cstheme="minorEastAsia"/>
          <w:color w:val="auto"/>
          <w:szCs w:val="21"/>
          <w:u w:val="single"/>
        </w:rPr>
        <w:t>（采购人名称）</w:t>
      </w:r>
      <w:r>
        <w:rPr>
          <w:rFonts w:hint="eastAsia" w:asciiTheme="minorEastAsia" w:hAnsiTheme="minorEastAsia" w:eastAsiaTheme="minorEastAsia" w:cstheme="minorEastAsia"/>
          <w:color w:val="auto"/>
          <w:szCs w:val="21"/>
        </w:rPr>
        <w:t>：</w:t>
      </w:r>
    </w:p>
    <w:p w14:paraId="3A708B92">
      <w:pPr>
        <w:widowControl/>
        <w:spacing w:line="480" w:lineRule="auto"/>
        <w:ind w:firstLine="4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在参与本次项目投标中，我方承诺：</w:t>
      </w:r>
    </w:p>
    <w:p w14:paraId="20BBE190">
      <w:pPr>
        <w:widowControl/>
        <w:spacing w:line="480" w:lineRule="auto"/>
        <w:ind w:firstLine="420"/>
        <w:jc w:val="left"/>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我方不存在单位负责人为同一人或者存在直接控股、管理关系的不同投标人，同时参加本项目本项目的采购活动的情形；</w:t>
      </w:r>
    </w:p>
    <w:p w14:paraId="0A5FAE62">
      <w:pPr>
        <w:widowControl/>
        <w:spacing w:line="480" w:lineRule="auto"/>
        <w:ind w:firstLine="420"/>
        <w:jc w:val="left"/>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上述承诺真实有效，否则我方负全部责任。</w:t>
      </w:r>
    </w:p>
    <w:p w14:paraId="1CB27AD3">
      <w:pPr>
        <w:widowControl/>
        <w:spacing w:line="480" w:lineRule="auto"/>
        <w:ind w:firstLine="420"/>
        <w:jc w:val="left"/>
        <w:rPr>
          <w:rFonts w:asciiTheme="minorEastAsia" w:hAnsiTheme="minorEastAsia" w:eastAsiaTheme="minorEastAsia" w:cstheme="minorEastAsia"/>
          <w:color w:val="auto"/>
          <w:kern w:val="0"/>
          <w:szCs w:val="21"/>
          <w:lang w:bidi="ar"/>
        </w:rPr>
      </w:pPr>
    </w:p>
    <w:p w14:paraId="2CA1F599">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投标人（加盖电子公章）：</w:t>
      </w:r>
    </w:p>
    <w:p w14:paraId="2A3BC74E">
      <w:pPr>
        <w:adjustRightInd w:val="0"/>
        <w:snapToGrid w:val="0"/>
        <w:spacing w:line="360" w:lineRule="auto"/>
        <w:rPr>
          <w:rFonts w:ascii="宋体" w:hAnsi="宋体" w:cs="宋体"/>
          <w:b/>
          <w:bCs/>
          <w:color w:val="auto"/>
          <w:szCs w:val="21"/>
        </w:rPr>
      </w:pPr>
    </w:p>
    <w:p w14:paraId="1AD9CF55">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日期：</w:t>
      </w:r>
    </w:p>
    <w:p w14:paraId="28DBA9B4">
      <w:pPr>
        <w:pStyle w:val="16"/>
        <w:rPr>
          <w:color w:val="auto"/>
        </w:rPr>
      </w:pPr>
    </w:p>
    <w:p w14:paraId="29A4FEED">
      <w:pPr>
        <w:rPr>
          <w:rFonts w:ascii="宋体" w:hAnsi="宋体" w:cs="宋体"/>
          <w:b/>
          <w:color w:val="auto"/>
          <w:kern w:val="0"/>
          <w:szCs w:val="21"/>
        </w:rPr>
      </w:pPr>
      <w:r>
        <w:rPr>
          <w:rFonts w:hint="eastAsia" w:ascii="宋体" w:hAnsi="宋体" w:cs="宋体"/>
          <w:b/>
          <w:color w:val="auto"/>
          <w:kern w:val="0"/>
          <w:szCs w:val="21"/>
        </w:rPr>
        <w:br w:type="page"/>
      </w:r>
    </w:p>
    <w:p w14:paraId="13964860">
      <w:pPr>
        <w:widowControl/>
        <w:jc w:val="center"/>
        <w:rPr>
          <w:rFonts w:eastAsia="黑体"/>
          <w:color w:val="auto"/>
          <w:sz w:val="28"/>
          <w:szCs w:val="28"/>
        </w:rPr>
      </w:pPr>
    </w:p>
    <w:p w14:paraId="1D4B8A45">
      <w:pPr>
        <w:widowControl/>
        <w:jc w:val="center"/>
        <w:rPr>
          <w:rFonts w:eastAsia="黑体"/>
          <w:color w:val="auto"/>
          <w:sz w:val="28"/>
          <w:szCs w:val="28"/>
        </w:rPr>
      </w:pPr>
      <w:r>
        <w:rPr>
          <w:rFonts w:hint="eastAsia" w:eastAsia="黑体"/>
          <w:color w:val="auto"/>
          <w:sz w:val="28"/>
          <w:szCs w:val="28"/>
        </w:rPr>
        <w:t>书面声明</w:t>
      </w:r>
    </w:p>
    <w:p w14:paraId="3181A33C">
      <w:pPr>
        <w:widowControl/>
        <w:spacing w:line="48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致：</w:t>
      </w:r>
      <w:r>
        <w:rPr>
          <w:rFonts w:hint="eastAsia" w:asciiTheme="minorEastAsia" w:hAnsiTheme="minorEastAsia" w:eastAsiaTheme="minorEastAsia" w:cstheme="minorEastAsia"/>
          <w:color w:val="auto"/>
          <w:szCs w:val="21"/>
          <w:u w:val="single"/>
        </w:rPr>
        <w:t>（采购人名称）</w:t>
      </w:r>
      <w:r>
        <w:rPr>
          <w:rFonts w:hint="eastAsia" w:asciiTheme="minorEastAsia" w:hAnsiTheme="minorEastAsia" w:eastAsiaTheme="minorEastAsia" w:cstheme="minorEastAsia"/>
          <w:color w:val="auto"/>
          <w:szCs w:val="21"/>
        </w:rPr>
        <w:t>：</w:t>
      </w:r>
    </w:p>
    <w:p w14:paraId="50C9D4A8">
      <w:pPr>
        <w:widowControl/>
        <w:spacing w:line="480" w:lineRule="auto"/>
        <w:ind w:firstLine="4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在参与本次项目投标中，我方承诺：</w:t>
      </w:r>
    </w:p>
    <w:p w14:paraId="32B1FC21">
      <w:pPr>
        <w:widowControl/>
        <w:spacing w:line="480" w:lineRule="auto"/>
        <w:ind w:firstLine="420"/>
        <w:jc w:val="left"/>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我方不存在为本项目本项目</w:t>
      </w:r>
      <w:r>
        <w:rPr>
          <w:rFonts w:hint="eastAsia" w:asciiTheme="minorEastAsia" w:hAnsiTheme="minorEastAsia" w:eastAsiaTheme="minorEastAsia" w:cstheme="minorEastAsia"/>
          <w:color w:val="auto"/>
          <w:szCs w:val="21"/>
          <w:lang w:bidi="ar"/>
        </w:rPr>
        <w:t>提供整体设计、规范编制或者项目管理、监理、检测等服务</w:t>
      </w:r>
      <w:r>
        <w:rPr>
          <w:rFonts w:hint="eastAsia" w:asciiTheme="minorEastAsia" w:hAnsiTheme="minorEastAsia" w:eastAsiaTheme="minorEastAsia" w:cstheme="minorEastAsia"/>
          <w:color w:val="auto"/>
          <w:kern w:val="0"/>
          <w:szCs w:val="21"/>
          <w:lang w:bidi="ar"/>
        </w:rPr>
        <w:t>后，再参加该采购项目的其他采购活动的情形；</w:t>
      </w:r>
    </w:p>
    <w:p w14:paraId="7F7F776C">
      <w:pPr>
        <w:widowControl/>
        <w:spacing w:line="480" w:lineRule="auto"/>
        <w:ind w:firstLine="420"/>
        <w:jc w:val="left"/>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上述承诺真实有效，否则我方负全部责任。</w:t>
      </w:r>
    </w:p>
    <w:p w14:paraId="54240A63">
      <w:pPr>
        <w:widowControl/>
        <w:spacing w:line="480" w:lineRule="auto"/>
        <w:ind w:firstLine="420"/>
        <w:jc w:val="left"/>
        <w:rPr>
          <w:rFonts w:asciiTheme="minorEastAsia" w:hAnsiTheme="minorEastAsia" w:eastAsiaTheme="minorEastAsia" w:cstheme="minorEastAsia"/>
          <w:color w:val="auto"/>
          <w:kern w:val="0"/>
          <w:szCs w:val="21"/>
          <w:lang w:bidi="ar"/>
        </w:rPr>
      </w:pPr>
    </w:p>
    <w:p w14:paraId="5A091ADE">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投标人（加盖电子公章）：</w:t>
      </w:r>
    </w:p>
    <w:p w14:paraId="5CBA9696">
      <w:pPr>
        <w:adjustRightInd w:val="0"/>
        <w:snapToGrid w:val="0"/>
        <w:spacing w:line="360" w:lineRule="auto"/>
        <w:rPr>
          <w:rFonts w:ascii="宋体" w:hAnsi="宋体" w:cs="宋体"/>
          <w:b/>
          <w:bCs/>
          <w:color w:val="auto"/>
          <w:szCs w:val="21"/>
        </w:rPr>
      </w:pPr>
    </w:p>
    <w:p w14:paraId="2F85FD9C">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日期：</w:t>
      </w:r>
    </w:p>
    <w:p w14:paraId="7B2BA578">
      <w:pPr>
        <w:rPr>
          <w:rFonts w:ascii="宋体" w:hAnsi="宋体" w:cs="宋体"/>
          <w:b/>
          <w:color w:val="auto"/>
          <w:kern w:val="0"/>
          <w:szCs w:val="21"/>
        </w:rPr>
      </w:pPr>
    </w:p>
    <w:p w14:paraId="03467C99">
      <w:pPr>
        <w:rPr>
          <w:rFonts w:hAnsi="宋体" w:cs="宋体"/>
          <w:b/>
          <w:color w:val="auto"/>
          <w:sz w:val="28"/>
          <w:szCs w:val="28"/>
        </w:rPr>
      </w:pPr>
      <w:bookmarkStart w:id="404" w:name="_Toc11295"/>
      <w:r>
        <w:rPr>
          <w:rFonts w:hint="eastAsia" w:hAnsi="宋体" w:cs="宋体"/>
          <w:b/>
          <w:color w:val="auto"/>
          <w:sz w:val="28"/>
          <w:szCs w:val="28"/>
        </w:rPr>
        <w:br w:type="page"/>
      </w:r>
    </w:p>
    <w:p w14:paraId="46B196C8">
      <w:pPr>
        <w:spacing w:line="360" w:lineRule="auto"/>
        <w:ind w:left="425"/>
        <w:jc w:val="center"/>
        <w:rPr>
          <w:rFonts w:ascii="宋体" w:hAnsi="宋体" w:cs="宋体"/>
          <w:b/>
          <w:bCs/>
          <w:color w:val="auto"/>
          <w:sz w:val="28"/>
          <w:szCs w:val="32"/>
        </w:rPr>
      </w:pPr>
      <w:r>
        <w:rPr>
          <w:rFonts w:hint="eastAsia" w:ascii="宋体" w:hAnsi="宋体" w:cs="宋体"/>
          <w:b/>
          <w:bCs/>
          <w:color w:val="auto"/>
          <w:sz w:val="28"/>
          <w:szCs w:val="32"/>
        </w:rPr>
        <w:t>二、报价文件</w:t>
      </w:r>
      <w:bookmarkEnd w:id="404"/>
    </w:p>
    <w:p w14:paraId="04996B69">
      <w:pPr>
        <w:pStyle w:val="20"/>
        <w:spacing w:line="500" w:lineRule="exact"/>
        <w:jc w:val="left"/>
        <w:rPr>
          <w:rFonts w:hAnsi="宋体" w:cs="宋体"/>
          <w:b/>
          <w:color w:val="auto"/>
          <w:sz w:val="28"/>
          <w:szCs w:val="28"/>
        </w:rPr>
      </w:pPr>
      <w:r>
        <w:rPr>
          <w:rFonts w:hint="eastAsia" w:hAnsi="宋体" w:cs="宋体"/>
          <w:b/>
          <w:color w:val="auto"/>
          <w:sz w:val="28"/>
          <w:szCs w:val="28"/>
        </w:rPr>
        <w:t>格式7</w:t>
      </w:r>
    </w:p>
    <w:p w14:paraId="4AFF26BA">
      <w:pPr>
        <w:keepNext/>
        <w:keepLines/>
        <w:spacing w:before="120" w:after="120" w:line="360" w:lineRule="auto"/>
        <w:jc w:val="center"/>
        <w:rPr>
          <w:rFonts w:ascii="宋体" w:hAnsi="宋体" w:cs="宋体"/>
          <w:b/>
          <w:color w:val="auto"/>
          <w:sz w:val="28"/>
          <w:szCs w:val="28"/>
        </w:rPr>
      </w:pPr>
      <w:bookmarkStart w:id="405" w:name="_Toc489145750"/>
      <w:bookmarkStart w:id="406" w:name="_Toc489197854"/>
      <w:bookmarkStart w:id="407" w:name="_Toc25861"/>
      <w:bookmarkStart w:id="408" w:name="_Toc13559"/>
      <w:bookmarkStart w:id="409" w:name="_Toc31181"/>
      <w:bookmarkStart w:id="410" w:name="_Toc18287416"/>
      <w:bookmarkStart w:id="411" w:name="_Toc481694844"/>
      <w:bookmarkStart w:id="412" w:name="_Toc213141093"/>
      <w:bookmarkStart w:id="413" w:name="_Toc488633615"/>
      <w:bookmarkStart w:id="414" w:name="_Toc14603905"/>
      <w:r>
        <w:rPr>
          <w:rFonts w:hint="eastAsia" w:ascii="宋体" w:hAnsi="宋体" w:cs="宋体"/>
          <w:b/>
          <w:color w:val="auto"/>
          <w:sz w:val="28"/>
          <w:szCs w:val="28"/>
        </w:rPr>
        <w:t>开标一览表</w:t>
      </w:r>
      <w:bookmarkEnd w:id="405"/>
      <w:bookmarkEnd w:id="406"/>
      <w:bookmarkEnd w:id="407"/>
      <w:bookmarkEnd w:id="408"/>
      <w:bookmarkEnd w:id="409"/>
      <w:bookmarkEnd w:id="410"/>
      <w:bookmarkEnd w:id="411"/>
      <w:bookmarkEnd w:id="412"/>
      <w:bookmarkEnd w:id="413"/>
      <w:bookmarkEnd w:id="414"/>
    </w:p>
    <w:p w14:paraId="218B5A7E">
      <w:pPr>
        <w:pStyle w:val="20"/>
        <w:spacing w:line="360" w:lineRule="auto"/>
        <w:rPr>
          <w:rFonts w:hAnsi="宋体" w:cs="宋体"/>
          <w:b/>
          <w:color w:val="auto"/>
          <w:szCs w:val="21"/>
          <w:u w:val="single"/>
        </w:rPr>
      </w:pPr>
      <w:r>
        <w:rPr>
          <w:rFonts w:hint="eastAsia" w:hAnsi="宋体" w:cs="宋体"/>
          <w:b/>
          <w:color w:val="auto"/>
          <w:szCs w:val="21"/>
        </w:rPr>
        <w:t>项目名称：</w:t>
      </w:r>
      <w:r>
        <w:rPr>
          <w:rFonts w:hint="eastAsia" w:hAnsi="宋体" w:cs="宋体"/>
          <w:bCs/>
          <w:color w:val="auto"/>
          <w:szCs w:val="21"/>
        </w:rPr>
        <w:t>云南师范大学经济学院实验室建设采购项目</w:t>
      </w:r>
    </w:p>
    <w:p w14:paraId="71086E21">
      <w:pPr>
        <w:pStyle w:val="20"/>
        <w:spacing w:line="360" w:lineRule="auto"/>
        <w:rPr>
          <w:rFonts w:hint="eastAsia" w:hAnsi="宋体" w:eastAsia="宋体" w:cs="宋体"/>
          <w:bCs/>
          <w:color w:val="auto"/>
          <w:szCs w:val="21"/>
          <w:lang w:eastAsia="zh-CN"/>
        </w:rPr>
      </w:pPr>
      <w:r>
        <w:rPr>
          <w:rFonts w:hint="eastAsia" w:hAnsi="宋体" w:cs="宋体"/>
          <w:b/>
          <w:color w:val="auto"/>
          <w:szCs w:val="21"/>
        </w:rPr>
        <w:t>项目编号：</w:t>
      </w:r>
      <w:r>
        <w:rPr>
          <w:rFonts w:hint="eastAsia" w:hAnsi="宋体" w:cs="宋体"/>
          <w:bCs/>
          <w:color w:val="auto"/>
          <w:szCs w:val="21"/>
          <w:lang w:eastAsia="zh-CN"/>
        </w:rPr>
        <w:t>YNZC2025-G1-07525-YNGR-0415</w:t>
      </w:r>
    </w:p>
    <w:tbl>
      <w:tblPr>
        <w:tblStyle w:val="4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6090"/>
      </w:tblGrid>
      <w:tr w14:paraId="3DFD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14:paraId="635A3FB0">
            <w:pPr>
              <w:spacing w:line="360" w:lineRule="auto"/>
              <w:jc w:val="center"/>
              <w:rPr>
                <w:rFonts w:ascii="宋体" w:hAnsi="宋体" w:cs="宋体"/>
                <w:bCs/>
                <w:color w:val="auto"/>
                <w:szCs w:val="21"/>
              </w:rPr>
            </w:pPr>
            <w:r>
              <w:rPr>
                <w:rFonts w:hint="eastAsia" w:ascii="宋体" w:hAnsi="宋体" w:cs="宋体"/>
                <w:bCs/>
                <w:color w:val="auto"/>
                <w:szCs w:val="21"/>
              </w:rPr>
              <w:t>投标人名称</w:t>
            </w:r>
          </w:p>
        </w:tc>
        <w:tc>
          <w:tcPr>
            <w:tcW w:w="6090" w:type="dxa"/>
            <w:tcBorders>
              <w:top w:val="single" w:color="auto" w:sz="4" w:space="0"/>
              <w:left w:val="single" w:color="auto" w:sz="4" w:space="0"/>
              <w:bottom w:val="single" w:color="auto" w:sz="4" w:space="0"/>
              <w:right w:val="single" w:color="auto" w:sz="4" w:space="0"/>
            </w:tcBorders>
            <w:vAlign w:val="center"/>
          </w:tcPr>
          <w:p w14:paraId="1B3A780C">
            <w:pPr>
              <w:spacing w:line="360" w:lineRule="auto"/>
              <w:jc w:val="center"/>
              <w:rPr>
                <w:rFonts w:ascii="宋体" w:hAnsi="宋体" w:cs="宋体"/>
                <w:bCs/>
                <w:color w:val="auto"/>
                <w:szCs w:val="21"/>
              </w:rPr>
            </w:pPr>
          </w:p>
        </w:tc>
      </w:tr>
      <w:tr w14:paraId="449B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87" w:type="dxa"/>
            <w:tcBorders>
              <w:top w:val="single" w:color="auto" w:sz="4" w:space="0"/>
              <w:left w:val="single" w:color="auto" w:sz="4" w:space="0"/>
              <w:right w:val="single" w:color="auto" w:sz="4" w:space="0"/>
            </w:tcBorders>
            <w:vAlign w:val="center"/>
          </w:tcPr>
          <w:p w14:paraId="4D97B6C5">
            <w:pPr>
              <w:pStyle w:val="20"/>
              <w:spacing w:line="360" w:lineRule="auto"/>
              <w:jc w:val="center"/>
              <w:rPr>
                <w:rFonts w:hAnsi="宋体" w:cs="宋体"/>
                <w:bCs/>
                <w:color w:val="auto"/>
                <w:szCs w:val="21"/>
              </w:rPr>
            </w:pPr>
            <w:r>
              <w:rPr>
                <w:rFonts w:hint="eastAsia" w:hAnsi="宋体" w:cs="宋体"/>
                <w:bCs/>
                <w:color w:val="auto"/>
                <w:szCs w:val="21"/>
              </w:rPr>
              <w:t>投标报价（元）</w:t>
            </w:r>
          </w:p>
        </w:tc>
        <w:tc>
          <w:tcPr>
            <w:tcW w:w="6090" w:type="dxa"/>
            <w:tcBorders>
              <w:top w:val="single" w:color="auto" w:sz="4" w:space="0"/>
              <w:left w:val="single" w:color="auto" w:sz="4" w:space="0"/>
              <w:bottom w:val="single" w:color="auto" w:sz="4" w:space="0"/>
              <w:right w:val="single" w:color="auto" w:sz="4" w:space="0"/>
            </w:tcBorders>
            <w:vAlign w:val="center"/>
          </w:tcPr>
          <w:p w14:paraId="62DCADE4">
            <w:pPr>
              <w:spacing w:line="360" w:lineRule="auto"/>
              <w:jc w:val="center"/>
              <w:rPr>
                <w:rFonts w:ascii="宋体" w:hAnsi="宋体" w:cs="宋体"/>
                <w:b/>
                <w:bCs/>
                <w:color w:val="auto"/>
                <w:szCs w:val="21"/>
              </w:rPr>
            </w:pPr>
          </w:p>
        </w:tc>
      </w:tr>
      <w:tr w14:paraId="72A6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14:paraId="0F3A3C6E">
            <w:pPr>
              <w:spacing w:line="360" w:lineRule="auto"/>
              <w:jc w:val="center"/>
              <w:rPr>
                <w:rFonts w:ascii="宋体" w:hAnsi="宋体" w:cs="宋体"/>
                <w:bCs/>
                <w:color w:val="auto"/>
                <w:szCs w:val="21"/>
              </w:rPr>
            </w:pPr>
            <w:r>
              <w:rPr>
                <w:rFonts w:hint="eastAsia" w:ascii="宋体" w:hAnsi="宋体" w:cs="宋体"/>
                <w:color w:val="auto"/>
                <w:szCs w:val="21"/>
              </w:rPr>
              <w:t>合同履行期限（项目交付和实施时间）</w:t>
            </w:r>
          </w:p>
        </w:tc>
        <w:tc>
          <w:tcPr>
            <w:tcW w:w="6090" w:type="dxa"/>
            <w:tcBorders>
              <w:top w:val="single" w:color="auto" w:sz="4" w:space="0"/>
              <w:left w:val="single" w:color="auto" w:sz="4" w:space="0"/>
              <w:bottom w:val="single" w:color="auto" w:sz="4" w:space="0"/>
              <w:right w:val="single" w:color="auto" w:sz="4" w:space="0"/>
            </w:tcBorders>
            <w:vAlign w:val="center"/>
          </w:tcPr>
          <w:p w14:paraId="1691B9BD">
            <w:pPr>
              <w:spacing w:line="360" w:lineRule="auto"/>
              <w:rPr>
                <w:rFonts w:ascii="宋体" w:hAnsi="宋体" w:cs="宋体"/>
                <w:bCs/>
                <w:color w:val="auto"/>
                <w:szCs w:val="21"/>
              </w:rPr>
            </w:pPr>
          </w:p>
        </w:tc>
      </w:tr>
      <w:tr w14:paraId="7F15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14:paraId="4E86D7B6">
            <w:pPr>
              <w:spacing w:line="360" w:lineRule="auto"/>
              <w:jc w:val="center"/>
              <w:rPr>
                <w:rFonts w:ascii="宋体" w:hAnsi="宋体" w:cs="宋体"/>
                <w:bCs/>
                <w:color w:val="auto"/>
                <w:szCs w:val="21"/>
              </w:rPr>
            </w:pPr>
            <w:r>
              <w:rPr>
                <w:rFonts w:hint="eastAsia" w:ascii="宋体" w:hAnsi="宋体" w:cs="宋体"/>
                <w:color w:val="auto"/>
                <w:szCs w:val="21"/>
              </w:rPr>
              <w:t>实施的地点</w:t>
            </w:r>
          </w:p>
        </w:tc>
        <w:tc>
          <w:tcPr>
            <w:tcW w:w="6090" w:type="dxa"/>
            <w:tcBorders>
              <w:top w:val="single" w:color="auto" w:sz="4" w:space="0"/>
              <w:left w:val="single" w:color="auto" w:sz="4" w:space="0"/>
              <w:bottom w:val="single" w:color="auto" w:sz="4" w:space="0"/>
              <w:right w:val="single" w:color="auto" w:sz="4" w:space="0"/>
            </w:tcBorders>
            <w:vAlign w:val="center"/>
          </w:tcPr>
          <w:p w14:paraId="5BA55EFA">
            <w:pPr>
              <w:spacing w:line="360" w:lineRule="auto"/>
              <w:rPr>
                <w:rFonts w:ascii="宋体" w:hAnsi="宋体" w:cs="宋体"/>
                <w:bCs/>
                <w:color w:val="auto"/>
                <w:szCs w:val="21"/>
              </w:rPr>
            </w:pPr>
          </w:p>
        </w:tc>
      </w:tr>
      <w:tr w14:paraId="446F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14:paraId="25E78DF4">
            <w:pPr>
              <w:pStyle w:val="20"/>
              <w:spacing w:line="360" w:lineRule="auto"/>
              <w:jc w:val="center"/>
              <w:rPr>
                <w:rFonts w:hAnsi="宋体" w:cs="宋体"/>
                <w:bCs/>
                <w:color w:val="auto"/>
                <w:szCs w:val="21"/>
              </w:rPr>
            </w:pPr>
            <w:r>
              <w:rPr>
                <w:rFonts w:hint="eastAsia" w:hAnsi="宋体" w:cs="宋体"/>
                <w:bCs/>
                <w:color w:val="auto"/>
                <w:szCs w:val="21"/>
              </w:rPr>
              <w:t>投标保证金形式</w:t>
            </w:r>
          </w:p>
        </w:tc>
        <w:tc>
          <w:tcPr>
            <w:tcW w:w="6090" w:type="dxa"/>
            <w:tcBorders>
              <w:top w:val="single" w:color="auto" w:sz="4" w:space="0"/>
              <w:left w:val="single" w:color="auto" w:sz="4" w:space="0"/>
              <w:bottom w:val="single" w:color="auto" w:sz="4" w:space="0"/>
              <w:right w:val="single" w:color="auto" w:sz="4" w:space="0"/>
            </w:tcBorders>
            <w:vAlign w:val="center"/>
          </w:tcPr>
          <w:p w14:paraId="468A069C">
            <w:pPr>
              <w:spacing w:line="360" w:lineRule="auto"/>
              <w:rPr>
                <w:rFonts w:ascii="宋体" w:hAnsi="宋体" w:cs="宋体"/>
                <w:bCs/>
                <w:color w:val="auto"/>
                <w:szCs w:val="21"/>
              </w:rPr>
            </w:pPr>
          </w:p>
        </w:tc>
      </w:tr>
      <w:tr w14:paraId="3F75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277" w:type="dxa"/>
            <w:gridSpan w:val="2"/>
            <w:tcBorders>
              <w:top w:val="single" w:color="auto" w:sz="4" w:space="0"/>
              <w:left w:val="single" w:color="auto" w:sz="4" w:space="0"/>
              <w:bottom w:val="single" w:color="auto" w:sz="4" w:space="0"/>
              <w:right w:val="single" w:color="auto" w:sz="4" w:space="0"/>
            </w:tcBorders>
            <w:vAlign w:val="center"/>
          </w:tcPr>
          <w:p w14:paraId="57B2A8FB">
            <w:pPr>
              <w:spacing w:line="360" w:lineRule="auto"/>
              <w:jc w:val="left"/>
              <w:rPr>
                <w:rFonts w:ascii="宋体" w:hAnsi="宋体" w:cs="宋体"/>
                <w:bCs/>
                <w:color w:val="auto"/>
                <w:szCs w:val="21"/>
                <w:u w:val="single"/>
              </w:rPr>
            </w:pPr>
            <w:r>
              <w:rPr>
                <w:rFonts w:hint="eastAsia" w:ascii="宋体" w:hAnsi="宋体" w:cs="宋体"/>
                <w:bCs/>
                <w:color w:val="auto"/>
                <w:szCs w:val="21"/>
              </w:rPr>
              <w:t>备 注：</w:t>
            </w:r>
          </w:p>
        </w:tc>
      </w:tr>
    </w:tbl>
    <w:p w14:paraId="3B700BA9">
      <w:pPr>
        <w:spacing w:line="360" w:lineRule="auto"/>
        <w:ind w:firstLine="2" w:firstLineChars="1"/>
        <w:rPr>
          <w:rFonts w:ascii="宋体" w:hAnsi="宋体" w:cs="宋体"/>
          <w:b/>
          <w:color w:val="auto"/>
          <w:szCs w:val="21"/>
        </w:rPr>
      </w:pPr>
      <w:r>
        <w:rPr>
          <w:rFonts w:hint="eastAsia" w:ascii="宋体" w:hAnsi="宋体" w:cs="宋体"/>
          <w:b/>
          <w:color w:val="auto"/>
          <w:szCs w:val="21"/>
        </w:rPr>
        <w:t>注：1、表中投标报价指投标人依据招标文件的要求及有关资料，执行国家或行业现行技术、经济标准、定额及规范，根据现行市场价格自行测算出满足采购要求的硬件设备费、软件系统费、运输与装卸费、辅助材料及施工费、安装调试费、系统集成费、对接费、培训费、技术文档费、验收测试费、质保期内服务费、专用工具费、税费、项目管理费、保险费、采购代理服务费、利润、税金等全部费用的总和。并充分考虑可能发生的各种风险。合同履行过程中，不得调整。</w:t>
      </w:r>
    </w:p>
    <w:p w14:paraId="15B1AA87">
      <w:pPr>
        <w:spacing w:line="360" w:lineRule="auto"/>
        <w:ind w:firstLine="2" w:firstLineChars="1"/>
        <w:rPr>
          <w:rFonts w:ascii="宋体" w:hAnsi="宋体" w:cs="宋体"/>
          <w:b/>
          <w:color w:val="auto"/>
          <w:szCs w:val="21"/>
        </w:rPr>
      </w:pPr>
      <w:r>
        <w:rPr>
          <w:rFonts w:hint="eastAsia" w:ascii="宋体" w:hAnsi="宋体" w:cs="宋体"/>
          <w:b/>
          <w:color w:val="auto"/>
          <w:szCs w:val="21"/>
        </w:rPr>
        <w:t>2、此表为固定格式，同时表中已填写的内容为固定内容，投标人不可对表中格式及已填写的内容进行更改，否则其投标无效。</w:t>
      </w:r>
    </w:p>
    <w:p w14:paraId="0A5C40CC">
      <w:pPr>
        <w:spacing w:line="360" w:lineRule="auto"/>
        <w:ind w:firstLine="2" w:firstLineChars="1"/>
        <w:rPr>
          <w:rFonts w:ascii="宋体" w:hAnsi="宋体" w:cs="宋体"/>
          <w:b/>
          <w:color w:val="auto"/>
          <w:szCs w:val="21"/>
        </w:rPr>
      </w:pPr>
      <w:r>
        <w:rPr>
          <w:rFonts w:hint="eastAsia" w:ascii="宋体" w:hAnsi="宋体" w:cs="宋体"/>
          <w:b/>
          <w:color w:val="auto"/>
          <w:szCs w:val="21"/>
        </w:rPr>
        <w:t>3、</w:t>
      </w:r>
      <w:r>
        <w:rPr>
          <w:rFonts w:hint="eastAsia" w:hAnsi="宋体" w:cs="宋体"/>
          <w:b/>
          <w:bCs/>
          <w:color w:val="auto"/>
        </w:rPr>
        <w:t>若投标人在“政采云”平台上填写的《开标一览表》投标报价与“政采云”平台系统中导出的电子投标文件中《开标一览表》投标报价不一致时，以“政采云”平台上填写的《开标一览表》投标报价为准。修正后的报价经投标人确认后产生约束力，投标人不确认的，其投标无效</w:t>
      </w:r>
      <w:r>
        <w:rPr>
          <w:rFonts w:hint="eastAsia" w:ascii="宋体" w:hAnsi="宋体" w:cs="宋体"/>
          <w:b/>
          <w:color w:val="auto"/>
          <w:szCs w:val="21"/>
        </w:rPr>
        <w:t>。</w:t>
      </w:r>
    </w:p>
    <w:p w14:paraId="5827D6DE">
      <w:pPr>
        <w:spacing w:line="360" w:lineRule="auto"/>
        <w:ind w:firstLine="2" w:firstLineChars="1"/>
        <w:rPr>
          <w:rFonts w:ascii="宋体" w:hAnsi="宋体" w:cs="宋体"/>
          <w:color w:val="auto"/>
          <w:szCs w:val="21"/>
        </w:rPr>
      </w:pPr>
    </w:p>
    <w:p w14:paraId="662A1508">
      <w:pPr>
        <w:spacing w:line="360" w:lineRule="auto"/>
        <w:ind w:firstLine="2" w:firstLineChars="1"/>
        <w:rPr>
          <w:rFonts w:ascii="宋体" w:hAnsi="宋体" w:cs="宋体"/>
          <w:color w:val="auto"/>
          <w:szCs w:val="21"/>
        </w:rPr>
      </w:pPr>
      <w:r>
        <w:rPr>
          <w:rFonts w:hint="eastAsia" w:ascii="宋体" w:hAnsi="宋体" w:cs="宋体"/>
          <w:color w:val="auto"/>
          <w:szCs w:val="21"/>
        </w:rPr>
        <w:t>投标人（加盖投标人电子公章）：</w:t>
      </w:r>
    </w:p>
    <w:p w14:paraId="39A51861">
      <w:pPr>
        <w:spacing w:line="360" w:lineRule="auto"/>
        <w:ind w:firstLine="2" w:firstLineChars="1"/>
        <w:rPr>
          <w:rFonts w:ascii="宋体" w:hAnsi="宋体" w:cs="宋体"/>
          <w:color w:val="auto"/>
          <w:szCs w:val="21"/>
          <w:u w:val="single"/>
        </w:rPr>
      </w:pPr>
      <w:r>
        <w:rPr>
          <w:rFonts w:hint="eastAsia" w:ascii="宋体" w:hAnsi="宋体" w:cs="宋体"/>
          <w:color w:val="auto"/>
          <w:szCs w:val="21"/>
        </w:rPr>
        <w:t>法定代表人（电子签名或电子签章）：</w:t>
      </w:r>
    </w:p>
    <w:p w14:paraId="307D6BE0">
      <w:pPr>
        <w:pStyle w:val="20"/>
        <w:spacing w:line="360" w:lineRule="auto"/>
        <w:rPr>
          <w:rFonts w:hAnsi="宋体" w:cs="宋体"/>
          <w:color w:val="auto"/>
          <w:sz w:val="24"/>
          <w:szCs w:val="24"/>
        </w:rPr>
      </w:pPr>
      <w:r>
        <w:rPr>
          <w:rFonts w:hint="eastAsia" w:hAnsi="宋体" w:cs="宋体"/>
          <w:color w:val="auto"/>
          <w:szCs w:val="21"/>
        </w:rPr>
        <w:t>日期：</w:t>
      </w:r>
    </w:p>
    <w:p w14:paraId="5F75E294">
      <w:pPr>
        <w:widowControl/>
        <w:jc w:val="left"/>
        <w:rPr>
          <w:rFonts w:ascii="宋体" w:hAnsi="宋体" w:cs="宋体"/>
          <w:b/>
          <w:color w:val="auto"/>
          <w:sz w:val="28"/>
          <w:szCs w:val="28"/>
        </w:rPr>
        <w:sectPr>
          <w:footerReference r:id="rId5" w:type="default"/>
          <w:pgSz w:w="12240" w:h="15840"/>
          <w:pgMar w:top="1440" w:right="1797" w:bottom="1440" w:left="1797" w:header="720" w:footer="720" w:gutter="0"/>
          <w:pgNumType w:start="1"/>
          <w:cols w:space="720" w:num="1"/>
        </w:sectPr>
      </w:pPr>
      <w:r>
        <w:rPr>
          <w:rFonts w:hint="eastAsia" w:ascii="宋体" w:hAnsi="宋体" w:cs="宋体"/>
          <w:b/>
          <w:color w:val="auto"/>
          <w:sz w:val="28"/>
          <w:szCs w:val="28"/>
        </w:rPr>
        <w:br w:type="page"/>
      </w:r>
    </w:p>
    <w:p w14:paraId="364008FD">
      <w:pPr>
        <w:pStyle w:val="20"/>
        <w:spacing w:line="360" w:lineRule="auto"/>
        <w:jc w:val="center"/>
        <w:rPr>
          <w:rFonts w:hAnsi="宋体" w:cs="宋体"/>
          <w:b/>
          <w:color w:val="auto"/>
          <w:sz w:val="28"/>
          <w:szCs w:val="28"/>
        </w:rPr>
      </w:pPr>
      <w:r>
        <w:rPr>
          <w:rFonts w:hint="eastAsia" w:hAnsi="宋体" w:cs="宋体"/>
          <w:b/>
          <w:color w:val="auto"/>
          <w:sz w:val="28"/>
          <w:szCs w:val="28"/>
        </w:rPr>
        <w:t>三、技术、商务文件</w:t>
      </w:r>
    </w:p>
    <w:p w14:paraId="5EAD0BBD">
      <w:pPr>
        <w:pStyle w:val="20"/>
        <w:spacing w:line="360" w:lineRule="auto"/>
        <w:rPr>
          <w:rFonts w:hAnsi="宋体" w:cs="宋体"/>
          <w:b/>
          <w:color w:val="auto"/>
          <w:sz w:val="28"/>
          <w:szCs w:val="28"/>
        </w:rPr>
      </w:pPr>
      <w:r>
        <w:rPr>
          <w:rFonts w:hint="eastAsia" w:hAnsi="宋体" w:cs="宋体"/>
          <w:b/>
          <w:color w:val="auto"/>
          <w:sz w:val="28"/>
          <w:szCs w:val="28"/>
        </w:rPr>
        <w:t>格式8</w:t>
      </w:r>
    </w:p>
    <w:p w14:paraId="76D629C4">
      <w:pPr>
        <w:spacing w:line="360" w:lineRule="auto"/>
        <w:jc w:val="center"/>
        <w:rPr>
          <w:rFonts w:ascii="宋体" w:hAnsi="宋体" w:cs="宋体"/>
          <w:b/>
          <w:bCs/>
          <w:color w:val="auto"/>
          <w:sz w:val="28"/>
          <w:szCs w:val="28"/>
        </w:rPr>
      </w:pPr>
      <w:bookmarkStart w:id="415" w:name="_Toc5019"/>
      <w:bookmarkStart w:id="416" w:name="_Toc488633616"/>
      <w:bookmarkStart w:id="417" w:name="_Toc17073"/>
      <w:bookmarkStart w:id="418" w:name="_Toc489145751"/>
      <w:bookmarkStart w:id="419" w:name="_Toc489197855"/>
      <w:bookmarkStart w:id="420" w:name="_Toc481694845"/>
      <w:r>
        <w:rPr>
          <w:rFonts w:hint="eastAsia" w:ascii="宋体" w:hAnsi="宋体" w:cs="宋体"/>
          <w:b/>
          <w:bCs/>
          <w:color w:val="auto"/>
          <w:sz w:val="28"/>
          <w:szCs w:val="28"/>
        </w:rPr>
        <w:t>投标函</w:t>
      </w:r>
      <w:bookmarkEnd w:id="415"/>
      <w:bookmarkEnd w:id="416"/>
      <w:bookmarkEnd w:id="417"/>
      <w:bookmarkEnd w:id="418"/>
      <w:bookmarkEnd w:id="419"/>
      <w:bookmarkEnd w:id="420"/>
    </w:p>
    <w:p w14:paraId="60D73FC3">
      <w:pPr>
        <w:pStyle w:val="20"/>
        <w:spacing w:line="360" w:lineRule="auto"/>
        <w:rPr>
          <w:rFonts w:hAnsi="宋体" w:cs="宋体"/>
          <w:color w:val="auto"/>
          <w:szCs w:val="21"/>
        </w:rPr>
      </w:pPr>
      <w:r>
        <w:rPr>
          <w:rFonts w:hint="eastAsia" w:hAnsi="宋体" w:cs="宋体"/>
          <w:color w:val="auto"/>
          <w:szCs w:val="21"/>
        </w:rPr>
        <w:t>致：</w:t>
      </w:r>
      <w:r>
        <w:rPr>
          <w:rFonts w:hint="eastAsia" w:hAnsi="宋体" w:cs="宋体"/>
          <w:color w:val="auto"/>
          <w:szCs w:val="21"/>
          <w:u w:val="single"/>
        </w:rPr>
        <w:t>（采购人名称）</w:t>
      </w:r>
    </w:p>
    <w:p w14:paraId="24966262">
      <w:pPr>
        <w:pStyle w:val="20"/>
        <w:spacing w:line="360" w:lineRule="auto"/>
        <w:ind w:firstLine="482"/>
        <w:rPr>
          <w:rFonts w:hAnsi="宋体" w:cs="宋体"/>
          <w:color w:val="auto"/>
          <w:szCs w:val="21"/>
        </w:rPr>
      </w:pPr>
      <w:r>
        <w:rPr>
          <w:rFonts w:hint="eastAsia" w:hAnsi="宋体" w:cs="宋体"/>
          <w:color w:val="auto"/>
          <w:szCs w:val="21"/>
        </w:rPr>
        <w:t>我方仔细研究了</w:t>
      </w:r>
      <w:r>
        <w:rPr>
          <w:rFonts w:hint="eastAsia" w:hAnsi="宋体" w:cs="宋体"/>
          <w:color w:val="auto"/>
          <w:szCs w:val="21"/>
          <w:u w:val="single"/>
        </w:rPr>
        <w:t xml:space="preserve">（采购项目名称） </w:t>
      </w:r>
      <w:r>
        <w:rPr>
          <w:rFonts w:hint="eastAsia" w:hAnsi="宋体" w:cs="宋体"/>
          <w:color w:val="auto"/>
          <w:szCs w:val="21"/>
        </w:rPr>
        <w:t>（项目编号：</w:t>
      </w:r>
      <w:r>
        <w:rPr>
          <w:rFonts w:hint="eastAsia" w:hAnsi="宋体" w:cs="宋体"/>
          <w:color w:val="auto"/>
          <w:szCs w:val="21"/>
          <w:u w:val="single"/>
        </w:rPr>
        <w:t xml:space="preserve">        </w:t>
      </w:r>
      <w:r>
        <w:rPr>
          <w:rFonts w:hint="eastAsia" w:hAnsi="宋体" w:cs="宋体"/>
          <w:color w:val="auto"/>
          <w:szCs w:val="21"/>
        </w:rPr>
        <w:t>）项目招标文件的全部内容，正式授权</w:t>
      </w:r>
      <w:r>
        <w:rPr>
          <w:rFonts w:hint="eastAsia" w:hAnsi="宋体" w:cs="宋体"/>
          <w:color w:val="auto"/>
          <w:szCs w:val="21"/>
          <w:u w:val="single"/>
        </w:rPr>
        <w:t xml:space="preserve">   （姓名和职务）     </w:t>
      </w:r>
      <w:r>
        <w:rPr>
          <w:rFonts w:hint="eastAsia" w:hAnsi="宋体" w:cs="宋体"/>
          <w:color w:val="auto"/>
          <w:szCs w:val="21"/>
        </w:rPr>
        <w:t>全权代表投标人</w:t>
      </w:r>
      <w:r>
        <w:rPr>
          <w:rFonts w:hint="eastAsia" w:hAnsi="宋体" w:cs="宋体"/>
          <w:color w:val="auto"/>
          <w:szCs w:val="21"/>
          <w:u w:val="single"/>
        </w:rPr>
        <w:t xml:space="preserve">  （投标人全称）   </w:t>
      </w:r>
      <w:r>
        <w:rPr>
          <w:rFonts w:hint="eastAsia" w:hAnsi="宋体" w:cs="宋体"/>
          <w:color w:val="auto"/>
          <w:szCs w:val="21"/>
        </w:rPr>
        <w:t>参加投标，并提交电子投标文件。</w:t>
      </w:r>
    </w:p>
    <w:p w14:paraId="397BCB25">
      <w:pPr>
        <w:pStyle w:val="20"/>
        <w:spacing w:line="360" w:lineRule="auto"/>
        <w:ind w:firstLine="420"/>
        <w:rPr>
          <w:rFonts w:hAnsi="宋体" w:cs="宋体"/>
          <w:color w:val="auto"/>
          <w:szCs w:val="21"/>
        </w:rPr>
      </w:pPr>
      <w:r>
        <w:rPr>
          <w:rFonts w:hint="eastAsia" w:hAnsi="宋体" w:cs="宋体"/>
          <w:color w:val="auto"/>
          <w:szCs w:val="21"/>
        </w:rPr>
        <w:t>据此函，我方兹宣布同意如下：</w:t>
      </w:r>
    </w:p>
    <w:p w14:paraId="1932523C">
      <w:pPr>
        <w:pStyle w:val="20"/>
        <w:spacing w:line="360" w:lineRule="auto"/>
        <w:ind w:firstLine="420"/>
        <w:rPr>
          <w:rFonts w:hAnsi="宋体" w:cs="宋体"/>
          <w:color w:val="auto"/>
          <w:szCs w:val="21"/>
        </w:rPr>
      </w:pPr>
      <w:r>
        <w:rPr>
          <w:rFonts w:hint="eastAsia" w:hAnsi="宋体" w:cs="宋体"/>
          <w:color w:val="auto"/>
          <w:szCs w:val="21"/>
        </w:rPr>
        <w:t>1．按招标文件采购需求及技术要求，我方投标报价：</w:t>
      </w:r>
      <w:r>
        <w:rPr>
          <w:rFonts w:hint="eastAsia" w:hAnsi="宋体" w:cs="宋体"/>
          <w:color w:val="auto"/>
          <w:szCs w:val="21"/>
          <w:u w:val="single"/>
        </w:rPr>
        <w:t xml:space="preserve">         </w:t>
      </w:r>
      <w:r>
        <w:rPr>
          <w:rFonts w:hint="eastAsia" w:hAnsi="宋体" w:cs="宋体"/>
          <w:color w:val="auto"/>
          <w:szCs w:val="21"/>
        </w:rPr>
        <w:t>元（大写：</w:t>
      </w:r>
      <w:r>
        <w:rPr>
          <w:rFonts w:hint="eastAsia" w:hAnsi="宋体" w:cs="宋体"/>
          <w:color w:val="auto"/>
          <w:szCs w:val="21"/>
          <w:u w:val="single"/>
        </w:rPr>
        <w:t xml:space="preserve">         </w:t>
      </w:r>
      <w:r>
        <w:rPr>
          <w:rFonts w:hint="eastAsia" w:hAnsi="宋体" w:cs="宋体"/>
          <w:color w:val="auto"/>
          <w:szCs w:val="21"/>
        </w:rPr>
        <w:t>）。</w:t>
      </w:r>
    </w:p>
    <w:p w14:paraId="5A136F15">
      <w:pPr>
        <w:pStyle w:val="20"/>
        <w:spacing w:line="360" w:lineRule="auto"/>
        <w:ind w:firstLine="420"/>
        <w:rPr>
          <w:rFonts w:hAnsi="宋体" w:cs="宋体"/>
          <w:color w:val="auto"/>
          <w:szCs w:val="21"/>
        </w:rPr>
      </w:pPr>
      <w:r>
        <w:rPr>
          <w:rFonts w:hint="eastAsia" w:hAnsi="宋体" w:cs="宋体"/>
          <w:color w:val="auto"/>
          <w:szCs w:val="21"/>
        </w:rPr>
        <w:t>2．我方已详细审查招标文件及相关文件全部内容，包括</w:t>
      </w:r>
      <w:r>
        <w:rPr>
          <w:rFonts w:hint="eastAsia" w:hAnsi="宋体" w:cs="宋体"/>
          <w:color w:val="auto"/>
          <w:szCs w:val="21"/>
          <w:u w:val="single"/>
        </w:rPr>
        <w:t>（澄清文件）(如果有的话)</w:t>
      </w:r>
      <w:r>
        <w:rPr>
          <w:rFonts w:hint="eastAsia" w:hAnsi="宋体" w:cs="宋体"/>
          <w:color w:val="auto"/>
          <w:szCs w:val="21"/>
        </w:rPr>
        <w:t>。我方完全理解招标文件及相关文件要求，并承担对这方面有不明及误解的后果。</w:t>
      </w:r>
    </w:p>
    <w:p w14:paraId="6361A796">
      <w:pPr>
        <w:pStyle w:val="20"/>
        <w:spacing w:line="360" w:lineRule="auto"/>
        <w:ind w:firstLine="420"/>
        <w:rPr>
          <w:rFonts w:hAnsi="宋体" w:cs="宋体"/>
          <w:color w:val="auto"/>
          <w:szCs w:val="21"/>
        </w:rPr>
      </w:pPr>
      <w:r>
        <w:rPr>
          <w:rFonts w:hint="eastAsia" w:hAnsi="宋体" w:cs="宋体"/>
          <w:color w:val="auto"/>
          <w:szCs w:val="21"/>
        </w:rPr>
        <w:t>3．在投标人须知规定的开标日期起遵循本投标文件，并在投标文件有效期满（从提交投标文件截止之日起90日历天）之前均具有约束力。</w:t>
      </w:r>
    </w:p>
    <w:p w14:paraId="46B57CC7">
      <w:pPr>
        <w:pStyle w:val="20"/>
        <w:spacing w:line="360" w:lineRule="auto"/>
        <w:ind w:firstLine="420"/>
        <w:rPr>
          <w:rFonts w:hAnsi="宋体" w:cs="宋体"/>
          <w:color w:val="auto"/>
          <w:szCs w:val="21"/>
        </w:rPr>
      </w:pPr>
      <w:r>
        <w:rPr>
          <w:rFonts w:hint="eastAsia" w:hAnsi="宋体" w:cs="宋体"/>
          <w:color w:val="auto"/>
          <w:szCs w:val="21"/>
        </w:rPr>
        <w:t>4．同意招标文件中关于没收投标保证金的规定。</w:t>
      </w:r>
    </w:p>
    <w:p w14:paraId="47356925">
      <w:pPr>
        <w:pStyle w:val="20"/>
        <w:spacing w:line="360" w:lineRule="auto"/>
        <w:ind w:firstLine="420"/>
        <w:rPr>
          <w:rFonts w:hAnsi="宋体" w:cs="宋体"/>
          <w:color w:val="auto"/>
          <w:szCs w:val="21"/>
        </w:rPr>
      </w:pPr>
      <w:r>
        <w:rPr>
          <w:rFonts w:hint="eastAsia" w:hAnsi="宋体" w:cs="宋体"/>
          <w:color w:val="auto"/>
          <w:szCs w:val="21"/>
        </w:rPr>
        <w:t>5．同意应贵方要求提供与本投标有关的任何数据或资料，并保证数据和资料的完整性和真实性。</w:t>
      </w:r>
    </w:p>
    <w:p w14:paraId="5A9B9156">
      <w:pPr>
        <w:pStyle w:val="20"/>
        <w:spacing w:line="360" w:lineRule="auto"/>
        <w:ind w:firstLine="420"/>
        <w:rPr>
          <w:rFonts w:hAnsi="宋体" w:cs="宋体"/>
          <w:color w:val="auto"/>
          <w:szCs w:val="21"/>
        </w:rPr>
      </w:pPr>
      <w:r>
        <w:rPr>
          <w:rFonts w:hint="eastAsia" w:hAnsi="宋体" w:cs="宋体"/>
          <w:color w:val="auto"/>
          <w:szCs w:val="21"/>
        </w:rPr>
        <w:t>6．完全理解贵方不一定要接受最低报价的投标人为中标人的行为。</w:t>
      </w:r>
    </w:p>
    <w:p w14:paraId="0DF14631">
      <w:pPr>
        <w:pStyle w:val="20"/>
        <w:spacing w:line="360" w:lineRule="auto"/>
        <w:ind w:firstLine="420"/>
        <w:rPr>
          <w:rFonts w:hAnsi="宋体" w:cs="宋体"/>
          <w:color w:val="auto"/>
          <w:szCs w:val="21"/>
        </w:rPr>
      </w:pPr>
      <w:r>
        <w:rPr>
          <w:rFonts w:hint="eastAsia" w:hAnsi="宋体" w:cs="宋体"/>
          <w:color w:val="auto"/>
          <w:szCs w:val="21"/>
        </w:rPr>
        <w:t>7．如我方中标：</w:t>
      </w:r>
    </w:p>
    <w:p w14:paraId="436B0090">
      <w:pPr>
        <w:pStyle w:val="20"/>
        <w:spacing w:line="360" w:lineRule="auto"/>
        <w:ind w:firstLine="420"/>
        <w:rPr>
          <w:rFonts w:hAnsi="宋体" w:cs="宋体"/>
          <w:color w:val="auto"/>
          <w:szCs w:val="21"/>
        </w:rPr>
      </w:pPr>
      <w:r>
        <w:rPr>
          <w:rFonts w:hint="eastAsia" w:hAnsi="宋体" w:cs="宋体"/>
          <w:color w:val="auto"/>
          <w:szCs w:val="21"/>
        </w:rPr>
        <w:t>（1）我方承诺在收到中标通知书后，在中标通知书规定的期限内与你方签订合同，并履行相应的合同责任和义务。</w:t>
      </w:r>
    </w:p>
    <w:p w14:paraId="6BE01025">
      <w:pPr>
        <w:pStyle w:val="20"/>
        <w:spacing w:line="360" w:lineRule="auto"/>
        <w:ind w:firstLine="420"/>
        <w:rPr>
          <w:rFonts w:hAnsi="宋体" w:cs="宋体"/>
          <w:color w:val="auto"/>
          <w:szCs w:val="21"/>
        </w:rPr>
      </w:pPr>
      <w:r>
        <w:rPr>
          <w:rFonts w:hint="eastAsia" w:hAnsi="宋体" w:cs="宋体"/>
          <w:color w:val="auto"/>
          <w:szCs w:val="21"/>
        </w:rPr>
        <w:t>（2）我方承诺按照招标文件规定向你方递交履约保证金。</w:t>
      </w:r>
    </w:p>
    <w:p w14:paraId="15A6ECB8">
      <w:pPr>
        <w:pStyle w:val="20"/>
        <w:spacing w:line="360" w:lineRule="auto"/>
        <w:ind w:firstLine="420"/>
        <w:rPr>
          <w:rFonts w:hAnsi="宋体" w:cs="宋体"/>
          <w:color w:val="auto"/>
          <w:szCs w:val="21"/>
        </w:rPr>
      </w:pPr>
      <w:r>
        <w:rPr>
          <w:rFonts w:hint="eastAsia" w:hAnsi="宋体" w:cs="宋体"/>
          <w:color w:val="auto"/>
          <w:szCs w:val="21"/>
        </w:rPr>
        <w:t>8．我方在此声明，所递交的投标文件及有关资料内容完整、真实和准确。</w:t>
      </w:r>
    </w:p>
    <w:p w14:paraId="796C84CE">
      <w:pPr>
        <w:pStyle w:val="20"/>
        <w:spacing w:line="360" w:lineRule="auto"/>
        <w:ind w:firstLine="420"/>
        <w:rPr>
          <w:rFonts w:hAnsi="宋体" w:cs="宋体"/>
          <w:color w:val="auto"/>
          <w:szCs w:val="21"/>
        </w:rPr>
      </w:pPr>
      <w:r>
        <w:rPr>
          <w:rFonts w:hint="eastAsia" w:hAnsi="宋体" w:cs="宋体"/>
          <w:color w:val="auto"/>
          <w:szCs w:val="21"/>
        </w:rPr>
        <w:t>9．</w:t>
      </w:r>
      <w:r>
        <w:rPr>
          <w:rFonts w:hint="eastAsia" w:hAnsi="宋体" w:cs="宋体"/>
          <w:color w:val="auto"/>
          <w:szCs w:val="21"/>
          <w:u w:val="single"/>
        </w:rPr>
        <w:t xml:space="preserve">                                       </w:t>
      </w:r>
      <w:r>
        <w:rPr>
          <w:rFonts w:hint="eastAsia" w:hAnsi="宋体" w:cs="宋体"/>
          <w:color w:val="auto"/>
          <w:szCs w:val="21"/>
        </w:rPr>
        <w:t>（其他补充说明）。</w:t>
      </w:r>
    </w:p>
    <w:p w14:paraId="6F09CB8C">
      <w:pPr>
        <w:pStyle w:val="20"/>
        <w:spacing w:line="360" w:lineRule="auto"/>
        <w:ind w:firstLine="420"/>
        <w:rPr>
          <w:rFonts w:hAnsi="宋体" w:cs="宋体"/>
          <w:color w:val="auto"/>
          <w:szCs w:val="21"/>
        </w:rPr>
      </w:pPr>
    </w:p>
    <w:p w14:paraId="722E5B09">
      <w:pPr>
        <w:pStyle w:val="20"/>
        <w:snapToGrid w:val="0"/>
        <w:spacing w:line="360" w:lineRule="auto"/>
        <w:ind w:firstLine="422"/>
        <w:rPr>
          <w:rFonts w:hAnsi="宋体" w:cs="宋体"/>
          <w:b/>
          <w:bCs/>
          <w:color w:val="auto"/>
          <w:szCs w:val="21"/>
        </w:rPr>
      </w:pPr>
      <w:r>
        <w:rPr>
          <w:rFonts w:hint="eastAsia" w:hAnsi="宋体" w:cs="宋体"/>
          <w:b/>
          <w:bCs/>
          <w:color w:val="auto"/>
          <w:szCs w:val="21"/>
        </w:rPr>
        <w:t>我单位正式通讯地址为：</w:t>
      </w:r>
    </w:p>
    <w:p w14:paraId="58741F7B">
      <w:pPr>
        <w:pStyle w:val="20"/>
        <w:snapToGrid w:val="0"/>
        <w:spacing w:line="360" w:lineRule="auto"/>
        <w:ind w:firstLine="420"/>
        <w:rPr>
          <w:rFonts w:hAnsi="宋体" w:cs="宋体"/>
          <w:color w:val="auto"/>
          <w:szCs w:val="21"/>
        </w:rPr>
      </w:pPr>
      <w:r>
        <w:rPr>
          <w:rFonts w:hint="eastAsia" w:hAnsi="宋体" w:cs="宋体"/>
          <w:color w:val="auto"/>
          <w:szCs w:val="21"/>
        </w:rPr>
        <w:t>统一社会信用代码：</w:t>
      </w:r>
    </w:p>
    <w:p w14:paraId="1068D69D">
      <w:pPr>
        <w:pStyle w:val="20"/>
        <w:snapToGrid w:val="0"/>
        <w:spacing w:line="360" w:lineRule="auto"/>
        <w:ind w:firstLine="420"/>
        <w:rPr>
          <w:rFonts w:hAnsi="宋体" w:cs="宋体"/>
          <w:color w:val="auto"/>
          <w:szCs w:val="21"/>
        </w:rPr>
      </w:pPr>
      <w:r>
        <w:rPr>
          <w:rFonts w:hint="eastAsia" w:hAnsi="宋体" w:cs="宋体"/>
          <w:color w:val="auto"/>
          <w:szCs w:val="21"/>
        </w:rPr>
        <w:t>地址：</w:t>
      </w:r>
    </w:p>
    <w:p w14:paraId="08C98F9F">
      <w:pPr>
        <w:pStyle w:val="20"/>
        <w:snapToGrid w:val="0"/>
        <w:spacing w:line="360" w:lineRule="auto"/>
        <w:ind w:firstLine="420"/>
        <w:rPr>
          <w:rFonts w:hAnsi="宋体" w:cs="宋体"/>
          <w:color w:val="auto"/>
          <w:szCs w:val="21"/>
          <w:u w:val="single"/>
        </w:rPr>
      </w:pPr>
      <w:r>
        <w:rPr>
          <w:rFonts w:hint="eastAsia" w:hAnsi="宋体" w:cs="宋体"/>
          <w:color w:val="auto"/>
          <w:szCs w:val="21"/>
        </w:rPr>
        <w:t>邮政编码：</w:t>
      </w:r>
    </w:p>
    <w:p w14:paraId="59883F00">
      <w:pPr>
        <w:pStyle w:val="20"/>
        <w:snapToGrid w:val="0"/>
        <w:spacing w:line="360" w:lineRule="auto"/>
        <w:ind w:firstLine="420"/>
        <w:rPr>
          <w:rFonts w:hAnsi="宋体" w:cs="宋体"/>
          <w:color w:val="auto"/>
          <w:szCs w:val="21"/>
        </w:rPr>
      </w:pPr>
      <w:r>
        <w:rPr>
          <w:rFonts w:hint="eastAsia" w:hAnsi="宋体" w:cs="宋体"/>
          <w:color w:val="auto"/>
          <w:szCs w:val="21"/>
        </w:rPr>
        <w:t>电话：</w:t>
      </w:r>
    </w:p>
    <w:p w14:paraId="6AEF7F9A">
      <w:pPr>
        <w:pStyle w:val="20"/>
        <w:snapToGrid w:val="0"/>
        <w:spacing w:line="360" w:lineRule="auto"/>
        <w:ind w:firstLine="420"/>
        <w:rPr>
          <w:rFonts w:hAnsi="宋体" w:cs="宋体"/>
          <w:color w:val="auto"/>
          <w:szCs w:val="21"/>
        </w:rPr>
      </w:pPr>
      <w:r>
        <w:rPr>
          <w:rFonts w:hint="eastAsia" w:hAnsi="宋体" w:cs="宋体"/>
          <w:color w:val="auto"/>
          <w:szCs w:val="21"/>
        </w:rPr>
        <w:t>联系人：</w:t>
      </w:r>
    </w:p>
    <w:p w14:paraId="2C706249">
      <w:pPr>
        <w:pStyle w:val="20"/>
        <w:snapToGrid w:val="0"/>
        <w:spacing w:line="360" w:lineRule="auto"/>
        <w:ind w:firstLine="420"/>
        <w:rPr>
          <w:rFonts w:hAnsi="宋体" w:cs="宋体"/>
          <w:color w:val="auto"/>
          <w:szCs w:val="21"/>
        </w:rPr>
      </w:pPr>
      <w:r>
        <w:rPr>
          <w:rFonts w:hint="eastAsia" w:hAnsi="宋体" w:cs="宋体"/>
          <w:color w:val="auto"/>
          <w:szCs w:val="21"/>
        </w:rPr>
        <w:t>联系电话：</w:t>
      </w:r>
    </w:p>
    <w:p w14:paraId="72D77A07">
      <w:pPr>
        <w:pStyle w:val="20"/>
        <w:snapToGrid w:val="0"/>
        <w:spacing w:line="360" w:lineRule="auto"/>
        <w:ind w:firstLine="420"/>
        <w:rPr>
          <w:rFonts w:hAnsi="宋体" w:cs="宋体"/>
          <w:color w:val="auto"/>
          <w:szCs w:val="21"/>
        </w:rPr>
      </w:pPr>
      <w:r>
        <w:rPr>
          <w:rFonts w:hint="eastAsia" w:hAnsi="宋体" w:cs="宋体"/>
          <w:color w:val="auto"/>
          <w:szCs w:val="21"/>
        </w:rPr>
        <w:t>投标人地址：</w:t>
      </w:r>
    </w:p>
    <w:p w14:paraId="506B5A1B">
      <w:pPr>
        <w:pStyle w:val="20"/>
        <w:snapToGrid w:val="0"/>
        <w:spacing w:line="360" w:lineRule="auto"/>
        <w:ind w:firstLine="420"/>
        <w:rPr>
          <w:rFonts w:hAnsi="宋体" w:cs="宋体"/>
          <w:color w:val="auto"/>
          <w:szCs w:val="21"/>
        </w:rPr>
      </w:pPr>
      <w:r>
        <w:rPr>
          <w:rFonts w:hint="eastAsia" w:hAnsi="宋体" w:cs="宋体"/>
          <w:color w:val="auto"/>
          <w:szCs w:val="21"/>
        </w:rPr>
        <w:t>邮箱：</w:t>
      </w:r>
    </w:p>
    <w:p w14:paraId="5765A3FF">
      <w:pPr>
        <w:pStyle w:val="20"/>
        <w:snapToGrid w:val="0"/>
        <w:spacing w:line="360" w:lineRule="auto"/>
        <w:ind w:firstLine="420"/>
        <w:rPr>
          <w:rFonts w:hAnsi="宋体" w:cs="宋体"/>
          <w:color w:val="auto"/>
          <w:szCs w:val="21"/>
        </w:rPr>
      </w:pPr>
      <w:r>
        <w:rPr>
          <w:rFonts w:hint="eastAsia" w:hAnsi="宋体" w:cs="宋体"/>
          <w:color w:val="auto"/>
          <w:szCs w:val="21"/>
        </w:rPr>
        <w:t>传真：</w:t>
      </w:r>
    </w:p>
    <w:p w14:paraId="26740105">
      <w:pPr>
        <w:pStyle w:val="20"/>
        <w:snapToGrid w:val="0"/>
        <w:spacing w:line="360" w:lineRule="auto"/>
        <w:ind w:firstLine="420"/>
        <w:rPr>
          <w:rFonts w:hAnsi="宋体" w:cs="宋体"/>
          <w:color w:val="auto"/>
          <w:szCs w:val="21"/>
        </w:rPr>
      </w:pPr>
      <w:r>
        <w:rPr>
          <w:rFonts w:hint="eastAsia" w:hAnsi="宋体" w:cs="宋体"/>
          <w:color w:val="auto"/>
          <w:szCs w:val="21"/>
        </w:rPr>
        <w:t>开户名称：</w:t>
      </w:r>
    </w:p>
    <w:p w14:paraId="21FC72AD">
      <w:pPr>
        <w:pStyle w:val="20"/>
        <w:snapToGrid w:val="0"/>
        <w:spacing w:line="360" w:lineRule="auto"/>
        <w:ind w:firstLine="420"/>
        <w:rPr>
          <w:rFonts w:hAnsi="宋体" w:cs="宋体"/>
          <w:color w:val="auto"/>
          <w:szCs w:val="21"/>
        </w:rPr>
      </w:pPr>
      <w:r>
        <w:rPr>
          <w:rFonts w:hint="eastAsia" w:hAnsi="宋体" w:cs="宋体"/>
          <w:color w:val="auto"/>
          <w:szCs w:val="21"/>
        </w:rPr>
        <w:t>开户银行：</w:t>
      </w:r>
    </w:p>
    <w:p w14:paraId="09AF22B9">
      <w:pPr>
        <w:pStyle w:val="20"/>
        <w:spacing w:line="360" w:lineRule="auto"/>
        <w:ind w:firstLine="420"/>
        <w:rPr>
          <w:rFonts w:hAnsi="宋体" w:cs="宋体"/>
          <w:color w:val="auto"/>
          <w:szCs w:val="21"/>
        </w:rPr>
      </w:pPr>
      <w:r>
        <w:rPr>
          <w:rFonts w:hint="eastAsia" w:hAnsi="宋体" w:cs="宋体"/>
          <w:color w:val="auto"/>
          <w:szCs w:val="21"/>
        </w:rPr>
        <w:t>账号：</w:t>
      </w:r>
    </w:p>
    <w:p w14:paraId="147B9993">
      <w:pPr>
        <w:pStyle w:val="20"/>
        <w:spacing w:line="360" w:lineRule="auto"/>
        <w:ind w:firstLine="2" w:firstLineChars="1"/>
        <w:rPr>
          <w:rFonts w:hAnsi="宋体" w:cs="宋体"/>
          <w:color w:val="auto"/>
          <w:szCs w:val="21"/>
        </w:rPr>
      </w:pPr>
    </w:p>
    <w:p w14:paraId="4960DD59">
      <w:pPr>
        <w:spacing w:line="360" w:lineRule="auto"/>
        <w:ind w:firstLine="2" w:firstLineChars="1"/>
        <w:rPr>
          <w:rFonts w:ascii="宋体" w:hAnsi="宋体" w:cs="宋体"/>
          <w:color w:val="auto"/>
          <w:szCs w:val="21"/>
        </w:rPr>
      </w:pPr>
      <w:r>
        <w:rPr>
          <w:rFonts w:hint="eastAsia" w:ascii="宋体" w:hAnsi="宋体" w:cs="宋体"/>
          <w:color w:val="auto"/>
          <w:szCs w:val="21"/>
        </w:rPr>
        <w:t>投标人（加盖投标人电子公章）：</w:t>
      </w:r>
    </w:p>
    <w:p w14:paraId="47BC5BFA">
      <w:pPr>
        <w:spacing w:line="360" w:lineRule="auto"/>
        <w:ind w:firstLine="2" w:firstLineChars="1"/>
        <w:rPr>
          <w:rFonts w:ascii="宋体" w:hAnsi="宋体" w:cs="宋体"/>
          <w:color w:val="auto"/>
          <w:szCs w:val="21"/>
        </w:rPr>
      </w:pPr>
      <w:r>
        <w:rPr>
          <w:rFonts w:hint="eastAsia" w:ascii="宋体" w:hAnsi="宋体" w:cs="宋体"/>
          <w:color w:val="auto"/>
          <w:szCs w:val="21"/>
        </w:rPr>
        <w:t>法定代表人（电子签名或电子签章）：</w:t>
      </w:r>
    </w:p>
    <w:p w14:paraId="6D8BACC5">
      <w:pPr>
        <w:pStyle w:val="20"/>
        <w:spacing w:line="360" w:lineRule="auto"/>
        <w:rPr>
          <w:rFonts w:hAnsi="宋体" w:cs="宋体"/>
          <w:color w:val="auto"/>
          <w:szCs w:val="21"/>
        </w:rPr>
      </w:pPr>
      <w:r>
        <w:rPr>
          <w:rFonts w:hint="eastAsia" w:hAnsi="宋体" w:cs="宋体"/>
          <w:color w:val="auto"/>
          <w:szCs w:val="21"/>
        </w:rPr>
        <w:t>日期：</w:t>
      </w:r>
    </w:p>
    <w:p w14:paraId="6B548564">
      <w:pPr>
        <w:rPr>
          <w:rFonts w:hAnsi="宋体" w:cs="宋体"/>
          <w:color w:val="auto"/>
          <w:szCs w:val="21"/>
        </w:rPr>
      </w:pPr>
      <w:r>
        <w:rPr>
          <w:rFonts w:hint="eastAsia" w:hAnsi="宋体" w:cs="宋体"/>
          <w:color w:val="auto"/>
          <w:szCs w:val="21"/>
        </w:rPr>
        <w:br w:type="page"/>
      </w:r>
    </w:p>
    <w:p w14:paraId="0EF7AA05">
      <w:pPr>
        <w:spacing w:line="360" w:lineRule="auto"/>
        <w:ind w:firstLine="3" w:firstLineChars="1"/>
        <w:rPr>
          <w:rFonts w:ascii="宋体" w:hAnsi="宋体" w:cs="宋体"/>
          <w:b/>
          <w:color w:val="auto"/>
          <w:sz w:val="28"/>
          <w:szCs w:val="28"/>
        </w:rPr>
      </w:pPr>
      <w:r>
        <w:rPr>
          <w:rFonts w:hint="eastAsia" w:ascii="宋体" w:hAnsi="宋体" w:cs="宋体"/>
          <w:b/>
          <w:color w:val="auto"/>
          <w:sz w:val="28"/>
          <w:szCs w:val="28"/>
        </w:rPr>
        <w:t>格式9</w:t>
      </w:r>
    </w:p>
    <w:p w14:paraId="13EBCF57">
      <w:pPr>
        <w:pStyle w:val="20"/>
        <w:spacing w:line="360" w:lineRule="auto"/>
        <w:jc w:val="left"/>
        <w:rPr>
          <w:rFonts w:hAnsi="宋体" w:cs="宋体"/>
          <w:b/>
          <w:color w:val="auto"/>
          <w:szCs w:val="21"/>
        </w:rPr>
      </w:pPr>
      <w:bookmarkStart w:id="421" w:name="_Toc18732"/>
      <w:bookmarkStart w:id="422" w:name="_Toc20284"/>
      <w:bookmarkStart w:id="423" w:name="_Toc38338329"/>
      <w:bookmarkStart w:id="424" w:name="_Toc37716409"/>
      <w:bookmarkStart w:id="425" w:name="_Toc23471"/>
    </w:p>
    <w:bookmarkEnd w:id="421"/>
    <w:bookmarkEnd w:id="422"/>
    <w:bookmarkEnd w:id="423"/>
    <w:bookmarkEnd w:id="424"/>
    <w:bookmarkEnd w:id="425"/>
    <w:p w14:paraId="0F0FE3D2">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法定代表人身份证明书</w:t>
      </w:r>
    </w:p>
    <w:p w14:paraId="64CBC134">
      <w:pPr>
        <w:spacing w:line="360" w:lineRule="auto"/>
        <w:jc w:val="center"/>
        <w:rPr>
          <w:rFonts w:ascii="宋体" w:hAnsi="宋体" w:cs="宋体"/>
          <w:bCs/>
          <w:color w:val="auto"/>
          <w:sz w:val="30"/>
          <w:szCs w:val="30"/>
        </w:rPr>
      </w:pPr>
    </w:p>
    <w:p w14:paraId="5208E4D1">
      <w:pPr>
        <w:spacing w:line="360" w:lineRule="auto"/>
        <w:rPr>
          <w:rFonts w:ascii="宋体" w:hAnsi="宋体" w:cs="宋体"/>
          <w:bCs/>
          <w:color w:val="auto"/>
          <w:szCs w:val="21"/>
        </w:rPr>
      </w:pPr>
      <w:r>
        <w:rPr>
          <w:rFonts w:hint="eastAsia" w:ascii="宋体" w:hAnsi="宋体" w:cs="宋体"/>
          <w:bCs/>
          <w:color w:val="auto"/>
          <w:szCs w:val="21"/>
        </w:rPr>
        <w:t>投标人名称：</w:t>
      </w:r>
      <w:r>
        <w:rPr>
          <w:rFonts w:hint="eastAsia" w:ascii="宋体" w:hAnsi="宋体" w:cs="宋体"/>
          <w:bCs/>
          <w:color w:val="auto"/>
          <w:szCs w:val="21"/>
          <w:u w:val="single"/>
        </w:rPr>
        <w:t xml:space="preserve">                        。</w:t>
      </w:r>
    </w:p>
    <w:p w14:paraId="6A791C85">
      <w:pPr>
        <w:spacing w:line="360" w:lineRule="auto"/>
        <w:rPr>
          <w:rFonts w:ascii="宋体" w:hAnsi="宋体" w:cs="宋体"/>
          <w:bCs/>
          <w:color w:val="auto"/>
          <w:szCs w:val="21"/>
        </w:rPr>
      </w:pPr>
      <w:r>
        <w:rPr>
          <w:rFonts w:hint="eastAsia" w:ascii="宋体" w:hAnsi="宋体" w:cs="宋体"/>
          <w:bCs/>
          <w:color w:val="auto"/>
          <w:szCs w:val="21"/>
        </w:rPr>
        <w:t>单位性质：</w:t>
      </w:r>
      <w:r>
        <w:rPr>
          <w:rFonts w:hint="eastAsia" w:ascii="宋体" w:hAnsi="宋体" w:cs="宋体"/>
          <w:bCs/>
          <w:color w:val="auto"/>
          <w:szCs w:val="21"/>
          <w:u w:val="single"/>
        </w:rPr>
        <w:t xml:space="preserve">                          。</w:t>
      </w:r>
    </w:p>
    <w:p w14:paraId="400240D0">
      <w:pPr>
        <w:spacing w:line="360" w:lineRule="auto"/>
        <w:rPr>
          <w:rFonts w:ascii="宋体" w:hAnsi="宋体" w:cs="宋体"/>
          <w:bCs/>
          <w:color w:val="auto"/>
          <w:szCs w:val="21"/>
        </w:rPr>
      </w:pPr>
      <w:r>
        <w:rPr>
          <w:rFonts w:hint="eastAsia" w:ascii="宋体" w:hAnsi="宋体" w:cs="宋体"/>
          <w:bCs/>
          <w:color w:val="auto"/>
          <w:szCs w:val="21"/>
        </w:rPr>
        <w:t>成立时间：</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rPr>
        <w:t>日</w:t>
      </w:r>
    </w:p>
    <w:p w14:paraId="5AFAB224">
      <w:pPr>
        <w:spacing w:line="360" w:lineRule="auto"/>
        <w:rPr>
          <w:rFonts w:ascii="宋体" w:hAnsi="宋体" w:cs="宋体"/>
          <w:bCs/>
          <w:color w:val="auto"/>
          <w:szCs w:val="21"/>
        </w:rPr>
      </w:pPr>
      <w:r>
        <w:rPr>
          <w:rFonts w:hint="eastAsia" w:ascii="宋体" w:hAnsi="宋体" w:cs="宋体"/>
          <w:bCs/>
          <w:color w:val="auto"/>
          <w:szCs w:val="21"/>
        </w:rPr>
        <w:t>经营期限：</w:t>
      </w:r>
      <w:r>
        <w:rPr>
          <w:rFonts w:hint="eastAsia" w:ascii="宋体" w:hAnsi="宋体" w:cs="宋体"/>
          <w:bCs/>
          <w:color w:val="auto"/>
          <w:szCs w:val="21"/>
          <w:u w:val="single"/>
        </w:rPr>
        <w:t xml:space="preserve">                          </w:t>
      </w:r>
    </w:p>
    <w:p w14:paraId="758D4D6D">
      <w:pPr>
        <w:spacing w:line="360" w:lineRule="auto"/>
        <w:rPr>
          <w:rFonts w:ascii="宋体" w:hAnsi="宋体" w:cs="宋体"/>
          <w:bCs/>
          <w:color w:val="auto"/>
          <w:szCs w:val="21"/>
        </w:rPr>
      </w:pPr>
      <w:r>
        <w:rPr>
          <w:rFonts w:hint="eastAsia" w:ascii="宋体" w:hAnsi="宋体" w:cs="宋体"/>
          <w:bCs/>
          <w:color w:val="auto"/>
          <w:szCs w:val="21"/>
        </w:rPr>
        <w:t>姓名：</w:t>
      </w:r>
      <w:r>
        <w:rPr>
          <w:rFonts w:hint="eastAsia" w:ascii="宋体" w:hAnsi="宋体" w:cs="宋体"/>
          <w:bCs/>
          <w:color w:val="auto"/>
          <w:szCs w:val="21"/>
          <w:u w:val="single"/>
        </w:rPr>
        <w:t xml:space="preserve">            </w:t>
      </w:r>
      <w:r>
        <w:rPr>
          <w:rFonts w:hint="eastAsia" w:ascii="宋体" w:hAnsi="宋体" w:cs="宋体"/>
          <w:bCs/>
          <w:color w:val="auto"/>
          <w:szCs w:val="21"/>
        </w:rPr>
        <w:t>性别：</w:t>
      </w:r>
      <w:r>
        <w:rPr>
          <w:rFonts w:hint="eastAsia" w:ascii="宋体" w:hAnsi="宋体" w:cs="宋体"/>
          <w:bCs/>
          <w:color w:val="auto"/>
          <w:szCs w:val="21"/>
          <w:u w:val="single"/>
        </w:rPr>
        <w:t xml:space="preserve">            </w:t>
      </w:r>
      <w:r>
        <w:rPr>
          <w:rFonts w:hint="eastAsia" w:ascii="宋体" w:hAnsi="宋体" w:cs="宋体"/>
          <w:bCs/>
          <w:color w:val="auto"/>
          <w:szCs w:val="21"/>
        </w:rPr>
        <w:t>年龄：</w:t>
      </w:r>
      <w:r>
        <w:rPr>
          <w:rFonts w:hint="eastAsia" w:ascii="宋体" w:hAnsi="宋体" w:cs="宋体"/>
          <w:bCs/>
          <w:color w:val="auto"/>
          <w:szCs w:val="21"/>
          <w:u w:val="single"/>
        </w:rPr>
        <w:t xml:space="preserve">            </w:t>
      </w:r>
      <w:r>
        <w:rPr>
          <w:rFonts w:hint="eastAsia" w:ascii="宋体" w:hAnsi="宋体" w:cs="宋体"/>
          <w:bCs/>
          <w:color w:val="auto"/>
          <w:szCs w:val="21"/>
        </w:rPr>
        <w:t>职务：</w:t>
      </w:r>
      <w:r>
        <w:rPr>
          <w:rFonts w:hint="eastAsia" w:ascii="宋体" w:hAnsi="宋体" w:cs="宋体"/>
          <w:bCs/>
          <w:color w:val="auto"/>
          <w:szCs w:val="21"/>
          <w:u w:val="single"/>
        </w:rPr>
        <w:t xml:space="preserve">            。</w:t>
      </w:r>
    </w:p>
    <w:p w14:paraId="1514469B">
      <w:pPr>
        <w:spacing w:line="360" w:lineRule="auto"/>
        <w:rPr>
          <w:rFonts w:ascii="宋体" w:hAnsi="宋体" w:cs="宋体"/>
          <w:bCs/>
          <w:color w:val="auto"/>
          <w:szCs w:val="21"/>
        </w:rPr>
      </w:pPr>
      <w:r>
        <w:rPr>
          <w:rFonts w:hint="eastAsia" w:ascii="宋体" w:hAnsi="宋体" w:cs="宋体"/>
          <w:bCs/>
          <w:color w:val="auto"/>
          <w:szCs w:val="21"/>
        </w:rPr>
        <w:t>系</w:t>
      </w:r>
      <w:r>
        <w:rPr>
          <w:rFonts w:hint="eastAsia" w:ascii="宋体" w:hAnsi="宋体" w:cs="宋体"/>
          <w:bCs/>
          <w:color w:val="auto"/>
          <w:szCs w:val="21"/>
          <w:u w:val="single"/>
        </w:rPr>
        <w:t xml:space="preserve">                        </w:t>
      </w:r>
      <w:r>
        <w:rPr>
          <w:rFonts w:hint="eastAsia" w:ascii="宋体" w:hAnsi="宋体" w:cs="宋体"/>
          <w:bCs/>
          <w:color w:val="auto"/>
          <w:szCs w:val="21"/>
        </w:rPr>
        <w:t>（投标人名称）的法定代表人。</w:t>
      </w:r>
    </w:p>
    <w:p w14:paraId="76A50218">
      <w:pPr>
        <w:spacing w:line="360" w:lineRule="auto"/>
        <w:rPr>
          <w:rFonts w:ascii="宋体" w:hAnsi="宋体" w:cs="宋体"/>
          <w:bCs/>
          <w:color w:val="auto"/>
          <w:szCs w:val="21"/>
        </w:rPr>
      </w:pPr>
    </w:p>
    <w:p w14:paraId="65E13284">
      <w:pPr>
        <w:spacing w:line="360" w:lineRule="auto"/>
        <w:ind w:firstLine="420" w:firstLineChars="200"/>
        <w:rPr>
          <w:rFonts w:ascii="宋体" w:hAnsi="宋体" w:cs="宋体"/>
          <w:bCs/>
          <w:color w:val="auto"/>
          <w:szCs w:val="21"/>
        </w:rPr>
      </w:pPr>
    </w:p>
    <w:p w14:paraId="52AEE360">
      <w:pPr>
        <w:spacing w:line="360" w:lineRule="auto"/>
        <w:ind w:firstLine="420" w:firstLineChars="200"/>
        <w:rPr>
          <w:rFonts w:ascii="宋体" w:hAnsi="宋体" w:cs="宋体"/>
          <w:bCs/>
          <w:color w:val="auto"/>
          <w:szCs w:val="21"/>
        </w:rPr>
      </w:pPr>
      <w:r>
        <w:rPr>
          <w:rFonts w:hint="eastAsia" w:ascii="宋体" w:hAnsi="宋体" w:cs="宋体"/>
          <w:bCs/>
          <w:color w:val="auto"/>
          <w:szCs w:val="21"/>
        </w:rPr>
        <w:t>特此证明。</w:t>
      </w:r>
    </w:p>
    <w:p w14:paraId="15D4BD35">
      <w:pPr>
        <w:spacing w:line="360" w:lineRule="auto"/>
        <w:rPr>
          <w:rFonts w:ascii="宋体" w:hAnsi="宋体" w:cs="宋体"/>
          <w:bCs/>
          <w:color w:val="auto"/>
          <w:szCs w:val="21"/>
        </w:rPr>
      </w:pPr>
    </w:p>
    <w:p w14:paraId="6CD8407F">
      <w:pPr>
        <w:spacing w:line="360" w:lineRule="auto"/>
        <w:rPr>
          <w:rFonts w:ascii="宋体" w:hAnsi="宋体" w:cs="宋体"/>
          <w:bCs/>
          <w:color w:val="auto"/>
          <w:szCs w:val="21"/>
        </w:rPr>
      </w:pPr>
    </w:p>
    <w:p w14:paraId="781BC85D">
      <w:pPr>
        <w:spacing w:line="360" w:lineRule="auto"/>
        <w:rPr>
          <w:rFonts w:ascii="宋体" w:hAnsi="宋体" w:cs="宋体"/>
          <w:bCs/>
          <w:color w:val="auto"/>
          <w:szCs w:val="21"/>
        </w:rPr>
      </w:pPr>
    </w:p>
    <w:p w14:paraId="5676C107">
      <w:pPr>
        <w:spacing w:line="360" w:lineRule="auto"/>
        <w:rPr>
          <w:rFonts w:ascii="宋体" w:hAnsi="宋体" w:cs="宋体"/>
          <w:color w:val="auto"/>
          <w:szCs w:val="21"/>
        </w:rPr>
      </w:pPr>
    </w:p>
    <w:p w14:paraId="712E6031">
      <w:pPr>
        <w:spacing w:line="360" w:lineRule="auto"/>
        <w:ind w:left="5397" w:leftChars="2570"/>
        <w:rPr>
          <w:rFonts w:ascii="宋体" w:hAnsi="宋体" w:cs="宋体"/>
          <w:color w:val="auto"/>
          <w:szCs w:val="21"/>
        </w:rPr>
      </w:pPr>
      <w:r>
        <w:rPr>
          <w:rFonts w:hint="eastAsia" w:ascii="宋体" w:hAnsi="宋体" w:cs="宋体"/>
          <w:color w:val="auto"/>
          <w:szCs w:val="21"/>
        </w:rPr>
        <w:t>投标人（加盖投标人电子公章）：</w:t>
      </w:r>
    </w:p>
    <w:p w14:paraId="4047F330">
      <w:pPr>
        <w:spacing w:line="360" w:lineRule="auto"/>
        <w:ind w:left="5397" w:leftChars="2570"/>
        <w:rPr>
          <w:rFonts w:ascii="宋体" w:hAnsi="宋体" w:cs="宋体"/>
          <w:color w:val="auto"/>
          <w:szCs w:val="21"/>
        </w:rPr>
      </w:pPr>
    </w:p>
    <w:p w14:paraId="2243545C">
      <w:pPr>
        <w:spacing w:line="360" w:lineRule="auto"/>
        <w:ind w:left="5397" w:leftChars="2570"/>
        <w:rPr>
          <w:rFonts w:ascii="宋体" w:hAnsi="宋体" w:cs="宋体"/>
          <w:color w:val="auto"/>
          <w:szCs w:val="21"/>
        </w:rPr>
      </w:pPr>
      <w:r>
        <w:rPr>
          <w:rFonts w:hint="eastAsia" w:ascii="宋体" w:hAnsi="宋体" w:cs="宋体"/>
          <w:color w:val="auto"/>
          <w:szCs w:val="21"/>
        </w:rPr>
        <w:t>日期：</w:t>
      </w:r>
    </w:p>
    <w:p w14:paraId="387D9935">
      <w:pPr>
        <w:pStyle w:val="20"/>
        <w:spacing w:line="360" w:lineRule="auto"/>
        <w:ind w:firstLine="420"/>
        <w:rPr>
          <w:rFonts w:hAnsi="宋体" w:cs="宋体"/>
          <w:bCs/>
          <w:color w:val="auto"/>
          <w:szCs w:val="21"/>
        </w:rPr>
      </w:pPr>
      <w:r>
        <w:rPr>
          <w:rFonts w:hint="eastAsia" w:hAnsi="宋体" w:cs="宋体"/>
          <w:bCs/>
          <w:color w:val="auto"/>
          <w:szCs w:val="21"/>
        </w:rPr>
        <w:t>注：附法定代表人居民身份证扫描件。</w:t>
      </w:r>
    </w:p>
    <w:p w14:paraId="4EACC9D4">
      <w:pPr>
        <w:spacing w:line="360" w:lineRule="auto"/>
        <w:rPr>
          <w:rFonts w:ascii="宋体" w:hAnsi="宋体" w:cs="宋体"/>
          <w:color w:val="auto"/>
          <w:szCs w:val="21"/>
        </w:rPr>
      </w:pPr>
    </w:p>
    <w:p w14:paraId="2D21CF3F">
      <w:pPr>
        <w:spacing w:line="360" w:lineRule="auto"/>
        <w:rPr>
          <w:rFonts w:ascii="宋体" w:hAnsi="宋体" w:cs="宋体"/>
          <w:color w:val="auto"/>
          <w:szCs w:val="21"/>
        </w:rPr>
      </w:pPr>
    </w:p>
    <w:p w14:paraId="12498657">
      <w:pPr>
        <w:spacing w:line="360" w:lineRule="auto"/>
        <w:rPr>
          <w:rFonts w:ascii="宋体" w:hAnsi="宋体" w:cs="宋体"/>
          <w:color w:val="auto"/>
          <w:szCs w:val="21"/>
        </w:rPr>
      </w:pPr>
    </w:p>
    <w:p w14:paraId="53BD9D25">
      <w:pPr>
        <w:widowControl/>
        <w:spacing w:line="360" w:lineRule="auto"/>
        <w:jc w:val="left"/>
        <w:rPr>
          <w:rFonts w:ascii="宋体" w:hAnsi="宋体" w:cs="宋体"/>
          <w:b/>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rPr>
        <w:t>格式10</w:t>
      </w:r>
    </w:p>
    <w:p w14:paraId="7766FF7C">
      <w:pPr>
        <w:spacing w:line="360" w:lineRule="auto"/>
        <w:jc w:val="center"/>
        <w:rPr>
          <w:rFonts w:ascii="宋体" w:hAnsi="宋体" w:cs="宋体"/>
          <w:b/>
          <w:bCs/>
          <w:color w:val="auto"/>
          <w:sz w:val="28"/>
          <w:szCs w:val="28"/>
        </w:rPr>
      </w:pPr>
      <w:bookmarkStart w:id="426" w:name="_Toc4001"/>
      <w:bookmarkStart w:id="427" w:name="_Toc14603921"/>
      <w:bookmarkStart w:id="428" w:name="_Toc488633630"/>
      <w:bookmarkStart w:id="429" w:name="_Toc18287444"/>
      <w:bookmarkStart w:id="430" w:name="_Toc1109"/>
      <w:bookmarkStart w:id="431" w:name="_Toc213141107"/>
      <w:bookmarkStart w:id="432" w:name="_Toc489145765"/>
      <w:bookmarkStart w:id="433" w:name="_Toc20663"/>
      <w:bookmarkStart w:id="434" w:name="_Toc489197869"/>
      <w:bookmarkStart w:id="435" w:name="_Toc481694858"/>
      <w:r>
        <w:rPr>
          <w:rFonts w:hint="eastAsia" w:ascii="宋体" w:hAnsi="宋体" w:cs="宋体"/>
          <w:b/>
          <w:bCs/>
          <w:color w:val="auto"/>
          <w:sz w:val="28"/>
          <w:szCs w:val="28"/>
        </w:rPr>
        <w:t>法定代表人授权委托书</w:t>
      </w:r>
      <w:bookmarkEnd w:id="426"/>
      <w:bookmarkEnd w:id="427"/>
      <w:bookmarkEnd w:id="428"/>
      <w:bookmarkEnd w:id="429"/>
      <w:bookmarkEnd w:id="430"/>
      <w:bookmarkEnd w:id="431"/>
      <w:bookmarkEnd w:id="432"/>
      <w:bookmarkEnd w:id="433"/>
      <w:bookmarkEnd w:id="434"/>
      <w:bookmarkEnd w:id="435"/>
    </w:p>
    <w:p w14:paraId="241C05DD">
      <w:pPr>
        <w:spacing w:line="360" w:lineRule="auto"/>
        <w:ind w:firstLine="420" w:firstLineChars="200"/>
        <w:rPr>
          <w:rFonts w:ascii="宋体" w:hAnsi="宋体" w:cs="宋体"/>
          <w:bCs/>
          <w:color w:val="auto"/>
          <w:szCs w:val="21"/>
        </w:rPr>
      </w:pPr>
      <w:r>
        <w:rPr>
          <w:rFonts w:hint="eastAsia" w:ascii="宋体" w:hAnsi="宋体" w:cs="宋体"/>
          <w:bCs/>
          <w:color w:val="auto"/>
          <w:szCs w:val="21"/>
        </w:rPr>
        <w:t>本授权书声明：</w:t>
      </w:r>
      <w:r>
        <w:rPr>
          <w:rFonts w:hint="eastAsia" w:ascii="宋体" w:hAnsi="宋体" w:cs="宋体"/>
          <w:bCs/>
          <w:color w:val="auto"/>
          <w:szCs w:val="21"/>
          <w:u w:val="single"/>
        </w:rPr>
        <w:t xml:space="preserve">（投标人全称） </w:t>
      </w:r>
      <w:r>
        <w:rPr>
          <w:rFonts w:hint="eastAsia" w:ascii="宋体" w:hAnsi="宋体" w:cs="宋体"/>
          <w:bCs/>
          <w:color w:val="auto"/>
          <w:szCs w:val="21"/>
        </w:rPr>
        <w:t>的法定代表人代表本公司授权</w:t>
      </w:r>
      <w:r>
        <w:rPr>
          <w:rFonts w:hint="eastAsia" w:ascii="宋体" w:hAnsi="宋体" w:cs="宋体"/>
          <w:bCs/>
          <w:color w:val="auto"/>
          <w:szCs w:val="21"/>
          <w:u w:val="single"/>
        </w:rPr>
        <w:t>（委托代理人姓名）</w:t>
      </w:r>
      <w:r>
        <w:rPr>
          <w:rFonts w:hint="eastAsia" w:ascii="宋体" w:hAnsi="宋体" w:cs="宋体"/>
          <w:bCs/>
          <w:color w:val="auto"/>
          <w:szCs w:val="21"/>
        </w:rPr>
        <w:t>为本单位合法代理人，就贵方组织的有关</w:t>
      </w:r>
      <w:r>
        <w:rPr>
          <w:rFonts w:hint="eastAsia" w:ascii="宋体" w:hAnsi="宋体" w:cs="宋体"/>
          <w:bCs/>
          <w:color w:val="auto"/>
          <w:szCs w:val="21"/>
          <w:u w:val="single"/>
        </w:rPr>
        <w:t>（项目名称）</w:t>
      </w:r>
      <w:r>
        <w:rPr>
          <w:rFonts w:hint="eastAsia" w:ascii="宋体" w:hAnsi="宋体" w:cs="宋体"/>
          <w:bCs/>
          <w:color w:val="auto"/>
          <w:szCs w:val="21"/>
        </w:rPr>
        <w:t>项目（项目编号：</w:t>
      </w:r>
      <w:r>
        <w:rPr>
          <w:rFonts w:hint="eastAsia" w:ascii="宋体" w:hAnsi="宋体" w:cs="宋体"/>
          <w:bCs/>
          <w:color w:val="auto"/>
          <w:szCs w:val="21"/>
          <w:u w:val="single"/>
        </w:rPr>
        <w:t xml:space="preserve">            </w:t>
      </w:r>
      <w:r>
        <w:rPr>
          <w:rFonts w:hint="eastAsia" w:ascii="宋体" w:hAnsi="宋体" w:cs="宋体"/>
          <w:bCs/>
          <w:color w:val="auto"/>
          <w:szCs w:val="21"/>
        </w:rPr>
        <w:t>）的招标，以本单位名义投标。代理人在本项目投标过程中所签署的一切文件和处理与之有关的一切事务，我方均予承认。</w:t>
      </w:r>
    </w:p>
    <w:p w14:paraId="34B46B0D">
      <w:pPr>
        <w:pStyle w:val="20"/>
        <w:spacing w:line="360" w:lineRule="auto"/>
        <w:ind w:firstLine="420"/>
        <w:rPr>
          <w:rFonts w:hAnsi="宋体" w:cs="宋体"/>
          <w:bCs/>
          <w:color w:val="auto"/>
          <w:szCs w:val="21"/>
        </w:rPr>
      </w:pPr>
      <w:r>
        <w:rPr>
          <w:rFonts w:hint="eastAsia" w:hAnsi="宋体" w:cs="宋体"/>
          <w:bCs/>
          <w:color w:val="auto"/>
          <w:szCs w:val="21"/>
        </w:rPr>
        <w:t>代理人无转委托权。</w:t>
      </w:r>
    </w:p>
    <w:p w14:paraId="53B20E50">
      <w:pPr>
        <w:pStyle w:val="20"/>
        <w:spacing w:line="360" w:lineRule="auto"/>
        <w:jc w:val="left"/>
        <w:rPr>
          <w:rFonts w:hAnsi="宋体" w:cs="宋体"/>
          <w:bCs/>
          <w:color w:val="auto"/>
          <w:szCs w:val="21"/>
        </w:rPr>
      </w:pPr>
    </w:p>
    <w:p w14:paraId="65570E83">
      <w:pPr>
        <w:pStyle w:val="20"/>
        <w:spacing w:line="360" w:lineRule="auto"/>
        <w:jc w:val="left"/>
        <w:rPr>
          <w:rFonts w:hAnsi="宋体" w:cs="宋体"/>
          <w:bCs/>
          <w:color w:val="auto"/>
          <w:szCs w:val="21"/>
        </w:rPr>
      </w:pPr>
      <w:r>
        <w:rPr>
          <w:rFonts w:hint="eastAsia" w:hAnsi="宋体" w:cs="宋体"/>
          <w:bCs/>
          <w:color w:val="auto"/>
          <w:szCs w:val="21"/>
        </w:rPr>
        <w:t>投标人（加盖投标人电子公章）：</w:t>
      </w:r>
    </w:p>
    <w:p w14:paraId="2B0F7453">
      <w:pPr>
        <w:pStyle w:val="20"/>
        <w:spacing w:line="360" w:lineRule="auto"/>
        <w:jc w:val="left"/>
        <w:rPr>
          <w:rFonts w:hAnsi="宋体" w:cs="宋体"/>
          <w:bCs/>
          <w:color w:val="auto"/>
          <w:szCs w:val="21"/>
        </w:rPr>
      </w:pPr>
    </w:p>
    <w:p w14:paraId="5F44285E">
      <w:pPr>
        <w:pStyle w:val="20"/>
        <w:spacing w:line="360" w:lineRule="auto"/>
        <w:jc w:val="left"/>
        <w:rPr>
          <w:rFonts w:hAnsi="宋体" w:cs="宋体"/>
          <w:color w:val="auto"/>
          <w:szCs w:val="21"/>
          <w:u w:val="single"/>
        </w:rPr>
      </w:pPr>
      <w:r>
        <w:rPr>
          <w:rFonts w:hint="eastAsia" w:hAnsi="宋体" w:cs="宋体"/>
          <w:color w:val="auto"/>
          <w:szCs w:val="21"/>
        </w:rPr>
        <w:t>法定代表人（电子签名或电子签章）：</w:t>
      </w:r>
    </w:p>
    <w:p w14:paraId="70C0B167">
      <w:pPr>
        <w:pStyle w:val="20"/>
        <w:spacing w:line="360" w:lineRule="auto"/>
        <w:jc w:val="left"/>
        <w:rPr>
          <w:rFonts w:hAnsi="宋体" w:cs="宋体"/>
          <w:color w:val="auto"/>
          <w:szCs w:val="21"/>
        </w:rPr>
      </w:pPr>
    </w:p>
    <w:p w14:paraId="22993510">
      <w:pPr>
        <w:pStyle w:val="20"/>
        <w:spacing w:line="360" w:lineRule="auto"/>
        <w:rPr>
          <w:rFonts w:hAnsi="宋体" w:cs="宋体"/>
          <w:bCs/>
          <w:color w:val="auto"/>
          <w:szCs w:val="21"/>
        </w:rPr>
      </w:pPr>
      <w:r>
        <w:rPr>
          <w:rFonts w:hint="eastAsia" w:hAnsi="宋体" w:cs="宋体"/>
          <w:bCs/>
          <w:color w:val="auto"/>
          <w:szCs w:val="21"/>
        </w:rPr>
        <w:t>日期：</w:t>
      </w:r>
    </w:p>
    <w:p w14:paraId="57E5C05E">
      <w:pPr>
        <w:spacing w:line="360" w:lineRule="auto"/>
        <w:rPr>
          <w:rFonts w:ascii="宋体" w:hAnsi="宋体" w:cs="宋体"/>
          <w:color w:val="auto"/>
        </w:rPr>
      </w:pPr>
    </w:p>
    <w:tbl>
      <w:tblPr>
        <w:tblStyle w:val="41"/>
        <w:tblW w:w="5868" w:type="dxa"/>
        <w:tblInd w:w="720" w:type="dxa"/>
        <w:tblLayout w:type="fixed"/>
        <w:tblCellMar>
          <w:top w:w="0" w:type="dxa"/>
          <w:left w:w="108" w:type="dxa"/>
          <w:bottom w:w="0" w:type="dxa"/>
          <w:right w:w="108" w:type="dxa"/>
        </w:tblCellMar>
      </w:tblPr>
      <w:tblGrid>
        <w:gridCol w:w="1908"/>
        <w:gridCol w:w="3960"/>
      </w:tblGrid>
      <w:tr w14:paraId="77D0A187">
        <w:tc>
          <w:tcPr>
            <w:tcW w:w="1908" w:type="dxa"/>
            <w:tcBorders>
              <w:top w:val="nil"/>
              <w:left w:val="nil"/>
              <w:bottom w:val="nil"/>
              <w:right w:val="nil"/>
            </w:tcBorders>
          </w:tcPr>
          <w:p w14:paraId="3DB0A83B">
            <w:pPr>
              <w:pStyle w:val="20"/>
              <w:spacing w:line="360" w:lineRule="auto"/>
              <w:rPr>
                <w:rFonts w:hAnsi="宋体" w:cs="宋体"/>
                <w:bCs/>
                <w:color w:val="auto"/>
                <w:szCs w:val="21"/>
              </w:rPr>
            </w:pPr>
            <w:r>
              <w:rPr>
                <w:rFonts w:hint="eastAsia" w:hAnsi="宋体" w:cs="宋体"/>
                <w:bCs/>
                <w:color w:val="auto"/>
                <w:szCs w:val="21"/>
              </w:rPr>
              <w:t xml:space="preserve">附： </w:t>
            </w:r>
          </w:p>
        </w:tc>
        <w:tc>
          <w:tcPr>
            <w:tcW w:w="3960" w:type="dxa"/>
            <w:tcBorders>
              <w:top w:val="nil"/>
              <w:left w:val="nil"/>
              <w:bottom w:val="nil"/>
              <w:right w:val="nil"/>
            </w:tcBorders>
          </w:tcPr>
          <w:p w14:paraId="35E7824D">
            <w:pPr>
              <w:pStyle w:val="20"/>
              <w:spacing w:line="360" w:lineRule="auto"/>
              <w:rPr>
                <w:rFonts w:hAnsi="宋体" w:cs="宋体"/>
                <w:bCs/>
                <w:color w:val="auto"/>
                <w:szCs w:val="21"/>
              </w:rPr>
            </w:pPr>
            <w:r>
              <w:rPr>
                <w:rFonts w:hint="eastAsia" w:hAnsi="宋体" w:cs="宋体"/>
                <w:bCs/>
                <w:color w:val="auto"/>
                <w:szCs w:val="21"/>
              </w:rPr>
              <w:tab/>
            </w:r>
            <w:r>
              <w:rPr>
                <w:rFonts w:hint="eastAsia" w:hAnsi="宋体" w:cs="宋体"/>
                <w:bCs/>
                <w:color w:val="auto"/>
                <w:szCs w:val="21"/>
              </w:rPr>
              <w:tab/>
            </w:r>
            <w:r>
              <w:rPr>
                <w:rFonts w:hint="eastAsia" w:hAnsi="宋体" w:cs="宋体"/>
                <w:bCs/>
                <w:color w:val="auto"/>
                <w:szCs w:val="21"/>
              </w:rPr>
              <w:tab/>
            </w:r>
            <w:r>
              <w:rPr>
                <w:rFonts w:hint="eastAsia" w:hAnsi="宋体" w:cs="宋体"/>
                <w:bCs/>
                <w:color w:val="auto"/>
                <w:szCs w:val="21"/>
              </w:rPr>
              <w:tab/>
            </w:r>
            <w:r>
              <w:rPr>
                <w:rFonts w:hint="eastAsia" w:hAnsi="宋体" w:cs="宋体"/>
                <w:bCs/>
                <w:color w:val="auto"/>
                <w:szCs w:val="21"/>
              </w:rPr>
              <w:tab/>
            </w:r>
          </w:p>
        </w:tc>
      </w:tr>
      <w:tr w14:paraId="03B23A62">
        <w:tblPrEx>
          <w:tblCellMar>
            <w:top w:w="0" w:type="dxa"/>
            <w:left w:w="108" w:type="dxa"/>
            <w:bottom w:w="0" w:type="dxa"/>
            <w:right w:w="108" w:type="dxa"/>
          </w:tblCellMar>
        </w:tblPrEx>
        <w:tc>
          <w:tcPr>
            <w:tcW w:w="1908" w:type="dxa"/>
            <w:tcBorders>
              <w:top w:val="nil"/>
              <w:left w:val="nil"/>
              <w:bottom w:val="nil"/>
              <w:right w:val="nil"/>
            </w:tcBorders>
          </w:tcPr>
          <w:p w14:paraId="6855344E">
            <w:pPr>
              <w:pStyle w:val="20"/>
              <w:spacing w:line="360" w:lineRule="auto"/>
              <w:jc w:val="distribute"/>
              <w:rPr>
                <w:rFonts w:hAnsi="宋体" w:cs="宋体"/>
                <w:bCs/>
                <w:color w:val="auto"/>
                <w:szCs w:val="21"/>
              </w:rPr>
            </w:pPr>
            <w:r>
              <w:rPr>
                <w:rFonts w:hint="eastAsia" w:hAnsi="宋体" w:cs="宋体"/>
                <w:bCs/>
                <w:color w:val="auto"/>
                <w:szCs w:val="21"/>
              </w:rPr>
              <w:t>委托代理人姓名：</w:t>
            </w:r>
          </w:p>
        </w:tc>
        <w:tc>
          <w:tcPr>
            <w:tcW w:w="3960" w:type="dxa"/>
            <w:tcBorders>
              <w:top w:val="nil"/>
              <w:left w:val="nil"/>
              <w:bottom w:val="nil"/>
              <w:right w:val="nil"/>
            </w:tcBorders>
          </w:tcPr>
          <w:p w14:paraId="230429B3">
            <w:pPr>
              <w:pStyle w:val="20"/>
              <w:spacing w:line="360" w:lineRule="auto"/>
              <w:rPr>
                <w:rFonts w:hAnsi="宋体" w:cs="宋体"/>
                <w:bCs/>
                <w:color w:val="auto"/>
                <w:szCs w:val="21"/>
              </w:rPr>
            </w:pPr>
          </w:p>
        </w:tc>
      </w:tr>
      <w:tr w14:paraId="0810DAD0">
        <w:tblPrEx>
          <w:tblCellMar>
            <w:top w:w="0" w:type="dxa"/>
            <w:left w:w="108" w:type="dxa"/>
            <w:bottom w:w="0" w:type="dxa"/>
            <w:right w:w="108" w:type="dxa"/>
          </w:tblCellMar>
        </w:tblPrEx>
        <w:tc>
          <w:tcPr>
            <w:tcW w:w="1908" w:type="dxa"/>
            <w:tcBorders>
              <w:top w:val="nil"/>
              <w:left w:val="nil"/>
              <w:bottom w:val="nil"/>
              <w:right w:val="nil"/>
            </w:tcBorders>
          </w:tcPr>
          <w:p w14:paraId="6D7F6833">
            <w:pPr>
              <w:pStyle w:val="20"/>
              <w:spacing w:line="360" w:lineRule="auto"/>
              <w:jc w:val="distribute"/>
              <w:rPr>
                <w:rFonts w:hAnsi="宋体" w:cs="宋体"/>
                <w:bCs/>
                <w:color w:val="auto"/>
                <w:szCs w:val="21"/>
              </w:rPr>
            </w:pPr>
            <w:r>
              <w:rPr>
                <w:rFonts w:hint="eastAsia" w:hAnsi="宋体" w:cs="宋体"/>
                <w:bCs/>
                <w:color w:val="auto"/>
                <w:szCs w:val="21"/>
              </w:rPr>
              <w:t>职       务：</w:t>
            </w:r>
          </w:p>
        </w:tc>
        <w:tc>
          <w:tcPr>
            <w:tcW w:w="3960" w:type="dxa"/>
            <w:tcBorders>
              <w:top w:val="nil"/>
              <w:left w:val="nil"/>
              <w:bottom w:val="nil"/>
              <w:right w:val="nil"/>
            </w:tcBorders>
          </w:tcPr>
          <w:p w14:paraId="0204B135">
            <w:pPr>
              <w:pStyle w:val="20"/>
              <w:spacing w:line="360" w:lineRule="auto"/>
              <w:rPr>
                <w:rFonts w:hAnsi="宋体" w:cs="宋体"/>
                <w:bCs/>
                <w:color w:val="auto"/>
                <w:szCs w:val="21"/>
              </w:rPr>
            </w:pPr>
          </w:p>
        </w:tc>
      </w:tr>
      <w:tr w14:paraId="3661B47B">
        <w:tblPrEx>
          <w:tblCellMar>
            <w:top w:w="0" w:type="dxa"/>
            <w:left w:w="108" w:type="dxa"/>
            <w:bottom w:w="0" w:type="dxa"/>
            <w:right w:w="108" w:type="dxa"/>
          </w:tblCellMar>
        </w:tblPrEx>
        <w:tc>
          <w:tcPr>
            <w:tcW w:w="1908" w:type="dxa"/>
            <w:tcBorders>
              <w:top w:val="nil"/>
              <w:left w:val="nil"/>
              <w:bottom w:val="nil"/>
              <w:right w:val="nil"/>
            </w:tcBorders>
          </w:tcPr>
          <w:p w14:paraId="6297B57C">
            <w:pPr>
              <w:pStyle w:val="20"/>
              <w:spacing w:line="360" w:lineRule="auto"/>
              <w:jc w:val="distribute"/>
              <w:rPr>
                <w:rFonts w:hAnsi="宋体" w:cs="宋体"/>
                <w:bCs/>
                <w:color w:val="auto"/>
                <w:szCs w:val="21"/>
              </w:rPr>
            </w:pPr>
            <w:r>
              <w:rPr>
                <w:rFonts w:hint="eastAsia" w:hAnsi="宋体" w:cs="宋体"/>
                <w:bCs/>
                <w:color w:val="auto"/>
                <w:szCs w:val="21"/>
              </w:rPr>
              <w:t>居民身份证号码：</w:t>
            </w:r>
          </w:p>
        </w:tc>
        <w:tc>
          <w:tcPr>
            <w:tcW w:w="3960" w:type="dxa"/>
            <w:tcBorders>
              <w:top w:val="nil"/>
              <w:left w:val="nil"/>
              <w:bottom w:val="nil"/>
              <w:right w:val="nil"/>
            </w:tcBorders>
          </w:tcPr>
          <w:p w14:paraId="2D710D3F">
            <w:pPr>
              <w:pStyle w:val="20"/>
              <w:spacing w:line="360" w:lineRule="auto"/>
              <w:rPr>
                <w:rFonts w:hAnsi="宋体" w:cs="宋体"/>
                <w:bCs/>
                <w:color w:val="auto"/>
                <w:szCs w:val="21"/>
              </w:rPr>
            </w:pPr>
          </w:p>
        </w:tc>
      </w:tr>
      <w:tr w14:paraId="5D503EB3">
        <w:tblPrEx>
          <w:tblCellMar>
            <w:top w:w="0" w:type="dxa"/>
            <w:left w:w="108" w:type="dxa"/>
            <w:bottom w:w="0" w:type="dxa"/>
            <w:right w:w="108" w:type="dxa"/>
          </w:tblCellMar>
        </w:tblPrEx>
        <w:tc>
          <w:tcPr>
            <w:tcW w:w="1908" w:type="dxa"/>
            <w:tcBorders>
              <w:top w:val="nil"/>
              <w:left w:val="nil"/>
              <w:bottom w:val="nil"/>
              <w:right w:val="nil"/>
            </w:tcBorders>
          </w:tcPr>
          <w:p w14:paraId="1C96AED9">
            <w:pPr>
              <w:pStyle w:val="20"/>
              <w:spacing w:line="360" w:lineRule="auto"/>
              <w:jc w:val="distribute"/>
              <w:rPr>
                <w:rFonts w:hAnsi="宋体" w:cs="宋体"/>
                <w:bCs/>
                <w:color w:val="auto"/>
                <w:szCs w:val="21"/>
              </w:rPr>
            </w:pPr>
            <w:r>
              <w:rPr>
                <w:rFonts w:hint="eastAsia" w:hAnsi="宋体" w:cs="宋体"/>
                <w:bCs/>
                <w:color w:val="auto"/>
                <w:szCs w:val="21"/>
              </w:rPr>
              <w:t>详 细  地 址：</w:t>
            </w:r>
          </w:p>
        </w:tc>
        <w:tc>
          <w:tcPr>
            <w:tcW w:w="3960" w:type="dxa"/>
            <w:tcBorders>
              <w:top w:val="nil"/>
              <w:left w:val="nil"/>
              <w:bottom w:val="nil"/>
              <w:right w:val="nil"/>
            </w:tcBorders>
          </w:tcPr>
          <w:p w14:paraId="7EDF3436">
            <w:pPr>
              <w:pStyle w:val="20"/>
              <w:spacing w:line="360" w:lineRule="auto"/>
              <w:rPr>
                <w:rFonts w:hAnsi="宋体" w:cs="宋体"/>
                <w:bCs/>
                <w:color w:val="auto"/>
                <w:szCs w:val="21"/>
              </w:rPr>
            </w:pPr>
          </w:p>
        </w:tc>
      </w:tr>
      <w:tr w14:paraId="39E99DA9">
        <w:tblPrEx>
          <w:tblCellMar>
            <w:top w:w="0" w:type="dxa"/>
            <w:left w:w="108" w:type="dxa"/>
            <w:bottom w:w="0" w:type="dxa"/>
            <w:right w:w="108" w:type="dxa"/>
          </w:tblCellMar>
        </w:tblPrEx>
        <w:tc>
          <w:tcPr>
            <w:tcW w:w="1908" w:type="dxa"/>
            <w:tcBorders>
              <w:top w:val="nil"/>
              <w:left w:val="nil"/>
              <w:bottom w:val="nil"/>
              <w:right w:val="nil"/>
            </w:tcBorders>
          </w:tcPr>
          <w:p w14:paraId="23BDAB86">
            <w:pPr>
              <w:pStyle w:val="20"/>
              <w:spacing w:line="360" w:lineRule="auto"/>
              <w:jc w:val="distribute"/>
              <w:rPr>
                <w:rFonts w:hAnsi="宋体" w:cs="宋体"/>
                <w:bCs/>
                <w:color w:val="auto"/>
                <w:szCs w:val="21"/>
              </w:rPr>
            </w:pPr>
            <w:r>
              <w:rPr>
                <w:rFonts w:hint="eastAsia" w:hAnsi="宋体" w:cs="宋体"/>
                <w:bCs/>
                <w:color w:val="auto"/>
                <w:szCs w:val="21"/>
              </w:rPr>
              <w:t>电       话：</w:t>
            </w:r>
          </w:p>
        </w:tc>
        <w:tc>
          <w:tcPr>
            <w:tcW w:w="3960" w:type="dxa"/>
            <w:tcBorders>
              <w:top w:val="nil"/>
              <w:left w:val="nil"/>
              <w:bottom w:val="nil"/>
              <w:right w:val="nil"/>
            </w:tcBorders>
          </w:tcPr>
          <w:p w14:paraId="65349843">
            <w:pPr>
              <w:pStyle w:val="20"/>
              <w:spacing w:line="360" w:lineRule="auto"/>
              <w:rPr>
                <w:rFonts w:hAnsi="宋体" w:cs="宋体"/>
                <w:bCs/>
                <w:color w:val="auto"/>
                <w:szCs w:val="21"/>
              </w:rPr>
            </w:pPr>
          </w:p>
        </w:tc>
      </w:tr>
      <w:tr w14:paraId="3535AF1E">
        <w:tblPrEx>
          <w:tblCellMar>
            <w:top w:w="0" w:type="dxa"/>
            <w:left w:w="108" w:type="dxa"/>
            <w:bottom w:w="0" w:type="dxa"/>
            <w:right w:w="108" w:type="dxa"/>
          </w:tblCellMar>
        </w:tblPrEx>
        <w:tc>
          <w:tcPr>
            <w:tcW w:w="1908" w:type="dxa"/>
            <w:tcBorders>
              <w:top w:val="nil"/>
              <w:left w:val="nil"/>
              <w:bottom w:val="nil"/>
              <w:right w:val="nil"/>
            </w:tcBorders>
          </w:tcPr>
          <w:p w14:paraId="75883926">
            <w:pPr>
              <w:pStyle w:val="20"/>
              <w:spacing w:line="360" w:lineRule="auto"/>
              <w:jc w:val="distribute"/>
              <w:rPr>
                <w:rFonts w:hAnsi="宋体" w:cs="宋体"/>
                <w:bCs/>
                <w:color w:val="auto"/>
                <w:szCs w:val="21"/>
              </w:rPr>
            </w:pPr>
            <w:r>
              <w:rPr>
                <w:rFonts w:hint="eastAsia" w:hAnsi="宋体" w:cs="宋体"/>
                <w:bCs/>
                <w:color w:val="auto"/>
                <w:szCs w:val="21"/>
              </w:rPr>
              <w:t>电子邮箱：</w:t>
            </w:r>
          </w:p>
        </w:tc>
        <w:tc>
          <w:tcPr>
            <w:tcW w:w="3960" w:type="dxa"/>
            <w:tcBorders>
              <w:top w:val="nil"/>
              <w:left w:val="nil"/>
              <w:bottom w:val="nil"/>
              <w:right w:val="nil"/>
            </w:tcBorders>
          </w:tcPr>
          <w:p w14:paraId="3DA91FCF">
            <w:pPr>
              <w:pStyle w:val="20"/>
              <w:spacing w:line="360" w:lineRule="auto"/>
              <w:rPr>
                <w:rFonts w:hAnsi="宋体" w:cs="宋体"/>
                <w:bCs/>
                <w:color w:val="auto"/>
                <w:szCs w:val="21"/>
              </w:rPr>
            </w:pPr>
          </w:p>
        </w:tc>
      </w:tr>
    </w:tbl>
    <w:p w14:paraId="0661E49E">
      <w:pPr>
        <w:pStyle w:val="20"/>
        <w:spacing w:line="360" w:lineRule="auto"/>
        <w:ind w:firstLine="420"/>
        <w:rPr>
          <w:rFonts w:hAnsi="宋体" w:cs="宋体"/>
          <w:bCs/>
          <w:color w:val="auto"/>
          <w:szCs w:val="21"/>
        </w:rPr>
      </w:pPr>
    </w:p>
    <w:p w14:paraId="71E1E3DB">
      <w:pPr>
        <w:pStyle w:val="20"/>
        <w:spacing w:line="360" w:lineRule="auto"/>
        <w:ind w:firstLine="420"/>
        <w:rPr>
          <w:rFonts w:hAnsi="宋体" w:cs="宋体"/>
          <w:color w:val="auto"/>
          <w:sz w:val="24"/>
          <w:szCs w:val="24"/>
        </w:rPr>
      </w:pPr>
      <w:r>
        <w:rPr>
          <w:rFonts w:hint="eastAsia" w:hAnsi="宋体" w:cs="宋体"/>
          <w:b/>
          <w:bCs/>
          <w:color w:val="auto"/>
          <w:szCs w:val="21"/>
        </w:rPr>
        <w:t>注：在投标文件中附委托代理人居民身份证复印件。</w:t>
      </w:r>
    </w:p>
    <w:p w14:paraId="1C076776">
      <w:pPr>
        <w:widowControl/>
        <w:spacing w:line="360" w:lineRule="auto"/>
        <w:jc w:val="left"/>
        <w:rPr>
          <w:rFonts w:ascii="宋体" w:hAnsi="宋体" w:cs="宋体"/>
          <w:b/>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rPr>
        <w:t>格式11</w:t>
      </w:r>
    </w:p>
    <w:p w14:paraId="18C673CC">
      <w:pPr>
        <w:spacing w:line="360" w:lineRule="auto"/>
        <w:jc w:val="center"/>
        <w:rPr>
          <w:rFonts w:ascii="宋体" w:hAnsi="宋体" w:cs="宋体"/>
          <w:b/>
          <w:bCs/>
          <w:color w:val="auto"/>
          <w:sz w:val="28"/>
          <w:szCs w:val="28"/>
        </w:rPr>
      </w:pPr>
      <w:bookmarkStart w:id="436" w:name="_Toc15072"/>
      <w:bookmarkStart w:id="437" w:name="_Toc694"/>
      <w:bookmarkStart w:id="438" w:name="_Toc29828"/>
      <w:bookmarkStart w:id="439" w:name="_Toc38338332"/>
      <w:bookmarkStart w:id="440" w:name="_Toc37716412"/>
      <w:bookmarkStart w:id="441" w:name="_Toc5386"/>
      <w:r>
        <w:rPr>
          <w:rFonts w:hint="eastAsia" w:ascii="宋体" w:hAnsi="宋体" w:cs="宋体"/>
          <w:b/>
          <w:bCs/>
          <w:color w:val="auto"/>
          <w:sz w:val="28"/>
          <w:szCs w:val="28"/>
        </w:rPr>
        <w:t>投标人具备参加政府采购活动条件承诺书</w:t>
      </w:r>
      <w:bookmarkEnd w:id="436"/>
      <w:bookmarkEnd w:id="437"/>
      <w:bookmarkEnd w:id="438"/>
      <w:bookmarkEnd w:id="439"/>
      <w:bookmarkEnd w:id="440"/>
      <w:bookmarkEnd w:id="441"/>
    </w:p>
    <w:p w14:paraId="1F239C33">
      <w:pPr>
        <w:spacing w:line="360" w:lineRule="auto"/>
        <w:rPr>
          <w:rFonts w:ascii="宋体" w:hAnsi="宋体" w:cs="宋体"/>
          <w:color w:val="auto"/>
          <w:szCs w:val="21"/>
        </w:rPr>
      </w:pPr>
      <w:r>
        <w:rPr>
          <w:rFonts w:hint="eastAsia" w:ascii="宋体" w:hAnsi="宋体" w:cs="宋体"/>
          <w:color w:val="auto"/>
          <w:szCs w:val="21"/>
        </w:rPr>
        <w:t>致：（采购人名称）</w:t>
      </w:r>
    </w:p>
    <w:p w14:paraId="0368A9E3">
      <w:pPr>
        <w:spacing w:line="360" w:lineRule="auto"/>
        <w:ind w:firstLine="4410" w:firstLineChars="2100"/>
        <w:rPr>
          <w:rFonts w:ascii="宋体" w:hAnsi="宋体" w:cs="宋体"/>
          <w:color w:val="auto"/>
          <w:szCs w:val="21"/>
        </w:rPr>
      </w:pPr>
    </w:p>
    <w:p w14:paraId="3E1FA4E2">
      <w:pPr>
        <w:spacing w:line="360" w:lineRule="auto"/>
        <w:jc w:val="center"/>
        <w:rPr>
          <w:rFonts w:ascii="宋体" w:hAnsi="宋体" w:cs="宋体"/>
          <w:color w:val="auto"/>
          <w:szCs w:val="21"/>
        </w:rPr>
      </w:pPr>
      <w:r>
        <w:rPr>
          <w:rFonts w:hint="eastAsia" w:ascii="宋体" w:hAnsi="宋体" w:cs="宋体"/>
          <w:color w:val="auto"/>
          <w:szCs w:val="21"/>
        </w:rPr>
        <w:t>（投标人自行承诺及说明，内容自拟）</w:t>
      </w:r>
    </w:p>
    <w:p w14:paraId="461E0ADC">
      <w:pPr>
        <w:spacing w:line="360" w:lineRule="auto"/>
        <w:jc w:val="left"/>
        <w:rPr>
          <w:rFonts w:ascii="宋体" w:hAnsi="宋体" w:cs="宋体"/>
          <w:color w:val="auto"/>
          <w:szCs w:val="21"/>
        </w:rPr>
      </w:pPr>
    </w:p>
    <w:p w14:paraId="062C7100">
      <w:pPr>
        <w:spacing w:line="360" w:lineRule="auto"/>
        <w:jc w:val="left"/>
        <w:rPr>
          <w:rFonts w:ascii="宋体" w:hAnsi="宋体" w:cs="宋体"/>
          <w:color w:val="auto"/>
          <w:szCs w:val="21"/>
        </w:rPr>
      </w:pPr>
    </w:p>
    <w:p w14:paraId="603AAC3C">
      <w:pPr>
        <w:spacing w:line="360" w:lineRule="auto"/>
        <w:jc w:val="left"/>
        <w:rPr>
          <w:rFonts w:ascii="宋体" w:hAnsi="宋体" w:cs="宋体"/>
          <w:color w:val="auto"/>
          <w:szCs w:val="21"/>
        </w:rPr>
      </w:pPr>
    </w:p>
    <w:p w14:paraId="370E94B3">
      <w:pPr>
        <w:spacing w:line="360" w:lineRule="auto"/>
        <w:jc w:val="left"/>
        <w:rPr>
          <w:rFonts w:ascii="宋体" w:hAnsi="宋体" w:cs="宋体"/>
          <w:color w:val="auto"/>
          <w:szCs w:val="21"/>
        </w:rPr>
      </w:pPr>
    </w:p>
    <w:p w14:paraId="64F454CE">
      <w:pPr>
        <w:spacing w:line="360" w:lineRule="auto"/>
        <w:jc w:val="left"/>
        <w:rPr>
          <w:rFonts w:ascii="宋体" w:hAnsi="宋体" w:cs="宋体"/>
          <w:color w:val="auto"/>
          <w:szCs w:val="21"/>
        </w:rPr>
      </w:pPr>
    </w:p>
    <w:p w14:paraId="4533AC38">
      <w:pPr>
        <w:spacing w:line="360" w:lineRule="auto"/>
        <w:ind w:firstLine="2" w:firstLineChars="1"/>
        <w:rPr>
          <w:rFonts w:ascii="宋体" w:hAnsi="宋体" w:cs="宋体"/>
          <w:color w:val="auto"/>
          <w:szCs w:val="21"/>
        </w:rPr>
      </w:pPr>
    </w:p>
    <w:p w14:paraId="60437374">
      <w:pPr>
        <w:pStyle w:val="20"/>
        <w:spacing w:line="360" w:lineRule="auto"/>
        <w:jc w:val="left"/>
        <w:rPr>
          <w:rFonts w:hAnsi="宋体" w:cs="宋体"/>
          <w:color w:val="auto"/>
          <w:szCs w:val="21"/>
        </w:rPr>
      </w:pPr>
      <w:r>
        <w:rPr>
          <w:rFonts w:hint="eastAsia" w:hAnsi="宋体" w:cs="宋体"/>
          <w:color w:val="auto"/>
          <w:szCs w:val="21"/>
        </w:rPr>
        <w:t>投标人（加盖投标人电子公章）：</w:t>
      </w:r>
    </w:p>
    <w:p w14:paraId="25C947A8">
      <w:pPr>
        <w:pStyle w:val="20"/>
        <w:spacing w:line="360" w:lineRule="auto"/>
        <w:jc w:val="left"/>
        <w:rPr>
          <w:rFonts w:hAnsi="宋体" w:cs="宋体"/>
          <w:color w:val="auto"/>
          <w:szCs w:val="21"/>
        </w:rPr>
      </w:pPr>
    </w:p>
    <w:p w14:paraId="104D6012">
      <w:pPr>
        <w:pStyle w:val="20"/>
        <w:spacing w:line="360" w:lineRule="auto"/>
        <w:jc w:val="left"/>
        <w:rPr>
          <w:rFonts w:hAnsi="宋体" w:cs="宋体"/>
          <w:color w:val="auto"/>
          <w:szCs w:val="21"/>
          <w:u w:val="single"/>
        </w:rPr>
      </w:pPr>
      <w:r>
        <w:rPr>
          <w:rFonts w:hint="eastAsia" w:hAnsi="宋体" w:cs="宋体"/>
          <w:color w:val="auto"/>
          <w:szCs w:val="21"/>
        </w:rPr>
        <w:t>法定代表人（电子签名或电子签章）：</w:t>
      </w:r>
      <w:r>
        <w:rPr>
          <w:rFonts w:hint="eastAsia" w:hAnsi="宋体" w:cs="宋体"/>
          <w:color w:val="auto"/>
          <w:szCs w:val="21"/>
          <w:u w:val="single"/>
        </w:rPr>
        <w:t xml:space="preserve">  </w:t>
      </w:r>
    </w:p>
    <w:p w14:paraId="4A4EC9B6">
      <w:pPr>
        <w:pStyle w:val="20"/>
        <w:spacing w:line="360" w:lineRule="auto"/>
        <w:jc w:val="left"/>
        <w:rPr>
          <w:rFonts w:hAnsi="宋体" w:cs="宋体"/>
          <w:color w:val="auto"/>
          <w:szCs w:val="21"/>
          <w:u w:val="single"/>
        </w:rPr>
      </w:pPr>
    </w:p>
    <w:p w14:paraId="73FD126A">
      <w:pPr>
        <w:pStyle w:val="20"/>
        <w:spacing w:line="360" w:lineRule="auto"/>
        <w:rPr>
          <w:rFonts w:hAnsi="宋体" w:cs="宋体"/>
          <w:color w:val="auto"/>
          <w:szCs w:val="21"/>
        </w:rPr>
      </w:pPr>
      <w:r>
        <w:rPr>
          <w:rFonts w:hint="eastAsia" w:hAnsi="宋体" w:cs="宋体"/>
          <w:color w:val="auto"/>
          <w:szCs w:val="21"/>
        </w:rPr>
        <w:t>日期</w:t>
      </w:r>
    </w:p>
    <w:p w14:paraId="5ADC203B">
      <w:pPr>
        <w:spacing w:line="360" w:lineRule="auto"/>
        <w:ind w:firstLine="2" w:firstLineChars="1"/>
        <w:rPr>
          <w:rFonts w:ascii="宋体" w:hAnsi="宋体" w:cs="宋体"/>
          <w:color w:val="auto"/>
          <w:szCs w:val="21"/>
        </w:rPr>
      </w:pPr>
    </w:p>
    <w:p w14:paraId="1CFA45FE">
      <w:pPr>
        <w:spacing w:line="360" w:lineRule="auto"/>
        <w:jc w:val="left"/>
        <w:rPr>
          <w:rFonts w:ascii="宋体" w:hAnsi="宋体" w:cs="宋体"/>
          <w:color w:val="auto"/>
          <w:szCs w:val="21"/>
        </w:rPr>
      </w:pPr>
      <w:r>
        <w:rPr>
          <w:rFonts w:hint="eastAsia" w:ascii="宋体" w:hAnsi="宋体" w:cs="宋体"/>
          <w:color w:val="auto"/>
          <w:szCs w:val="21"/>
        </w:rPr>
        <w:t>注：</w:t>
      </w:r>
    </w:p>
    <w:p w14:paraId="472DC351">
      <w:pPr>
        <w:spacing w:line="360" w:lineRule="auto"/>
        <w:jc w:val="left"/>
        <w:rPr>
          <w:rFonts w:ascii="宋体" w:hAnsi="宋体" w:cs="宋体"/>
          <w:color w:val="auto"/>
          <w:szCs w:val="21"/>
        </w:rPr>
      </w:pPr>
      <w:r>
        <w:rPr>
          <w:rFonts w:hint="eastAsia" w:ascii="宋体" w:hAnsi="宋体" w:cs="宋体"/>
          <w:color w:val="auto"/>
          <w:szCs w:val="21"/>
        </w:rPr>
        <w:t>1.投标人应对是否满足“具有独立承担民事责任的能力；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中华人民共和国政府采购法》第二十二条规定）进行说明和承诺；</w:t>
      </w:r>
    </w:p>
    <w:p w14:paraId="680D9EC6">
      <w:pPr>
        <w:spacing w:line="360" w:lineRule="auto"/>
        <w:jc w:val="left"/>
        <w:rPr>
          <w:rFonts w:ascii="宋体" w:hAnsi="宋体" w:cs="宋体"/>
          <w:color w:val="auto"/>
          <w:szCs w:val="21"/>
        </w:rPr>
      </w:pPr>
      <w:r>
        <w:rPr>
          <w:rFonts w:hint="eastAsia" w:ascii="宋体" w:hAnsi="宋体" w:cs="宋体"/>
          <w:color w:val="auto"/>
          <w:szCs w:val="21"/>
        </w:rPr>
        <w:t>2.若招标文件中明确要求提供证明资料的，以证明资料为准。</w:t>
      </w:r>
    </w:p>
    <w:p w14:paraId="6AD44EBE">
      <w:pPr>
        <w:rPr>
          <w:rFonts w:ascii="宋体" w:hAnsi="宋体" w:cs="宋体"/>
          <w:b/>
          <w:color w:val="auto"/>
          <w:sz w:val="28"/>
          <w:szCs w:val="28"/>
        </w:rPr>
      </w:pPr>
      <w:r>
        <w:rPr>
          <w:rFonts w:hint="eastAsia" w:ascii="宋体" w:hAnsi="宋体" w:cs="宋体"/>
          <w:b/>
          <w:color w:val="auto"/>
          <w:sz w:val="28"/>
          <w:szCs w:val="28"/>
        </w:rPr>
        <w:br w:type="page"/>
      </w:r>
    </w:p>
    <w:p w14:paraId="1C1D5092">
      <w:pPr>
        <w:widowControl/>
        <w:spacing w:line="360" w:lineRule="auto"/>
        <w:jc w:val="left"/>
        <w:rPr>
          <w:rFonts w:ascii="宋体" w:hAnsi="宋体" w:cs="宋体"/>
          <w:b/>
          <w:color w:val="auto"/>
          <w:spacing w:val="40"/>
          <w:sz w:val="28"/>
          <w:szCs w:val="28"/>
        </w:rPr>
      </w:pPr>
      <w:bookmarkStart w:id="442" w:name="_Toc30859"/>
      <w:bookmarkStart w:id="443" w:name="_Toc11622"/>
      <w:r>
        <w:rPr>
          <w:rFonts w:hint="eastAsia" w:ascii="宋体" w:hAnsi="宋体" w:cs="宋体"/>
          <w:b/>
          <w:color w:val="auto"/>
          <w:sz w:val="28"/>
          <w:szCs w:val="28"/>
        </w:rPr>
        <w:t>格式12</w:t>
      </w:r>
    </w:p>
    <w:bookmarkEnd w:id="442"/>
    <w:p w14:paraId="701FBE47">
      <w:pPr>
        <w:autoSpaceDE w:val="0"/>
        <w:autoSpaceDN w:val="0"/>
        <w:adjustRightInd w:val="0"/>
        <w:spacing w:line="360" w:lineRule="auto"/>
        <w:jc w:val="center"/>
        <w:rPr>
          <w:rFonts w:ascii="宋体" w:hAnsi="宋体" w:cs="宋体"/>
          <w:b/>
          <w:bCs/>
          <w:color w:val="auto"/>
          <w:sz w:val="36"/>
          <w:szCs w:val="36"/>
        </w:rPr>
      </w:pPr>
      <w:bookmarkStart w:id="444" w:name="_Toc419059324"/>
      <w:r>
        <w:rPr>
          <w:rFonts w:hint="eastAsia" w:ascii="宋体" w:hAnsi="宋体" w:cs="宋体"/>
          <w:b/>
          <w:bCs/>
          <w:color w:val="auto"/>
          <w:sz w:val="36"/>
          <w:szCs w:val="36"/>
        </w:rPr>
        <w:t>中小企业声明函（货物）</w:t>
      </w:r>
    </w:p>
    <w:p w14:paraId="550E6EDB">
      <w:pPr>
        <w:widowControl/>
        <w:spacing w:line="360" w:lineRule="auto"/>
        <w:jc w:val="center"/>
        <w:rPr>
          <w:color w:val="auto"/>
        </w:rPr>
      </w:pPr>
      <w:r>
        <w:rPr>
          <w:rFonts w:hint="eastAsia" w:ascii="宋体" w:hAnsi="宋体" w:cs="宋体"/>
          <w:b/>
          <w:bCs/>
          <w:color w:val="auto"/>
          <w:kern w:val="0"/>
          <w:szCs w:val="21"/>
        </w:rPr>
        <w:t>（此格式可不填写或删除）</w:t>
      </w:r>
    </w:p>
    <w:p w14:paraId="70AF6D53">
      <w:pPr>
        <w:autoSpaceDE w:val="0"/>
        <w:autoSpaceDN w:val="0"/>
        <w:adjustRightInd w:val="0"/>
        <w:spacing w:line="480" w:lineRule="exact"/>
        <w:ind w:firstLine="420" w:firstLineChars="200"/>
        <w:jc w:val="left"/>
        <w:rPr>
          <w:rFonts w:ascii="宋体" w:hAnsi="宋体" w:cs="宋体"/>
          <w:color w:val="auto"/>
          <w:szCs w:val="21"/>
        </w:rPr>
      </w:pPr>
      <w:r>
        <w:rPr>
          <w:rFonts w:hint="eastAsia" w:ascii="宋体" w:hAnsi="宋体" w:cs="宋体"/>
          <w:color w:val="auto"/>
          <w:szCs w:val="21"/>
        </w:rPr>
        <w:t>本公司郑重声明，根据《政府采购促进中小企业发展管理办法》（财库﹝2020﹞46 号）的规定，本公司参加</w:t>
      </w:r>
      <w:r>
        <w:rPr>
          <w:rFonts w:hint="eastAsia" w:ascii="宋体" w:hAnsi="宋体" w:cs="宋体"/>
          <w:i/>
          <w:iCs/>
          <w:color w:val="auto"/>
          <w:szCs w:val="21"/>
          <w:u w:val="single"/>
        </w:rPr>
        <w:t>（单位名称）</w:t>
      </w:r>
      <w:r>
        <w:rPr>
          <w:rFonts w:hint="eastAsia" w:ascii="宋体" w:hAnsi="宋体" w:cs="宋体"/>
          <w:color w:val="auto"/>
          <w:szCs w:val="21"/>
        </w:rPr>
        <w:t>的</w:t>
      </w:r>
      <w:r>
        <w:rPr>
          <w:rFonts w:hint="eastAsia" w:ascii="宋体" w:hAnsi="宋体" w:cs="宋体"/>
          <w:i/>
          <w:iCs/>
          <w:color w:val="auto"/>
          <w:szCs w:val="21"/>
          <w:u w:val="single"/>
        </w:rPr>
        <w:t>（项目名称）</w:t>
      </w:r>
      <w:r>
        <w:rPr>
          <w:rFonts w:hint="eastAsia" w:ascii="宋体" w:hAnsi="宋体" w:cs="宋体"/>
          <w:color w:val="auto"/>
          <w:szCs w:val="21"/>
        </w:rPr>
        <w:t>采购活动，提供的货物全部由符合政策要求的中小企业制造。相关企业的具体情况如下：</w:t>
      </w:r>
    </w:p>
    <w:p w14:paraId="226D5EBB">
      <w:pPr>
        <w:autoSpaceDE w:val="0"/>
        <w:autoSpaceDN w:val="0"/>
        <w:adjustRightInd w:val="0"/>
        <w:spacing w:line="480" w:lineRule="exact"/>
        <w:ind w:firstLine="371" w:firstLineChars="177"/>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w:t>
      </w:r>
      <w:r>
        <w:rPr>
          <w:rFonts w:hint="eastAsia" w:ascii="宋体" w:hAnsi="宋体" w:cs="宋体"/>
          <w:i/>
          <w:iCs/>
          <w:color w:val="auto"/>
          <w:szCs w:val="21"/>
          <w:u w:val="single"/>
        </w:rPr>
        <w:t xml:space="preserve">（标的名称） </w:t>
      </w:r>
      <w:r>
        <w:rPr>
          <w:rFonts w:hint="eastAsia" w:ascii="宋体" w:hAnsi="宋体" w:cs="宋体"/>
          <w:color w:val="auto"/>
          <w:szCs w:val="21"/>
        </w:rPr>
        <w:t>，属于</w:t>
      </w:r>
      <w:r>
        <w:rPr>
          <w:rFonts w:hint="eastAsia" w:ascii="宋体" w:hAnsi="宋体" w:cs="宋体"/>
          <w:i/>
          <w:iCs/>
          <w:color w:val="auto"/>
          <w:szCs w:val="21"/>
          <w:u w:val="single"/>
        </w:rPr>
        <w:t>（采购文件中明确的所属行业）</w:t>
      </w:r>
      <w:r>
        <w:rPr>
          <w:rFonts w:hint="eastAsia" w:ascii="宋体" w:hAnsi="宋体" w:cs="宋体"/>
          <w:color w:val="auto"/>
          <w:szCs w:val="21"/>
          <w:u w:val="single"/>
        </w:rPr>
        <w:t>行业</w:t>
      </w:r>
      <w:r>
        <w:rPr>
          <w:rFonts w:hint="eastAsia" w:ascii="宋体" w:hAnsi="宋体" w:cs="宋体"/>
          <w:color w:val="auto"/>
          <w:szCs w:val="21"/>
        </w:rPr>
        <w:t>；制造商为</w:t>
      </w:r>
      <w:r>
        <w:rPr>
          <w:rFonts w:hint="eastAsia" w:ascii="宋体" w:hAnsi="宋体" w:cs="宋体"/>
          <w:i/>
          <w:iCs/>
          <w:color w:val="auto"/>
          <w:szCs w:val="21"/>
          <w:u w:val="single"/>
        </w:rPr>
        <w:t>（企业名称）</w:t>
      </w:r>
      <w:r>
        <w:rPr>
          <w:rFonts w:hint="eastAsia" w:ascii="宋体" w:hAnsi="宋体" w:cs="宋体"/>
          <w:color w:val="auto"/>
          <w:szCs w:val="21"/>
        </w:rPr>
        <w:t>，从业人员</w:t>
      </w:r>
      <w:r>
        <w:rPr>
          <w:rFonts w:hint="eastAsia" w:ascii="宋体" w:hAnsi="宋体" w:cs="宋体"/>
          <w:color w:val="auto"/>
          <w:szCs w:val="21"/>
          <w:u w:val="single"/>
        </w:rPr>
        <w:t xml:space="preserve">    </w:t>
      </w:r>
      <w:r>
        <w:rPr>
          <w:rFonts w:hint="eastAsia" w:ascii="宋体" w:hAnsi="宋体" w:cs="宋体"/>
          <w:color w:val="auto"/>
          <w:szCs w:val="21"/>
        </w:rPr>
        <w:t>人，营业收入为</w:t>
      </w:r>
      <w:r>
        <w:rPr>
          <w:rFonts w:hint="eastAsia" w:ascii="宋体" w:hAnsi="宋体" w:cs="宋体"/>
          <w:color w:val="auto"/>
          <w:szCs w:val="21"/>
          <w:u w:val="single"/>
        </w:rPr>
        <w:t xml:space="preserve">     </w:t>
      </w:r>
      <w:r>
        <w:rPr>
          <w:rFonts w:hint="eastAsia" w:ascii="宋体" w:hAnsi="宋体" w:cs="宋体"/>
          <w:color w:val="auto"/>
          <w:szCs w:val="21"/>
        </w:rPr>
        <w:t>万元，资产总额为</w:t>
      </w:r>
      <w:r>
        <w:rPr>
          <w:rFonts w:hint="eastAsia" w:ascii="宋体" w:hAnsi="宋体" w:cs="宋体"/>
          <w:color w:val="auto"/>
          <w:szCs w:val="21"/>
          <w:u w:val="single"/>
        </w:rPr>
        <w:t xml:space="preserve">      </w:t>
      </w:r>
      <w:r>
        <w:rPr>
          <w:rFonts w:hint="eastAsia" w:ascii="宋体" w:hAnsi="宋体" w:cs="宋体"/>
          <w:color w:val="auto"/>
          <w:szCs w:val="21"/>
        </w:rPr>
        <w:t>万元</w:t>
      </w:r>
      <w:r>
        <w:rPr>
          <w:rFonts w:hint="eastAsia" w:ascii="宋体" w:hAnsi="宋体" w:cs="宋体"/>
          <w:color w:val="auto"/>
          <w:szCs w:val="21"/>
          <w:vertAlign w:val="superscript"/>
        </w:rPr>
        <w:t>1</w:t>
      </w:r>
      <w:r>
        <w:rPr>
          <w:rFonts w:hint="eastAsia" w:ascii="宋体" w:hAnsi="宋体" w:cs="宋体"/>
          <w:color w:val="auto"/>
          <w:szCs w:val="21"/>
        </w:rPr>
        <w:t>，属于</w:t>
      </w:r>
      <w:r>
        <w:rPr>
          <w:rFonts w:hint="eastAsia" w:ascii="宋体" w:hAnsi="宋体" w:cs="宋体"/>
          <w:i/>
          <w:iCs/>
          <w:color w:val="auto"/>
          <w:szCs w:val="21"/>
          <w:u w:val="single"/>
        </w:rPr>
        <w:t>（中型企业、小型企业、微型企业）</w:t>
      </w:r>
      <w:r>
        <w:rPr>
          <w:rFonts w:hint="eastAsia" w:ascii="宋体" w:hAnsi="宋体" w:cs="宋体"/>
          <w:color w:val="auto"/>
          <w:szCs w:val="21"/>
        </w:rPr>
        <w:t>；</w:t>
      </w:r>
    </w:p>
    <w:p w14:paraId="586F50C1">
      <w:pPr>
        <w:autoSpaceDE w:val="0"/>
        <w:autoSpaceDN w:val="0"/>
        <w:adjustRightInd w:val="0"/>
        <w:spacing w:line="480" w:lineRule="exact"/>
        <w:ind w:firstLine="371" w:firstLineChars="177"/>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 xml:space="preserve"> </w:t>
      </w:r>
      <w:r>
        <w:rPr>
          <w:rFonts w:hint="eastAsia" w:ascii="宋体" w:hAnsi="宋体" w:cs="宋体"/>
          <w:i/>
          <w:iCs/>
          <w:color w:val="auto"/>
          <w:szCs w:val="21"/>
          <w:u w:val="single"/>
        </w:rPr>
        <w:t xml:space="preserve">（标的名称） </w:t>
      </w:r>
      <w:r>
        <w:rPr>
          <w:rFonts w:hint="eastAsia" w:ascii="宋体" w:hAnsi="宋体" w:cs="宋体"/>
          <w:color w:val="auto"/>
          <w:szCs w:val="21"/>
        </w:rPr>
        <w:t>，属于</w:t>
      </w:r>
      <w:r>
        <w:rPr>
          <w:rFonts w:hint="eastAsia" w:ascii="宋体" w:hAnsi="宋体" w:cs="宋体"/>
          <w:i/>
          <w:iCs/>
          <w:color w:val="auto"/>
          <w:szCs w:val="21"/>
          <w:u w:val="single"/>
        </w:rPr>
        <w:t>（采购文件中明确的所属行业）</w:t>
      </w:r>
      <w:r>
        <w:rPr>
          <w:rFonts w:hint="eastAsia" w:ascii="宋体" w:hAnsi="宋体" w:cs="宋体"/>
          <w:color w:val="auto"/>
          <w:szCs w:val="21"/>
          <w:u w:val="single"/>
        </w:rPr>
        <w:t>行业</w:t>
      </w:r>
      <w:r>
        <w:rPr>
          <w:rFonts w:hint="eastAsia" w:ascii="宋体" w:hAnsi="宋体" w:cs="宋体"/>
          <w:color w:val="auto"/>
          <w:szCs w:val="21"/>
        </w:rPr>
        <w:t>；制造商为</w:t>
      </w:r>
      <w:r>
        <w:rPr>
          <w:rFonts w:hint="eastAsia" w:ascii="宋体" w:hAnsi="宋体" w:cs="宋体"/>
          <w:i/>
          <w:iCs/>
          <w:color w:val="auto"/>
          <w:szCs w:val="21"/>
          <w:u w:val="single"/>
        </w:rPr>
        <w:t>（企业名称）</w:t>
      </w:r>
      <w:r>
        <w:rPr>
          <w:rFonts w:hint="eastAsia" w:ascii="宋体" w:hAnsi="宋体" w:cs="宋体"/>
          <w:color w:val="auto"/>
          <w:szCs w:val="21"/>
        </w:rPr>
        <w:t>，从业人员</w:t>
      </w:r>
      <w:r>
        <w:rPr>
          <w:rFonts w:hint="eastAsia" w:ascii="宋体" w:hAnsi="宋体" w:cs="宋体"/>
          <w:color w:val="auto"/>
          <w:szCs w:val="21"/>
          <w:u w:val="single"/>
        </w:rPr>
        <w:t xml:space="preserve">    </w:t>
      </w:r>
      <w:r>
        <w:rPr>
          <w:rFonts w:hint="eastAsia" w:ascii="宋体" w:hAnsi="宋体" w:cs="宋体"/>
          <w:color w:val="auto"/>
          <w:szCs w:val="21"/>
        </w:rPr>
        <w:t>人，营业收入为</w:t>
      </w:r>
      <w:r>
        <w:rPr>
          <w:rFonts w:hint="eastAsia" w:ascii="宋体" w:hAnsi="宋体" w:cs="宋体"/>
          <w:color w:val="auto"/>
          <w:szCs w:val="21"/>
          <w:u w:val="single"/>
        </w:rPr>
        <w:t xml:space="preserve">     </w:t>
      </w:r>
      <w:r>
        <w:rPr>
          <w:rFonts w:hint="eastAsia" w:ascii="宋体" w:hAnsi="宋体" w:cs="宋体"/>
          <w:color w:val="auto"/>
          <w:szCs w:val="21"/>
        </w:rPr>
        <w:t>万元，资产总额为</w:t>
      </w:r>
      <w:r>
        <w:rPr>
          <w:rFonts w:hint="eastAsia" w:ascii="宋体" w:hAnsi="宋体" w:cs="宋体"/>
          <w:color w:val="auto"/>
          <w:szCs w:val="21"/>
          <w:u w:val="single"/>
        </w:rPr>
        <w:t xml:space="preserve">      </w:t>
      </w:r>
      <w:r>
        <w:rPr>
          <w:rFonts w:hint="eastAsia" w:ascii="宋体" w:hAnsi="宋体" w:cs="宋体"/>
          <w:color w:val="auto"/>
          <w:szCs w:val="21"/>
        </w:rPr>
        <w:t>万元</w:t>
      </w:r>
      <w:r>
        <w:rPr>
          <w:rFonts w:hint="eastAsia" w:ascii="宋体" w:hAnsi="宋体" w:cs="宋体"/>
          <w:color w:val="auto"/>
          <w:szCs w:val="21"/>
          <w:vertAlign w:val="superscript"/>
        </w:rPr>
        <w:t>1</w:t>
      </w:r>
      <w:r>
        <w:rPr>
          <w:rFonts w:hint="eastAsia" w:ascii="宋体" w:hAnsi="宋体" w:cs="宋体"/>
          <w:color w:val="auto"/>
          <w:szCs w:val="21"/>
        </w:rPr>
        <w:t>，属于</w:t>
      </w:r>
      <w:r>
        <w:rPr>
          <w:rFonts w:hint="eastAsia" w:ascii="宋体" w:hAnsi="宋体" w:cs="宋体"/>
          <w:i/>
          <w:iCs/>
          <w:color w:val="auto"/>
          <w:szCs w:val="21"/>
          <w:u w:val="single"/>
        </w:rPr>
        <w:t>（中型企业、小型企业、微型企业）</w:t>
      </w:r>
      <w:r>
        <w:rPr>
          <w:rFonts w:hint="eastAsia" w:ascii="宋体" w:hAnsi="宋体" w:cs="宋体"/>
          <w:color w:val="auto"/>
          <w:szCs w:val="21"/>
        </w:rPr>
        <w:t>；</w:t>
      </w:r>
    </w:p>
    <w:p w14:paraId="53448920">
      <w:pPr>
        <w:pStyle w:val="12"/>
        <w:tabs>
          <w:tab w:val="left" w:pos="750"/>
        </w:tabs>
        <w:spacing w:before="156"/>
        <w:rPr>
          <w:color w:val="auto"/>
        </w:rPr>
      </w:pPr>
      <w:r>
        <w:rPr>
          <w:rFonts w:hint="eastAsia"/>
          <w:color w:val="auto"/>
        </w:rPr>
        <w:t>......</w:t>
      </w:r>
    </w:p>
    <w:p w14:paraId="5AE7AAAA">
      <w:pPr>
        <w:autoSpaceDE w:val="0"/>
        <w:autoSpaceDN w:val="0"/>
        <w:adjustRightInd w:val="0"/>
        <w:spacing w:line="480" w:lineRule="exact"/>
        <w:ind w:firstLine="371" w:firstLineChars="177"/>
        <w:jc w:val="left"/>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14:paraId="37A355E3">
      <w:pPr>
        <w:autoSpaceDE w:val="0"/>
        <w:autoSpaceDN w:val="0"/>
        <w:adjustRightInd w:val="0"/>
        <w:spacing w:line="480" w:lineRule="exact"/>
        <w:ind w:firstLine="371" w:firstLineChars="177"/>
        <w:jc w:val="left"/>
        <w:rPr>
          <w:rFonts w:ascii="宋体" w:hAnsi="宋体" w:cs="宋体"/>
          <w:color w:val="auto"/>
          <w:szCs w:val="21"/>
        </w:rPr>
      </w:pPr>
      <w:r>
        <w:rPr>
          <w:rFonts w:hint="eastAsia" w:ascii="宋体" w:hAnsi="宋体" w:cs="宋体"/>
          <w:color w:val="auto"/>
          <w:szCs w:val="21"/>
        </w:rPr>
        <w:t>本企业对上述声明内容的真实性负责。如有虚假，将依法承担相应责任。</w:t>
      </w:r>
    </w:p>
    <w:p w14:paraId="2FEB4806">
      <w:pPr>
        <w:autoSpaceDE w:val="0"/>
        <w:autoSpaceDN w:val="0"/>
        <w:adjustRightInd w:val="0"/>
        <w:spacing w:line="480" w:lineRule="exact"/>
        <w:ind w:firstLine="4836" w:firstLineChars="2303"/>
        <w:jc w:val="left"/>
        <w:rPr>
          <w:rFonts w:ascii="宋体" w:hAnsi="宋体" w:cs="宋体"/>
          <w:color w:val="auto"/>
          <w:szCs w:val="21"/>
        </w:rPr>
      </w:pPr>
      <w:r>
        <w:rPr>
          <w:rFonts w:hint="eastAsia" w:ascii="宋体" w:hAnsi="宋体" w:cs="宋体"/>
          <w:color w:val="auto"/>
          <w:szCs w:val="21"/>
        </w:rPr>
        <w:t>企业名称（电子盖章）：</w:t>
      </w:r>
    </w:p>
    <w:p w14:paraId="7D0564EA">
      <w:pPr>
        <w:autoSpaceDE w:val="0"/>
        <w:autoSpaceDN w:val="0"/>
        <w:adjustRightInd w:val="0"/>
        <w:spacing w:line="480" w:lineRule="exact"/>
        <w:ind w:firstLine="4836" w:firstLineChars="2303"/>
        <w:jc w:val="left"/>
        <w:rPr>
          <w:rFonts w:ascii="宋体" w:hAnsi="宋体" w:cs="宋体"/>
          <w:color w:val="auto"/>
          <w:szCs w:val="21"/>
        </w:rPr>
      </w:pPr>
      <w:r>
        <w:rPr>
          <w:rFonts w:hint="eastAsia" w:ascii="宋体" w:hAnsi="宋体" w:cs="宋体"/>
          <w:color w:val="auto"/>
          <w:szCs w:val="21"/>
        </w:rPr>
        <w:t>日期：</w:t>
      </w:r>
    </w:p>
    <w:p w14:paraId="3F6CDBA6">
      <w:pPr>
        <w:widowControl/>
        <w:spacing w:line="360" w:lineRule="auto"/>
        <w:jc w:val="left"/>
        <w:rPr>
          <w:rFonts w:ascii="宋体" w:hAnsi="宋体" w:cs="宋体"/>
          <w:bCs/>
          <w:snapToGrid w:val="0"/>
          <w:color w:val="auto"/>
          <w:kern w:val="0"/>
          <w:szCs w:val="21"/>
          <w:vertAlign w:val="superscript"/>
        </w:rPr>
      </w:pPr>
    </w:p>
    <w:p w14:paraId="356DB265">
      <w:pPr>
        <w:pStyle w:val="37"/>
        <w:wordWrap w:val="0"/>
        <w:adjustRightInd w:val="0"/>
        <w:snapToGrid w:val="0"/>
        <w:spacing w:before="0" w:beforeAutospacing="0" w:after="0" w:afterAutospacing="0" w:line="360" w:lineRule="auto"/>
        <w:rPr>
          <w:rFonts w:cs="宋体"/>
          <w:b/>
          <w:color w:val="auto"/>
          <w:sz w:val="21"/>
          <w:szCs w:val="21"/>
        </w:rPr>
      </w:pPr>
      <w:r>
        <w:rPr>
          <w:rFonts w:hint="eastAsia" w:cs="宋体"/>
          <w:b/>
          <w:color w:val="auto"/>
          <w:sz w:val="21"/>
          <w:szCs w:val="21"/>
        </w:rPr>
        <w:t>注：</w:t>
      </w:r>
    </w:p>
    <w:p w14:paraId="27CE7150">
      <w:pPr>
        <w:pStyle w:val="37"/>
        <w:wordWrap w:val="0"/>
        <w:adjustRightInd w:val="0"/>
        <w:snapToGrid w:val="0"/>
        <w:spacing w:before="0" w:beforeAutospacing="0" w:after="0" w:afterAutospacing="0" w:line="360" w:lineRule="auto"/>
        <w:rPr>
          <w:rFonts w:cs="宋体"/>
          <w:b/>
          <w:color w:val="auto"/>
          <w:sz w:val="21"/>
          <w:szCs w:val="21"/>
        </w:rPr>
      </w:pPr>
      <w:r>
        <w:rPr>
          <w:rFonts w:hint="eastAsia" w:cs="宋体"/>
          <w:b/>
          <w:color w:val="auto"/>
          <w:sz w:val="21"/>
          <w:szCs w:val="21"/>
        </w:rPr>
        <w:t>1.符合《政府采购促进中小企业发展管理办法》（财库[2020]46号）规定的投标人需提供《中小企业声明函》。</w:t>
      </w:r>
    </w:p>
    <w:p w14:paraId="3D284684">
      <w:pPr>
        <w:pStyle w:val="37"/>
        <w:wordWrap w:val="0"/>
        <w:adjustRightInd w:val="0"/>
        <w:snapToGrid w:val="0"/>
        <w:spacing w:before="0" w:beforeAutospacing="0" w:after="0" w:afterAutospacing="0" w:line="360" w:lineRule="auto"/>
        <w:rPr>
          <w:rFonts w:cs="宋体"/>
          <w:b/>
          <w:color w:val="auto"/>
          <w:sz w:val="21"/>
          <w:szCs w:val="21"/>
        </w:rPr>
      </w:pPr>
      <w:r>
        <w:rPr>
          <w:rFonts w:hint="eastAsia" w:cs="宋体"/>
          <w:b/>
          <w:color w:val="auto"/>
          <w:sz w:val="21"/>
          <w:szCs w:val="21"/>
        </w:rPr>
        <w:t>2.从业人员、营业收入、资产总额填报上一年度数据，无上一年度数据的新成立企业可不填报。</w:t>
      </w:r>
    </w:p>
    <w:p w14:paraId="5B993CC0">
      <w:pPr>
        <w:pStyle w:val="37"/>
        <w:wordWrap w:val="0"/>
        <w:adjustRightInd w:val="0"/>
        <w:snapToGrid w:val="0"/>
        <w:spacing w:before="0" w:beforeAutospacing="0" w:after="0" w:afterAutospacing="0" w:line="360" w:lineRule="auto"/>
        <w:rPr>
          <w:rFonts w:cs="宋体"/>
          <w:b/>
          <w:color w:val="auto"/>
          <w:sz w:val="21"/>
          <w:szCs w:val="21"/>
        </w:rPr>
      </w:pPr>
      <w:r>
        <w:rPr>
          <w:rFonts w:hint="eastAsia" w:cs="宋体"/>
          <w:b/>
          <w:color w:val="auto"/>
          <w:sz w:val="21"/>
          <w:szCs w:val="21"/>
        </w:rPr>
        <w:t>3.不享受中小企业优先采购政策的投标人不需填写《中小企业声明函》。</w:t>
      </w:r>
    </w:p>
    <w:p w14:paraId="6B3C4249">
      <w:pPr>
        <w:pStyle w:val="37"/>
        <w:wordWrap w:val="0"/>
        <w:adjustRightInd w:val="0"/>
        <w:snapToGrid w:val="0"/>
        <w:spacing w:before="0" w:beforeAutospacing="0" w:after="0" w:afterAutospacing="0" w:line="360" w:lineRule="auto"/>
        <w:rPr>
          <w:rFonts w:cs="宋体"/>
          <w:b/>
          <w:color w:val="auto"/>
          <w:sz w:val="21"/>
          <w:szCs w:val="21"/>
        </w:rPr>
      </w:pPr>
      <w:r>
        <w:rPr>
          <w:rFonts w:hint="eastAsia" w:cs="宋体"/>
          <w:b/>
          <w:color w:val="auto"/>
          <w:sz w:val="21"/>
          <w:szCs w:val="21"/>
        </w:rPr>
        <w:t>4.从业人员、营业收入、资产总额填报上一年度数据，无上一年度数据的新成立企业可不填报。</w:t>
      </w:r>
    </w:p>
    <w:p w14:paraId="4160E0EF">
      <w:pPr>
        <w:pStyle w:val="37"/>
        <w:wordWrap w:val="0"/>
        <w:adjustRightInd w:val="0"/>
        <w:snapToGrid w:val="0"/>
        <w:spacing w:before="0" w:beforeAutospacing="0" w:after="0" w:afterAutospacing="0" w:line="360" w:lineRule="auto"/>
        <w:rPr>
          <w:rFonts w:cs="宋体"/>
          <w:b/>
          <w:color w:val="auto"/>
          <w:sz w:val="21"/>
          <w:szCs w:val="21"/>
        </w:rPr>
      </w:pPr>
      <w:r>
        <w:rPr>
          <w:rFonts w:hint="eastAsia" w:cs="宋体"/>
          <w:b/>
          <w:color w:val="auto"/>
          <w:sz w:val="21"/>
          <w:szCs w:val="21"/>
        </w:rPr>
        <w:t>5.“标的名称”、“所属行业”详见附件，若填写内容不符，中小企业声明函不予认可。</w:t>
      </w:r>
    </w:p>
    <w:p w14:paraId="1D408AF6">
      <w:pPr>
        <w:spacing w:line="360" w:lineRule="auto"/>
        <w:rPr>
          <w:rFonts w:ascii="宋体" w:hAnsi="宋体" w:cs="宋体"/>
          <w:b/>
          <w:color w:val="auto"/>
          <w:szCs w:val="21"/>
        </w:rPr>
      </w:pPr>
    </w:p>
    <w:p w14:paraId="3015347D">
      <w:pPr>
        <w:pStyle w:val="37"/>
        <w:wordWrap w:val="0"/>
        <w:adjustRightInd w:val="0"/>
        <w:snapToGrid w:val="0"/>
        <w:spacing w:before="0" w:beforeAutospacing="0" w:after="0" w:afterAutospacing="0" w:line="360" w:lineRule="auto"/>
        <w:rPr>
          <w:rFonts w:cs="宋体"/>
          <w:b/>
          <w:color w:val="auto"/>
          <w:sz w:val="21"/>
          <w:szCs w:val="21"/>
        </w:rPr>
      </w:pPr>
      <w:r>
        <w:rPr>
          <w:rFonts w:hint="eastAsia" w:cs="宋体"/>
          <w:b/>
          <w:color w:val="auto"/>
          <w:sz w:val="21"/>
          <w:szCs w:val="21"/>
        </w:rPr>
        <w:t>附件：</w:t>
      </w:r>
    </w:p>
    <w:p w14:paraId="089C0921">
      <w:pPr>
        <w:adjustRightInd w:val="0"/>
        <w:snapToGrid w:val="0"/>
        <w:spacing w:line="360" w:lineRule="auto"/>
        <w:rPr>
          <w:rFonts w:cs="宋体"/>
          <w:bCs/>
          <w:color w:val="auto"/>
          <w:szCs w:val="21"/>
        </w:rPr>
      </w:pPr>
      <w:r>
        <w:rPr>
          <w:rFonts w:hint="eastAsia" w:cs="宋体"/>
          <w:bCs/>
          <w:color w:val="auto"/>
          <w:szCs w:val="21"/>
        </w:rPr>
        <w:t>（1）根据《关于印发《政府采购促进中小企业发展管理办法》的通知》（财库〔2020〕46号）的规定，本项目针对小微企业报价给予10%的扣除，用扣除后的价格参与评审。符合条件的投标人应根据下表中所明确的“标的名称”、“所属行业”进行填写，若填写内容不符，中小企业声明函不予认可。</w:t>
      </w:r>
    </w:p>
    <w:tbl>
      <w:tblPr>
        <w:tblStyle w:val="42"/>
        <w:tblW w:w="6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48"/>
        <w:gridCol w:w="2552"/>
      </w:tblGrid>
      <w:tr w14:paraId="796E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D7D7D7" w:themeFill="background1" w:themeFillShade="D8"/>
            <w:vAlign w:val="center"/>
          </w:tcPr>
          <w:p w14:paraId="442367BF">
            <w:pPr>
              <w:adjustRightInd w:val="0"/>
              <w:snapToGrid w:val="0"/>
              <w:spacing w:line="360" w:lineRule="auto"/>
              <w:jc w:val="center"/>
              <w:textAlignment w:val="center"/>
              <w:rPr>
                <w:rFonts w:ascii="宋体" w:hAnsi="宋体" w:cs="宋体"/>
                <w:b/>
                <w:color w:val="auto"/>
                <w:szCs w:val="21"/>
              </w:rPr>
            </w:pPr>
            <w:r>
              <w:rPr>
                <w:rFonts w:hint="eastAsia" w:ascii="宋体" w:hAnsi="宋体" w:cs="宋体"/>
                <w:b/>
                <w:color w:val="auto"/>
                <w:szCs w:val="21"/>
              </w:rPr>
              <w:t>序号</w:t>
            </w:r>
          </w:p>
        </w:tc>
        <w:tc>
          <w:tcPr>
            <w:tcW w:w="3448" w:type="dxa"/>
            <w:shd w:val="clear" w:color="auto" w:fill="D7D7D7" w:themeFill="background1" w:themeFillShade="D8"/>
            <w:vAlign w:val="center"/>
          </w:tcPr>
          <w:p w14:paraId="4146BBEB">
            <w:pPr>
              <w:adjustRightInd w:val="0"/>
              <w:snapToGrid w:val="0"/>
              <w:spacing w:line="360" w:lineRule="auto"/>
              <w:jc w:val="center"/>
              <w:textAlignment w:val="center"/>
              <w:rPr>
                <w:rFonts w:ascii="宋体" w:hAnsi="宋体" w:cs="宋体"/>
                <w:b/>
                <w:color w:val="auto"/>
                <w:szCs w:val="21"/>
              </w:rPr>
            </w:pPr>
            <w:r>
              <w:rPr>
                <w:rFonts w:hint="eastAsia" w:ascii="宋体" w:hAnsi="宋体" w:cs="宋体"/>
                <w:b/>
                <w:color w:val="auto"/>
                <w:szCs w:val="21"/>
              </w:rPr>
              <w:t>标的名称</w:t>
            </w:r>
          </w:p>
        </w:tc>
        <w:tc>
          <w:tcPr>
            <w:tcW w:w="2552" w:type="dxa"/>
            <w:shd w:val="clear" w:color="auto" w:fill="D7D7D7" w:themeFill="background1" w:themeFillShade="D8"/>
            <w:vAlign w:val="center"/>
          </w:tcPr>
          <w:p w14:paraId="73621D1E">
            <w:pPr>
              <w:adjustRightInd w:val="0"/>
              <w:snapToGrid w:val="0"/>
              <w:spacing w:line="360" w:lineRule="auto"/>
              <w:jc w:val="center"/>
              <w:textAlignment w:val="center"/>
              <w:rPr>
                <w:rFonts w:ascii="宋体" w:hAnsi="宋体" w:cs="宋体"/>
                <w:b/>
                <w:color w:val="auto"/>
                <w:szCs w:val="21"/>
              </w:rPr>
            </w:pPr>
            <w:r>
              <w:rPr>
                <w:rFonts w:hint="eastAsia" w:ascii="宋体" w:hAnsi="宋体" w:cs="宋体"/>
                <w:b/>
                <w:color w:val="auto"/>
                <w:szCs w:val="21"/>
              </w:rPr>
              <w:t>所属行业</w:t>
            </w:r>
          </w:p>
        </w:tc>
      </w:tr>
      <w:tr w14:paraId="36AF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19B56078">
            <w:pPr>
              <w:widowControl/>
              <w:jc w:val="center"/>
              <w:textAlignment w:val="center"/>
              <w:rPr>
                <w:rFonts w:ascii="宋体" w:hAnsi="宋体" w:cs="宋体"/>
                <w:color w:val="auto"/>
                <w:kern w:val="0"/>
                <w:szCs w:val="21"/>
              </w:rPr>
            </w:pPr>
            <w:r>
              <w:rPr>
                <w:rFonts w:hint="eastAsia" w:ascii="宋体" w:hAnsi="宋体" w:cs="宋体"/>
                <w:color w:val="auto"/>
                <w:kern w:val="0"/>
                <w:szCs w:val="21"/>
              </w:rPr>
              <w:t>1</w:t>
            </w:r>
          </w:p>
        </w:tc>
        <w:tc>
          <w:tcPr>
            <w:tcW w:w="3448" w:type="dxa"/>
            <w:shd w:val="clear" w:color="auto" w:fill="auto"/>
            <w:vAlign w:val="center"/>
          </w:tcPr>
          <w:p w14:paraId="07021A3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孪生教研教学空间系统</w:t>
            </w:r>
          </w:p>
        </w:tc>
        <w:tc>
          <w:tcPr>
            <w:tcW w:w="2552" w:type="dxa"/>
            <w:vAlign w:val="center"/>
          </w:tcPr>
          <w:p w14:paraId="336DA166">
            <w:pPr>
              <w:widowControl/>
              <w:adjustRightInd w:val="0"/>
              <w:snapToGrid w:val="0"/>
              <w:spacing w:line="360" w:lineRule="auto"/>
              <w:jc w:val="center"/>
              <w:textAlignment w:val="center"/>
              <w:rPr>
                <w:rFonts w:ascii="宋体" w:hAnsi="宋体" w:cs="宋体"/>
                <w:color w:val="auto"/>
                <w:kern w:val="0"/>
                <w:szCs w:val="21"/>
              </w:rPr>
            </w:pPr>
            <w:r>
              <w:rPr>
                <w:rFonts w:ascii="宋体" w:hAnsi="宋体" w:cs="宋体"/>
                <w:color w:val="auto"/>
                <w:szCs w:val="21"/>
              </w:rPr>
              <w:t>软件和信息技术服务业</w:t>
            </w:r>
          </w:p>
        </w:tc>
      </w:tr>
      <w:tr w14:paraId="6139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08B85613">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w:t>
            </w:r>
          </w:p>
        </w:tc>
        <w:tc>
          <w:tcPr>
            <w:tcW w:w="3448" w:type="dxa"/>
            <w:shd w:val="clear" w:color="auto" w:fill="auto"/>
            <w:vAlign w:val="center"/>
          </w:tcPr>
          <w:p w14:paraId="75B8A36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孪生教研接入系统</w:t>
            </w:r>
          </w:p>
        </w:tc>
        <w:tc>
          <w:tcPr>
            <w:tcW w:w="2552" w:type="dxa"/>
            <w:vAlign w:val="center"/>
          </w:tcPr>
          <w:p w14:paraId="0F30BA33">
            <w:pPr>
              <w:widowControl/>
              <w:adjustRightInd w:val="0"/>
              <w:snapToGrid w:val="0"/>
              <w:spacing w:line="360" w:lineRule="auto"/>
              <w:jc w:val="center"/>
              <w:textAlignment w:val="center"/>
              <w:rPr>
                <w:rFonts w:ascii="宋体" w:hAnsi="宋体" w:cs="宋体"/>
                <w:color w:val="auto"/>
                <w:kern w:val="0"/>
                <w:szCs w:val="21"/>
              </w:rPr>
            </w:pPr>
            <w:r>
              <w:rPr>
                <w:rFonts w:ascii="宋体" w:hAnsi="宋体" w:cs="宋体"/>
                <w:color w:val="auto"/>
                <w:szCs w:val="21"/>
              </w:rPr>
              <w:t>软件和信息技术服务业</w:t>
            </w:r>
          </w:p>
        </w:tc>
      </w:tr>
      <w:tr w14:paraId="3086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34A8222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w:t>
            </w:r>
          </w:p>
        </w:tc>
        <w:tc>
          <w:tcPr>
            <w:tcW w:w="3448" w:type="dxa"/>
            <w:shd w:val="clear" w:color="auto" w:fill="auto"/>
            <w:vAlign w:val="center"/>
          </w:tcPr>
          <w:p w14:paraId="04BB3E0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教研实训交互系统</w:t>
            </w:r>
          </w:p>
        </w:tc>
        <w:tc>
          <w:tcPr>
            <w:tcW w:w="2552" w:type="dxa"/>
            <w:vAlign w:val="center"/>
          </w:tcPr>
          <w:p w14:paraId="42500444">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7445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7C9A71B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4</w:t>
            </w:r>
          </w:p>
        </w:tc>
        <w:tc>
          <w:tcPr>
            <w:tcW w:w="3448" w:type="dxa"/>
            <w:shd w:val="clear" w:color="auto" w:fill="auto"/>
            <w:vAlign w:val="center"/>
          </w:tcPr>
          <w:p w14:paraId="6538524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教研智算分析系统模块</w:t>
            </w:r>
          </w:p>
        </w:tc>
        <w:tc>
          <w:tcPr>
            <w:tcW w:w="2552" w:type="dxa"/>
            <w:vAlign w:val="center"/>
          </w:tcPr>
          <w:p w14:paraId="50FA6C70">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280B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2BEFC5E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5</w:t>
            </w:r>
          </w:p>
        </w:tc>
        <w:tc>
          <w:tcPr>
            <w:tcW w:w="3448" w:type="dxa"/>
            <w:shd w:val="clear" w:color="auto" w:fill="auto"/>
            <w:vAlign w:val="center"/>
          </w:tcPr>
          <w:p w14:paraId="53BE5CF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数字化教学设备</w:t>
            </w:r>
          </w:p>
        </w:tc>
        <w:tc>
          <w:tcPr>
            <w:tcW w:w="2552" w:type="dxa"/>
            <w:vAlign w:val="center"/>
          </w:tcPr>
          <w:p w14:paraId="1EB88FAD">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3B39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185AADAF">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6</w:t>
            </w:r>
          </w:p>
        </w:tc>
        <w:tc>
          <w:tcPr>
            <w:tcW w:w="3448" w:type="dxa"/>
            <w:shd w:val="clear" w:color="auto" w:fill="auto"/>
            <w:vAlign w:val="center"/>
          </w:tcPr>
          <w:p w14:paraId="00D8F5C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云端智算系统模块</w:t>
            </w:r>
          </w:p>
        </w:tc>
        <w:tc>
          <w:tcPr>
            <w:tcW w:w="2552" w:type="dxa"/>
            <w:vAlign w:val="center"/>
          </w:tcPr>
          <w:p w14:paraId="6309AC85">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4425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2AB13D89">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7</w:t>
            </w:r>
          </w:p>
        </w:tc>
        <w:tc>
          <w:tcPr>
            <w:tcW w:w="3448" w:type="dxa"/>
            <w:shd w:val="clear" w:color="auto" w:fill="auto"/>
            <w:vAlign w:val="center"/>
          </w:tcPr>
          <w:p w14:paraId="4F53D23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桌面云软件</w:t>
            </w:r>
          </w:p>
        </w:tc>
        <w:tc>
          <w:tcPr>
            <w:tcW w:w="2552" w:type="dxa"/>
            <w:vAlign w:val="center"/>
          </w:tcPr>
          <w:p w14:paraId="3158ECEB">
            <w:pPr>
              <w:widowControl/>
              <w:adjustRightInd w:val="0"/>
              <w:snapToGrid w:val="0"/>
              <w:spacing w:line="360" w:lineRule="auto"/>
              <w:jc w:val="center"/>
              <w:textAlignment w:val="center"/>
              <w:rPr>
                <w:color w:val="auto"/>
              </w:rPr>
            </w:pPr>
            <w:r>
              <w:rPr>
                <w:rFonts w:ascii="宋体" w:hAnsi="宋体" w:cs="宋体"/>
                <w:color w:val="auto"/>
                <w:szCs w:val="21"/>
              </w:rPr>
              <w:t>软件和信息技术服务业</w:t>
            </w:r>
          </w:p>
        </w:tc>
      </w:tr>
      <w:tr w14:paraId="4EAA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54A6A5E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8</w:t>
            </w:r>
          </w:p>
        </w:tc>
        <w:tc>
          <w:tcPr>
            <w:tcW w:w="3448" w:type="dxa"/>
            <w:shd w:val="clear" w:color="auto" w:fill="auto"/>
            <w:vAlign w:val="center"/>
          </w:tcPr>
          <w:p w14:paraId="2A9721C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终端高可用容灾系统</w:t>
            </w:r>
          </w:p>
        </w:tc>
        <w:tc>
          <w:tcPr>
            <w:tcW w:w="2552" w:type="dxa"/>
            <w:vAlign w:val="center"/>
          </w:tcPr>
          <w:p w14:paraId="1F0C8C75">
            <w:pPr>
              <w:widowControl/>
              <w:adjustRightInd w:val="0"/>
              <w:snapToGrid w:val="0"/>
              <w:spacing w:line="360" w:lineRule="auto"/>
              <w:jc w:val="center"/>
              <w:textAlignment w:val="center"/>
              <w:rPr>
                <w:color w:val="auto"/>
              </w:rPr>
            </w:pPr>
            <w:r>
              <w:rPr>
                <w:rFonts w:ascii="宋体" w:hAnsi="宋体" w:cs="宋体"/>
                <w:color w:val="auto"/>
                <w:szCs w:val="21"/>
              </w:rPr>
              <w:t>软件和信息技术服务业</w:t>
            </w:r>
          </w:p>
        </w:tc>
      </w:tr>
      <w:tr w14:paraId="3153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2BF4FE3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9</w:t>
            </w:r>
          </w:p>
        </w:tc>
        <w:tc>
          <w:tcPr>
            <w:tcW w:w="3448" w:type="dxa"/>
            <w:shd w:val="clear" w:color="auto" w:fill="auto"/>
            <w:vAlign w:val="center"/>
          </w:tcPr>
          <w:p w14:paraId="57EF1D0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课堂教学互动管理系统</w:t>
            </w:r>
          </w:p>
        </w:tc>
        <w:tc>
          <w:tcPr>
            <w:tcW w:w="2552" w:type="dxa"/>
            <w:vAlign w:val="center"/>
          </w:tcPr>
          <w:p w14:paraId="4503C3A1">
            <w:pPr>
              <w:widowControl/>
              <w:adjustRightInd w:val="0"/>
              <w:snapToGrid w:val="0"/>
              <w:spacing w:line="360" w:lineRule="auto"/>
              <w:jc w:val="center"/>
              <w:textAlignment w:val="center"/>
              <w:rPr>
                <w:color w:val="auto"/>
              </w:rPr>
            </w:pPr>
            <w:r>
              <w:rPr>
                <w:rFonts w:ascii="宋体" w:hAnsi="宋体" w:cs="宋体"/>
                <w:color w:val="auto"/>
                <w:szCs w:val="21"/>
              </w:rPr>
              <w:t>软件和信息技术服务业</w:t>
            </w:r>
          </w:p>
        </w:tc>
      </w:tr>
      <w:tr w14:paraId="3556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3458697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10</w:t>
            </w:r>
          </w:p>
        </w:tc>
        <w:tc>
          <w:tcPr>
            <w:tcW w:w="3448" w:type="dxa"/>
            <w:shd w:val="clear" w:color="auto" w:fill="auto"/>
            <w:vAlign w:val="center"/>
          </w:tcPr>
          <w:p w14:paraId="3D20BCA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服务器硬盘</w:t>
            </w:r>
          </w:p>
        </w:tc>
        <w:tc>
          <w:tcPr>
            <w:tcW w:w="2552" w:type="dxa"/>
            <w:vAlign w:val="center"/>
          </w:tcPr>
          <w:p w14:paraId="11D38ECC">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5EF1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1418CDA5">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11</w:t>
            </w:r>
          </w:p>
        </w:tc>
        <w:tc>
          <w:tcPr>
            <w:tcW w:w="3448" w:type="dxa"/>
            <w:shd w:val="clear" w:color="auto" w:fill="auto"/>
            <w:vAlign w:val="center"/>
          </w:tcPr>
          <w:p w14:paraId="0CA3261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服务器内存</w:t>
            </w:r>
          </w:p>
        </w:tc>
        <w:tc>
          <w:tcPr>
            <w:tcW w:w="2552" w:type="dxa"/>
            <w:vAlign w:val="center"/>
          </w:tcPr>
          <w:p w14:paraId="3862BA09">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4E51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4FA6BD3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12</w:t>
            </w:r>
          </w:p>
        </w:tc>
        <w:tc>
          <w:tcPr>
            <w:tcW w:w="3448" w:type="dxa"/>
            <w:shd w:val="clear" w:color="auto" w:fill="auto"/>
            <w:vAlign w:val="center"/>
          </w:tcPr>
          <w:p w14:paraId="26FCED8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教学实训扩容模块</w:t>
            </w:r>
          </w:p>
        </w:tc>
        <w:tc>
          <w:tcPr>
            <w:tcW w:w="2552" w:type="dxa"/>
            <w:vAlign w:val="center"/>
          </w:tcPr>
          <w:p w14:paraId="025C3ABF">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2608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68548A79">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13</w:t>
            </w:r>
          </w:p>
        </w:tc>
        <w:tc>
          <w:tcPr>
            <w:tcW w:w="3448" w:type="dxa"/>
            <w:shd w:val="clear" w:color="auto" w:fill="auto"/>
            <w:vAlign w:val="center"/>
          </w:tcPr>
          <w:p w14:paraId="2239E4B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服务器汇聚交换机</w:t>
            </w:r>
          </w:p>
        </w:tc>
        <w:tc>
          <w:tcPr>
            <w:tcW w:w="2552" w:type="dxa"/>
            <w:vAlign w:val="center"/>
          </w:tcPr>
          <w:p w14:paraId="417065F6">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0207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64A9996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14</w:t>
            </w:r>
          </w:p>
        </w:tc>
        <w:tc>
          <w:tcPr>
            <w:tcW w:w="3448" w:type="dxa"/>
            <w:shd w:val="clear" w:color="auto" w:fill="auto"/>
            <w:vAlign w:val="center"/>
          </w:tcPr>
          <w:p w14:paraId="0F27E3B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教学机房接入上行交换机</w:t>
            </w:r>
          </w:p>
        </w:tc>
        <w:tc>
          <w:tcPr>
            <w:tcW w:w="2552" w:type="dxa"/>
            <w:vAlign w:val="center"/>
          </w:tcPr>
          <w:p w14:paraId="1FB9450C">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0E0A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3CDB2C1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15</w:t>
            </w:r>
          </w:p>
        </w:tc>
        <w:tc>
          <w:tcPr>
            <w:tcW w:w="3448" w:type="dxa"/>
            <w:shd w:val="clear" w:color="auto" w:fill="auto"/>
            <w:vAlign w:val="center"/>
          </w:tcPr>
          <w:p w14:paraId="7983E98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教学机房接入交换机</w:t>
            </w:r>
          </w:p>
        </w:tc>
        <w:tc>
          <w:tcPr>
            <w:tcW w:w="2552" w:type="dxa"/>
            <w:vAlign w:val="center"/>
          </w:tcPr>
          <w:p w14:paraId="2A56990B">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2A3B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537F19F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16</w:t>
            </w:r>
          </w:p>
        </w:tc>
        <w:tc>
          <w:tcPr>
            <w:tcW w:w="3448" w:type="dxa"/>
            <w:shd w:val="clear" w:color="auto" w:fill="auto"/>
            <w:vAlign w:val="center"/>
          </w:tcPr>
          <w:p w14:paraId="0E3D0E1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智能显示协同终端</w:t>
            </w:r>
          </w:p>
        </w:tc>
        <w:tc>
          <w:tcPr>
            <w:tcW w:w="2552" w:type="dxa"/>
            <w:vAlign w:val="center"/>
          </w:tcPr>
          <w:p w14:paraId="5CB25C2F">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00DA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7E77861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17</w:t>
            </w:r>
          </w:p>
        </w:tc>
        <w:tc>
          <w:tcPr>
            <w:tcW w:w="3448" w:type="dxa"/>
            <w:shd w:val="clear" w:color="auto" w:fill="auto"/>
            <w:vAlign w:val="center"/>
          </w:tcPr>
          <w:p w14:paraId="5A9DB19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光能黑板</w:t>
            </w:r>
          </w:p>
        </w:tc>
        <w:tc>
          <w:tcPr>
            <w:tcW w:w="2552" w:type="dxa"/>
            <w:vAlign w:val="center"/>
          </w:tcPr>
          <w:p w14:paraId="2851F770">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3220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482F6D0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18</w:t>
            </w:r>
          </w:p>
        </w:tc>
        <w:tc>
          <w:tcPr>
            <w:tcW w:w="3448" w:type="dxa"/>
            <w:shd w:val="clear" w:color="auto" w:fill="auto"/>
            <w:vAlign w:val="center"/>
          </w:tcPr>
          <w:p w14:paraId="674BAE9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一体化多媒体设备柜</w:t>
            </w:r>
          </w:p>
        </w:tc>
        <w:tc>
          <w:tcPr>
            <w:tcW w:w="2552" w:type="dxa"/>
            <w:vAlign w:val="center"/>
          </w:tcPr>
          <w:p w14:paraId="1F15DB87">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58DC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7813BE5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19</w:t>
            </w:r>
          </w:p>
        </w:tc>
        <w:tc>
          <w:tcPr>
            <w:tcW w:w="3448" w:type="dxa"/>
            <w:shd w:val="clear" w:color="auto" w:fill="auto"/>
            <w:vAlign w:val="center"/>
          </w:tcPr>
          <w:p w14:paraId="3E4662A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拾音扩声主机</w:t>
            </w:r>
          </w:p>
        </w:tc>
        <w:tc>
          <w:tcPr>
            <w:tcW w:w="2552" w:type="dxa"/>
            <w:vAlign w:val="center"/>
          </w:tcPr>
          <w:p w14:paraId="07496DF5">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4C04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62C7827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20</w:t>
            </w:r>
          </w:p>
        </w:tc>
        <w:tc>
          <w:tcPr>
            <w:tcW w:w="3448" w:type="dxa"/>
            <w:shd w:val="clear" w:color="auto" w:fill="auto"/>
            <w:vAlign w:val="center"/>
          </w:tcPr>
          <w:p w14:paraId="27FB147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音柱</w:t>
            </w:r>
          </w:p>
        </w:tc>
        <w:tc>
          <w:tcPr>
            <w:tcW w:w="2552" w:type="dxa"/>
            <w:vAlign w:val="center"/>
          </w:tcPr>
          <w:p w14:paraId="57BEC665">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3B49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7C07162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21</w:t>
            </w:r>
          </w:p>
        </w:tc>
        <w:tc>
          <w:tcPr>
            <w:tcW w:w="3448" w:type="dxa"/>
            <w:shd w:val="clear" w:color="auto" w:fill="auto"/>
            <w:vAlign w:val="center"/>
          </w:tcPr>
          <w:p w14:paraId="2BD0C03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充电底座</w:t>
            </w:r>
          </w:p>
        </w:tc>
        <w:tc>
          <w:tcPr>
            <w:tcW w:w="2552" w:type="dxa"/>
            <w:vAlign w:val="center"/>
          </w:tcPr>
          <w:p w14:paraId="066710B5">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73D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1B416A3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22</w:t>
            </w:r>
          </w:p>
        </w:tc>
        <w:tc>
          <w:tcPr>
            <w:tcW w:w="3448" w:type="dxa"/>
            <w:shd w:val="clear" w:color="auto" w:fill="auto"/>
            <w:vAlign w:val="center"/>
          </w:tcPr>
          <w:p w14:paraId="0074AF3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吊装式麦克风</w:t>
            </w:r>
          </w:p>
        </w:tc>
        <w:tc>
          <w:tcPr>
            <w:tcW w:w="2552" w:type="dxa"/>
            <w:vAlign w:val="center"/>
          </w:tcPr>
          <w:p w14:paraId="1B32BDDF">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6AA9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0FB1F25F">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23</w:t>
            </w:r>
          </w:p>
        </w:tc>
        <w:tc>
          <w:tcPr>
            <w:tcW w:w="3448" w:type="dxa"/>
            <w:shd w:val="clear" w:color="auto" w:fill="auto"/>
            <w:vAlign w:val="center"/>
          </w:tcPr>
          <w:p w14:paraId="47C4803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无线麦克风</w:t>
            </w:r>
          </w:p>
        </w:tc>
        <w:tc>
          <w:tcPr>
            <w:tcW w:w="2552" w:type="dxa"/>
            <w:vAlign w:val="center"/>
          </w:tcPr>
          <w:p w14:paraId="2F95DAEB">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3B44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6A0B90F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24</w:t>
            </w:r>
          </w:p>
        </w:tc>
        <w:tc>
          <w:tcPr>
            <w:tcW w:w="3448" w:type="dxa"/>
            <w:shd w:val="clear" w:color="auto" w:fill="auto"/>
            <w:vAlign w:val="center"/>
          </w:tcPr>
          <w:p w14:paraId="7C24872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数字红外接收器</w:t>
            </w:r>
          </w:p>
        </w:tc>
        <w:tc>
          <w:tcPr>
            <w:tcW w:w="2552" w:type="dxa"/>
            <w:vAlign w:val="center"/>
          </w:tcPr>
          <w:p w14:paraId="4DB089F7">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1212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2EAD8D15">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25</w:t>
            </w:r>
          </w:p>
        </w:tc>
        <w:tc>
          <w:tcPr>
            <w:tcW w:w="3448" w:type="dxa"/>
            <w:shd w:val="clear" w:color="auto" w:fill="auto"/>
            <w:vAlign w:val="center"/>
          </w:tcPr>
          <w:p w14:paraId="4E1FD2AD">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智慧管理主机</w:t>
            </w:r>
          </w:p>
        </w:tc>
        <w:tc>
          <w:tcPr>
            <w:tcW w:w="2552" w:type="dxa"/>
            <w:vAlign w:val="center"/>
          </w:tcPr>
          <w:p w14:paraId="65E7C1E5">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6D2E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6E2A541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26</w:t>
            </w:r>
          </w:p>
        </w:tc>
        <w:tc>
          <w:tcPr>
            <w:tcW w:w="3448" w:type="dxa"/>
            <w:shd w:val="clear" w:color="auto" w:fill="auto"/>
            <w:vAlign w:val="center"/>
          </w:tcPr>
          <w:p w14:paraId="673F395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触摸控制面板</w:t>
            </w:r>
          </w:p>
        </w:tc>
        <w:tc>
          <w:tcPr>
            <w:tcW w:w="2552" w:type="dxa"/>
            <w:vAlign w:val="center"/>
          </w:tcPr>
          <w:p w14:paraId="25D0CAC4">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4513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074319E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27</w:t>
            </w:r>
          </w:p>
        </w:tc>
        <w:tc>
          <w:tcPr>
            <w:tcW w:w="3448" w:type="dxa"/>
            <w:shd w:val="clear" w:color="auto" w:fill="auto"/>
            <w:vAlign w:val="center"/>
          </w:tcPr>
          <w:p w14:paraId="78F0B49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电源时序控制器</w:t>
            </w:r>
          </w:p>
        </w:tc>
        <w:tc>
          <w:tcPr>
            <w:tcW w:w="2552" w:type="dxa"/>
            <w:vAlign w:val="center"/>
          </w:tcPr>
          <w:p w14:paraId="4BCCFF2A">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00FD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431C8B4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28</w:t>
            </w:r>
          </w:p>
        </w:tc>
        <w:tc>
          <w:tcPr>
            <w:tcW w:w="3448" w:type="dxa"/>
            <w:shd w:val="clear" w:color="auto" w:fill="auto"/>
            <w:vAlign w:val="center"/>
          </w:tcPr>
          <w:p w14:paraId="547DBFD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高清录播系统</w:t>
            </w:r>
          </w:p>
        </w:tc>
        <w:tc>
          <w:tcPr>
            <w:tcW w:w="2552" w:type="dxa"/>
            <w:vAlign w:val="center"/>
          </w:tcPr>
          <w:p w14:paraId="54488186">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7D27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093DF42A">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29</w:t>
            </w:r>
          </w:p>
        </w:tc>
        <w:tc>
          <w:tcPr>
            <w:tcW w:w="3448" w:type="dxa"/>
            <w:shd w:val="clear" w:color="auto" w:fill="auto"/>
            <w:vAlign w:val="center"/>
          </w:tcPr>
          <w:p w14:paraId="136EA78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高清云台摄像机</w:t>
            </w:r>
          </w:p>
        </w:tc>
        <w:tc>
          <w:tcPr>
            <w:tcW w:w="2552" w:type="dxa"/>
            <w:vAlign w:val="center"/>
          </w:tcPr>
          <w:p w14:paraId="7DCD1794">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5257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6A44B7F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30</w:t>
            </w:r>
          </w:p>
        </w:tc>
        <w:tc>
          <w:tcPr>
            <w:tcW w:w="3448" w:type="dxa"/>
            <w:shd w:val="clear" w:color="auto" w:fill="auto"/>
            <w:vAlign w:val="center"/>
          </w:tcPr>
          <w:p w14:paraId="2012378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录播教室声学材料</w:t>
            </w:r>
          </w:p>
        </w:tc>
        <w:tc>
          <w:tcPr>
            <w:tcW w:w="2552" w:type="dxa"/>
            <w:vAlign w:val="center"/>
          </w:tcPr>
          <w:p w14:paraId="12BCC17B">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2089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66585C9F">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31</w:t>
            </w:r>
          </w:p>
        </w:tc>
        <w:tc>
          <w:tcPr>
            <w:tcW w:w="3448" w:type="dxa"/>
            <w:shd w:val="clear" w:color="auto" w:fill="auto"/>
            <w:vAlign w:val="center"/>
          </w:tcPr>
          <w:p w14:paraId="085C3E2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网络摄像机</w:t>
            </w:r>
          </w:p>
        </w:tc>
        <w:tc>
          <w:tcPr>
            <w:tcW w:w="2552" w:type="dxa"/>
            <w:vAlign w:val="center"/>
          </w:tcPr>
          <w:p w14:paraId="5C781C15">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43AE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5D501BF3">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32</w:t>
            </w:r>
          </w:p>
        </w:tc>
        <w:tc>
          <w:tcPr>
            <w:tcW w:w="3448" w:type="dxa"/>
            <w:shd w:val="clear" w:color="auto" w:fill="auto"/>
            <w:vAlign w:val="center"/>
          </w:tcPr>
          <w:p w14:paraId="1C7B3A4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网络硬盘录像机</w:t>
            </w:r>
          </w:p>
        </w:tc>
        <w:tc>
          <w:tcPr>
            <w:tcW w:w="2552" w:type="dxa"/>
            <w:vAlign w:val="center"/>
          </w:tcPr>
          <w:p w14:paraId="53E6D32F">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00CA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7B9EC75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33</w:t>
            </w:r>
          </w:p>
        </w:tc>
        <w:tc>
          <w:tcPr>
            <w:tcW w:w="3448" w:type="dxa"/>
            <w:shd w:val="clear" w:color="auto" w:fill="auto"/>
            <w:vAlign w:val="center"/>
          </w:tcPr>
          <w:p w14:paraId="4EE16DC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POE交换机</w:t>
            </w:r>
          </w:p>
        </w:tc>
        <w:tc>
          <w:tcPr>
            <w:tcW w:w="2552" w:type="dxa"/>
            <w:vAlign w:val="center"/>
          </w:tcPr>
          <w:p w14:paraId="391EE364">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3F2D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1867115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34</w:t>
            </w:r>
          </w:p>
        </w:tc>
        <w:tc>
          <w:tcPr>
            <w:tcW w:w="3448" w:type="dxa"/>
            <w:shd w:val="clear" w:color="auto" w:fill="auto"/>
            <w:vAlign w:val="center"/>
          </w:tcPr>
          <w:p w14:paraId="10D0193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智能指纹门禁一体机</w:t>
            </w:r>
          </w:p>
        </w:tc>
        <w:tc>
          <w:tcPr>
            <w:tcW w:w="2552" w:type="dxa"/>
            <w:vAlign w:val="center"/>
          </w:tcPr>
          <w:p w14:paraId="65ACA3F4">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6361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5ECD2C1B">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35</w:t>
            </w:r>
          </w:p>
        </w:tc>
        <w:tc>
          <w:tcPr>
            <w:tcW w:w="3448" w:type="dxa"/>
            <w:shd w:val="clear" w:color="auto" w:fill="auto"/>
            <w:vAlign w:val="center"/>
          </w:tcPr>
          <w:p w14:paraId="02DC200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矿棉吸音板</w:t>
            </w:r>
          </w:p>
        </w:tc>
        <w:tc>
          <w:tcPr>
            <w:tcW w:w="2552" w:type="dxa"/>
            <w:vAlign w:val="center"/>
          </w:tcPr>
          <w:p w14:paraId="75AC587F">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3D28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11A6E31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36</w:t>
            </w:r>
          </w:p>
        </w:tc>
        <w:tc>
          <w:tcPr>
            <w:tcW w:w="3448" w:type="dxa"/>
            <w:shd w:val="clear" w:color="auto" w:fill="auto"/>
            <w:vAlign w:val="center"/>
          </w:tcPr>
          <w:p w14:paraId="0DFE1D7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全钢防静电地板</w:t>
            </w:r>
          </w:p>
        </w:tc>
        <w:tc>
          <w:tcPr>
            <w:tcW w:w="2552" w:type="dxa"/>
            <w:vAlign w:val="center"/>
          </w:tcPr>
          <w:p w14:paraId="5DF619C2">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703A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6892831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37</w:t>
            </w:r>
          </w:p>
        </w:tc>
        <w:tc>
          <w:tcPr>
            <w:tcW w:w="3448" w:type="dxa"/>
            <w:shd w:val="clear" w:color="auto" w:fill="auto"/>
            <w:vAlign w:val="center"/>
          </w:tcPr>
          <w:p w14:paraId="3869CFA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机房运维管控系统</w:t>
            </w:r>
          </w:p>
        </w:tc>
        <w:tc>
          <w:tcPr>
            <w:tcW w:w="2552" w:type="dxa"/>
            <w:vAlign w:val="center"/>
          </w:tcPr>
          <w:p w14:paraId="3458F5ED">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309F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343EC73B">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38</w:t>
            </w:r>
          </w:p>
        </w:tc>
        <w:tc>
          <w:tcPr>
            <w:tcW w:w="3448" w:type="dxa"/>
            <w:shd w:val="clear" w:color="auto" w:fill="auto"/>
            <w:vAlign w:val="center"/>
          </w:tcPr>
          <w:p w14:paraId="5488DD5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精密空调</w:t>
            </w:r>
          </w:p>
        </w:tc>
        <w:tc>
          <w:tcPr>
            <w:tcW w:w="2552" w:type="dxa"/>
            <w:vAlign w:val="center"/>
          </w:tcPr>
          <w:p w14:paraId="0241F501">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tr w14:paraId="140B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shd w:val="clear" w:color="auto" w:fill="auto"/>
            <w:vAlign w:val="center"/>
          </w:tcPr>
          <w:p w14:paraId="7BDF27F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39</w:t>
            </w:r>
          </w:p>
        </w:tc>
        <w:tc>
          <w:tcPr>
            <w:tcW w:w="3448" w:type="dxa"/>
            <w:shd w:val="clear" w:color="auto" w:fill="auto"/>
            <w:vAlign w:val="center"/>
          </w:tcPr>
          <w:p w14:paraId="3AE6F7B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42U机柜</w:t>
            </w:r>
          </w:p>
        </w:tc>
        <w:tc>
          <w:tcPr>
            <w:tcW w:w="2552" w:type="dxa"/>
            <w:vAlign w:val="center"/>
          </w:tcPr>
          <w:p w14:paraId="6DA2CD00">
            <w:pPr>
              <w:widowControl/>
              <w:adjustRightInd w:val="0"/>
              <w:snapToGrid w:val="0"/>
              <w:spacing w:line="360" w:lineRule="auto"/>
              <w:jc w:val="center"/>
              <w:textAlignment w:val="center"/>
              <w:rPr>
                <w:color w:val="auto"/>
              </w:rPr>
            </w:pPr>
            <w:r>
              <w:rPr>
                <w:rFonts w:hint="eastAsia" w:ascii="宋体" w:hAnsi="宋体" w:cs="宋体"/>
                <w:color w:val="auto"/>
                <w:szCs w:val="21"/>
              </w:rPr>
              <w:t>工业</w:t>
            </w:r>
          </w:p>
        </w:tc>
      </w:tr>
      <w:bookmarkEnd w:id="444"/>
    </w:tbl>
    <w:p w14:paraId="1D9401D0">
      <w:pPr>
        <w:widowControl/>
        <w:spacing w:line="360" w:lineRule="auto"/>
        <w:jc w:val="left"/>
        <w:rPr>
          <w:rFonts w:ascii="宋体" w:hAnsi="宋体" w:cs="宋体"/>
          <w:b/>
          <w:color w:val="auto"/>
          <w:sz w:val="28"/>
          <w:szCs w:val="28"/>
        </w:rPr>
      </w:pPr>
      <w:r>
        <w:rPr>
          <w:rFonts w:hint="eastAsia" w:ascii="宋体" w:hAnsi="宋体" w:cs="宋体"/>
          <w:b/>
          <w:color w:val="auto"/>
          <w:sz w:val="28"/>
          <w:szCs w:val="28"/>
        </w:rPr>
        <w:br w:type="page"/>
      </w:r>
      <w:bookmarkStart w:id="445" w:name="_Toc1359"/>
      <w:bookmarkStart w:id="446" w:name="_Toc24589"/>
      <w:bookmarkStart w:id="447" w:name="_Toc4997"/>
      <w:r>
        <w:rPr>
          <w:rFonts w:hint="eastAsia" w:ascii="宋体" w:hAnsi="宋体" w:cs="宋体"/>
          <w:b/>
          <w:color w:val="auto"/>
          <w:sz w:val="28"/>
          <w:szCs w:val="28"/>
        </w:rPr>
        <w:t>格式</w:t>
      </w:r>
      <w:bookmarkEnd w:id="445"/>
      <w:bookmarkEnd w:id="446"/>
      <w:bookmarkEnd w:id="447"/>
      <w:bookmarkStart w:id="448" w:name="_Toc507412336"/>
      <w:bookmarkStart w:id="449" w:name="_Toc507409073"/>
      <w:r>
        <w:rPr>
          <w:rFonts w:hint="eastAsia" w:ascii="宋体" w:hAnsi="宋体" w:cs="宋体"/>
          <w:b/>
          <w:color w:val="auto"/>
          <w:sz w:val="28"/>
          <w:szCs w:val="28"/>
        </w:rPr>
        <w:t>13</w:t>
      </w:r>
    </w:p>
    <w:p w14:paraId="6A965F0B">
      <w:pPr>
        <w:tabs>
          <w:tab w:val="left" w:pos="5580"/>
        </w:tabs>
        <w:spacing w:line="360" w:lineRule="auto"/>
        <w:jc w:val="center"/>
        <w:rPr>
          <w:rFonts w:ascii="宋体" w:hAnsi="宋体" w:cs="宋体"/>
          <w:b/>
          <w:color w:val="auto"/>
          <w:sz w:val="28"/>
        </w:rPr>
      </w:pPr>
      <w:r>
        <w:rPr>
          <w:rFonts w:hint="eastAsia" w:ascii="宋体" w:hAnsi="宋体" w:cs="宋体"/>
          <w:b/>
          <w:color w:val="auto"/>
          <w:sz w:val="28"/>
        </w:rPr>
        <w:t>《监狱企业证明文件》（扫描件加盖投标人电子公章，符合《财政部 司法部关于政府采购支持监狱企业发展有关问题的通知》（财库[2014]68号）价格扣减条件的投标人需提交）</w:t>
      </w:r>
    </w:p>
    <w:p w14:paraId="3AB22489">
      <w:pPr>
        <w:spacing w:line="360" w:lineRule="auto"/>
        <w:jc w:val="center"/>
        <w:rPr>
          <w:rFonts w:ascii="宋体" w:hAnsi="宋体" w:cs="宋体"/>
          <w:b/>
          <w:bCs/>
          <w:color w:val="auto"/>
          <w:sz w:val="28"/>
          <w:szCs w:val="28"/>
        </w:rPr>
      </w:pPr>
      <w:bookmarkStart w:id="450" w:name="_Toc25923"/>
      <w:bookmarkStart w:id="451" w:name="_Toc38338334"/>
      <w:bookmarkStart w:id="452" w:name="_Toc8865"/>
      <w:bookmarkStart w:id="453" w:name="_Toc37716414"/>
      <w:bookmarkStart w:id="454" w:name="_Toc26997"/>
      <w:bookmarkStart w:id="455" w:name="_Toc23842"/>
      <w:r>
        <w:rPr>
          <w:rFonts w:hint="eastAsia" w:ascii="宋体" w:hAnsi="宋体" w:cs="宋体"/>
          <w:b/>
          <w:bCs/>
          <w:color w:val="auto"/>
          <w:sz w:val="28"/>
          <w:szCs w:val="28"/>
        </w:rPr>
        <w:t>监狱企业证明文件</w:t>
      </w:r>
      <w:bookmarkEnd w:id="448"/>
      <w:bookmarkEnd w:id="449"/>
      <w:bookmarkEnd w:id="450"/>
      <w:bookmarkEnd w:id="451"/>
      <w:bookmarkEnd w:id="452"/>
      <w:bookmarkEnd w:id="453"/>
      <w:bookmarkEnd w:id="454"/>
      <w:bookmarkEnd w:id="455"/>
    </w:p>
    <w:p w14:paraId="5012738A">
      <w:pPr>
        <w:spacing w:line="360" w:lineRule="auto"/>
        <w:jc w:val="center"/>
        <w:rPr>
          <w:rFonts w:ascii="宋体" w:hAnsi="宋体" w:cs="宋体"/>
          <w:color w:val="auto"/>
          <w:szCs w:val="21"/>
        </w:rPr>
      </w:pPr>
      <w:r>
        <w:rPr>
          <w:rFonts w:hint="eastAsia" w:ascii="宋体" w:hAnsi="宋体" w:cs="宋体"/>
          <w:b/>
          <w:bCs/>
          <w:color w:val="auto"/>
          <w:kern w:val="0"/>
          <w:szCs w:val="21"/>
        </w:rPr>
        <w:t>（此格式可不填写或删除）</w:t>
      </w:r>
    </w:p>
    <w:p w14:paraId="394D1035">
      <w:pPr>
        <w:spacing w:line="360" w:lineRule="auto"/>
        <w:ind w:firstLine="420" w:firstLineChars="200"/>
        <w:jc w:val="left"/>
        <w:rPr>
          <w:rFonts w:ascii="宋体" w:hAnsi="宋体" w:cs="宋体"/>
          <w:color w:val="auto"/>
          <w:szCs w:val="21"/>
        </w:rPr>
      </w:pPr>
    </w:p>
    <w:p w14:paraId="3078C91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6EC4A4">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监狱企业参加政府采购活动时，应当提供由省级以上监狱管理局、戒毒管理局（含新疆生产建设兵团）出具的属于监狱企业的证明文件。</w:t>
      </w:r>
    </w:p>
    <w:p w14:paraId="3CEB6D2A">
      <w:pPr>
        <w:widowControl/>
        <w:spacing w:line="360" w:lineRule="auto"/>
        <w:jc w:val="left"/>
        <w:rPr>
          <w:rFonts w:ascii="宋体" w:hAnsi="宋体" w:cs="宋体"/>
          <w:b/>
          <w:color w:val="auto"/>
          <w:sz w:val="28"/>
          <w:szCs w:val="28"/>
        </w:rPr>
      </w:pPr>
    </w:p>
    <w:p w14:paraId="2163ECDF">
      <w:pPr>
        <w:widowControl/>
        <w:spacing w:line="360" w:lineRule="auto"/>
        <w:jc w:val="left"/>
        <w:rPr>
          <w:rFonts w:ascii="宋体" w:hAnsi="宋体" w:cs="宋体"/>
          <w:b/>
          <w:color w:val="auto"/>
          <w:sz w:val="28"/>
          <w:szCs w:val="28"/>
        </w:rPr>
      </w:pPr>
      <w:r>
        <w:rPr>
          <w:rFonts w:hint="eastAsia" w:ascii="宋体" w:hAnsi="宋体" w:cs="宋体"/>
          <w:b/>
          <w:color w:val="auto"/>
          <w:szCs w:val="21"/>
        </w:rPr>
        <w:t>注：符合条件的监狱企业在参加政府采购活动时，应当按《财政部 司法部关于政府采购支持监狱企业发展有关问题的通知》（财库[2014]68号）提供规定的《监狱企业证明文件》，并对证明文件的真实性负责。</w:t>
      </w:r>
      <w:r>
        <w:rPr>
          <w:rFonts w:hint="eastAsia" w:ascii="宋体" w:hAnsi="宋体" w:cs="宋体"/>
          <w:b/>
          <w:color w:val="auto"/>
          <w:sz w:val="28"/>
          <w:szCs w:val="28"/>
        </w:rPr>
        <w:br w:type="page"/>
      </w:r>
      <w:r>
        <w:rPr>
          <w:rFonts w:hint="eastAsia" w:ascii="宋体" w:hAnsi="宋体" w:cs="宋体"/>
          <w:b/>
          <w:color w:val="auto"/>
          <w:sz w:val="28"/>
          <w:szCs w:val="28"/>
        </w:rPr>
        <w:t>格式14</w:t>
      </w:r>
    </w:p>
    <w:p w14:paraId="0142539A">
      <w:pPr>
        <w:tabs>
          <w:tab w:val="left" w:pos="5580"/>
        </w:tabs>
        <w:spacing w:line="360" w:lineRule="auto"/>
        <w:jc w:val="center"/>
        <w:rPr>
          <w:rFonts w:ascii="宋体" w:hAnsi="宋体" w:cs="宋体"/>
          <w:b/>
          <w:color w:val="auto"/>
          <w:sz w:val="28"/>
        </w:rPr>
      </w:pPr>
      <w:r>
        <w:rPr>
          <w:rFonts w:hint="eastAsia" w:ascii="宋体" w:hAnsi="宋体" w:cs="宋体"/>
          <w:b/>
          <w:color w:val="auto"/>
          <w:sz w:val="28"/>
        </w:rPr>
        <w:t>《残疾人福利性单位声明函》（符合《三部门联合发布关于促进残疾人就业政府采购政策的通知》（财库〔2017〕141号）价格扣减条件的投标人需提交）</w:t>
      </w:r>
    </w:p>
    <w:p w14:paraId="74C3EB48">
      <w:pPr>
        <w:spacing w:line="360" w:lineRule="auto"/>
        <w:jc w:val="center"/>
        <w:rPr>
          <w:rFonts w:ascii="宋体" w:hAnsi="宋体" w:cs="宋体"/>
          <w:b/>
          <w:bCs/>
          <w:color w:val="auto"/>
          <w:sz w:val="28"/>
          <w:szCs w:val="28"/>
        </w:rPr>
      </w:pPr>
      <w:bookmarkStart w:id="456" w:name="_Toc37716415"/>
      <w:bookmarkStart w:id="457" w:name="_Toc16768"/>
      <w:bookmarkStart w:id="458" w:name="_Toc7725"/>
      <w:bookmarkStart w:id="459" w:name="_Toc893"/>
      <w:bookmarkStart w:id="460" w:name="_Toc38338335"/>
      <w:bookmarkStart w:id="461" w:name="_Toc1255"/>
      <w:bookmarkStart w:id="462" w:name="OLE_LINK14"/>
      <w:bookmarkStart w:id="463" w:name="OLE_LINK13"/>
      <w:r>
        <w:rPr>
          <w:rFonts w:hint="eastAsia" w:ascii="宋体" w:hAnsi="宋体" w:cs="宋体"/>
          <w:b/>
          <w:bCs/>
          <w:color w:val="auto"/>
          <w:sz w:val="28"/>
          <w:szCs w:val="28"/>
        </w:rPr>
        <w:t>残疾人福利性单位声明函</w:t>
      </w:r>
      <w:bookmarkEnd w:id="456"/>
      <w:bookmarkEnd w:id="457"/>
      <w:bookmarkEnd w:id="458"/>
      <w:bookmarkEnd w:id="459"/>
      <w:bookmarkEnd w:id="460"/>
      <w:bookmarkEnd w:id="461"/>
    </w:p>
    <w:bookmarkEnd w:id="462"/>
    <w:bookmarkEnd w:id="463"/>
    <w:p w14:paraId="2504C889">
      <w:pPr>
        <w:spacing w:line="360" w:lineRule="auto"/>
        <w:jc w:val="center"/>
        <w:rPr>
          <w:rFonts w:ascii="宋体" w:hAnsi="宋体" w:cs="宋体"/>
          <w:color w:val="auto"/>
          <w:spacing w:val="6"/>
          <w:szCs w:val="21"/>
        </w:rPr>
      </w:pPr>
      <w:r>
        <w:rPr>
          <w:rFonts w:hint="eastAsia" w:ascii="宋体" w:hAnsi="宋体" w:cs="宋体"/>
          <w:b/>
          <w:bCs/>
          <w:color w:val="auto"/>
          <w:kern w:val="0"/>
          <w:szCs w:val="21"/>
        </w:rPr>
        <w:t>（此格式可不填写或删除）</w:t>
      </w:r>
    </w:p>
    <w:p w14:paraId="27DB59D7">
      <w:pPr>
        <w:spacing w:line="360" w:lineRule="auto"/>
        <w:ind w:firstLine="444" w:firstLineChars="200"/>
        <w:rPr>
          <w:rFonts w:ascii="宋体" w:hAnsi="宋体" w:cs="宋体"/>
          <w:color w:val="auto"/>
          <w:spacing w:val="6"/>
          <w:szCs w:val="21"/>
        </w:rPr>
      </w:pPr>
    </w:p>
    <w:p w14:paraId="56AEA35A">
      <w:pPr>
        <w:spacing w:line="360" w:lineRule="auto"/>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3F8A063">
      <w:pPr>
        <w:spacing w:line="360" w:lineRule="auto"/>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5BF92A6B">
      <w:pPr>
        <w:spacing w:line="360" w:lineRule="auto"/>
        <w:ind w:firstLine="444" w:firstLineChars="200"/>
        <w:rPr>
          <w:rFonts w:ascii="宋体" w:hAnsi="宋体" w:cs="宋体"/>
          <w:color w:val="auto"/>
          <w:spacing w:val="6"/>
          <w:szCs w:val="21"/>
        </w:rPr>
      </w:pPr>
    </w:p>
    <w:p w14:paraId="6C7347AC">
      <w:pPr>
        <w:spacing w:line="360" w:lineRule="auto"/>
        <w:ind w:firstLine="444" w:firstLineChars="200"/>
        <w:rPr>
          <w:rFonts w:ascii="宋体" w:hAnsi="宋体" w:cs="宋体"/>
          <w:color w:val="auto"/>
          <w:spacing w:val="6"/>
          <w:szCs w:val="21"/>
        </w:rPr>
      </w:pPr>
    </w:p>
    <w:p w14:paraId="03C695F1">
      <w:pPr>
        <w:tabs>
          <w:tab w:val="left" w:pos="4860"/>
        </w:tabs>
        <w:spacing w:line="360" w:lineRule="auto"/>
        <w:ind w:right="1560" w:firstLine="444" w:firstLineChars="200"/>
        <w:jc w:val="center"/>
        <w:rPr>
          <w:rFonts w:ascii="宋体" w:hAnsi="宋体" w:cs="宋体"/>
          <w:color w:val="auto"/>
          <w:spacing w:val="6"/>
          <w:szCs w:val="21"/>
        </w:rPr>
      </w:pPr>
      <w:r>
        <w:rPr>
          <w:rFonts w:hint="eastAsia" w:ascii="宋体" w:hAnsi="宋体" w:cs="宋体"/>
          <w:color w:val="auto"/>
          <w:spacing w:val="6"/>
          <w:szCs w:val="21"/>
        </w:rPr>
        <w:t xml:space="preserve">               单位名称（</w:t>
      </w:r>
      <w:r>
        <w:rPr>
          <w:rFonts w:hint="eastAsia" w:ascii="宋体" w:hAnsi="宋体" w:cs="宋体"/>
          <w:color w:val="auto"/>
          <w:szCs w:val="21"/>
        </w:rPr>
        <w:t>加盖投标人电子公章</w:t>
      </w:r>
      <w:r>
        <w:rPr>
          <w:rFonts w:hint="eastAsia" w:ascii="宋体" w:hAnsi="宋体" w:cs="宋体"/>
          <w:color w:val="auto"/>
          <w:spacing w:val="6"/>
          <w:szCs w:val="21"/>
        </w:rPr>
        <w:t>）：</w:t>
      </w:r>
    </w:p>
    <w:p w14:paraId="02C3D4E1">
      <w:pPr>
        <w:tabs>
          <w:tab w:val="left" w:pos="4860"/>
        </w:tabs>
        <w:spacing w:line="360" w:lineRule="auto"/>
        <w:ind w:right="1560" w:firstLine="444" w:firstLineChars="200"/>
        <w:jc w:val="center"/>
        <w:rPr>
          <w:rFonts w:ascii="宋体" w:hAnsi="宋体" w:cs="宋体"/>
          <w:color w:val="auto"/>
          <w:spacing w:val="6"/>
          <w:szCs w:val="21"/>
        </w:rPr>
      </w:pPr>
      <w:r>
        <w:rPr>
          <w:rFonts w:hint="eastAsia" w:ascii="宋体" w:hAnsi="宋体" w:cs="宋体"/>
          <w:color w:val="auto"/>
          <w:spacing w:val="6"/>
          <w:szCs w:val="21"/>
        </w:rPr>
        <w:t xml:space="preserve">      日  期：</w:t>
      </w:r>
    </w:p>
    <w:p w14:paraId="0EE93F57">
      <w:pPr>
        <w:spacing w:line="360" w:lineRule="auto"/>
        <w:rPr>
          <w:rFonts w:ascii="宋体" w:hAnsi="宋体" w:cs="宋体"/>
          <w:b/>
          <w:color w:val="auto"/>
          <w:szCs w:val="21"/>
        </w:rPr>
      </w:pPr>
    </w:p>
    <w:p w14:paraId="46519683">
      <w:pPr>
        <w:spacing w:line="360" w:lineRule="auto"/>
        <w:rPr>
          <w:rFonts w:ascii="宋体" w:hAnsi="宋体" w:cs="宋体"/>
          <w:b/>
          <w:color w:val="auto"/>
          <w:szCs w:val="21"/>
        </w:rPr>
      </w:pPr>
    </w:p>
    <w:p w14:paraId="3E27A3E4">
      <w:pPr>
        <w:spacing w:line="360" w:lineRule="auto"/>
        <w:rPr>
          <w:rFonts w:ascii="宋体" w:hAnsi="宋体" w:cs="宋体"/>
          <w:b/>
          <w:color w:val="auto"/>
          <w:szCs w:val="21"/>
        </w:rPr>
      </w:pPr>
    </w:p>
    <w:p w14:paraId="081DE4FD">
      <w:pPr>
        <w:spacing w:line="360" w:lineRule="auto"/>
        <w:rPr>
          <w:rFonts w:ascii="宋体" w:hAnsi="宋体" w:cs="宋体"/>
          <w:b/>
          <w:color w:val="auto"/>
          <w:szCs w:val="21"/>
        </w:rPr>
      </w:pPr>
      <w:r>
        <w:rPr>
          <w:rFonts w:hint="eastAsia" w:ascii="宋体" w:hAnsi="宋体" w:cs="宋体"/>
          <w:b/>
          <w:color w:val="auto"/>
          <w:szCs w:val="21"/>
        </w:rPr>
        <w:t>注：符合条件的残疾人福利性单位在参加政府采购活动时，应当按《三部门联合发布关于促进残疾人就业政府采购政策的通知》（财库〔2017〕141号）提供规定的《残疾人福利性单位声明函》，并对声明的真实性负责。</w:t>
      </w:r>
    </w:p>
    <w:p w14:paraId="064E79B8">
      <w:pPr>
        <w:pStyle w:val="20"/>
        <w:spacing w:line="360" w:lineRule="auto"/>
        <w:jc w:val="center"/>
        <w:rPr>
          <w:rFonts w:hAnsi="宋体" w:cs="宋体"/>
          <w:b/>
          <w:color w:val="auto"/>
          <w:sz w:val="28"/>
          <w:szCs w:val="28"/>
        </w:rPr>
      </w:pPr>
      <w:r>
        <w:rPr>
          <w:rFonts w:hint="eastAsia" w:hAnsi="宋体" w:cs="宋体"/>
          <w:b/>
          <w:color w:val="auto"/>
          <w:sz w:val="28"/>
          <w:szCs w:val="28"/>
        </w:rPr>
        <w:br w:type="page"/>
      </w:r>
      <w:bookmarkEnd w:id="443"/>
    </w:p>
    <w:p w14:paraId="40B39DAC">
      <w:pPr>
        <w:spacing w:line="360" w:lineRule="auto"/>
        <w:ind w:firstLine="3" w:firstLineChars="1"/>
        <w:jc w:val="left"/>
        <w:rPr>
          <w:rFonts w:ascii="宋体" w:hAnsi="宋体" w:cs="宋体"/>
          <w:b/>
          <w:bCs/>
          <w:color w:val="auto"/>
          <w:sz w:val="32"/>
          <w:szCs w:val="32"/>
        </w:rPr>
      </w:pPr>
      <w:bookmarkStart w:id="464" w:name="_Toc1126"/>
      <w:r>
        <w:rPr>
          <w:rFonts w:hint="eastAsia" w:ascii="宋体" w:hAnsi="宋体" w:cs="宋体"/>
          <w:b/>
          <w:color w:val="auto"/>
          <w:sz w:val="28"/>
          <w:szCs w:val="28"/>
        </w:rPr>
        <w:t>格式15</w:t>
      </w:r>
    </w:p>
    <w:p w14:paraId="396C32E2">
      <w:pPr>
        <w:spacing w:line="360" w:lineRule="auto"/>
        <w:ind w:firstLine="3" w:firstLineChars="1"/>
        <w:jc w:val="center"/>
        <w:rPr>
          <w:rFonts w:ascii="宋体" w:hAnsi="宋体" w:cs="宋体"/>
          <w:b/>
          <w:bCs/>
          <w:color w:val="auto"/>
          <w:sz w:val="32"/>
          <w:szCs w:val="32"/>
        </w:rPr>
      </w:pPr>
      <w:r>
        <w:rPr>
          <w:rFonts w:hint="eastAsia" w:ascii="宋体" w:hAnsi="宋体" w:cs="宋体"/>
          <w:b/>
          <w:bCs/>
          <w:color w:val="auto"/>
          <w:sz w:val="32"/>
          <w:szCs w:val="32"/>
        </w:rPr>
        <w:t>分项报价一览表</w:t>
      </w:r>
      <w:bookmarkEnd w:id="464"/>
    </w:p>
    <w:p w14:paraId="4740E5C9">
      <w:pPr>
        <w:spacing w:line="360" w:lineRule="auto"/>
        <w:ind w:firstLine="2" w:firstLineChars="1"/>
        <w:rPr>
          <w:rFonts w:ascii="宋体" w:hAnsi="宋体" w:cs="宋体"/>
          <w:b/>
          <w:bCs/>
          <w:color w:val="auto"/>
          <w:szCs w:val="21"/>
        </w:rPr>
      </w:pPr>
      <w:r>
        <w:rPr>
          <w:rFonts w:hint="eastAsia" w:ascii="宋体" w:hAnsi="宋体" w:cs="宋体"/>
          <w:b/>
          <w:bCs/>
          <w:color w:val="auto"/>
          <w:szCs w:val="21"/>
        </w:rPr>
        <w:t>项目名称：</w:t>
      </w:r>
    </w:p>
    <w:p w14:paraId="48F3007C">
      <w:pPr>
        <w:spacing w:line="360" w:lineRule="auto"/>
        <w:ind w:firstLine="2" w:firstLineChars="1"/>
        <w:rPr>
          <w:rFonts w:ascii="宋体" w:hAnsi="宋体" w:cs="宋体"/>
          <w:b/>
          <w:bCs/>
          <w:color w:val="auto"/>
          <w:szCs w:val="21"/>
        </w:rPr>
      </w:pPr>
      <w:r>
        <w:rPr>
          <w:rFonts w:hint="eastAsia" w:ascii="宋体" w:hAnsi="宋体" w:cs="宋体"/>
          <w:b/>
          <w:bCs/>
          <w:color w:val="auto"/>
          <w:szCs w:val="21"/>
        </w:rPr>
        <w:t>项目编号：</w:t>
      </w:r>
    </w:p>
    <w:tbl>
      <w:tblPr>
        <w:tblStyle w:val="41"/>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3"/>
        <w:gridCol w:w="1701"/>
        <w:gridCol w:w="896"/>
        <w:gridCol w:w="654"/>
        <w:gridCol w:w="1020"/>
        <w:gridCol w:w="949"/>
        <w:gridCol w:w="638"/>
        <w:gridCol w:w="567"/>
        <w:gridCol w:w="1020"/>
        <w:gridCol w:w="1020"/>
        <w:gridCol w:w="600"/>
      </w:tblGrid>
      <w:tr w14:paraId="1222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4"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5D3B41A1">
            <w:pPr>
              <w:widowControl/>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3AA67026">
            <w:pPr>
              <w:widowControl/>
              <w:adjustRightInd w:val="0"/>
              <w:snapToGrid w:val="0"/>
              <w:spacing w:line="360" w:lineRule="auto"/>
              <w:jc w:val="center"/>
              <w:rPr>
                <w:rFonts w:ascii="宋体" w:hAnsi="宋体" w:cs="宋体"/>
                <w:b/>
                <w:bCs/>
                <w:color w:val="auto"/>
                <w:szCs w:val="21"/>
              </w:rPr>
            </w:pPr>
            <w:r>
              <w:rPr>
                <w:rFonts w:hint="eastAsia" w:asciiTheme="minorEastAsia" w:hAnsiTheme="minorEastAsia" w:eastAsiaTheme="minorEastAsia" w:cstheme="minorEastAsia"/>
                <w:b/>
                <w:color w:val="auto"/>
                <w:szCs w:val="21"/>
              </w:rPr>
              <w:t>设备名称</w:t>
            </w:r>
          </w:p>
        </w:tc>
        <w:tc>
          <w:tcPr>
            <w:tcW w:w="896" w:type="dxa"/>
            <w:tcBorders>
              <w:top w:val="single" w:color="auto" w:sz="4" w:space="0"/>
              <w:left w:val="single" w:color="auto" w:sz="4" w:space="0"/>
              <w:bottom w:val="single" w:color="auto" w:sz="4" w:space="0"/>
              <w:right w:val="single" w:color="auto" w:sz="4" w:space="0"/>
            </w:tcBorders>
            <w:vAlign w:val="center"/>
          </w:tcPr>
          <w:p w14:paraId="3FD3604C">
            <w:pPr>
              <w:widowControl/>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生产</w:t>
            </w:r>
          </w:p>
          <w:p w14:paraId="7FF4C549">
            <w:pPr>
              <w:widowControl/>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产地</w:t>
            </w:r>
          </w:p>
          <w:p w14:paraId="12730AD9">
            <w:pPr>
              <w:widowControl/>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（国别）</w:t>
            </w:r>
          </w:p>
        </w:tc>
        <w:tc>
          <w:tcPr>
            <w:tcW w:w="654" w:type="dxa"/>
            <w:tcBorders>
              <w:top w:val="single" w:color="auto" w:sz="4" w:space="0"/>
              <w:left w:val="single" w:color="auto" w:sz="4" w:space="0"/>
              <w:bottom w:val="single" w:color="auto" w:sz="4" w:space="0"/>
              <w:right w:val="single" w:color="auto" w:sz="4" w:space="0"/>
            </w:tcBorders>
            <w:vAlign w:val="center"/>
          </w:tcPr>
          <w:p w14:paraId="73EC1F94">
            <w:pPr>
              <w:widowControl/>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品牌</w:t>
            </w:r>
          </w:p>
        </w:tc>
        <w:tc>
          <w:tcPr>
            <w:tcW w:w="1020" w:type="dxa"/>
            <w:tcBorders>
              <w:top w:val="single" w:color="auto" w:sz="4" w:space="0"/>
              <w:left w:val="single" w:color="auto" w:sz="4" w:space="0"/>
              <w:bottom w:val="single" w:color="auto" w:sz="4" w:space="0"/>
              <w:right w:val="single" w:color="auto" w:sz="4" w:space="0"/>
            </w:tcBorders>
            <w:vAlign w:val="center"/>
          </w:tcPr>
          <w:p w14:paraId="70B48556">
            <w:pPr>
              <w:widowControl/>
              <w:adjustRightInd w:val="0"/>
              <w:snapToGrid w:val="0"/>
              <w:spacing w:line="360" w:lineRule="auto"/>
              <w:jc w:val="center"/>
              <w:rPr>
                <w:rFonts w:ascii="宋体" w:hAnsi="宋体" w:cs="宋体"/>
                <w:b/>
                <w:bCs/>
                <w:color w:val="auto"/>
                <w:szCs w:val="21"/>
              </w:rPr>
            </w:pPr>
            <w:r>
              <w:rPr>
                <w:rFonts w:hint="eastAsia" w:ascii="宋体" w:hAnsi="宋体" w:cs="宋体"/>
                <w:b/>
                <w:color w:val="auto"/>
                <w:szCs w:val="21"/>
              </w:rPr>
              <w:t>规格型号</w:t>
            </w:r>
          </w:p>
        </w:tc>
        <w:tc>
          <w:tcPr>
            <w:tcW w:w="949" w:type="dxa"/>
            <w:tcBorders>
              <w:top w:val="single" w:color="auto" w:sz="4" w:space="0"/>
              <w:left w:val="single" w:color="auto" w:sz="4" w:space="0"/>
              <w:bottom w:val="single" w:color="auto" w:sz="4" w:space="0"/>
              <w:right w:val="single" w:color="auto" w:sz="4" w:space="0"/>
            </w:tcBorders>
            <w:vAlign w:val="center"/>
          </w:tcPr>
          <w:p w14:paraId="111B8E54">
            <w:pPr>
              <w:widowControl/>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生产制造商名称</w:t>
            </w:r>
          </w:p>
        </w:tc>
        <w:tc>
          <w:tcPr>
            <w:tcW w:w="638" w:type="dxa"/>
            <w:tcBorders>
              <w:top w:val="single" w:color="auto" w:sz="4" w:space="0"/>
              <w:left w:val="single" w:color="auto" w:sz="4" w:space="0"/>
              <w:bottom w:val="single" w:color="auto" w:sz="4" w:space="0"/>
              <w:right w:val="single" w:color="auto" w:sz="4" w:space="0"/>
            </w:tcBorders>
            <w:vAlign w:val="center"/>
          </w:tcPr>
          <w:p w14:paraId="40F46476">
            <w:pPr>
              <w:widowControl/>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数量</w:t>
            </w:r>
          </w:p>
        </w:tc>
        <w:tc>
          <w:tcPr>
            <w:tcW w:w="567" w:type="dxa"/>
            <w:tcBorders>
              <w:top w:val="single" w:color="auto" w:sz="4" w:space="0"/>
              <w:left w:val="single" w:color="auto" w:sz="4" w:space="0"/>
              <w:bottom w:val="single" w:color="auto" w:sz="4" w:space="0"/>
              <w:right w:val="single" w:color="auto" w:sz="4" w:space="0"/>
            </w:tcBorders>
            <w:vAlign w:val="center"/>
          </w:tcPr>
          <w:p w14:paraId="75C74CD6">
            <w:pPr>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计量单位</w:t>
            </w:r>
          </w:p>
        </w:tc>
        <w:tc>
          <w:tcPr>
            <w:tcW w:w="1020" w:type="dxa"/>
            <w:tcBorders>
              <w:top w:val="single" w:color="auto" w:sz="4" w:space="0"/>
              <w:left w:val="single" w:color="auto" w:sz="4" w:space="0"/>
              <w:bottom w:val="single" w:color="auto" w:sz="4" w:space="0"/>
              <w:right w:val="single" w:color="auto" w:sz="4" w:space="0"/>
            </w:tcBorders>
            <w:vAlign w:val="center"/>
          </w:tcPr>
          <w:p w14:paraId="4982E788">
            <w:pPr>
              <w:widowControl/>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单价（元）</w:t>
            </w:r>
          </w:p>
        </w:tc>
        <w:tc>
          <w:tcPr>
            <w:tcW w:w="1020" w:type="dxa"/>
            <w:tcBorders>
              <w:top w:val="single" w:color="auto" w:sz="4" w:space="0"/>
              <w:left w:val="single" w:color="auto" w:sz="4" w:space="0"/>
              <w:bottom w:val="single" w:color="auto" w:sz="4" w:space="0"/>
              <w:right w:val="single" w:color="auto" w:sz="4" w:space="0"/>
            </w:tcBorders>
            <w:vAlign w:val="center"/>
          </w:tcPr>
          <w:p w14:paraId="0BEF4272">
            <w:pPr>
              <w:widowControl/>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合价（元）</w:t>
            </w:r>
          </w:p>
        </w:tc>
        <w:tc>
          <w:tcPr>
            <w:tcW w:w="600" w:type="dxa"/>
            <w:tcBorders>
              <w:top w:val="single" w:color="auto" w:sz="4" w:space="0"/>
              <w:left w:val="single" w:color="auto" w:sz="4" w:space="0"/>
              <w:bottom w:val="single" w:color="auto" w:sz="4" w:space="0"/>
              <w:right w:val="single" w:color="auto" w:sz="4" w:space="0"/>
            </w:tcBorders>
            <w:vAlign w:val="center"/>
          </w:tcPr>
          <w:p w14:paraId="17990E22">
            <w:pPr>
              <w:widowControl/>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备注</w:t>
            </w:r>
          </w:p>
        </w:tc>
      </w:tr>
      <w:tr w14:paraId="1D0A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7FD20C">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rPr>
              <w:t>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AA5D87F">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孪生教研教学空间系统</w:t>
            </w:r>
          </w:p>
        </w:tc>
        <w:tc>
          <w:tcPr>
            <w:tcW w:w="896" w:type="dxa"/>
            <w:tcBorders>
              <w:top w:val="single" w:color="auto" w:sz="4" w:space="0"/>
              <w:left w:val="single" w:color="auto" w:sz="4" w:space="0"/>
              <w:bottom w:val="single" w:color="auto" w:sz="4" w:space="0"/>
              <w:right w:val="single" w:color="auto" w:sz="4" w:space="0"/>
            </w:tcBorders>
            <w:vAlign w:val="center"/>
          </w:tcPr>
          <w:p w14:paraId="4D24D05C">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6C864442">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7DD5925C">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00D9FFE0">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14DE56D">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D41E76">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szCs w:val="21"/>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1F321BF4">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6580D19">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2C0F0C9E">
            <w:pPr>
              <w:widowControl/>
              <w:adjustRightInd w:val="0"/>
              <w:snapToGrid w:val="0"/>
              <w:spacing w:line="360" w:lineRule="auto"/>
              <w:jc w:val="center"/>
              <w:rPr>
                <w:rFonts w:ascii="宋体" w:hAnsi="宋体" w:cs="宋体"/>
                <w:color w:val="auto"/>
                <w:szCs w:val="21"/>
              </w:rPr>
            </w:pPr>
          </w:p>
        </w:tc>
      </w:tr>
      <w:tr w14:paraId="0D25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6ACDED">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rPr>
              <w:t>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384B2CE">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孪生教研接入系统</w:t>
            </w:r>
          </w:p>
        </w:tc>
        <w:tc>
          <w:tcPr>
            <w:tcW w:w="896" w:type="dxa"/>
            <w:tcBorders>
              <w:top w:val="single" w:color="auto" w:sz="4" w:space="0"/>
              <w:left w:val="single" w:color="auto" w:sz="4" w:space="0"/>
              <w:bottom w:val="single" w:color="auto" w:sz="4" w:space="0"/>
              <w:right w:val="single" w:color="auto" w:sz="4" w:space="0"/>
            </w:tcBorders>
            <w:vAlign w:val="center"/>
          </w:tcPr>
          <w:p w14:paraId="7B88C9C0">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41985621">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8164450">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660E8B73">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298105B">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40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9448B3F">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点</w:t>
            </w:r>
          </w:p>
        </w:tc>
        <w:tc>
          <w:tcPr>
            <w:tcW w:w="1020" w:type="dxa"/>
            <w:tcBorders>
              <w:top w:val="single" w:color="auto" w:sz="4" w:space="0"/>
              <w:left w:val="single" w:color="auto" w:sz="4" w:space="0"/>
              <w:bottom w:val="single" w:color="auto" w:sz="4" w:space="0"/>
              <w:right w:val="single" w:color="auto" w:sz="4" w:space="0"/>
            </w:tcBorders>
            <w:vAlign w:val="center"/>
          </w:tcPr>
          <w:p w14:paraId="764F81EB">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3F63F60">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6C8AAD70">
            <w:pPr>
              <w:widowControl/>
              <w:adjustRightInd w:val="0"/>
              <w:snapToGrid w:val="0"/>
              <w:spacing w:line="360" w:lineRule="auto"/>
              <w:jc w:val="center"/>
              <w:rPr>
                <w:rFonts w:ascii="宋体" w:hAnsi="宋体" w:cs="宋体"/>
                <w:color w:val="auto"/>
                <w:szCs w:val="21"/>
              </w:rPr>
            </w:pPr>
          </w:p>
        </w:tc>
      </w:tr>
      <w:tr w14:paraId="2D16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4F147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954063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教研实训交互系统</w:t>
            </w:r>
          </w:p>
        </w:tc>
        <w:tc>
          <w:tcPr>
            <w:tcW w:w="896" w:type="dxa"/>
            <w:tcBorders>
              <w:top w:val="single" w:color="auto" w:sz="4" w:space="0"/>
              <w:left w:val="single" w:color="auto" w:sz="4" w:space="0"/>
              <w:bottom w:val="single" w:color="auto" w:sz="4" w:space="0"/>
              <w:right w:val="single" w:color="auto" w:sz="4" w:space="0"/>
            </w:tcBorders>
            <w:vAlign w:val="center"/>
          </w:tcPr>
          <w:p w14:paraId="5B39B45D">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6CB2481D">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03CD87E">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10505114">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07CA3FF4">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40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495C771">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1D45497E">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1776B21">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626329A1">
            <w:pPr>
              <w:widowControl/>
              <w:adjustRightInd w:val="0"/>
              <w:snapToGrid w:val="0"/>
              <w:spacing w:line="360" w:lineRule="auto"/>
              <w:jc w:val="center"/>
              <w:rPr>
                <w:rFonts w:ascii="宋体" w:hAnsi="宋体" w:cs="宋体"/>
                <w:color w:val="auto"/>
                <w:szCs w:val="21"/>
              </w:rPr>
            </w:pPr>
          </w:p>
        </w:tc>
      </w:tr>
      <w:tr w14:paraId="62CA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DF293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297113A">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教研智算分析系统模块</w:t>
            </w:r>
          </w:p>
        </w:tc>
        <w:tc>
          <w:tcPr>
            <w:tcW w:w="896" w:type="dxa"/>
            <w:tcBorders>
              <w:top w:val="single" w:color="auto" w:sz="4" w:space="0"/>
              <w:left w:val="single" w:color="auto" w:sz="4" w:space="0"/>
              <w:bottom w:val="single" w:color="auto" w:sz="4" w:space="0"/>
              <w:right w:val="single" w:color="auto" w:sz="4" w:space="0"/>
            </w:tcBorders>
            <w:vAlign w:val="center"/>
          </w:tcPr>
          <w:p w14:paraId="23760EF9">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17A8D8F0">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E67C3B5">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6D855C34">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D3E6D05">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16104BD">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74C98016">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E8D5CF4">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0C94F0E7">
            <w:pPr>
              <w:widowControl/>
              <w:adjustRightInd w:val="0"/>
              <w:snapToGrid w:val="0"/>
              <w:spacing w:line="360" w:lineRule="auto"/>
              <w:jc w:val="center"/>
              <w:rPr>
                <w:rFonts w:ascii="宋体" w:hAnsi="宋体" w:cs="宋体"/>
                <w:color w:val="auto"/>
                <w:szCs w:val="21"/>
              </w:rPr>
            </w:pPr>
          </w:p>
        </w:tc>
      </w:tr>
      <w:tr w14:paraId="63E2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AB3DB9">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DA4490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数字化教学设备</w:t>
            </w:r>
          </w:p>
        </w:tc>
        <w:tc>
          <w:tcPr>
            <w:tcW w:w="896" w:type="dxa"/>
            <w:tcBorders>
              <w:top w:val="single" w:color="auto" w:sz="4" w:space="0"/>
              <w:left w:val="single" w:color="auto" w:sz="4" w:space="0"/>
              <w:bottom w:val="single" w:color="auto" w:sz="4" w:space="0"/>
              <w:right w:val="single" w:color="auto" w:sz="4" w:space="0"/>
            </w:tcBorders>
            <w:vAlign w:val="center"/>
          </w:tcPr>
          <w:p w14:paraId="030563A8">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CA8F628">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C653D45">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00664F07">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B31701E">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D9DB5C">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76B73835">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D38E9D6">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14B6D53E">
            <w:pPr>
              <w:widowControl/>
              <w:adjustRightInd w:val="0"/>
              <w:snapToGrid w:val="0"/>
              <w:spacing w:line="360" w:lineRule="auto"/>
              <w:jc w:val="center"/>
              <w:rPr>
                <w:rFonts w:ascii="宋体" w:hAnsi="宋体" w:cs="宋体"/>
                <w:color w:val="auto"/>
                <w:szCs w:val="21"/>
              </w:rPr>
            </w:pPr>
          </w:p>
        </w:tc>
      </w:tr>
      <w:tr w14:paraId="0205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6D6E7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6</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509CA5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云端智算系统模块</w:t>
            </w:r>
          </w:p>
        </w:tc>
        <w:tc>
          <w:tcPr>
            <w:tcW w:w="896" w:type="dxa"/>
            <w:tcBorders>
              <w:top w:val="single" w:color="auto" w:sz="4" w:space="0"/>
              <w:left w:val="single" w:color="auto" w:sz="4" w:space="0"/>
              <w:bottom w:val="single" w:color="auto" w:sz="4" w:space="0"/>
              <w:right w:val="single" w:color="auto" w:sz="4" w:space="0"/>
            </w:tcBorders>
            <w:vAlign w:val="center"/>
          </w:tcPr>
          <w:p w14:paraId="3497BDD3">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14E1DE1E">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36AEA7E">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5709EEC6">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F14886C">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120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01371DB">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798DA7BF">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2B8C0FC">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4603BFCD">
            <w:pPr>
              <w:widowControl/>
              <w:adjustRightInd w:val="0"/>
              <w:snapToGrid w:val="0"/>
              <w:spacing w:line="360" w:lineRule="auto"/>
              <w:jc w:val="center"/>
              <w:rPr>
                <w:rFonts w:ascii="宋体" w:hAnsi="宋体" w:cs="宋体"/>
                <w:color w:val="auto"/>
                <w:szCs w:val="21"/>
              </w:rPr>
            </w:pPr>
          </w:p>
        </w:tc>
      </w:tr>
      <w:tr w14:paraId="3084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361ACA">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7</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B79409B">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桌面云软件</w:t>
            </w:r>
          </w:p>
        </w:tc>
        <w:tc>
          <w:tcPr>
            <w:tcW w:w="896" w:type="dxa"/>
            <w:tcBorders>
              <w:top w:val="single" w:color="auto" w:sz="4" w:space="0"/>
              <w:left w:val="single" w:color="auto" w:sz="4" w:space="0"/>
              <w:bottom w:val="single" w:color="auto" w:sz="4" w:space="0"/>
              <w:right w:val="single" w:color="auto" w:sz="4" w:space="0"/>
            </w:tcBorders>
            <w:vAlign w:val="center"/>
          </w:tcPr>
          <w:p w14:paraId="25954EAF">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4E650790">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0F813D6">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7F0595CB">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69C4B3F">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123</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EAAAEC">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点</w:t>
            </w:r>
          </w:p>
        </w:tc>
        <w:tc>
          <w:tcPr>
            <w:tcW w:w="1020" w:type="dxa"/>
            <w:tcBorders>
              <w:top w:val="single" w:color="auto" w:sz="4" w:space="0"/>
              <w:left w:val="single" w:color="auto" w:sz="4" w:space="0"/>
              <w:bottom w:val="single" w:color="auto" w:sz="4" w:space="0"/>
              <w:right w:val="single" w:color="auto" w:sz="4" w:space="0"/>
            </w:tcBorders>
            <w:vAlign w:val="center"/>
          </w:tcPr>
          <w:p w14:paraId="31BE2D9F">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DA5E5B3">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395DB0A8">
            <w:pPr>
              <w:widowControl/>
              <w:adjustRightInd w:val="0"/>
              <w:snapToGrid w:val="0"/>
              <w:spacing w:line="360" w:lineRule="auto"/>
              <w:jc w:val="center"/>
              <w:rPr>
                <w:rFonts w:ascii="宋体" w:hAnsi="宋体" w:cs="宋体"/>
                <w:color w:val="auto"/>
                <w:szCs w:val="21"/>
              </w:rPr>
            </w:pPr>
          </w:p>
        </w:tc>
      </w:tr>
      <w:tr w14:paraId="2DDD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91CC1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22C915D">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终端高可用容灾系统</w:t>
            </w:r>
          </w:p>
        </w:tc>
        <w:tc>
          <w:tcPr>
            <w:tcW w:w="896" w:type="dxa"/>
            <w:tcBorders>
              <w:top w:val="single" w:color="auto" w:sz="4" w:space="0"/>
              <w:left w:val="single" w:color="auto" w:sz="4" w:space="0"/>
              <w:bottom w:val="single" w:color="auto" w:sz="4" w:space="0"/>
              <w:right w:val="single" w:color="auto" w:sz="4" w:space="0"/>
            </w:tcBorders>
            <w:vAlign w:val="center"/>
          </w:tcPr>
          <w:p w14:paraId="55A97260">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652FF56B">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072DAD6">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35E939D2">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39BD85D">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122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021B0E">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点</w:t>
            </w:r>
          </w:p>
        </w:tc>
        <w:tc>
          <w:tcPr>
            <w:tcW w:w="1020" w:type="dxa"/>
            <w:tcBorders>
              <w:top w:val="single" w:color="auto" w:sz="4" w:space="0"/>
              <w:left w:val="single" w:color="auto" w:sz="4" w:space="0"/>
              <w:bottom w:val="single" w:color="auto" w:sz="4" w:space="0"/>
              <w:right w:val="single" w:color="auto" w:sz="4" w:space="0"/>
            </w:tcBorders>
            <w:vAlign w:val="center"/>
          </w:tcPr>
          <w:p w14:paraId="30396357">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8535201">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0B435E03">
            <w:pPr>
              <w:widowControl/>
              <w:adjustRightInd w:val="0"/>
              <w:snapToGrid w:val="0"/>
              <w:spacing w:line="360" w:lineRule="auto"/>
              <w:jc w:val="center"/>
              <w:rPr>
                <w:rFonts w:ascii="宋体" w:hAnsi="宋体" w:cs="宋体"/>
                <w:color w:val="auto"/>
                <w:szCs w:val="21"/>
              </w:rPr>
            </w:pPr>
          </w:p>
        </w:tc>
      </w:tr>
      <w:tr w14:paraId="06B4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4AB86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9</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64A30C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课堂教学互动管理系统</w:t>
            </w:r>
          </w:p>
        </w:tc>
        <w:tc>
          <w:tcPr>
            <w:tcW w:w="896" w:type="dxa"/>
            <w:tcBorders>
              <w:top w:val="single" w:color="auto" w:sz="4" w:space="0"/>
              <w:left w:val="single" w:color="auto" w:sz="4" w:space="0"/>
              <w:bottom w:val="single" w:color="auto" w:sz="4" w:space="0"/>
              <w:right w:val="single" w:color="auto" w:sz="4" w:space="0"/>
            </w:tcBorders>
            <w:vAlign w:val="center"/>
          </w:tcPr>
          <w:p w14:paraId="583FDF44">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1D3D374D">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04EA72F">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3E5DE113">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B3330A9">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C41E879">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3253874B">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7E4BBB29">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18452985">
            <w:pPr>
              <w:widowControl/>
              <w:adjustRightInd w:val="0"/>
              <w:snapToGrid w:val="0"/>
              <w:spacing w:line="360" w:lineRule="auto"/>
              <w:jc w:val="center"/>
              <w:rPr>
                <w:rFonts w:ascii="宋体" w:hAnsi="宋体" w:cs="宋体"/>
                <w:color w:val="auto"/>
                <w:szCs w:val="21"/>
              </w:rPr>
            </w:pPr>
          </w:p>
        </w:tc>
      </w:tr>
      <w:tr w14:paraId="2C3A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28C3C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10</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E592B6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服务器硬盘</w:t>
            </w:r>
          </w:p>
        </w:tc>
        <w:tc>
          <w:tcPr>
            <w:tcW w:w="896" w:type="dxa"/>
            <w:tcBorders>
              <w:top w:val="single" w:color="auto" w:sz="4" w:space="0"/>
              <w:left w:val="single" w:color="auto" w:sz="4" w:space="0"/>
              <w:bottom w:val="single" w:color="auto" w:sz="4" w:space="0"/>
              <w:right w:val="single" w:color="auto" w:sz="4" w:space="0"/>
            </w:tcBorders>
            <w:vAlign w:val="center"/>
          </w:tcPr>
          <w:p w14:paraId="155D9A99">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2AB56E8">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BA0CD36">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33F25FE2">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5F50EB3">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6</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0916F8">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6A8125F9">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9E17D07">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01E1A40D">
            <w:pPr>
              <w:widowControl/>
              <w:adjustRightInd w:val="0"/>
              <w:snapToGrid w:val="0"/>
              <w:spacing w:line="360" w:lineRule="auto"/>
              <w:jc w:val="center"/>
              <w:rPr>
                <w:rFonts w:ascii="宋体" w:hAnsi="宋体" w:cs="宋体"/>
                <w:color w:val="auto"/>
                <w:szCs w:val="21"/>
              </w:rPr>
            </w:pPr>
          </w:p>
        </w:tc>
      </w:tr>
      <w:tr w14:paraId="6A15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2A6B085">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0E16BD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服务器内存</w:t>
            </w:r>
          </w:p>
        </w:tc>
        <w:tc>
          <w:tcPr>
            <w:tcW w:w="896" w:type="dxa"/>
            <w:tcBorders>
              <w:top w:val="single" w:color="auto" w:sz="4" w:space="0"/>
              <w:left w:val="single" w:color="auto" w:sz="4" w:space="0"/>
              <w:bottom w:val="single" w:color="auto" w:sz="4" w:space="0"/>
              <w:right w:val="single" w:color="auto" w:sz="4" w:space="0"/>
            </w:tcBorders>
            <w:vAlign w:val="center"/>
          </w:tcPr>
          <w:p w14:paraId="05B5EDA4">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47D0B364">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546581A">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708FE59F">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27D0B6C0">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24</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EA2A42">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szCs w:val="21"/>
              </w:rPr>
              <w:t>条</w:t>
            </w:r>
          </w:p>
        </w:tc>
        <w:tc>
          <w:tcPr>
            <w:tcW w:w="1020" w:type="dxa"/>
            <w:tcBorders>
              <w:top w:val="single" w:color="auto" w:sz="4" w:space="0"/>
              <w:left w:val="single" w:color="auto" w:sz="4" w:space="0"/>
              <w:bottom w:val="single" w:color="auto" w:sz="4" w:space="0"/>
              <w:right w:val="single" w:color="auto" w:sz="4" w:space="0"/>
            </w:tcBorders>
            <w:vAlign w:val="center"/>
          </w:tcPr>
          <w:p w14:paraId="5E286858">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A2C146C">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76BD707C">
            <w:pPr>
              <w:widowControl/>
              <w:adjustRightInd w:val="0"/>
              <w:snapToGrid w:val="0"/>
              <w:spacing w:line="360" w:lineRule="auto"/>
              <w:jc w:val="center"/>
              <w:rPr>
                <w:rFonts w:ascii="宋体" w:hAnsi="宋体" w:cs="宋体"/>
                <w:color w:val="auto"/>
                <w:szCs w:val="21"/>
              </w:rPr>
            </w:pPr>
          </w:p>
        </w:tc>
      </w:tr>
      <w:tr w14:paraId="29C5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851B47">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C252436">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教学实训扩容模块</w:t>
            </w:r>
          </w:p>
        </w:tc>
        <w:tc>
          <w:tcPr>
            <w:tcW w:w="896" w:type="dxa"/>
            <w:tcBorders>
              <w:top w:val="single" w:color="auto" w:sz="4" w:space="0"/>
              <w:left w:val="single" w:color="auto" w:sz="4" w:space="0"/>
              <w:bottom w:val="single" w:color="auto" w:sz="4" w:space="0"/>
              <w:right w:val="single" w:color="auto" w:sz="4" w:space="0"/>
            </w:tcBorders>
            <w:vAlign w:val="center"/>
          </w:tcPr>
          <w:p w14:paraId="6409DFAF">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5939CD7B">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74FAC816">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2D2D0D3F">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66CB761">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CADBEF">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43DF49ED">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1966DF4">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566AE4B6">
            <w:pPr>
              <w:widowControl/>
              <w:adjustRightInd w:val="0"/>
              <w:snapToGrid w:val="0"/>
              <w:spacing w:line="360" w:lineRule="auto"/>
              <w:jc w:val="center"/>
              <w:rPr>
                <w:rFonts w:ascii="宋体" w:hAnsi="宋体" w:cs="宋体"/>
                <w:color w:val="auto"/>
                <w:szCs w:val="21"/>
              </w:rPr>
            </w:pPr>
          </w:p>
        </w:tc>
      </w:tr>
      <w:tr w14:paraId="34F8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44601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2511B5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服务器汇聚交换机</w:t>
            </w:r>
          </w:p>
        </w:tc>
        <w:tc>
          <w:tcPr>
            <w:tcW w:w="896" w:type="dxa"/>
            <w:tcBorders>
              <w:top w:val="single" w:color="auto" w:sz="4" w:space="0"/>
              <w:left w:val="single" w:color="auto" w:sz="4" w:space="0"/>
              <w:bottom w:val="single" w:color="auto" w:sz="4" w:space="0"/>
              <w:right w:val="single" w:color="auto" w:sz="4" w:space="0"/>
            </w:tcBorders>
            <w:vAlign w:val="center"/>
          </w:tcPr>
          <w:p w14:paraId="0A108B1F">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1307183D">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EB1D279">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72678419">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2306B102">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F5D21C5">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64432A8D">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43F0A3A">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22ACC2C4">
            <w:pPr>
              <w:widowControl/>
              <w:adjustRightInd w:val="0"/>
              <w:snapToGrid w:val="0"/>
              <w:spacing w:line="360" w:lineRule="auto"/>
              <w:jc w:val="center"/>
              <w:rPr>
                <w:rFonts w:ascii="宋体" w:hAnsi="宋体" w:cs="宋体"/>
                <w:color w:val="auto"/>
                <w:szCs w:val="21"/>
              </w:rPr>
            </w:pPr>
          </w:p>
        </w:tc>
      </w:tr>
      <w:tr w14:paraId="027E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1D5DB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97E17E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教学机房接入上行交换机</w:t>
            </w:r>
          </w:p>
        </w:tc>
        <w:tc>
          <w:tcPr>
            <w:tcW w:w="896" w:type="dxa"/>
            <w:tcBorders>
              <w:top w:val="single" w:color="auto" w:sz="4" w:space="0"/>
              <w:left w:val="single" w:color="auto" w:sz="4" w:space="0"/>
              <w:bottom w:val="single" w:color="auto" w:sz="4" w:space="0"/>
              <w:right w:val="single" w:color="auto" w:sz="4" w:space="0"/>
            </w:tcBorders>
            <w:vAlign w:val="center"/>
          </w:tcPr>
          <w:p w14:paraId="745F8D68">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6423E3D5">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2043EF3">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3B96C199">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0EFB85BF">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CF9584">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55EF71A6">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B0E7D9C">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70236E67">
            <w:pPr>
              <w:widowControl/>
              <w:adjustRightInd w:val="0"/>
              <w:snapToGrid w:val="0"/>
              <w:spacing w:line="360" w:lineRule="auto"/>
              <w:jc w:val="center"/>
              <w:rPr>
                <w:rFonts w:ascii="宋体" w:hAnsi="宋体" w:cs="宋体"/>
                <w:color w:val="auto"/>
                <w:szCs w:val="21"/>
              </w:rPr>
            </w:pPr>
          </w:p>
        </w:tc>
      </w:tr>
      <w:tr w14:paraId="1A3B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1D8DC7">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3BAB80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教学机房接入交换机</w:t>
            </w:r>
          </w:p>
        </w:tc>
        <w:tc>
          <w:tcPr>
            <w:tcW w:w="896" w:type="dxa"/>
            <w:tcBorders>
              <w:top w:val="single" w:color="auto" w:sz="4" w:space="0"/>
              <w:left w:val="single" w:color="auto" w:sz="4" w:space="0"/>
              <w:bottom w:val="single" w:color="auto" w:sz="4" w:space="0"/>
              <w:right w:val="single" w:color="auto" w:sz="4" w:space="0"/>
            </w:tcBorders>
            <w:vAlign w:val="center"/>
          </w:tcPr>
          <w:p w14:paraId="760631FB">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5E8665C4">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769CAE1">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0FB04538">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2312280">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952E0F">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7D107E45">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B8FB6AC">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2A6910A8">
            <w:pPr>
              <w:widowControl/>
              <w:adjustRightInd w:val="0"/>
              <w:snapToGrid w:val="0"/>
              <w:spacing w:line="360" w:lineRule="auto"/>
              <w:jc w:val="center"/>
              <w:rPr>
                <w:rFonts w:ascii="宋体" w:hAnsi="宋体" w:cs="宋体"/>
                <w:color w:val="auto"/>
                <w:szCs w:val="21"/>
              </w:rPr>
            </w:pPr>
          </w:p>
        </w:tc>
      </w:tr>
      <w:tr w14:paraId="606E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EB5405">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16</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8B1426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智能显示协同终端</w:t>
            </w:r>
          </w:p>
        </w:tc>
        <w:tc>
          <w:tcPr>
            <w:tcW w:w="896" w:type="dxa"/>
            <w:tcBorders>
              <w:top w:val="single" w:color="auto" w:sz="4" w:space="0"/>
              <w:left w:val="single" w:color="auto" w:sz="4" w:space="0"/>
              <w:bottom w:val="single" w:color="auto" w:sz="4" w:space="0"/>
              <w:right w:val="single" w:color="auto" w:sz="4" w:space="0"/>
            </w:tcBorders>
            <w:vAlign w:val="center"/>
          </w:tcPr>
          <w:p w14:paraId="4C85906C">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003079B1">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E23FAB7">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6FF27B42">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D3232D8">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7</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C7A8DEA">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70635631">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345C45E">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4491E419">
            <w:pPr>
              <w:widowControl/>
              <w:adjustRightInd w:val="0"/>
              <w:snapToGrid w:val="0"/>
              <w:spacing w:line="360" w:lineRule="auto"/>
              <w:jc w:val="center"/>
              <w:rPr>
                <w:rFonts w:ascii="宋体" w:hAnsi="宋体" w:cs="宋体"/>
                <w:color w:val="auto"/>
                <w:szCs w:val="21"/>
              </w:rPr>
            </w:pPr>
          </w:p>
        </w:tc>
      </w:tr>
      <w:tr w14:paraId="0A40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6206C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17</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3E900A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光能黑板</w:t>
            </w:r>
          </w:p>
        </w:tc>
        <w:tc>
          <w:tcPr>
            <w:tcW w:w="896" w:type="dxa"/>
            <w:tcBorders>
              <w:top w:val="single" w:color="auto" w:sz="4" w:space="0"/>
              <w:left w:val="single" w:color="auto" w:sz="4" w:space="0"/>
              <w:bottom w:val="single" w:color="auto" w:sz="4" w:space="0"/>
              <w:right w:val="single" w:color="auto" w:sz="4" w:space="0"/>
            </w:tcBorders>
            <w:vAlign w:val="center"/>
          </w:tcPr>
          <w:p w14:paraId="4BD3DFBC">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5B1A26E2">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A16D5E4">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7B08B9BD">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095C08A">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7</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F4A559">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28D42B0E">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9D05B25">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3DD2D1BA">
            <w:pPr>
              <w:widowControl/>
              <w:adjustRightInd w:val="0"/>
              <w:snapToGrid w:val="0"/>
              <w:spacing w:line="360" w:lineRule="auto"/>
              <w:jc w:val="center"/>
              <w:rPr>
                <w:rFonts w:ascii="宋体" w:hAnsi="宋体" w:cs="宋体"/>
                <w:color w:val="auto"/>
                <w:szCs w:val="21"/>
              </w:rPr>
            </w:pPr>
          </w:p>
        </w:tc>
      </w:tr>
      <w:tr w14:paraId="2DA0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817565">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D29B58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一体化多媒体设备柜</w:t>
            </w:r>
          </w:p>
        </w:tc>
        <w:tc>
          <w:tcPr>
            <w:tcW w:w="896" w:type="dxa"/>
            <w:tcBorders>
              <w:top w:val="single" w:color="auto" w:sz="4" w:space="0"/>
              <w:left w:val="single" w:color="auto" w:sz="4" w:space="0"/>
              <w:bottom w:val="single" w:color="auto" w:sz="4" w:space="0"/>
              <w:right w:val="single" w:color="auto" w:sz="4" w:space="0"/>
            </w:tcBorders>
            <w:vAlign w:val="center"/>
          </w:tcPr>
          <w:p w14:paraId="2790BBC6">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6A95532F">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5936315">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2B21AE9F">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0407C1C">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3</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663FB3">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5C1852A8">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D48D73E">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5A1B3C2F">
            <w:pPr>
              <w:widowControl/>
              <w:adjustRightInd w:val="0"/>
              <w:snapToGrid w:val="0"/>
              <w:spacing w:line="360" w:lineRule="auto"/>
              <w:jc w:val="center"/>
              <w:rPr>
                <w:rFonts w:ascii="宋体" w:hAnsi="宋体" w:cs="宋体"/>
                <w:color w:val="auto"/>
                <w:szCs w:val="21"/>
              </w:rPr>
            </w:pPr>
          </w:p>
        </w:tc>
      </w:tr>
      <w:tr w14:paraId="7455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4BBEDA">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19</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9082FDB">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拾音扩声主机</w:t>
            </w:r>
          </w:p>
        </w:tc>
        <w:tc>
          <w:tcPr>
            <w:tcW w:w="896" w:type="dxa"/>
            <w:tcBorders>
              <w:top w:val="single" w:color="auto" w:sz="4" w:space="0"/>
              <w:left w:val="single" w:color="auto" w:sz="4" w:space="0"/>
              <w:bottom w:val="single" w:color="auto" w:sz="4" w:space="0"/>
              <w:right w:val="single" w:color="auto" w:sz="4" w:space="0"/>
            </w:tcBorders>
            <w:vAlign w:val="center"/>
          </w:tcPr>
          <w:p w14:paraId="0E220A54">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4DC7F688">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D11BF7C">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0369886D">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23E735AA">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3</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6B0583">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3154DE2F">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4AC67C6">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1EFD06A9">
            <w:pPr>
              <w:widowControl/>
              <w:adjustRightInd w:val="0"/>
              <w:snapToGrid w:val="0"/>
              <w:spacing w:line="360" w:lineRule="auto"/>
              <w:jc w:val="center"/>
              <w:rPr>
                <w:rFonts w:ascii="宋体" w:hAnsi="宋体" w:cs="宋体"/>
                <w:color w:val="auto"/>
                <w:szCs w:val="21"/>
              </w:rPr>
            </w:pPr>
          </w:p>
        </w:tc>
      </w:tr>
      <w:tr w14:paraId="64F0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900CC7">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20</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4251C2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音柱</w:t>
            </w:r>
          </w:p>
        </w:tc>
        <w:tc>
          <w:tcPr>
            <w:tcW w:w="896" w:type="dxa"/>
            <w:tcBorders>
              <w:top w:val="single" w:color="auto" w:sz="4" w:space="0"/>
              <w:left w:val="single" w:color="auto" w:sz="4" w:space="0"/>
              <w:bottom w:val="single" w:color="auto" w:sz="4" w:space="0"/>
              <w:right w:val="single" w:color="auto" w:sz="4" w:space="0"/>
            </w:tcBorders>
            <w:vAlign w:val="center"/>
          </w:tcPr>
          <w:p w14:paraId="455FFE52">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1B300255">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C0DA4B7">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1B4AFFF0">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D3877EE">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F5A5B8">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776BC32C">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54F5FE0">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10FC1682">
            <w:pPr>
              <w:widowControl/>
              <w:adjustRightInd w:val="0"/>
              <w:snapToGrid w:val="0"/>
              <w:spacing w:line="360" w:lineRule="auto"/>
              <w:jc w:val="center"/>
              <w:rPr>
                <w:rFonts w:ascii="宋体" w:hAnsi="宋体" w:cs="宋体"/>
                <w:color w:val="auto"/>
                <w:szCs w:val="21"/>
              </w:rPr>
            </w:pPr>
          </w:p>
        </w:tc>
      </w:tr>
      <w:tr w14:paraId="3685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CCBCDA">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B1C509A">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充电底座</w:t>
            </w:r>
          </w:p>
        </w:tc>
        <w:tc>
          <w:tcPr>
            <w:tcW w:w="896" w:type="dxa"/>
            <w:tcBorders>
              <w:top w:val="single" w:color="auto" w:sz="4" w:space="0"/>
              <w:left w:val="single" w:color="auto" w:sz="4" w:space="0"/>
              <w:bottom w:val="single" w:color="auto" w:sz="4" w:space="0"/>
              <w:right w:val="single" w:color="auto" w:sz="4" w:space="0"/>
            </w:tcBorders>
            <w:vAlign w:val="center"/>
          </w:tcPr>
          <w:p w14:paraId="28CE7933">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7E05158B">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78F136C">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385D3B00">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4738349">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3</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6E51B88">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4C3A18C8">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A69EAAB">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2AADD666">
            <w:pPr>
              <w:widowControl/>
              <w:adjustRightInd w:val="0"/>
              <w:snapToGrid w:val="0"/>
              <w:spacing w:line="360" w:lineRule="auto"/>
              <w:jc w:val="center"/>
              <w:rPr>
                <w:rFonts w:ascii="宋体" w:hAnsi="宋体" w:cs="宋体"/>
                <w:color w:val="auto"/>
                <w:szCs w:val="21"/>
              </w:rPr>
            </w:pPr>
          </w:p>
        </w:tc>
      </w:tr>
      <w:tr w14:paraId="5A25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8E8EF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9236F8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吊装式麦克风</w:t>
            </w:r>
          </w:p>
        </w:tc>
        <w:tc>
          <w:tcPr>
            <w:tcW w:w="896" w:type="dxa"/>
            <w:tcBorders>
              <w:top w:val="single" w:color="auto" w:sz="4" w:space="0"/>
              <w:left w:val="single" w:color="auto" w:sz="4" w:space="0"/>
              <w:bottom w:val="single" w:color="auto" w:sz="4" w:space="0"/>
              <w:right w:val="single" w:color="auto" w:sz="4" w:space="0"/>
            </w:tcBorders>
            <w:vAlign w:val="center"/>
          </w:tcPr>
          <w:p w14:paraId="2A4D0F53">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894E200">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B30C733">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0E3F1326">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0B4FD3F7">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6</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DA79ECD">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支</w:t>
            </w:r>
          </w:p>
        </w:tc>
        <w:tc>
          <w:tcPr>
            <w:tcW w:w="1020" w:type="dxa"/>
            <w:tcBorders>
              <w:top w:val="single" w:color="auto" w:sz="4" w:space="0"/>
              <w:left w:val="single" w:color="auto" w:sz="4" w:space="0"/>
              <w:bottom w:val="single" w:color="auto" w:sz="4" w:space="0"/>
              <w:right w:val="single" w:color="auto" w:sz="4" w:space="0"/>
            </w:tcBorders>
            <w:vAlign w:val="center"/>
          </w:tcPr>
          <w:p w14:paraId="781CC34E">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7DC51ED">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17AA4726">
            <w:pPr>
              <w:widowControl/>
              <w:adjustRightInd w:val="0"/>
              <w:snapToGrid w:val="0"/>
              <w:spacing w:line="360" w:lineRule="auto"/>
              <w:jc w:val="center"/>
              <w:rPr>
                <w:rFonts w:ascii="宋体" w:hAnsi="宋体" w:cs="宋体"/>
                <w:color w:val="auto"/>
                <w:szCs w:val="21"/>
              </w:rPr>
            </w:pPr>
          </w:p>
        </w:tc>
      </w:tr>
      <w:tr w14:paraId="452D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6AFA59">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654ACC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无线麦克风</w:t>
            </w:r>
          </w:p>
        </w:tc>
        <w:tc>
          <w:tcPr>
            <w:tcW w:w="896" w:type="dxa"/>
            <w:tcBorders>
              <w:top w:val="single" w:color="auto" w:sz="4" w:space="0"/>
              <w:left w:val="single" w:color="auto" w:sz="4" w:space="0"/>
              <w:bottom w:val="single" w:color="auto" w:sz="4" w:space="0"/>
              <w:right w:val="single" w:color="auto" w:sz="4" w:space="0"/>
            </w:tcBorders>
            <w:vAlign w:val="center"/>
          </w:tcPr>
          <w:p w14:paraId="254D94DB">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82C4AB1">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FC26562">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6C417CA6">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D8330CE">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3</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84F427">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支</w:t>
            </w:r>
          </w:p>
        </w:tc>
        <w:tc>
          <w:tcPr>
            <w:tcW w:w="1020" w:type="dxa"/>
            <w:tcBorders>
              <w:top w:val="single" w:color="auto" w:sz="4" w:space="0"/>
              <w:left w:val="single" w:color="auto" w:sz="4" w:space="0"/>
              <w:bottom w:val="single" w:color="auto" w:sz="4" w:space="0"/>
              <w:right w:val="single" w:color="auto" w:sz="4" w:space="0"/>
            </w:tcBorders>
            <w:vAlign w:val="center"/>
          </w:tcPr>
          <w:p w14:paraId="00F26ABC">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5A68E79">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33D0192B">
            <w:pPr>
              <w:widowControl/>
              <w:adjustRightInd w:val="0"/>
              <w:snapToGrid w:val="0"/>
              <w:spacing w:line="360" w:lineRule="auto"/>
              <w:jc w:val="center"/>
              <w:rPr>
                <w:rFonts w:ascii="宋体" w:hAnsi="宋体" w:cs="宋体"/>
                <w:color w:val="auto"/>
                <w:szCs w:val="21"/>
              </w:rPr>
            </w:pPr>
          </w:p>
        </w:tc>
      </w:tr>
      <w:tr w14:paraId="7667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5D88E3">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AF48D29">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数字红外接收器</w:t>
            </w:r>
          </w:p>
        </w:tc>
        <w:tc>
          <w:tcPr>
            <w:tcW w:w="896" w:type="dxa"/>
            <w:tcBorders>
              <w:top w:val="single" w:color="auto" w:sz="4" w:space="0"/>
              <w:left w:val="single" w:color="auto" w:sz="4" w:space="0"/>
              <w:bottom w:val="single" w:color="auto" w:sz="4" w:space="0"/>
              <w:right w:val="single" w:color="auto" w:sz="4" w:space="0"/>
            </w:tcBorders>
            <w:vAlign w:val="center"/>
          </w:tcPr>
          <w:p w14:paraId="47B81F47">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26E59FA">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2C5D77D">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13EED360">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0A445288">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6</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4C5917">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个</w:t>
            </w:r>
          </w:p>
        </w:tc>
        <w:tc>
          <w:tcPr>
            <w:tcW w:w="1020" w:type="dxa"/>
            <w:tcBorders>
              <w:top w:val="single" w:color="auto" w:sz="4" w:space="0"/>
              <w:left w:val="single" w:color="auto" w:sz="4" w:space="0"/>
              <w:bottom w:val="single" w:color="auto" w:sz="4" w:space="0"/>
              <w:right w:val="single" w:color="auto" w:sz="4" w:space="0"/>
            </w:tcBorders>
            <w:vAlign w:val="center"/>
          </w:tcPr>
          <w:p w14:paraId="28611134">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708CDC6">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644E3F03">
            <w:pPr>
              <w:widowControl/>
              <w:adjustRightInd w:val="0"/>
              <w:snapToGrid w:val="0"/>
              <w:spacing w:line="360" w:lineRule="auto"/>
              <w:jc w:val="center"/>
              <w:rPr>
                <w:rFonts w:ascii="宋体" w:hAnsi="宋体" w:cs="宋体"/>
                <w:color w:val="auto"/>
                <w:szCs w:val="21"/>
              </w:rPr>
            </w:pPr>
          </w:p>
        </w:tc>
      </w:tr>
      <w:tr w14:paraId="1FC0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17A82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34BF2B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智慧管理主机</w:t>
            </w:r>
          </w:p>
        </w:tc>
        <w:tc>
          <w:tcPr>
            <w:tcW w:w="896" w:type="dxa"/>
            <w:tcBorders>
              <w:top w:val="single" w:color="auto" w:sz="4" w:space="0"/>
              <w:left w:val="single" w:color="auto" w:sz="4" w:space="0"/>
              <w:bottom w:val="single" w:color="auto" w:sz="4" w:space="0"/>
              <w:right w:val="single" w:color="auto" w:sz="4" w:space="0"/>
            </w:tcBorders>
            <w:vAlign w:val="center"/>
          </w:tcPr>
          <w:p w14:paraId="6A2D63FD">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69AF091">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73BCB35">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1F7DAAAA">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20CE96EB">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3</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4052B2">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1B987D3A">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8974268">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459736B8">
            <w:pPr>
              <w:widowControl/>
              <w:adjustRightInd w:val="0"/>
              <w:snapToGrid w:val="0"/>
              <w:spacing w:line="360" w:lineRule="auto"/>
              <w:jc w:val="center"/>
              <w:rPr>
                <w:rFonts w:ascii="宋体" w:hAnsi="宋体" w:cs="宋体"/>
                <w:color w:val="auto"/>
                <w:szCs w:val="21"/>
              </w:rPr>
            </w:pPr>
          </w:p>
        </w:tc>
      </w:tr>
      <w:tr w14:paraId="0A5F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04D6E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26</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64A52C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触摸控制面板</w:t>
            </w:r>
          </w:p>
        </w:tc>
        <w:tc>
          <w:tcPr>
            <w:tcW w:w="896" w:type="dxa"/>
            <w:tcBorders>
              <w:top w:val="single" w:color="auto" w:sz="4" w:space="0"/>
              <w:left w:val="single" w:color="auto" w:sz="4" w:space="0"/>
              <w:bottom w:val="single" w:color="auto" w:sz="4" w:space="0"/>
              <w:right w:val="single" w:color="auto" w:sz="4" w:space="0"/>
            </w:tcBorders>
            <w:vAlign w:val="center"/>
          </w:tcPr>
          <w:p w14:paraId="4FC2656A">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12EDA39">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71B12F1E">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1136514E">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556FFE0">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3</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332269">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36FD7107">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ACC2973">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0CDED3F7">
            <w:pPr>
              <w:widowControl/>
              <w:adjustRightInd w:val="0"/>
              <w:snapToGrid w:val="0"/>
              <w:spacing w:line="360" w:lineRule="auto"/>
              <w:jc w:val="center"/>
              <w:rPr>
                <w:rFonts w:ascii="宋体" w:hAnsi="宋体" w:cs="宋体"/>
                <w:color w:val="auto"/>
                <w:szCs w:val="21"/>
              </w:rPr>
            </w:pPr>
          </w:p>
        </w:tc>
      </w:tr>
      <w:tr w14:paraId="161A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5E742F">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27</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19867A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电源时序控制器</w:t>
            </w:r>
          </w:p>
        </w:tc>
        <w:tc>
          <w:tcPr>
            <w:tcW w:w="896" w:type="dxa"/>
            <w:tcBorders>
              <w:top w:val="single" w:color="auto" w:sz="4" w:space="0"/>
              <w:left w:val="single" w:color="auto" w:sz="4" w:space="0"/>
              <w:bottom w:val="single" w:color="auto" w:sz="4" w:space="0"/>
              <w:right w:val="single" w:color="auto" w:sz="4" w:space="0"/>
            </w:tcBorders>
            <w:vAlign w:val="center"/>
          </w:tcPr>
          <w:p w14:paraId="3209490A">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7AE7567A">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CEF2C02">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484984C3">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283D6B3">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3</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4FEF317">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0E92B258">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5EF95CE">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1B90ED60">
            <w:pPr>
              <w:widowControl/>
              <w:adjustRightInd w:val="0"/>
              <w:snapToGrid w:val="0"/>
              <w:spacing w:line="360" w:lineRule="auto"/>
              <w:jc w:val="center"/>
              <w:rPr>
                <w:rFonts w:ascii="宋体" w:hAnsi="宋体" w:cs="宋体"/>
                <w:color w:val="auto"/>
                <w:szCs w:val="21"/>
              </w:rPr>
            </w:pPr>
          </w:p>
        </w:tc>
      </w:tr>
      <w:tr w14:paraId="03F5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8B15BD">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11034F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高清录播系统</w:t>
            </w:r>
          </w:p>
        </w:tc>
        <w:tc>
          <w:tcPr>
            <w:tcW w:w="896" w:type="dxa"/>
            <w:tcBorders>
              <w:top w:val="single" w:color="auto" w:sz="4" w:space="0"/>
              <w:left w:val="single" w:color="auto" w:sz="4" w:space="0"/>
              <w:bottom w:val="single" w:color="auto" w:sz="4" w:space="0"/>
              <w:right w:val="single" w:color="auto" w:sz="4" w:space="0"/>
            </w:tcBorders>
            <w:vAlign w:val="center"/>
          </w:tcPr>
          <w:p w14:paraId="321006AE">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7CE2E54F">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4848F39">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5AD9C788">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2EF61A9D">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0E662E">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0CB16670">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E45E81C">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4E9AF985">
            <w:pPr>
              <w:widowControl/>
              <w:adjustRightInd w:val="0"/>
              <w:snapToGrid w:val="0"/>
              <w:spacing w:line="360" w:lineRule="auto"/>
              <w:jc w:val="center"/>
              <w:rPr>
                <w:rFonts w:ascii="宋体" w:hAnsi="宋体" w:cs="宋体"/>
                <w:color w:val="auto"/>
                <w:szCs w:val="21"/>
              </w:rPr>
            </w:pPr>
          </w:p>
        </w:tc>
      </w:tr>
      <w:tr w14:paraId="5C65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78404F">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29</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D3532AB">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高清云台摄像机</w:t>
            </w:r>
          </w:p>
        </w:tc>
        <w:tc>
          <w:tcPr>
            <w:tcW w:w="896" w:type="dxa"/>
            <w:tcBorders>
              <w:top w:val="single" w:color="auto" w:sz="4" w:space="0"/>
              <w:left w:val="single" w:color="auto" w:sz="4" w:space="0"/>
              <w:bottom w:val="single" w:color="auto" w:sz="4" w:space="0"/>
              <w:right w:val="single" w:color="auto" w:sz="4" w:space="0"/>
            </w:tcBorders>
            <w:vAlign w:val="center"/>
          </w:tcPr>
          <w:p w14:paraId="74703175">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74F2ED61">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93063DA">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236B5CC8">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01F1CDA4">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5</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EEDA156">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4F310F0F">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FE524E9">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7090C030">
            <w:pPr>
              <w:widowControl/>
              <w:adjustRightInd w:val="0"/>
              <w:snapToGrid w:val="0"/>
              <w:spacing w:line="360" w:lineRule="auto"/>
              <w:jc w:val="center"/>
              <w:rPr>
                <w:rFonts w:ascii="宋体" w:hAnsi="宋体" w:cs="宋体"/>
                <w:color w:val="auto"/>
                <w:szCs w:val="21"/>
              </w:rPr>
            </w:pPr>
          </w:p>
        </w:tc>
      </w:tr>
      <w:tr w14:paraId="233E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8DAD7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30</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63E575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录播教室声学材料</w:t>
            </w:r>
          </w:p>
        </w:tc>
        <w:tc>
          <w:tcPr>
            <w:tcW w:w="896" w:type="dxa"/>
            <w:tcBorders>
              <w:top w:val="single" w:color="auto" w:sz="4" w:space="0"/>
              <w:left w:val="single" w:color="auto" w:sz="4" w:space="0"/>
              <w:bottom w:val="single" w:color="auto" w:sz="4" w:space="0"/>
              <w:right w:val="single" w:color="auto" w:sz="4" w:space="0"/>
            </w:tcBorders>
            <w:vAlign w:val="center"/>
          </w:tcPr>
          <w:p w14:paraId="54DA5020">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FF3AE41">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25C1A09">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1F5C3CD2">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E0C16BB">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257D07">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szCs w:val="21"/>
              </w:rPr>
              <w:t>批</w:t>
            </w:r>
          </w:p>
        </w:tc>
        <w:tc>
          <w:tcPr>
            <w:tcW w:w="1020" w:type="dxa"/>
            <w:tcBorders>
              <w:top w:val="single" w:color="auto" w:sz="4" w:space="0"/>
              <w:left w:val="single" w:color="auto" w:sz="4" w:space="0"/>
              <w:bottom w:val="single" w:color="auto" w:sz="4" w:space="0"/>
              <w:right w:val="single" w:color="auto" w:sz="4" w:space="0"/>
            </w:tcBorders>
            <w:vAlign w:val="center"/>
          </w:tcPr>
          <w:p w14:paraId="1536721E">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C7EE8E2">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20D9EE8B">
            <w:pPr>
              <w:widowControl/>
              <w:adjustRightInd w:val="0"/>
              <w:snapToGrid w:val="0"/>
              <w:spacing w:line="360" w:lineRule="auto"/>
              <w:jc w:val="center"/>
              <w:rPr>
                <w:rFonts w:ascii="宋体" w:hAnsi="宋体" w:cs="宋体"/>
                <w:color w:val="auto"/>
                <w:szCs w:val="21"/>
              </w:rPr>
            </w:pPr>
          </w:p>
        </w:tc>
      </w:tr>
      <w:tr w14:paraId="4DE5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22514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347AEC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网络摄像机</w:t>
            </w:r>
          </w:p>
        </w:tc>
        <w:tc>
          <w:tcPr>
            <w:tcW w:w="896" w:type="dxa"/>
            <w:tcBorders>
              <w:top w:val="single" w:color="auto" w:sz="4" w:space="0"/>
              <w:left w:val="single" w:color="auto" w:sz="4" w:space="0"/>
              <w:bottom w:val="single" w:color="auto" w:sz="4" w:space="0"/>
              <w:right w:val="single" w:color="auto" w:sz="4" w:space="0"/>
            </w:tcBorders>
            <w:vAlign w:val="center"/>
          </w:tcPr>
          <w:p w14:paraId="2EB7C8E2">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050C7BD2">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2416B78">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0B32D4E7">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0A61199">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16</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2D6DDDB">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132BDE15">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00193E8">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50D2A457">
            <w:pPr>
              <w:widowControl/>
              <w:adjustRightInd w:val="0"/>
              <w:snapToGrid w:val="0"/>
              <w:spacing w:line="360" w:lineRule="auto"/>
              <w:jc w:val="center"/>
              <w:rPr>
                <w:rFonts w:ascii="宋体" w:hAnsi="宋体" w:cs="宋体"/>
                <w:color w:val="auto"/>
                <w:szCs w:val="21"/>
              </w:rPr>
            </w:pPr>
          </w:p>
        </w:tc>
      </w:tr>
      <w:tr w14:paraId="59DF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8F14D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6299EE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网络硬盘录像机</w:t>
            </w:r>
          </w:p>
        </w:tc>
        <w:tc>
          <w:tcPr>
            <w:tcW w:w="896" w:type="dxa"/>
            <w:tcBorders>
              <w:top w:val="single" w:color="auto" w:sz="4" w:space="0"/>
              <w:left w:val="single" w:color="auto" w:sz="4" w:space="0"/>
              <w:bottom w:val="single" w:color="auto" w:sz="4" w:space="0"/>
              <w:right w:val="single" w:color="auto" w:sz="4" w:space="0"/>
            </w:tcBorders>
            <w:vAlign w:val="center"/>
          </w:tcPr>
          <w:p w14:paraId="717CC320">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0201C2C">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6268D21">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4CB51880">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4A50482">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3A5EFE0">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0CE548EF">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8762AE5">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607D2C10">
            <w:pPr>
              <w:widowControl/>
              <w:adjustRightInd w:val="0"/>
              <w:snapToGrid w:val="0"/>
              <w:spacing w:line="360" w:lineRule="auto"/>
              <w:jc w:val="center"/>
              <w:rPr>
                <w:rFonts w:ascii="宋体" w:hAnsi="宋体" w:cs="宋体"/>
                <w:color w:val="auto"/>
                <w:szCs w:val="21"/>
              </w:rPr>
            </w:pPr>
          </w:p>
        </w:tc>
      </w:tr>
      <w:tr w14:paraId="1F38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010F0D">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DD0D6E6">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POE交换机</w:t>
            </w:r>
          </w:p>
        </w:tc>
        <w:tc>
          <w:tcPr>
            <w:tcW w:w="896" w:type="dxa"/>
            <w:tcBorders>
              <w:top w:val="single" w:color="auto" w:sz="4" w:space="0"/>
              <w:left w:val="single" w:color="auto" w:sz="4" w:space="0"/>
              <w:bottom w:val="single" w:color="auto" w:sz="4" w:space="0"/>
              <w:right w:val="single" w:color="auto" w:sz="4" w:space="0"/>
            </w:tcBorders>
            <w:vAlign w:val="center"/>
          </w:tcPr>
          <w:p w14:paraId="43D48325">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19036C8E">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7BA220BA">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49646426">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AF74D27">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A0AE86">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469201A9">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0780431">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774A1303">
            <w:pPr>
              <w:widowControl/>
              <w:adjustRightInd w:val="0"/>
              <w:snapToGrid w:val="0"/>
              <w:spacing w:line="360" w:lineRule="auto"/>
              <w:jc w:val="center"/>
              <w:rPr>
                <w:rFonts w:ascii="宋体" w:hAnsi="宋体" w:cs="宋体"/>
                <w:color w:val="auto"/>
                <w:szCs w:val="21"/>
              </w:rPr>
            </w:pPr>
          </w:p>
        </w:tc>
      </w:tr>
      <w:tr w14:paraId="336F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037AF3">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F26108D">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智能指纹门禁一体机</w:t>
            </w:r>
          </w:p>
        </w:tc>
        <w:tc>
          <w:tcPr>
            <w:tcW w:w="896" w:type="dxa"/>
            <w:tcBorders>
              <w:top w:val="single" w:color="auto" w:sz="4" w:space="0"/>
              <w:left w:val="single" w:color="auto" w:sz="4" w:space="0"/>
              <w:bottom w:val="single" w:color="auto" w:sz="4" w:space="0"/>
              <w:right w:val="single" w:color="auto" w:sz="4" w:space="0"/>
            </w:tcBorders>
            <w:vAlign w:val="center"/>
          </w:tcPr>
          <w:p w14:paraId="58847199">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7EB52E8">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132F11D">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29030D3E">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6BC003C">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9</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CD542D5">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3456BBE2">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7C43069">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0595A50A">
            <w:pPr>
              <w:widowControl/>
              <w:adjustRightInd w:val="0"/>
              <w:snapToGrid w:val="0"/>
              <w:spacing w:line="360" w:lineRule="auto"/>
              <w:jc w:val="center"/>
              <w:rPr>
                <w:rFonts w:ascii="宋体" w:hAnsi="宋体" w:cs="宋体"/>
                <w:color w:val="auto"/>
                <w:szCs w:val="21"/>
              </w:rPr>
            </w:pPr>
          </w:p>
        </w:tc>
      </w:tr>
      <w:tr w14:paraId="41D7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701EB3">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52D1F5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矿棉吸音板</w:t>
            </w:r>
          </w:p>
        </w:tc>
        <w:tc>
          <w:tcPr>
            <w:tcW w:w="896" w:type="dxa"/>
            <w:tcBorders>
              <w:top w:val="single" w:color="auto" w:sz="4" w:space="0"/>
              <w:left w:val="single" w:color="auto" w:sz="4" w:space="0"/>
              <w:bottom w:val="single" w:color="auto" w:sz="4" w:space="0"/>
              <w:right w:val="single" w:color="auto" w:sz="4" w:space="0"/>
            </w:tcBorders>
            <w:vAlign w:val="center"/>
          </w:tcPr>
          <w:p w14:paraId="2C62ABD7">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5186CDA5">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213AD8B">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0E02B899">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7BB48FC">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600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E674E9">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w:t>
            </w:r>
          </w:p>
        </w:tc>
        <w:tc>
          <w:tcPr>
            <w:tcW w:w="1020" w:type="dxa"/>
            <w:tcBorders>
              <w:top w:val="single" w:color="auto" w:sz="4" w:space="0"/>
              <w:left w:val="single" w:color="auto" w:sz="4" w:space="0"/>
              <w:bottom w:val="single" w:color="auto" w:sz="4" w:space="0"/>
              <w:right w:val="single" w:color="auto" w:sz="4" w:space="0"/>
            </w:tcBorders>
            <w:vAlign w:val="center"/>
          </w:tcPr>
          <w:p w14:paraId="251419F3">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ED5C517">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7A2F6AA3">
            <w:pPr>
              <w:widowControl/>
              <w:adjustRightInd w:val="0"/>
              <w:snapToGrid w:val="0"/>
              <w:spacing w:line="360" w:lineRule="auto"/>
              <w:jc w:val="center"/>
              <w:rPr>
                <w:rFonts w:ascii="宋体" w:hAnsi="宋体" w:cs="宋体"/>
                <w:color w:val="auto"/>
                <w:szCs w:val="21"/>
              </w:rPr>
            </w:pPr>
          </w:p>
        </w:tc>
      </w:tr>
      <w:tr w14:paraId="72F7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9F3BB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36</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2095BA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全钢防静电地板</w:t>
            </w:r>
          </w:p>
        </w:tc>
        <w:tc>
          <w:tcPr>
            <w:tcW w:w="896" w:type="dxa"/>
            <w:tcBorders>
              <w:top w:val="single" w:color="auto" w:sz="4" w:space="0"/>
              <w:left w:val="single" w:color="auto" w:sz="4" w:space="0"/>
              <w:bottom w:val="single" w:color="auto" w:sz="4" w:space="0"/>
              <w:right w:val="single" w:color="auto" w:sz="4" w:space="0"/>
            </w:tcBorders>
            <w:vAlign w:val="center"/>
          </w:tcPr>
          <w:p w14:paraId="783FE4E0">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0F19E8DB">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7164D27">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050ACBB1">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02678F8C">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6</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14DB66">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间</w:t>
            </w:r>
          </w:p>
        </w:tc>
        <w:tc>
          <w:tcPr>
            <w:tcW w:w="1020" w:type="dxa"/>
            <w:tcBorders>
              <w:top w:val="single" w:color="auto" w:sz="4" w:space="0"/>
              <w:left w:val="single" w:color="auto" w:sz="4" w:space="0"/>
              <w:bottom w:val="single" w:color="auto" w:sz="4" w:space="0"/>
              <w:right w:val="single" w:color="auto" w:sz="4" w:space="0"/>
            </w:tcBorders>
            <w:vAlign w:val="center"/>
          </w:tcPr>
          <w:p w14:paraId="6A5DC23A">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DB32BBD">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57F5D453">
            <w:pPr>
              <w:widowControl/>
              <w:adjustRightInd w:val="0"/>
              <w:snapToGrid w:val="0"/>
              <w:spacing w:line="360" w:lineRule="auto"/>
              <w:jc w:val="center"/>
              <w:rPr>
                <w:rFonts w:ascii="宋体" w:hAnsi="宋体" w:cs="宋体"/>
                <w:color w:val="auto"/>
                <w:szCs w:val="21"/>
              </w:rPr>
            </w:pPr>
          </w:p>
        </w:tc>
      </w:tr>
      <w:tr w14:paraId="1AFB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3A8B9F">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37</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F92FFC7">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机房运维管控系统</w:t>
            </w:r>
          </w:p>
        </w:tc>
        <w:tc>
          <w:tcPr>
            <w:tcW w:w="896" w:type="dxa"/>
            <w:tcBorders>
              <w:top w:val="single" w:color="auto" w:sz="4" w:space="0"/>
              <w:left w:val="single" w:color="auto" w:sz="4" w:space="0"/>
              <w:bottom w:val="single" w:color="auto" w:sz="4" w:space="0"/>
              <w:right w:val="single" w:color="auto" w:sz="4" w:space="0"/>
            </w:tcBorders>
            <w:vAlign w:val="center"/>
          </w:tcPr>
          <w:p w14:paraId="2B8A123E">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85A742B">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007D703">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5F3D68FC">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6471FCD">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8EC9E3F">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769BAF26">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1E8EC8B">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6AA3345B">
            <w:pPr>
              <w:widowControl/>
              <w:adjustRightInd w:val="0"/>
              <w:snapToGrid w:val="0"/>
              <w:spacing w:line="360" w:lineRule="auto"/>
              <w:jc w:val="center"/>
              <w:rPr>
                <w:rFonts w:ascii="宋体" w:hAnsi="宋体" w:cs="宋体"/>
                <w:color w:val="auto"/>
                <w:szCs w:val="21"/>
              </w:rPr>
            </w:pPr>
          </w:p>
        </w:tc>
      </w:tr>
      <w:tr w14:paraId="3699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9413F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6E8FC0D">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精密空调</w:t>
            </w:r>
          </w:p>
        </w:tc>
        <w:tc>
          <w:tcPr>
            <w:tcW w:w="896" w:type="dxa"/>
            <w:tcBorders>
              <w:top w:val="single" w:color="auto" w:sz="4" w:space="0"/>
              <w:left w:val="single" w:color="auto" w:sz="4" w:space="0"/>
              <w:bottom w:val="single" w:color="auto" w:sz="4" w:space="0"/>
              <w:right w:val="single" w:color="auto" w:sz="4" w:space="0"/>
            </w:tcBorders>
            <w:vAlign w:val="center"/>
          </w:tcPr>
          <w:p w14:paraId="2848E29F">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646594E">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7090008B">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5EC18ADB">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66FDD9B">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9CB7551">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7CBE15DA">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77207FF">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4F15B650">
            <w:pPr>
              <w:widowControl/>
              <w:adjustRightInd w:val="0"/>
              <w:snapToGrid w:val="0"/>
              <w:spacing w:line="360" w:lineRule="auto"/>
              <w:jc w:val="center"/>
              <w:rPr>
                <w:rFonts w:ascii="宋体" w:hAnsi="宋体" w:cs="宋体"/>
                <w:color w:val="auto"/>
                <w:szCs w:val="21"/>
              </w:rPr>
            </w:pPr>
          </w:p>
        </w:tc>
      </w:tr>
      <w:tr w14:paraId="10AC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D7ED7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39</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B923C4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42U机柜</w:t>
            </w:r>
          </w:p>
        </w:tc>
        <w:tc>
          <w:tcPr>
            <w:tcW w:w="896" w:type="dxa"/>
            <w:tcBorders>
              <w:top w:val="single" w:color="auto" w:sz="4" w:space="0"/>
              <w:left w:val="single" w:color="auto" w:sz="4" w:space="0"/>
              <w:bottom w:val="single" w:color="auto" w:sz="4" w:space="0"/>
              <w:right w:val="single" w:color="auto" w:sz="4" w:space="0"/>
            </w:tcBorders>
            <w:vAlign w:val="center"/>
          </w:tcPr>
          <w:p w14:paraId="5170ED45">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02C0471">
            <w:pPr>
              <w:pStyle w:val="37"/>
              <w:adjustRightInd w:val="0"/>
              <w:snapToGrid w:val="0"/>
              <w:spacing w:before="0" w:beforeAutospacing="0" w:after="0" w:afterAutospacing="0" w:line="360" w:lineRule="auto"/>
              <w:jc w:val="center"/>
              <w:textAlignment w:val="center"/>
              <w:rPr>
                <w:rFonts w:cs="宋体"/>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9904D40">
            <w:pPr>
              <w:widowControl/>
              <w:adjustRightInd w:val="0"/>
              <w:snapToGrid w:val="0"/>
              <w:spacing w:line="360" w:lineRule="auto"/>
              <w:jc w:val="center"/>
              <w:textAlignment w:val="center"/>
              <w:rPr>
                <w:rFonts w:ascii="宋体" w:hAnsi="宋体" w:cs="宋体"/>
                <w:color w:val="auto"/>
                <w:kern w:val="0"/>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25B35CBA">
            <w:pPr>
              <w:widowControl/>
              <w:adjustRightInd w:val="0"/>
              <w:snapToGrid w:val="0"/>
              <w:spacing w:line="360" w:lineRule="auto"/>
              <w:jc w:val="center"/>
              <w:textAlignment w:val="center"/>
              <w:rPr>
                <w:rFonts w:ascii="宋体" w:hAnsi="宋体" w:cs="宋体"/>
                <w:color w:val="auto"/>
                <w:kern w:val="0"/>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0F2AAB32">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3</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C8F0752">
            <w:pPr>
              <w:widowControl/>
              <w:jc w:val="center"/>
              <w:textAlignment w:val="center"/>
              <w:rPr>
                <w:rFonts w:asciiTheme="minorEastAsia" w:hAnsiTheme="minorEastAsia" w:eastAsiaTheme="minorEastAsia" w:cstheme="minorEastAsia"/>
                <w:color w:val="auto"/>
                <w:szCs w:val="21"/>
              </w:rPr>
            </w:pPr>
            <w:r>
              <w:rPr>
                <w:rFonts w:hint="eastAsia" w:ascii="宋体" w:hAnsi="宋体" w:cs="宋体"/>
                <w:color w:val="auto"/>
                <w:kern w:val="0"/>
                <w:szCs w:val="21"/>
                <w:lang w:bidi="ar"/>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13FCDD04">
            <w:pPr>
              <w:widowControl/>
              <w:adjustRightInd w:val="0"/>
              <w:snapToGrid w:val="0"/>
              <w:spacing w:line="360" w:lineRule="auto"/>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7BC13B4F">
            <w:pPr>
              <w:widowControl/>
              <w:adjustRightInd w:val="0"/>
              <w:snapToGrid w:val="0"/>
              <w:spacing w:line="360" w:lineRule="auto"/>
              <w:jc w:val="center"/>
              <w:rPr>
                <w:rFonts w:ascii="宋体" w:hAnsi="宋体" w:cs="宋体"/>
                <w:color w:val="auto"/>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6718A421">
            <w:pPr>
              <w:widowControl/>
              <w:adjustRightInd w:val="0"/>
              <w:snapToGrid w:val="0"/>
              <w:spacing w:line="360" w:lineRule="auto"/>
              <w:jc w:val="center"/>
              <w:rPr>
                <w:rFonts w:ascii="宋体" w:hAnsi="宋体" w:cs="宋体"/>
                <w:color w:val="auto"/>
                <w:szCs w:val="21"/>
              </w:rPr>
            </w:pPr>
          </w:p>
        </w:tc>
      </w:tr>
      <w:tr w14:paraId="0755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07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9646547">
            <w:pPr>
              <w:pStyle w:val="179"/>
              <w:adjustRightInd w:val="0"/>
              <w:snapToGrid w:val="0"/>
              <w:spacing w:line="360" w:lineRule="auto"/>
              <w:jc w:val="center"/>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合计</w:t>
            </w:r>
            <w:r>
              <w:rPr>
                <w:rFonts w:hint="eastAsia" w:asciiTheme="minorEastAsia" w:hAnsiTheme="minorEastAsia" w:eastAsiaTheme="minorEastAsia" w:cstheme="minorEastAsia"/>
                <w:color w:val="auto"/>
                <w:sz w:val="21"/>
                <w:szCs w:val="21"/>
              </w:rPr>
              <w:t>报价</w:t>
            </w:r>
            <w:r>
              <w:rPr>
                <w:rFonts w:hint="eastAsia" w:asciiTheme="minorEastAsia" w:hAnsiTheme="minorEastAsia" w:eastAsiaTheme="minorEastAsia" w:cstheme="minorEastAsia"/>
                <w:color w:val="auto"/>
                <w:sz w:val="21"/>
                <w:szCs w:val="21"/>
                <w:lang w:eastAsia="zh-CN"/>
              </w:rPr>
              <w:t>（元）</w:t>
            </w:r>
          </w:p>
        </w:tc>
        <w:tc>
          <w:tcPr>
            <w:tcW w:w="2640" w:type="dxa"/>
            <w:gridSpan w:val="3"/>
            <w:tcBorders>
              <w:top w:val="single" w:color="auto" w:sz="4" w:space="0"/>
              <w:left w:val="single" w:color="auto" w:sz="4" w:space="0"/>
              <w:bottom w:val="single" w:color="auto" w:sz="4" w:space="0"/>
              <w:right w:val="single" w:color="auto" w:sz="4" w:space="0"/>
            </w:tcBorders>
            <w:vAlign w:val="center"/>
          </w:tcPr>
          <w:p w14:paraId="4915D61A">
            <w:pPr>
              <w:widowControl/>
              <w:adjustRightInd w:val="0"/>
              <w:snapToGrid w:val="0"/>
              <w:spacing w:line="360" w:lineRule="auto"/>
              <w:jc w:val="center"/>
              <w:rPr>
                <w:rFonts w:ascii="宋体" w:hAnsi="宋体" w:cs="宋体"/>
                <w:color w:val="auto"/>
                <w:szCs w:val="21"/>
              </w:rPr>
            </w:pPr>
          </w:p>
        </w:tc>
      </w:tr>
    </w:tbl>
    <w:p w14:paraId="17892F24">
      <w:pPr>
        <w:spacing w:line="360" w:lineRule="auto"/>
        <w:ind w:firstLine="2" w:firstLineChars="1"/>
        <w:rPr>
          <w:rFonts w:ascii="宋体" w:hAnsi="宋体" w:cs="宋体"/>
          <w:color w:val="auto"/>
          <w:szCs w:val="21"/>
        </w:rPr>
      </w:pPr>
    </w:p>
    <w:p w14:paraId="0A334612">
      <w:pPr>
        <w:spacing w:line="360" w:lineRule="auto"/>
        <w:ind w:firstLine="2" w:firstLineChars="1"/>
        <w:rPr>
          <w:rFonts w:ascii="宋体" w:hAnsi="宋体" w:cs="宋体"/>
          <w:color w:val="auto"/>
          <w:szCs w:val="21"/>
        </w:rPr>
      </w:pPr>
      <w:r>
        <w:rPr>
          <w:rFonts w:hint="eastAsia" w:ascii="宋体" w:hAnsi="宋体" w:cs="宋体"/>
          <w:color w:val="auto"/>
          <w:szCs w:val="21"/>
        </w:rPr>
        <w:t>注：</w:t>
      </w:r>
    </w:p>
    <w:p w14:paraId="157BBA4C">
      <w:pPr>
        <w:spacing w:line="360" w:lineRule="auto"/>
        <w:ind w:firstLine="2" w:firstLineChars="1"/>
        <w:rPr>
          <w:rFonts w:ascii="宋体" w:hAnsi="宋体" w:cs="宋体"/>
          <w:color w:val="auto"/>
          <w:szCs w:val="21"/>
        </w:rPr>
      </w:pPr>
      <w:r>
        <w:rPr>
          <w:rFonts w:hint="eastAsia" w:ascii="宋体" w:hAnsi="宋体" w:cs="宋体"/>
          <w:color w:val="auto"/>
          <w:szCs w:val="21"/>
        </w:rPr>
        <w:t>1.表中合计报价应与开标一览表中“</w:t>
      </w:r>
      <w:r>
        <w:rPr>
          <w:rFonts w:hint="eastAsia" w:ascii="宋体" w:hAnsi="宋体" w:cs="宋体"/>
          <w:bCs/>
          <w:color w:val="auto"/>
          <w:szCs w:val="21"/>
        </w:rPr>
        <w:t>投标报价</w:t>
      </w:r>
      <w:r>
        <w:rPr>
          <w:rFonts w:hint="eastAsia" w:ascii="宋体" w:hAnsi="宋体" w:cs="宋体"/>
          <w:color w:val="auto"/>
          <w:szCs w:val="21"/>
        </w:rPr>
        <w:t>”一致。</w:t>
      </w:r>
    </w:p>
    <w:p w14:paraId="27EC58F9">
      <w:pPr>
        <w:spacing w:line="360" w:lineRule="auto"/>
        <w:ind w:firstLine="2" w:firstLineChars="1"/>
        <w:rPr>
          <w:rFonts w:ascii="宋体" w:hAnsi="宋体" w:cs="宋体"/>
          <w:color w:val="auto"/>
          <w:szCs w:val="21"/>
        </w:rPr>
      </w:pPr>
      <w:r>
        <w:rPr>
          <w:rFonts w:hint="eastAsia" w:ascii="宋体" w:hAnsi="宋体" w:cs="宋体"/>
          <w:bCs/>
          <w:color w:val="auto"/>
          <w:szCs w:val="21"/>
        </w:rPr>
        <w:t>★</w:t>
      </w:r>
      <w:r>
        <w:rPr>
          <w:rFonts w:hint="eastAsia" w:ascii="宋体" w:hAnsi="宋体" w:cs="宋体"/>
          <w:color w:val="auto"/>
          <w:szCs w:val="21"/>
        </w:rPr>
        <w:t>2.单价报价不得超过预算单价，否则投标文件按无效处理。</w:t>
      </w:r>
    </w:p>
    <w:p w14:paraId="2B9A6800">
      <w:pPr>
        <w:spacing w:line="360" w:lineRule="auto"/>
        <w:ind w:firstLine="2" w:firstLineChars="1"/>
        <w:rPr>
          <w:rFonts w:ascii="宋体" w:hAnsi="宋体" w:cs="宋体"/>
          <w:color w:val="auto"/>
          <w:szCs w:val="21"/>
        </w:rPr>
      </w:pPr>
    </w:p>
    <w:p w14:paraId="6053E259">
      <w:pPr>
        <w:spacing w:line="360" w:lineRule="auto"/>
        <w:ind w:firstLine="2" w:firstLineChars="1"/>
        <w:rPr>
          <w:rFonts w:ascii="宋体" w:hAnsi="宋体" w:cs="宋体"/>
          <w:color w:val="auto"/>
          <w:szCs w:val="21"/>
        </w:rPr>
      </w:pPr>
      <w:r>
        <w:rPr>
          <w:rFonts w:hint="eastAsia" w:ascii="宋体" w:hAnsi="宋体" w:cs="宋体"/>
          <w:color w:val="auto"/>
          <w:szCs w:val="21"/>
        </w:rPr>
        <w:t>投标人（加盖投标人电子公章）：</w:t>
      </w:r>
    </w:p>
    <w:p w14:paraId="3BFF2982">
      <w:pPr>
        <w:spacing w:line="360" w:lineRule="auto"/>
        <w:ind w:firstLine="2" w:firstLineChars="1"/>
        <w:rPr>
          <w:rFonts w:ascii="宋体" w:hAnsi="宋体" w:cs="宋体"/>
          <w:color w:val="auto"/>
          <w:szCs w:val="21"/>
        </w:rPr>
      </w:pPr>
      <w:r>
        <w:rPr>
          <w:rFonts w:hint="eastAsia" w:ascii="宋体" w:hAnsi="宋体" w:cs="宋体"/>
          <w:color w:val="auto"/>
          <w:szCs w:val="21"/>
        </w:rPr>
        <w:t>法定代表人（电子签名或电子签章）：</w:t>
      </w:r>
    </w:p>
    <w:p w14:paraId="24385407">
      <w:pPr>
        <w:pStyle w:val="20"/>
        <w:spacing w:line="360" w:lineRule="auto"/>
        <w:rPr>
          <w:rFonts w:hAnsi="宋体" w:cs="宋体"/>
          <w:color w:val="auto"/>
          <w:szCs w:val="21"/>
        </w:rPr>
      </w:pPr>
      <w:r>
        <w:rPr>
          <w:rFonts w:hint="eastAsia" w:hAnsi="宋体" w:cs="宋体"/>
          <w:color w:val="auto"/>
          <w:szCs w:val="21"/>
        </w:rPr>
        <w:t>日期：</w:t>
      </w:r>
    </w:p>
    <w:p w14:paraId="0AECB296">
      <w:pPr>
        <w:rPr>
          <w:rFonts w:hAnsi="宋体" w:cs="宋体"/>
          <w:color w:val="auto"/>
          <w:szCs w:val="21"/>
        </w:rPr>
      </w:pPr>
      <w:r>
        <w:rPr>
          <w:rFonts w:hint="eastAsia" w:hAnsi="宋体" w:cs="宋体"/>
          <w:color w:val="auto"/>
          <w:szCs w:val="21"/>
        </w:rPr>
        <w:br w:type="page"/>
      </w:r>
    </w:p>
    <w:p w14:paraId="7F84AB10">
      <w:pPr>
        <w:widowControl/>
        <w:adjustRightInd w:val="0"/>
        <w:snapToGrid w:val="0"/>
        <w:spacing w:line="360" w:lineRule="auto"/>
        <w:jc w:val="left"/>
        <w:rPr>
          <w:rFonts w:ascii="宋体" w:hAnsi="宋体" w:cs="宋体"/>
          <w:b/>
          <w:color w:val="auto"/>
          <w:sz w:val="28"/>
          <w:szCs w:val="28"/>
        </w:rPr>
      </w:pPr>
      <w:bookmarkStart w:id="465" w:name="_Toc2106"/>
      <w:bookmarkStart w:id="466" w:name="_Toc6496661"/>
      <w:r>
        <w:rPr>
          <w:rFonts w:hint="eastAsia" w:ascii="宋体" w:hAnsi="宋体" w:cs="宋体"/>
          <w:b/>
          <w:color w:val="auto"/>
          <w:sz w:val="28"/>
          <w:szCs w:val="28"/>
        </w:rPr>
        <w:t>格式</w:t>
      </w:r>
      <w:bookmarkEnd w:id="465"/>
      <w:bookmarkEnd w:id="466"/>
      <w:r>
        <w:rPr>
          <w:rFonts w:hint="eastAsia" w:ascii="宋体" w:hAnsi="宋体" w:cs="宋体"/>
          <w:b/>
          <w:color w:val="auto"/>
          <w:sz w:val="28"/>
          <w:szCs w:val="28"/>
        </w:rPr>
        <w:t>16</w:t>
      </w:r>
    </w:p>
    <w:p w14:paraId="0A9999EC">
      <w:pPr>
        <w:keepNext/>
        <w:keepLines/>
        <w:adjustRightInd w:val="0"/>
        <w:snapToGrid w:val="0"/>
        <w:spacing w:line="360" w:lineRule="auto"/>
        <w:jc w:val="center"/>
        <w:rPr>
          <w:rFonts w:ascii="宋体" w:hAnsi="宋体" w:cs="宋体"/>
          <w:b/>
          <w:bCs/>
          <w:color w:val="auto"/>
          <w:sz w:val="32"/>
          <w:szCs w:val="32"/>
        </w:rPr>
      </w:pPr>
      <w:bookmarkStart w:id="467" w:name="_Toc5999"/>
      <w:bookmarkStart w:id="468" w:name="_Toc15025"/>
      <w:bookmarkStart w:id="469" w:name="_Toc21311"/>
      <w:bookmarkStart w:id="470" w:name="_Toc12064"/>
      <w:bookmarkStart w:id="471" w:name="_Toc6496662"/>
      <w:r>
        <w:rPr>
          <w:rFonts w:hint="eastAsia" w:ascii="宋体" w:hAnsi="宋体" w:cs="宋体"/>
          <w:b/>
          <w:bCs/>
          <w:color w:val="auto"/>
          <w:sz w:val="32"/>
          <w:szCs w:val="32"/>
        </w:rPr>
        <w:t>随机专用工具明细表</w:t>
      </w:r>
      <w:bookmarkEnd w:id="467"/>
      <w:bookmarkEnd w:id="468"/>
      <w:bookmarkEnd w:id="469"/>
      <w:bookmarkEnd w:id="470"/>
      <w:bookmarkEnd w:id="471"/>
    </w:p>
    <w:p w14:paraId="5281B553">
      <w:pPr>
        <w:pStyle w:val="20"/>
        <w:adjustRightInd w:val="0"/>
        <w:snapToGrid w:val="0"/>
        <w:spacing w:line="360" w:lineRule="auto"/>
        <w:rPr>
          <w:rFonts w:hAnsi="宋体" w:cs="宋体"/>
          <w:b/>
          <w:color w:val="auto"/>
          <w:szCs w:val="21"/>
        </w:rPr>
      </w:pPr>
      <w:r>
        <w:rPr>
          <w:rFonts w:hint="eastAsia" w:hAnsi="宋体" w:cs="宋体"/>
          <w:b/>
          <w:color w:val="auto"/>
          <w:szCs w:val="21"/>
        </w:rPr>
        <w:t>项目名称：</w:t>
      </w:r>
    </w:p>
    <w:p w14:paraId="3E07067B">
      <w:pPr>
        <w:pStyle w:val="20"/>
        <w:adjustRightInd w:val="0"/>
        <w:snapToGrid w:val="0"/>
        <w:spacing w:line="360" w:lineRule="auto"/>
        <w:rPr>
          <w:rFonts w:hAnsi="宋体" w:cs="宋体"/>
          <w:b/>
          <w:color w:val="auto"/>
          <w:szCs w:val="21"/>
        </w:rPr>
      </w:pPr>
      <w:r>
        <w:rPr>
          <w:rFonts w:hint="eastAsia" w:hAnsi="宋体" w:cs="宋体"/>
          <w:b/>
          <w:color w:val="auto"/>
          <w:szCs w:val="21"/>
        </w:rPr>
        <w:t>项目编号：</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00"/>
        <w:gridCol w:w="1036"/>
        <w:gridCol w:w="1626"/>
        <w:gridCol w:w="733"/>
        <w:gridCol w:w="1088"/>
        <w:gridCol w:w="708"/>
      </w:tblGrid>
      <w:tr w14:paraId="3A6B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vAlign w:val="center"/>
          </w:tcPr>
          <w:p w14:paraId="3C4A1945">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序号</w:t>
            </w:r>
          </w:p>
        </w:tc>
        <w:tc>
          <w:tcPr>
            <w:tcW w:w="2400" w:type="dxa"/>
            <w:vAlign w:val="center"/>
          </w:tcPr>
          <w:p w14:paraId="4879691B">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名称</w:t>
            </w:r>
          </w:p>
        </w:tc>
        <w:tc>
          <w:tcPr>
            <w:tcW w:w="1036" w:type="dxa"/>
            <w:vAlign w:val="center"/>
          </w:tcPr>
          <w:p w14:paraId="40894BF4">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型号和规格</w:t>
            </w:r>
          </w:p>
        </w:tc>
        <w:tc>
          <w:tcPr>
            <w:tcW w:w="1626" w:type="dxa"/>
            <w:vAlign w:val="center"/>
          </w:tcPr>
          <w:p w14:paraId="0C044A3C">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生产制造商名称、国别</w:t>
            </w:r>
          </w:p>
        </w:tc>
        <w:tc>
          <w:tcPr>
            <w:tcW w:w="733" w:type="dxa"/>
            <w:vAlign w:val="center"/>
          </w:tcPr>
          <w:p w14:paraId="62B583CD">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数量</w:t>
            </w:r>
          </w:p>
        </w:tc>
        <w:tc>
          <w:tcPr>
            <w:tcW w:w="1088" w:type="dxa"/>
            <w:vAlign w:val="center"/>
          </w:tcPr>
          <w:p w14:paraId="0B8974E3">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计量单位</w:t>
            </w:r>
          </w:p>
        </w:tc>
        <w:tc>
          <w:tcPr>
            <w:tcW w:w="708" w:type="dxa"/>
            <w:vAlign w:val="center"/>
          </w:tcPr>
          <w:p w14:paraId="4E9DBBC1">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备注</w:t>
            </w:r>
          </w:p>
        </w:tc>
      </w:tr>
      <w:tr w14:paraId="12B7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tcPr>
          <w:p w14:paraId="2354EAAB">
            <w:pPr>
              <w:adjustRightInd w:val="0"/>
              <w:snapToGrid w:val="0"/>
              <w:spacing w:line="360" w:lineRule="auto"/>
              <w:rPr>
                <w:rFonts w:ascii="宋体" w:hAnsi="宋体" w:cs="宋体"/>
                <w:color w:val="auto"/>
                <w:szCs w:val="21"/>
              </w:rPr>
            </w:pPr>
          </w:p>
        </w:tc>
        <w:tc>
          <w:tcPr>
            <w:tcW w:w="2400" w:type="dxa"/>
          </w:tcPr>
          <w:p w14:paraId="7C70A71F">
            <w:pPr>
              <w:adjustRightInd w:val="0"/>
              <w:snapToGrid w:val="0"/>
              <w:spacing w:line="360" w:lineRule="auto"/>
              <w:rPr>
                <w:rFonts w:ascii="宋体" w:hAnsi="宋体" w:cs="宋体"/>
                <w:color w:val="auto"/>
                <w:szCs w:val="21"/>
              </w:rPr>
            </w:pPr>
          </w:p>
        </w:tc>
        <w:tc>
          <w:tcPr>
            <w:tcW w:w="1036" w:type="dxa"/>
          </w:tcPr>
          <w:p w14:paraId="7F53C6D3">
            <w:pPr>
              <w:adjustRightInd w:val="0"/>
              <w:snapToGrid w:val="0"/>
              <w:spacing w:line="360" w:lineRule="auto"/>
              <w:rPr>
                <w:rFonts w:ascii="宋体" w:hAnsi="宋体" w:cs="宋体"/>
                <w:color w:val="auto"/>
                <w:szCs w:val="21"/>
              </w:rPr>
            </w:pPr>
          </w:p>
        </w:tc>
        <w:tc>
          <w:tcPr>
            <w:tcW w:w="1626" w:type="dxa"/>
          </w:tcPr>
          <w:p w14:paraId="168728BF">
            <w:pPr>
              <w:adjustRightInd w:val="0"/>
              <w:snapToGrid w:val="0"/>
              <w:spacing w:line="360" w:lineRule="auto"/>
              <w:rPr>
                <w:rFonts w:ascii="宋体" w:hAnsi="宋体" w:cs="宋体"/>
                <w:color w:val="auto"/>
                <w:szCs w:val="21"/>
              </w:rPr>
            </w:pPr>
          </w:p>
        </w:tc>
        <w:tc>
          <w:tcPr>
            <w:tcW w:w="733" w:type="dxa"/>
          </w:tcPr>
          <w:p w14:paraId="1B29C894">
            <w:pPr>
              <w:adjustRightInd w:val="0"/>
              <w:snapToGrid w:val="0"/>
              <w:spacing w:line="360" w:lineRule="auto"/>
              <w:rPr>
                <w:rFonts w:ascii="宋体" w:hAnsi="宋体" w:cs="宋体"/>
                <w:color w:val="auto"/>
                <w:szCs w:val="21"/>
              </w:rPr>
            </w:pPr>
          </w:p>
        </w:tc>
        <w:tc>
          <w:tcPr>
            <w:tcW w:w="1088" w:type="dxa"/>
          </w:tcPr>
          <w:p w14:paraId="2F5427A7">
            <w:pPr>
              <w:adjustRightInd w:val="0"/>
              <w:snapToGrid w:val="0"/>
              <w:spacing w:line="360" w:lineRule="auto"/>
              <w:rPr>
                <w:rFonts w:ascii="宋体" w:hAnsi="宋体" w:cs="宋体"/>
                <w:color w:val="auto"/>
                <w:szCs w:val="21"/>
              </w:rPr>
            </w:pPr>
          </w:p>
        </w:tc>
        <w:tc>
          <w:tcPr>
            <w:tcW w:w="708" w:type="dxa"/>
          </w:tcPr>
          <w:p w14:paraId="5AC4F5A3">
            <w:pPr>
              <w:adjustRightInd w:val="0"/>
              <w:snapToGrid w:val="0"/>
              <w:spacing w:line="360" w:lineRule="auto"/>
              <w:rPr>
                <w:rFonts w:ascii="宋体" w:hAnsi="宋体" w:cs="宋体"/>
                <w:color w:val="auto"/>
                <w:szCs w:val="21"/>
              </w:rPr>
            </w:pPr>
          </w:p>
        </w:tc>
      </w:tr>
      <w:tr w14:paraId="3A0D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tcPr>
          <w:p w14:paraId="00F3DBD1">
            <w:pPr>
              <w:adjustRightInd w:val="0"/>
              <w:snapToGrid w:val="0"/>
              <w:spacing w:line="360" w:lineRule="auto"/>
              <w:rPr>
                <w:rFonts w:ascii="宋体" w:hAnsi="宋体" w:cs="宋体"/>
                <w:color w:val="auto"/>
                <w:szCs w:val="21"/>
              </w:rPr>
            </w:pPr>
          </w:p>
        </w:tc>
        <w:tc>
          <w:tcPr>
            <w:tcW w:w="2400" w:type="dxa"/>
          </w:tcPr>
          <w:p w14:paraId="377B41A1">
            <w:pPr>
              <w:adjustRightInd w:val="0"/>
              <w:snapToGrid w:val="0"/>
              <w:spacing w:line="360" w:lineRule="auto"/>
              <w:rPr>
                <w:rFonts w:ascii="宋体" w:hAnsi="宋体" w:cs="宋体"/>
                <w:color w:val="auto"/>
                <w:szCs w:val="21"/>
              </w:rPr>
            </w:pPr>
          </w:p>
        </w:tc>
        <w:tc>
          <w:tcPr>
            <w:tcW w:w="1036" w:type="dxa"/>
          </w:tcPr>
          <w:p w14:paraId="3C6A73B6">
            <w:pPr>
              <w:adjustRightInd w:val="0"/>
              <w:snapToGrid w:val="0"/>
              <w:spacing w:line="360" w:lineRule="auto"/>
              <w:rPr>
                <w:rFonts w:ascii="宋体" w:hAnsi="宋体" w:cs="宋体"/>
                <w:color w:val="auto"/>
                <w:szCs w:val="21"/>
              </w:rPr>
            </w:pPr>
          </w:p>
        </w:tc>
        <w:tc>
          <w:tcPr>
            <w:tcW w:w="1626" w:type="dxa"/>
          </w:tcPr>
          <w:p w14:paraId="298140ED">
            <w:pPr>
              <w:adjustRightInd w:val="0"/>
              <w:snapToGrid w:val="0"/>
              <w:spacing w:line="360" w:lineRule="auto"/>
              <w:rPr>
                <w:rFonts w:ascii="宋体" w:hAnsi="宋体" w:cs="宋体"/>
                <w:color w:val="auto"/>
                <w:szCs w:val="21"/>
              </w:rPr>
            </w:pPr>
          </w:p>
        </w:tc>
        <w:tc>
          <w:tcPr>
            <w:tcW w:w="733" w:type="dxa"/>
          </w:tcPr>
          <w:p w14:paraId="3680EF38">
            <w:pPr>
              <w:adjustRightInd w:val="0"/>
              <w:snapToGrid w:val="0"/>
              <w:spacing w:line="360" w:lineRule="auto"/>
              <w:rPr>
                <w:rFonts w:ascii="宋体" w:hAnsi="宋体" w:cs="宋体"/>
                <w:color w:val="auto"/>
                <w:szCs w:val="21"/>
              </w:rPr>
            </w:pPr>
          </w:p>
        </w:tc>
        <w:tc>
          <w:tcPr>
            <w:tcW w:w="1088" w:type="dxa"/>
          </w:tcPr>
          <w:p w14:paraId="27F112EC">
            <w:pPr>
              <w:adjustRightInd w:val="0"/>
              <w:snapToGrid w:val="0"/>
              <w:spacing w:line="360" w:lineRule="auto"/>
              <w:rPr>
                <w:rFonts w:ascii="宋体" w:hAnsi="宋体" w:cs="宋体"/>
                <w:color w:val="auto"/>
                <w:szCs w:val="21"/>
              </w:rPr>
            </w:pPr>
          </w:p>
        </w:tc>
        <w:tc>
          <w:tcPr>
            <w:tcW w:w="708" w:type="dxa"/>
          </w:tcPr>
          <w:p w14:paraId="1C4119CD">
            <w:pPr>
              <w:adjustRightInd w:val="0"/>
              <w:snapToGrid w:val="0"/>
              <w:spacing w:line="360" w:lineRule="auto"/>
              <w:rPr>
                <w:rFonts w:ascii="宋体" w:hAnsi="宋体" w:cs="宋体"/>
                <w:color w:val="auto"/>
                <w:szCs w:val="21"/>
              </w:rPr>
            </w:pPr>
          </w:p>
        </w:tc>
      </w:tr>
      <w:tr w14:paraId="5540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tcPr>
          <w:p w14:paraId="4573D6D8">
            <w:pPr>
              <w:adjustRightInd w:val="0"/>
              <w:snapToGrid w:val="0"/>
              <w:spacing w:line="360" w:lineRule="auto"/>
              <w:rPr>
                <w:rFonts w:ascii="宋体" w:hAnsi="宋体" w:cs="宋体"/>
                <w:color w:val="auto"/>
                <w:szCs w:val="21"/>
              </w:rPr>
            </w:pPr>
          </w:p>
        </w:tc>
        <w:tc>
          <w:tcPr>
            <w:tcW w:w="2400" w:type="dxa"/>
          </w:tcPr>
          <w:p w14:paraId="69C8774D">
            <w:pPr>
              <w:adjustRightInd w:val="0"/>
              <w:snapToGrid w:val="0"/>
              <w:spacing w:line="360" w:lineRule="auto"/>
              <w:rPr>
                <w:rFonts w:ascii="宋体" w:hAnsi="宋体" w:cs="宋体"/>
                <w:color w:val="auto"/>
                <w:szCs w:val="21"/>
              </w:rPr>
            </w:pPr>
          </w:p>
        </w:tc>
        <w:tc>
          <w:tcPr>
            <w:tcW w:w="1036" w:type="dxa"/>
          </w:tcPr>
          <w:p w14:paraId="2EA15F23">
            <w:pPr>
              <w:adjustRightInd w:val="0"/>
              <w:snapToGrid w:val="0"/>
              <w:spacing w:line="360" w:lineRule="auto"/>
              <w:rPr>
                <w:rFonts w:ascii="宋体" w:hAnsi="宋体" w:cs="宋体"/>
                <w:color w:val="auto"/>
                <w:szCs w:val="21"/>
              </w:rPr>
            </w:pPr>
          </w:p>
        </w:tc>
        <w:tc>
          <w:tcPr>
            <w:tcW w:w="1626" w:type="dxa"/>
          </w:tcPr>
          <w:p w14:paraId="0DFF45FC">
            <w:pPr>
              <w:adjustRightInd w:val="0"/>
              <w:snapToGrid w:val="0"/>
              <w:spacing w:line="360" w:lineRule="auto"/>
              <w:rPr>
                <w:rFonts w:ascii="宋体" w:hAnsi="宋体" w:cs="宋体"/>
                <w:color w:val="auto"/>
                <w:szCs w:val="21"/>
              </w:rPr>
            </w:pPr>
          </w:p>
        </w:tc>
        <w:tc>
          <w:tcPr>
            <w:tcW w:w="733" w:type="dxa"/>
          </w:tcPr>
          <w:p w14:paraId="6040CF00">
            <w:pPr>
              <w:adjustRightInd w:val="0"/>
              <w:snapToGrid w:val="0"/>
              <w:spacing w:line="360" w:lineRule="auto"/>
              <w:rPr>
                <w:rFonts w:ascii="宋体" w:hAnsi="宋体" w:cs="宋体"/>
                <w:color w:val="auto"/>
                <w:szCs w:val="21"/>
              </w:rPr>
            </w:pPr>
          </w:p>
        </w:tc>
        <w:tc>
          <w:tcPr>
            <w:tcW w:w="1088" w:type="dxa"/>
          </w:tcPr>
          <w:p w14:paraId="7409886E">
            <w:pPr>
              <w:adjustRightInd w:val="0"/>
              <w:snapToGrid w:val="0"/>
              <w:spacing w:line="360" w:lineRule="auto"/>
              <w:rPr>
                <w:rFonts w:ascii="宋体" w:hAnsi="宋体" w:cs="宋体"/>
                <w:color w:val="auto"/>
                <w:szCs w:val="21"/>
              </w:rPr>
            </w:pPr>
          </w:p>
        </w:tc>
        <w:tc>
          <w:tcPr>
            <w:tcW w:w="708" w:type="dxa"/>
          </w:tcPr>
          <w:p w14:paraId="113D59C6">
            <w:pPr>
              <w:adjustRightInd w:val="0"/>
              <w:snapToGrid w:val="0"/>
              <w:spacing w:line="360" w:lineRule="auto"/>
              <w:rPr>
                <w:rFonts w:ascii="宋体" w:hAnsi="宋体" w:cs="宋体"/>
                <w:color w:val="auto"/>
                <w:szCs w:val="21"/>
              </w:rPr>
            </w:pPr>
          </w:p>
        </w:tc>
      </w:tr>
    </w:tbl>
    <w:p w14:paraId="22EB815B">
      <w:pPr>
        <w:adjustRightInd w:val="0"/>
        <w:snapToGrid w:val="0"/>
        <w:spacing w:line="360" w:lineRule="auto"/>
        <w:rPr>
          <w:rFonts w:ascii="宋体" w:hAnsi="宋体" w:cs="宋体"/>
          <w:color w:val="auto"/>
          <w:szCs w:val="21"/>
        </w:rPr>
      </w:pPr>
      <w:r>
        <w:rPr>
          <w:rFonts w:hint="eastAsia" w:ascii="宋体" w:hAnsi="宋体" w:cs="宋体"/>
          <w:color w:val="auto"/>
          <w:szCs w:val="21"/>
        </w:rPr>
        <w:t>注：</w:t>
      </w:r>
    </w:p>
    <w:p w14:paraId="694D44E1">
      <w:pPr>
        <w:adjustRightInd w:val="0"/>
        <w:snapToGrid w:val="0"/>
        <w:spacing w:line="360" w:lineRule="auto"/>
        <w:rPr>
          <w:rFonts w:ascii="宋体" w:hAnsi="宋体" w:cs="宋体"/>
          <w:color w:val="auto"/>
          <w:szCs w:val="21"/>
        </w:rPr>
      </w:pPr>
      <w:r>
        <w:rPr>
          <w:rFonts w:hint="eastAsia" w:ascii="宋体" w:hAnsi="宋体" w:cs="宋体"/>
          <w:color w:val="auto"/>
          <w:szCs w:val="21"/>
        </w:rPr>
        <w:t>1.投标人若提供随机专用工具，此费用须包含在报价中，不单独列报。</w:t>
      </w:r>
    </w:p>
    <w:p w14:paraId="60BAAFDB">
      <w:pPr>
        <w:tabs>
          <w:tab w:val="center" w:pos="4323"/>
        </w:tabs>
        <w:adjustRightInd w:val="0"/>
        <w:snapToGrid w:val="0"/>
        <w:spacing w:line="360" w:lineRule="auto"/>
        <w:rPr>
          <w:rFonts w:ascii="宋体" w:hAnsi="宋体" w:cs="宋体"/>
          <w:b/>
          <w:color w:val="auto"/>
          <w:sz w:val="28"/>
          <w:szCs w:val="28"/>
        </w:rPr>
      </w:pPr>
      <w:r>
        <w:rPr>
          <w:rFonts w:hint="eastAsia" w:ascii="宋体" w:hAnsi="宋体" w:cs="宋体"/>
          <w:color w:val="auto"/>
          <w:szCs w:val="21"/>
        </w:rPr>
        <w:t>2.投标人可根据实际情况拓展本表。</w:t>
      </w:r>
      <w:r>
        <w:rPr>
          <w:rFonts w:hint="eastAsia" w:ascii="宋体" w:hAnsi="宋体" w:cs="宋体"/>
          <w:color w:val="auto"/>
          <w:szCs w:val="21"/>
        </w:rPr>
        <w:tab/>
      </w:r>
      <w:r>
        <w:rPr>
          <w:rFonts w:hint="eastAsia" w:ascii="宋体" w:hAnsi="宋体" w:cs="宋体"/>
          <w:color w:val="auto"/>
          <w:szCs w:val="21"/>
        </w:rPr>
        <w:t>若无随机专用工具的可不填或删除此表。</w:t>
      </w:r>
      <w:bookmarkStart w:id="472" w:name="_Toc6496663"/>
      <w:r>
        <w:rPr>
          <w:rFonts w:hint="eastAsia" w:ascii="宋体" w:hAnsi="宋体" w:cs="宋体"/>
          <w:b/>
          <w:color w:val="auto"/>
          <w:sz w:val="28"/>
          <w:szCs w:val="28"/>
        </w:rPr>
        <w:br w:type="page"/>
      </w:r>
      <w:bookmarkStart w:id="473" w:name="_Toc4950"/>
      <w:r>
        <w:rPr>
          <w:rFonts w:hint="eastAsia" w:ascii="宋体" w:hAnsi="宋体" w:cs="宋体"/>
          <w:b/>
          <w:color w:val="auto"/>
          <w:sz w:val="28"/>
          <w:szCs w:val="28"/>
        </w:rPr>
        <w:t>格式</w:t>
      </w:r>
      <w:bookmarkEnd w:id="472"/>
      <w:bookmarkEnd w:id="473"/>
      <w:r>
        <w:rPr>
          <w:rFonts w:hint="eastAsia" w:ascii="宋体" w:hAnsi="宋体" w:cs="宋体"/>
          <w:b/>
          <w:color w:val="auto"/>
          <w:sz w:val="28"/>
          <w:szCs w:val="28"/>
        </w:rPr>
        <w:t>17</w:t>
      </w:r>
    </w:p>
    <w:p w14:paraId="4C0C7FDB">
      <w:pPr>
        <w:keepNext/>
        <w:keepLines/>
        <w:adjustRightInd w:val="0"/>
        <w:snapToGrid w:val="0"/>
        <w:spacing w:line="360" w:lineRule="auto"/>
        <w:jc w:val="center"/>
        <w:rPr>
          <w:rFonts w:ascii="宋体" w:hAnsi="宋体" w:cs="宋体"/>
          <w:b/>
          <w:bCs/>
          <w:color w:val="auto"/>
          <w:sz w:val="32"/>
          <w:szCs w:val="32"/>
        </w:rPr>
      </w:pPr>
      <w:bookmarkStart w:id="474" w:name="_Toc21046"/>
      <w:bookmarkStart w:id="475" w:name="_Toc9110"/>
      <w:bookmarkStart w:id="476" w:name="_Toc11216"/>
      <w:bookmarkStart w:id="477" w:name="_Toc3219"/>
      <w:bookmarkStart w:id="478" w:name="_Toc6496664"/>
      <w:r>
        <w:rPr>
          <w:rFonts w:hint="eastAsia" w:ascii="宋体" w:hAnsi="宋体" w:cs="宋体"/>
          <w:b/>
          <w:bCs/>
          <w:color w:val="auto"/>
          <w:sz w:val="32"/>
          <w:szCs w:val="32"/>
        </w:rPr>
        <w:t>备品备件明细表</w:t>
      </w:r>
      <w:bookmarkEnd w:id="474"/>
      <w:bookmarkEnd w:id="475"/>
      <w:bookmarkEnd w:id="476"/>
      <w:bookmarkEnd w:id="477"/>
      <w:bookmarkEnd w:id="478"/>
    </w:p>
    <w:p w14:paraId="0FB70E44">
      <w:pPr>
        <w:pStyle w:val="20"/>
        <w:adjustRightInd w:val="0"/>
        <w:snapToGrid w:val="0"/>
        <w:spacing w:line="360" w:lineRule="auto"/>
        <w:rPr>
          <w:rFonts w:hAnsi="宋体" w:cs="宋体"/>
          <w:b/>
          <w:color w:val="auto"/>
          <w:szCs w:val="21"/>
        </w:rPr>
      </w:pPr>
      <w:bookmarkStart w:id="479" w:name="_Toc6496665"/>
      <w:r>
        <w:rPr>
          <w:rFonts w:hint="eastAsia" w:hAnsi="宋体" w:cs="宋体"/>
          <w:b/>
          <w:color w:val="auto"/>
          <w:szCs w:val="21"/>
        </w:rPr>
        <w:t>项目名称：</w:t>
      </w:r>
    </w:p>
    <w:p w14:paraId="1D56FB09">
      <w:pPr>
        <w:pStyle w:val="20"/>
        <w:adjustRightInd w:val="0"/>
        <w:snapToGrid w:val="0"/>
        <w:spacing w:line="360" w:lineRule="auto"/>
        <w:rPr>
          <w:rFonts w:hAnsi="宋体" w:cs="宋体"/>
          <w:b/>
          <w:color w:val="auto"/>
          <w:szCs w:val="21"/>
        </w:rPr>
      </w:pPr>
      <w:r>
        <w:rPr>
          <w:rFonts w:hint="eastAsia" w:hAnsi="宋体" w:cs="宋体"/>
          <w:b/>
          <w:color w:val="auto"/>
          <w:szCs w:val="21"/>
        </w:rPr>
        <w:t>项目编号：</w:t>
      </w:r>
    </w:p>
    <w:p w14:paraId="03A725F9">
      <w:pPr>
        <w:spacing w:line="420" w:lineRule="exact"/>
        <w:ind w:firstLine="420" w:firstLineChars="200"/>
        <w:rPr>
          <w:rFonts w:ascii="宋体" w:hAnsi="宋体"/>
          <w:color w:val="auto"/>
        </w:rPr>
      </w:pPr>
      <w:r>
        <w:rPr>
          <w:rFonts w:hint="eastAsia" w:ascii="宋体" w:hAnsi="宋体"/>
          <w:color w:val="auto"/>
        </w:rPr>
        <w:t>我方在此郑重承诺：若我方有幸成交，在今后的售后服务中，我方将严格按照下表中所列的优惠条件提供成交设备的备品备件。</w:t>
      </w:r>
    </w:p>
    <w:tbl>
      <w:tblPr>
        <w:tblStyle w:val="41"/>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890"/>
        <w:gridCol w:w="1155"/>
        <w:gridCol w:w="945"/>
        <w:gridCol w:w="735"/>
        <w:gridCol w:w="735"/>
        <w:gridCol w:w="735"/>
        <w:gridCol w:w="1634"/>
      </w:tblGrid>
      <w:tr w14:paraId="499A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42" w:type="dxa"/>
            <w:tcBorders>
              <w:top w:val="single" w:color="auto" w:sz="4" w:space="0"/>
              <w:left w:val="single" w:color="auto" w:sz="4" w:space="0"/>
              <w:bottom w:val="single" w:color="auto" w:sz="4" w:space="0"/>
              <w:right w:val="single" w:color="auto" w:sz="4" w:space="0"/>
            </w:tcBorders>
            <w:vAlign w:val="center"/>
          </w:tcPr>
          <w:p w14:paraId="0D1D98DB">
            <w:pPr>
              <w:spacing w:line="300" w:lineRule="exact"/>
              <w:jc w:val="center"/>
              <w:rPr>
                <w:rFonts w:ascii="宋体" w:hAnsi="宋体"/>
                <w:b/>
                <w:bCs/>
                <w:color w:val="auto"/>
              </w:rPr>
            </w:pPr>
            <w:r>
              <w:rPr>
                <w:rFonts w:hint="eastAsia" w:ascii="宋体" w:hAnsi="宋体"/>
                <w:b/>
                <w:bCs/>
                <w:color w:val="auto"/>
              </w:rPr>
              <w:t>备品备件</w:t>
            </w:r>
          </w:p>
          <w:p w14:paraId="0AA41691">
            <w:pPr>
              <w:spacing w:line="300" w:lineRule="exact"/>
              <w:jc w:val="center"/>
              <w:rPr>
                <w:rFonts w:ascii="宋体" w:hAnsi="宋体"/>
                <w:b/>
                <w:bCs/>
                <w:color w:val="auto"/>
              </w:rPr>
            </w:pPr>
            <w:r>
              <w:rPr>
                <w:rFonts w:hint="eastAsia" w:ascii="宋体" w:hAnsi="宋体"/>
                <w:b/>
                <w:bCs/>
                <w:color w:val="auto"/>
              </w:rPr>
              <w:t>名称</w:t>
            </w:r>
          </w:p>
        </w:tc>
        <w:tc>
          <w:tcPr>
            <w:tcW w:w="1890" w:type="dxa"/>
            <w:tcBorders>
              <w:top w:val="single" w:color="auto" w:sz="4" w:space="0"/>
              <w:left w:val="single" w:color="auto" w:sz="4" w:space="0"/>
              <w:bottom w:val="single" w:color="auto" w:sz="4" w:space="0"/>
              <w:right w:val="single" w:color="auto" w:sz="4" w:space="0"/>
            </w:tcBorders>
            <w:vAlign w:val="center"/>
          </w:tcPr>
          <w:p w14:paraId="0D5554CD">
            <w:pPr>
              <w:spacing w:line="300" w:lineRule="exact"/>
              <w:jc w:val="center"/>
              <w:rPr>
                <w:rFonts w:ascii="宋体" w:hAnsi="宋体"/>
                <w:b/>
                <w:bCs/>
                <w:color w:val="auto"/>
                <w:spacing w:val="-10"/>
              </w:rPr>
            </w:pPr>
            <w:r>
              <w:rPr>
                <w:rFonts w:hint="eastAsia" w:ascii="宋体" w:hAnsi="宋体"/>
                <w:b/>
                <w:bCs/>
                <w:color w:val="auto"/>
                <w:spacing w:val="-10"/>
              </w:rPr>
              <w:t>品牌、型号、规格</w:t>
            </w:r>
          </w:p>
        </w:tc>
        <w:tc>
          <w:tcPr>
            <w:tcW w:w="1155" w:type="dxa"/>
            <w:tcBorders>
              <w:top w:val="single" w:color="auto" w:sz="4" w:space="0"/>
              <w:left w:val="single" w:color="auto" w:sz="4" w:space="0"/>
              <w:bottom w:val="single" w:color="auto" w:sz="4" w:space="0"/>
              <w:right w:val="single" w:color="auto" w:sz="4" w:space="0"/>
            </w:tcBorders>
            <w:vAlign w:val="center"/>
          </w:tcPr>
          <w:p w14:paraId="46763418">
            <w:pPr>
              <w:spacing w:line="300" w:lineRule="exact"/>
              <w:jc w:val="center"/>
              <w:rPr>
                <w:rFonts w:ascii="宋体" w:hAnsi="宋体"/>
                <w:b/>
                <w:bCs/>
                <w:color w:val="auto"/>
              </w:rPr>
            </w:pPr>
            <w:r>
              <w:rPr>
                <w:rFonts w:hint="eastAsia" w:ascii="宋体" w:hAnsi="宋体"/>
                <w:b/>
                <w:bCs/>
                <w:color w:val="auto"/>
              </w:rPr>
              <w:t>技术</w:t>
            </w:r>
          </w:p>
          <w:p w14:paraId="2353EC64">
            <w:pPr>
              <w:spacing w:line="300" w:lineRule="exact"/>
              <w:jc w:val="center"/>
              <w:rPr>
                <w:rFonts w:ascii="宋体" w:hAnsi="宋体"/>
                <w:b/>
                <w:bCs/>
                <w:color w:val="auto"/>
              </w:rPr>
            </w:pPr>
            <w:r>
              <w:rPr>
                <w:rFonts w:hint="eastAsia" w:ascii="宋体" w:hAnsi="宋体"/>
                <w:b/>
                <w:bCs/>
                <w:color w:val="auto"/>
              </w:rPr>
              <w:t>性能</w:t>
            </w:r>
          </w:p>
        </w:tc>
        <w:tc>
          <w:tcPr>
            <w:tcW w:w="945" w:type="dxa"/>
            <w:tcBorders>
              <w:top w:val="single" w:color="auto" w:sz="4" w:space="0"/>
              <w:left w:val="single" w:color="auto" w:sz="4" w:space="0"/>
              <w:bottom w:val="single" w:color="auto" w:sz="4" w:space="0"/>
              <w:right w:val="single" w:color="auto" w:sz="4" w:space="0"/>
            </w:tcBorders>
            <w:vAlign w:val="center"/>
          </w:tcPr>
          <w:p w14:paraId="4BA27B70">
            <w:pPr>
              <w:spacing w:line="300" w:lineRule="exact"/>
              <w:jc w:val="center"/>
              <w:rPr>
                <w:rFonts w:ascii="宋体" w:hAnsi="宋体"/>
                <w:b/>
                <w:bCs/>
                <w:color w:val="auto"/>
              </w:rPr>
            </w:pPr>
            <w:r>
              <w:rPr>
                <w:rFonts w:hint="eastAsia" w:ascii="宋体" w:hAnsi="宋体"/>
                <w:b/>
                <w:bCs/>
                <w:color w:val="auto"/>
              </w:rPr>
              <w:t>本次厂家报价</w:t>
            </w:r>
          </w:p>
        </w:tc>
        <w:tc>
          <w:tcPr>
            <w:tcW w:w="735" w:type="dxa"/>
            <w:tcBorders>
              <w:top w:val="single" w:color="auto" w:sz="4" w:space="0"/>
              <w:left w:val="single" w:color="auto" w:sz="4" w:space="0"/>
              <w:bottom w:val="single" w:color="auto" w:sz="4" w:space="0"/>
              <w:right w:val="single" w:color="auto" w:sz="4" w:space="0"/>
            </w:tcBorders>
            <w:vAlign w:val="center"/>
          </w:tcPr>
          <w:p w14:paraId="218BFA95">
            <w:pPr>
              <w:spacing w:line="300" w:lineRule="exact"/>
              <w:jc w:val="center"/>
              <w:rPr>
                <w:rFonts w:ascii="宋体" w:hAnsi="宋体"/>
                <w:b/>
                <w:bCs/>
                <w:color w:val="auto"/>
              </w:rPr>
            </w:pPr>
            <w:r>
              <w:rPr>
                <w:rFonts w:hint="eastAsia" w:ascii="宋体" w:hAnsi="宋体"/>
                <w:b/>
                <w:bCs/>
                <w:color w:val="auto"/>
              </w:rPr>
              <w:t>数量</w:t>
            </w:r>
          </w:p>
          <w:p w14:paraId="4E4906BD">
            <w:pPr>
              <w:spacing w:line="300" w:lineRule="exact"/>
              <w:jc w:val="center"/>
              <w:rPr>
                <w:rFonts w:ascii="宋体" w:hAnsi="宋体"/>
                <w:b/>
                <w:bCs/>
                <w:color w:val="auto"/>
              </w:rPr>
            </w:pPr>
            <w:r>
              <w:rPr>
                <w:rFonts w:hint="eastAsia" w:ascii="宋体" w:hAnsi="宋体"/>
                <w:b/>
                <w:bCs/>
                <w:color w:val="auto"/>
              </w:rPr>
              <w:t>单位</w:t>
            </w:r>
          </w:p>
        </w:tc>
        <w:tc>
          <w:tcPr>
            <w:tcW w:w="735" w:type="dxa"/>
            <w:tcBorders>
              <w:top w:val="single" w:color="auto" w:sz="4" w:space="0"/>
              <w:left w:val="single" w:color="auto" w:sz="4" w:space="0"/>
              <w:bottom w:val="single" w:color="auto" w:sz="4" w:space="0"/>
              <w:right w:val="single" w:color="auto" w:sz="4" w:space="0"/>
            </w:tcBorders>
            <w:vAlign w:val="center"/>
          </w:tcPr>
          <w:p w14:paraId="1B311C2A">
            <w:pPr>
              <w:spacing w:line="300" w:lineRule="exact"/>
              <w:jc w:val="center"/>
              <w:rPr>
                <w:rFonts w:ascii="宋体" w:hAnsi="宋体"/>
                <w:b/>
                <w:bCs/>
                <w:color w:val="auto"/>
              </w:rPr>
            </w:pPr>
            <w:r>
              <w:rPr>
                <w:rFonts w:hint="eastAsia" w:ascii="宋体" w:hAnsi="宋体"/>
                <w:b/>
                <w:bCs/>
                <w:color w:val="auto"/>
              </w:rPr>
              <w:t>优惠</w:t>
            </w:r>
          </w:p>
          <w:p w14:paraId="02C0F74B">
            <w:pPr>
              <w:spacing w:line="300" w:lineRule="exact"/>
              <w:jc w:val="center"/>
              <w:rPr>
                <w:rFonts w:ascii="宋体" w:hAnsi="宋体"/>
                <w:b/>
                <w:bCs/>
                <w:color w:val="auto"/>
              </w:rPr>
            </w:pPr>
            <w:r>
              <w:rPr>
                <w:rFonts w:hint="eastAsia" w:ascii="宋体" w:hAnsi="宋体"/>
                <w:b/>
                <w:bCs/>
                <w:color w:val="auto"/>
              </w:rPr>
              <w:t>比例</w:t>
            </w:r>
          </w:p>
        </w:tc>
        <w:tc>
          <w:tcPr>
            <w:tcW w:w="735" w:type="dxa"/>
            <w:tcBorders>
              <w:top w:val="single" w:color="auto" w:sz="4" w:space="0"/>
              <w:left w:val="single" w:color="auto" w:sz="4" w:space="0"/>
              <w:bottom w:val="single" w:color="auto" w:sz="4" w:space="0"/>
              <w:right w:val="single" w:color="auto" w:sz="4" w:space="0"/>
            </w:tcBorders>
            <w:vAlign w:val="center"/>
          </w:tcPr>
          <w:p w14:paraId="24C4E2DC">
            <w:pPr>
              <w:spacing w:line="300" w:lineRule="exact"/>
              <w:jc w:val="center"/>
              <w:rPr>
                <w:rFonts w:ascii="宋体" w:hAnsi="宋体"/>
                <w:b/>
                <w:bCs/>
                <w:color w:val="auto"/>
              </w:rPr>
            </w:pPr>
            <w:r>
              <w:rPr>
                <w:rFonts w:hint="eastAsia" w:ascii="宋体" w:hAnsi="宋体"/>
                <w:b/>
                <w:bCs/>
                <w:color w:val="auto"/>
              </w:rPr>
              <w:t>实际单价</w:t>
            </w:r>
          </w:p>
        </w:tc>
        <w:tc>
          <w:tcPr>
            <w:tcW w:w="1634" w:type="dxa"/>
            <w:tcBorders>
              <w:top w:val="single" w:color="auto" w:sz="4" w:space="0"/>
              <w:left w:val="single" w:color="auto" w:sz="4" w:space="0"/>
              <w:bottom w:val="single" w:color="auto" w:sz="4" w:space="0"/>
              <w:right w:val="single" w:color="auto" w:sz="4" w:space="0"/>
            </w:tcBorders>
            <w:vAlign w:val="center"/>
          </w:tcPr>
          <w:p w14:paraId="47F0674F">
            <w:pPr>
              <w:spacing w:line="300" w:lineRule="exact"/>
              <w:jc w:val="center"/>
              <w:rPr>
                <w:rFonts w:ascii="宋体" w:hAnsi="宋体"/>
                <w:b/>
                <w:bCs/>
                <w:color w:val="auto"/>
              </w:rPr>
            </w:pPr>
            <w:r>
              <w:rPr>
                <w:rFonts w:hint="eastAsia" w:ascii="宋体" w:hAnsi="宋体"/>
                <w:b/>
                <w:bCs/>
                <w:color w:val="auto"/>
              </w:rPr>
              <w:t>备注</w:t>
            </w:r>
          </w:p>
          <w:p w14:paraId="7FF9FE30">
            <w:pPr>
              <w:spacing w:line="300" w:lineRule="exact"/>
              <w:jc w:val="center"/>
              <w:rPr>
                <w:rFonts w:ascii="宋体" w:hAnsi="宋体"/>
                <w:b/>
                <w:bCs/>
                <w:color w:val="auto"/>
              </w:rPr>
            </w:pPr>
            <w:r>
              <w:rPr>
                <w:rFonts w:hint="eastAsia" w:ascii="宋体" w:hAnsi="宋体"/>
                <w:b/>
                <w:bCs/>
                <w:color w:val="auto"/>
              </w:rPr>
              <w:t>（是否已含在总报价中）</w:t>
            </w:r>
          </w:p>
        </w:tc>
      </w:tr>
      <w:tr w14:paraId="2726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2" w:type="dxa"/>
            <w:tcBorders>
              <w:top w:val="single" w:color="auto" w:sz="4" w:space="0"/>
              <w:left w:val="single" w:color="auto" w:sz="4" w:space="0"/>
              <w:bottom w:val="single" w:color="auto" w:sz="4" w:space="0"/>
              <w:right w:val="single" w:color="auto" w:sz="4" w:space="0"/>
            </w:tcBorders>
            <w:vAlign w:val="center"/>
          </w:tcPr>
          <w:p w14:paraId="7601C040">
            <w:pPr>
              <w:spacing w:line="420" w:lineRule="exact"/>
              <w:ind w:firstLine="200"/>
              <w:jc w:val="center"/>
              <w:rPr>
                <w:rFonts w:ascii="宋体" w:hAnsi="宋体"/>
                <w:color w:val="auto"/>
              </w:rPr>
            </w:pPr>
          </w:p>
        </w:tc>
        <w:tc>
          <w:tcPr>
            <w:tcW w:w="1890" w:type="dxa"/>
            <w:tcBorders>
              <w:top w:val="single" w:color="auto" w:sz="4" w:space="0"/>
              <w:left w:val="single" w:color="auto" w:sz="4" w:space="0"/>
              <w:bottom w:val="single" w:color="auto" w:sz="4" w:space="0"/>
              <w:right w:val="single" w:color="auto" w:sz="4" w:space="0"/>
            </w:tcBorders>
            <w:vAlign w:val="center"/>
          </w:tcPr>
          <w:p w14:paraId="102C2343">
            <w:pPr>
              <w:spacing w:line="420" w:lineRule="exact"/>
              <w:ind w:firstLine="200"/>
              <w:rPr>
                <w:rFonts w:ascii="宋体" w:hAnsi="宋体"/>
                <w:color w:val="auto"/>
              </w:rPr>
            </w:pPr>
          </w:p>
        </w:tc>
        <w:tc>
          <w:tcPr>
            <w:tcW w:w="1155" w:type="dxa"/>
            <w:tcBorders>
              <w:top w:val="single" w:color="auto" w:sz="4" w:space="0"/>
              <w:left w:val="single" w:color="auto" w:sz="4" w:space="0"/>
              <w:bottom w:val="single" w:color="auto" w:sz="4" w:space="0"/>
              <w:right w:val="single" w:color="auto" w:sz="4" w:space="0"/>
            </w:tcBorders>
            <w:vAlign w:val="center"/>
          </w:tcPr>
          <w:p w14:paraId="5BF7F131">
            <w:pPr>
              <w:spacing w:line="420" w:lineRule="exact"/>
              <w:ind w:firstLine="200"/>
              <w:rPr>
                <w:rFonts w:ascii="宋体" w:hAnsi="宋体"/>
                <w:color w:val="auto"/>
              </w:rPr>
            </w:pPr>
          </w:p>
        </w:tc>
        <w:tc>
          <w:tcPr>
            <w:tcW w:w="945" w:type="dxa"/>
            <w:tcBorders>
              <w:top w:val="single" w:color="auto" w:sz="4" w:space="0"/>
              <w:left w:val="single" w:color="auto" w:sz="4" w:space="0"/>
              <w:bottom w:val="single" w:color="auto" w:sz="4" w:space="0"/>
              <w:right w:val="single" w:color="auto" w:sz="4" w:space="0"/>
            </w:tcBorders>
            <w:vAlign w:val="center"/>
          </w:tcPr>
          <w:p w14:paraId="29595484">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251291B8">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12D96B04">
            <w:pPr>
              <w:spacing w:line="420" w:lineRule="exact"/>
              <w:ind w:firstLine="200"/>
              <w:rPr>
                <w:rFonts w:ascii="宋体" w:hAnsi="宋体"/>
                <w:color w:val="auto"/>
              </w:rPr>
            </w:pPr>
            <w:r>
              <w:rPr>
                <w:rFonts w:ascii="宋体" w:hAnsi="宋体"/>
                <w:color w:val="auto"/>
              </w:rPr>
              <w:t>%</w:t>
            </w:r>
          </w:p>
        </w:tc>
        <w:tc>
          <w:tcPr>
            <w:tcW w:w="735" w:type="dxa"/>
            <w:tcBorders>
              <w:top w:val="single" w:color="auto" w:sz="4" w:space="0"/>
              <w:left w:val="single" w:color="auto" w:sz="4" w:space="0"/>
              <w:bottom w:val="single" w:color="auto" w:sz="4" w:space="0"/>
              <w:right w:val="single" w:color="auto" w:sz="4" w:space="0"/>
            </w:tcBorders>
            <w:vAlign w:val="center"/>
          </w:tcPr>
          <w:p w14:paraId="572C693C">
            <w:pPr>
              <w:spacing w:line="420" w:lineRule="exact"/>
              <w:ind w:firstLine="200"/>
              <w:rPr>
                <w:rFonts w:ascii="宋体" w:hAnsi="宋体"/>
                <w:color w:val="auto"/>
              </w:rPr>
            </w:pPr>
          </w:p>
        </w:tc>
        <w:tc>
          <w:tcPr>
            <w:tcW w:w="1634" w:type="dxa"/>
            <w:tcBorders>
              <w:top w:val="single" w:color="auto" w:sz="4" w:space="0"/>
              <w:left w:val="single" w:color="auto" w:sz="4" w:space="0"/>
              <w:bottom w:val="single" w:color="auto" w:sz="4" w:space="0"/>
              <w:right w:val="single" w:color="auto" w:sz="4" w:space="0"/>
            </w:tcBorders>
            <w:vAlign w:val="center"/>
          </w:tcPr>
          <w:p w14:paraId="1E74AB27">
            <w:pPr>
              <w:spacing w:line="420" w:lineRule="exact"/>
              <w:ind w:firstLine="200"/>
              <w:rPr>
                <w:rFonts w:ascii="宋体" w:hAnsi="宋体"/>
                <w:color w:val="auto"/>
              </w:rPr>
            </w:pPr>
          </w:p>
        </w:tc>
      </w:tr>
      <w:tr w14:paraId="7382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2" w:type="dxa"/>
            <w:tcBorders>
              <w:top w:val="single" w:color="auto" w:sz="4" w:space="0"/>
              <w:left w:val="single" w:color="auto" w:sz="4" w:space="0"/>
              <w:bottom w:val="single" w:color="auto" w:sz="4" w:space="0"/>
              <w:right w:val="single" w:color="auto" w:sz="4" w:space="0"/>
            </w:tcBorders>
            <w:vAlign w:val="center"/>
          </w:tcPr>
          <w:p w14:paraId="1BA746C1">
            <w:pPr>
              <w:spacing w:line="420" w:lineRule="exact"/>
              <w:ind w:firstLine="200"/>
              <w:jc w:val="center"/>
              <w:rPr>
                <w:rFonts w:ascii="宋体" w:hAnsi="宋体"/>
                <w:color w:val="auto"/>
              </w:rPr>
            </w:pPr>
          </w:p>
        </w:tc>
        <w:tc>
          <w:tcPr>
            <w:tcW w:w="1890" w:type="dxa"/>
            <w:tcBorders>
              <w:top w:val="single" w:color="auto" w:sz="4" w:space="0"/>
              <w:left w:val="single" w:color="auto" w:sz="4" w:space="0"/>
              <w:bottom w:val="single" w:color="auto" w:sz="4" w:space="0"/>
              <w:right w:val="single" w:color="auto" w:sz="4" w:space="0"/>
            </w:tcBorders>
            <w:vAlign w:val="center"/>
          </w:tcPr>
          <w:p w14:paraId="08B44A07">
            <w:pPr>
              <w:spacing w:line="420" w:lineRule="exact"/>
              <w:ind w:firstLine="200"/>
              <w:rPr>
                <w:rFonts w:ascii="宋体" w:hAnsi="宋体"/>
                <w:color w:val="auto"/>
              </w:rPr>
            </w:pPr>
          </w:p>
        </w:tc>
        <w:tc>
          <w:tcPr>
            <w:tcW w:w="1155" w:type="dxa"/>
            <w:tcBorders>
              <w:top w:val="single" w:color="auto" w:sz="4" w:space="0"/>
              <w:left w:val="single" w:color="auto" w:sz="4" w:space="0"/>
              <w:bottom w:val="single" w:color="auto" w:sz="4" w:space="0"/>
              <w:right w:val="single" w:color="auto" w:sz="4" w:space="0"/>
            </w:tcBorders>
            <w:vAlign w:val="center"/>
          </w:tcPr>
          <w:p w14:paraId="1E222D25">
            <w:pPr>
              <w:spacing w:line="420" w:lineRule="exact"/>
              <w:ind w:firstLine="200"/>
              <w:rPr>
                <w:rFonts w:ascii="宋体" w:hAnsi="宋体"/>
                <w:color w:val="auto"/>
              </w:rPr>
            </w:pPr>
          </w:p>
        </w:tc>
        <w:tc>
          <w:tcPr>
            <w:tcW w:w="945" w:type="dxa"/>
            <w:tcBorders>
              <w:top w:val="single" w:color="auto" w:sz="4" w:space="0"/>
              <w:left w:val="single" w:color="auto" w:sz="4" w:space="0"/>
              <w:bottom w:val="single" w:color="auto" w:sz="4" w:space="0"/>
              <w:right w:val="single" w:color="auto" w:sz="4" w:space="0"/>
            </w:tcBorders>
            <w:vAlign w:val="center"/>
          </w:tcPr>
          <w:p w14:paraId="5C5013E2">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3101859C">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3F86526B">
            <w:pPr>
              <w:spacing w:line="420" w:lineRule="exact"/>
              <w:ind w:firstLine="200"/>
              <w:rPr>
                <w:rFonts w:ascii="宋体" w:hAnsi="宋体"/>
                <w:color w:val="auto"/>
              </w:rPr>
            </w:pPr>
            <w:r>
              <w:rPr>
                <w:rFonts w:ascii="宋体" w:hAnsi="宋体"/>
                <w:color w:val="auto"/>
              </w:rPr>
              <w:t>%</w:t>
            </w:r>
          </w:p>
        </w:tc>
        <w:tc>
          <w:tcPr>
            <w:tcW w:w="735" w:type="dxa"/>
            <w:tcBorders>
              <w:top w:val="single" w:color="auto" w:sz="4" w:space="0"/>
              <w:left w:val="single" w:color="auto" w:sz="4" w:space="0"/>
              <w:bottom w:val="single" w:color="auto" w:sz="4" w:space="0"/>
              <w:right w:val="single" w:color="auto" w:sz="4" w:space="0"/>
            </w:tcBorders>
            <w:vAlign w:val="center"/>
          </w:tcPr>
          <w:p w14:paraId="30ADC4AD">
            <w:pPr>
              <w:spacing w:line="420" w:lineRule="exact"/>
              <w:ind w:firstLine="200"/>
              <w:rPr>
                <w:rFonts w:ascii="宋体" w:hAnsi="宋体"/>
                <w:color w:val="auto"/>
              </w:rPr>
            </w:pPr>
          </w:p>
        </w:tc>
        <w:tc>
          <w:tcPr>
            <w:tcW w:w="1634" w:type="dxa"/>
            <w:tcBorders>
              <w:top w:val="single" w:color="auto" w:sz="4" w:space="0"/>
              <w:left w:val="single" w:color="auto" w:sz="4" w:space="0"/>
              <w:bottom w:val="single" w:color="auto" w:sz="4" w:space="0"/>
              <w:right w:val="single" w:color="auto" w:sz="4" w:space="0"/>
            </w:tcBorders>
            <w:vAlign w:val="center"/>
          </w:tcPr>
          <w:p w14:paraId="1AB9442D">
            <w:pPr>
              <w:spacing w:line="420" w:lineRule="exact"/>
              <w:ind w:firstLine="200"/>
              <w:rPr>
                <w:rFonts w:ascii="宋体" w:hAnsi="宋体"/>
                <w:color w:val="auto"/>
              </w:rPr>
            </w:pPr>
          </w:p>
        </w:tc>
      </w:tr>
      <w:tr w14:paraId="031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2" w:type="dxa"/>
            <w:tcBorders>
              <w:top w:val="single" w:color="auto" w:sz="4" w:space="0"/>
              <w:left w:val="single" w:color="auto" w:sz="4" w:space="0"/>
              <w:bottom w:val="single" w:color="auto" w:sz="4" w:space="0"/>
              <w:right w:val="single" w:color="auto" w:sz="4" w:space="0"/>
            </w:tcBorders>
            <w:vAlign w:val="center"/>
          </w:tcPr>
          <w:p w14:paraId="7A80DD8B">
            <w:pPr>
              <w:spacing w:line="420" w:lineRule="exact"/>
              <w:ind w:firstLine="200"/>
              <w:jc w:val="center"/>
              <w:rPr>
                <w:rFonts w:ascii="宋体" w:hAnsi="宋体"/>
                <w:color w:val="auto"/>
              </w:rPr>
            </w:pPr>
          </w:p>
        </w:tc>
        <w:tc>
          <w:tcPr>
            <w:tcW w:w="1890" w:type="dxa"/>
            <w:tcBorders>
              <w:top w:val="single" w:color="auto" w:sz="4" w:space="0"/>
              <w:left w:val="single" w:color="auto" w:sz="4" w:space="0"/>
              <w:bottom w:val="single" w:color="auto" w:sz="4" w:space="0"/>
              <w:right w:val="single" w:color="auto" w:sz="4" w:space="0"/>
            </w:tcBorders>
            <w:vAlign w:val="center"/>
          </w:tcPr>
          <w:p w14:paraId="4DEBD03A">
            <w:pPr>
              <w:spacing w:line="420" w:lineRule="exact"/>
              <w:ind w:firstLine="200"/>
              <w:rPr>
                <w:rFonts w:ascii="宋体" w:hAnsi="宋体"/>
                <w:color w:val="auto"/>
              </w:rPr>
            </w:pPr>
          </w:p>
        </w:tc>
        <w:tc>
          <w:tcPr>
            <w:tcW w:w="1155" w:type="dxa"/>
            <w:tcBorders>
              <w:top w:val="single" w:color="auto" w:sz="4" w:space="0"/>
              <w:left w:val="single" w:color="auto" w:sz="4" w:space="0"/>
              <w:bottom w:val="single" w:color="auto" w:sz="4" w:space="0"/>
              <w:right w:val="single" w:color="auto" w:sz="4" w:space="0"/>
            </w:tcBorders>
            <w:vAlign w:val="center"/>
          </w:tcPr>
          <w:p w14:paraId="7720A39F">
            <w:pPr>
              <w:spacing w:line="420" w:lineRule="exact"/>
              <w:ind w:firstLine="200"/>
              <w:rPr>
                <w:rFonts w:ascii="宋体" w:hAnsi="宋体"/>
                <w:color w:val="auto"/>
              </w:rPr>
            </w:pPr>
          </w:p>
        </w:tc>
        <w:tc>
          <w:tcPr>
            <w:tcW w:w="945" w:type="dxa"/>
            <w:tcBorders>
              <w:top w:val="single" w:color="auto" w:sz="4" w:space="0"/>
              <w:left w:val="single" w:color="auto" w:sz="4" w:space="0"/>
              <w:bottom w:val="single" w:color="auto" w:sz="4" w:space="0"/>
              <w:right w:val="single" w:color="auto" w:sz="4" w:space="0"/>
            </w:tcBorders>
            <w:vAlign w:val="center"/>
          </w:tcPr>
          <w:p w14:paraId="17161E1D">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156916B8">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204EC6E0">
            <w:pPr>
              <w:spacing w:line="420" w:lineRule="exact"/>
              <w:ind w:firstLine="200"/>
              <w:rPr>
                <w:rFonts w:ascii="宋体" w:hAnsi="宋体"/>
                <w:color w:val="auto"/>
              </w:rPr>
            </w:pPr>
            <w:r>
              <w:rPr>
                <w:rFonts w:ascii="宋体" w:hAnsi="宋体"/>
                <w:color w:val="auto"/>
              </w:rPr>
              <w:t>%</w:t>
            </w:r>
          </w:p>
        </w:tc>
        <w:tc>
          <w:tcPr>
            <w:tcW w:w="735" w:type="dxa"/>
            <w:tcBorders>
              <w:top w:val="single" w:color="auto" w:sz="4" w:space="0"/>
              <w:left w:val="single" w:color="auto" w:sz="4" w:space="0"/>
              <w:bottom w:val="single" w:color="auto" w:sz="4" w:space="0"/>
              <w:right w:val="single" w:color="auto" w:sz="4" w:space="0"/>
            </w:tcBorders>
            <w:vAlign w:val="center"/>
          </w:tcPr>
          <w:p w14:paraId="5724B74D">
            <w:pPr>
              <w:spacing w:line="420" w:lineRule="exact"/>
              <w:ind w:firstLine="200"/>
              <w:rPr>
                <w:rFonts w:ascii="宋体" w:hAnsi="宋体"/>
                <w:color w:val="auto"/>
              </w:rPr>
            </w:pPr>
          </w:p>
        </w:tc>
        <w:tc>
          <w:tcPr>
            <w:tcW w:w="1634" w:type="dxa"/>
            <w:tcBorders>
              <w:top w:val="single" w:color="auto" w:sz="4" w:space="0"/>
              <w:left w:val="single" w:color="auto" w:sz="4" w:space="0"/>
              <w:bottom w:val="single" w:color="auto" w:sz="4" w:space="0"/>
              <w:right w:val="single" w:color="auto" w:sz="4" w:space="0"/>
            </w:tcBorders>
            <w:vAlign w:val="center"/>
          </w:tcPr>
          <w:p w14:paraId="3E158055">
            <w:pPr>
              <w:spacing w:line="420" w:lineRule="exact"/>
              <w:ind w:firstLine="200"/>
              <w:rPr>
                <w:rFonts w:ascii="宋体" w:hAnsi="宋体"/>
                <w:color w:val="auto"/>
              </w:rPr>
            </w:pPr>
          </w:p>
        </w:tc>
      </w:tr>
      <w:tr w14:paraId="5C4C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2" w:type="dxa"/>
            <w:tcBorders>
              <w:top w:val="single" w:color="auto" w:sz="4" w:space="0"/>
              <w:left w:val="single" w:color="auto" w:sz="4" w:space="0"/>
              <w:bottom w:val="single" w:color="auto" w:sz="4" w:space="0"/>
              <w:right w:val="single" w:color="auto" w:sz="4" w:space="0"/>
            </w:tcBorders>
            <w:vAlign w:val="center"/>
          </w:tcPr>
          <w:p w14:paraId="3B742473">
            <w:pPr>
              <w:spacing w:line="420" w:lineRule="exact"/>
              <w:ind w:firstLine="200"/>
              <w:jc w:val="center"/>
              <w:rPr>
                <w:rFonts w:ascii="宋体" w:hAnsi="宋体"/>
                <w:color w:val="auto"/>
              </w:rPr>
            </w:pPr>
          </w:p>
        </w:tc>
        <w:tc>
          <w:tcPr>
            <w:tcW w:w="1890" w:type="dxa"/>
            <w:tcBorders>
              <w:top w:val="single" w:color="auto" w:sz="4" w:space="0"/>
              <w:left w:val="single" w:color="auto" w:sz="4" w:space="0"/>
              <w:bottom w:val="single" w:color="auto" w:sz="4" w:space="0"/>
              <w:right w:val="single" w:color="auto" w:sz="4" w:space="0"/>
            </w:tcBorders>
            <w:vAlign w:val="center"/>
          </w:tcPr>
          <w:p w14:paraId="511124B5">
            <w:pPr>
              <w:spacing w:line="420" w:lineRule="exact"/>
              <w:ind w:firstLine="200"/>
              <w:rPr>
                <w:rFonts w:ascii="宋体" w:hAnsi="宋体"/>
                <w:color w:val="auto"/>
              </w:rPr>
            </w:pPr>
          </w:p>
        </w:tc>
        <w:tc>
          <w:tcPr>
            <w:tcW w:w="1155" w:type="dxa"/>
            <w:tcBorders>
              <w:top w:val="single" w:color="auto" w:sz="4" w:space="0"/>
              <w:left w:val="single" w:color="auto" w:sz="4" w:space="0"/>
              <w:bottom w:val="single" w:color="auto" w:sz="4" w:space="0"/>
              <w:right w:val="single" w:color="auto" w:sz="4" w:space="0"/>
            </w:tcBorders>
            <w:vAlign w:val="center"/>
          </w:tcPr>
          <w:p w14:paraId="646965C6">
            <w:pPr>
              <w:spacing w:line="420" w:lineRule="exact"/>
              <w:ind w:firstLine="200"/>
              <w:rPr>
                <w:rFonts w:ascii="宋体" w:hAnsi="宋体"/>
                <w:color w:val="auto"/>
              </w:rPr>
            </w:pPr>
          </w:p>
        </w:tc>
        <w:tc>
          <w:tcPr>
            <w:tcW w:w="945" w:type="dxa"/>
            <w:tcBorders>
              <w:top w:val="single" w:color="auto" w:sz="4" w:space="0"/>
              <w:left w:val="single" w:color="auto" w:sz="4" w:space="0"/>
              <w:bottom w:val="single" w:color="auto" w:sz="4" w:space="0"/>
              <w:right w:val="single" w:color="auto" w:sz="4" w:space="0"/>
            </w:tcBorders>
            <w:vAlign w:val="center"/>
          </w:tcPr>
          <w:p w14:paraId="25E167DB">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5C212D0A">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02EE3850">
            <w:pPr>
              <w:spacing w:line="420" w:lineRule="exact"/>
              <w:ind w:firstLine="200"/>
              <w:rPr>
                <w:rFonts w:ascii="宋体" w:hAnsi="宋体"/>
                <w:color w:val="auto"/>
              </w:rPr>
            </w:pPr>
            <w:r>
              <w:rPr>
                <w:rFonts w:ascii="宋体" w:hAnsi="宋体"/>
                <w:color w:val="auto"/>
              </w:rPr>
              <w:t>%</w:t>
            </w:r>
          </w:p>
        </w:tc>
        <w:tc>
          <w:tcPr>
            <w:tcW w:w="735" w:type="dxa"/>
            <w:tcBorders>
              <w:top w:val="single" w:color="auto" w:sz="4" w:space="0"/>
              <w:left w:val="single" w:color="auto" w:sz="4" w:space="0"/>
              <w:bottom w:val="single" w:color="auto" w:sz="4" w:space="0"/>
              <w:right w:val="single" w:color="auto" w:sz="4" w:space="0"/>
            </w:tcBorders>
            <w:vAlign w:val="center"/>
          </w:tcPr>
          <w:p w14:paraId="7F1CDBF2">
            <w:pPr>
              <w:spacing w:line="420" w:lineRule="exact"/>
              <w:ind w:firstLine="200"/>
              <w:rPr>
                <w:rFonts w:ascii="宋体" w:hAnsi="宋体"/>
                <w:color w:val="auto"/>
              </w:rPr>
            </w:pPr>
          </w:p>
        </w:tc>
        <w:tc>
          <w:tcPr>
            <w:tcW w:w="1634" w:type="dxa"/>
            <w:tcBorders>
              <w:top w:val="single" w:color="auto" w:sz="4" w:space="0"/>
              <w:left w:val="single" w:color="auto" w:sz="4" w:space="0"/>
              <w:bottom w:val="single" w:color="auto" w:sz="4" w:space="0"/>
              <w:right w:val="single" w:color="auto" w:sz="4" w:space="0"/>
            </w:tcBorders>
            <w:vAlign w:val="center"/>
          </w:tcPr>
          <w:p w14:paraId="1EDA4E90">
            <w:pPr>
              <w:spacing w:line="420" w:lineRule="exact"/>
              <w:ind w:firstLine="200"/>
              <w:rPr>
                <w:rFonts w:ascii="宋体" w:hAnsi="宋体"/>
                <w:color w:val="auto"/>
              </w:rPr>
            </w:pPr>
          </w:p>
        </w:tc>
      </w:tr>
      <w:tr w14:paraId="63D4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2" w:type="dxa"/>
            <w:tcBorders>
              <w:top w:val="single" w:color="auto" w:sz="4" w:space="0"/>
              <w:left w:val="single" w:color="auto" w:sz="4" w:space="0"/>
              <w:bottom w:val="single" w:color="auto" w:sz="4" w:space="0"/>
              <w:right w:val="single" w:color="auto" w:sz="4" w:space="0"/>
            </w:tcBorders>
            <w:vAlign w:val="center"/>
          </w:tcPr>
          <w:p w14:paraId="54711B29">
            <w:pPr>
              <w:spacing w:line="420" w:lineRule="exact"/>
              <w:ind w:firstLine="200"/>
              <w:jc w:val="center"/>
              <w:rPr>
                <w:rFonts w:ascii="宋体" w:hAnsi="宋体"/>
                <w:color w:val="auto"/>
              </w:rPr>
            </w:pPr>
          </w:p>
        </w:tc>
        <w:tc>
          <w:tcPr>
            <w:tcW w:w="1890" w:type="dxa"/>
            <w:tcBorders>
              <w:top w:val="single" w:color="auto" w:sz="4" w:space="0"/>
              <w:left w:val="single" w:color="auto" w:sz="4" w:space="0"/>
              <w:bottom w:val="single" w:color="auto" w:sz="4" w:space="0"/>
              <w:right w:val="single" w:color="auto" w:sz="4" w:space="0"/>
            </w:tcBorders>
            <w:vAlign w:val="center"/>
          </w:tcPr>
          <w:p w14:paraId="17CA2CBA">
            <w:pPr>
              <w:spacing w:line="420" w:lineRule="exact"/>
              <w:ind w:firstLine="200"/>
              <w:rPr>
                <w:rFonts w:ascii="宋体" w:hAnsi="宋体"/>
                <w:color w:val="auto"/>
              </w:rPr>
            </w:pPr>
          </w:p>
        </w:tc>
        <w:tc>
          <w:tcPr>
            <w:tcW w:w="1155" w:type="dxa"/>
            <w:tcBorders>
              <w:top w:val="single" w:color="auto" w:sz="4" w:space="0"/>
              <w:left w:val="single" w:color="auto" w:sz="4" w:space="0"/>
              <w:bottom w:val="single" w:color="auto" w:sz="4" w:space="0"/>
              <w:right w:val="single" w:color="auto" w:sz="4" w:space="0"/>
            </w:tcBorders>
            <w:vAlign w:val="center"/>
          </w:tcPr>
          <w:p w14:paraId="36BEDDE7">
            <w:pPr>
              <w:spacing w:line="420" w:lineRule="exact"/>
              <w:ind w:firstLine="200"/>
              <w:rPr>
                <w:rFonts w:ascii="宋体" w:hAnsi="宋体"/>
                <w:color w:val="auto"/>
              </w:rPr>
            </w:pPr>
          </w:p>
        </w:tc>
        <w:tc>
          <w:tcPr>
            <w:tcW w:w="945" w:type="dxa"/>
            <w:tcBorders>
              <w:top w:val="single" w:color="auto" w:sz="4" w:space="0"/>
              <w:left w:val="single" w:color="auto" w:sz="4" w:space="0"/>
              <w:bottom w:val="single" w:color="auto" w:sz="4" w:space="0"/>
              <w:right w:val="single" w:color="auto" w:sz="4" w:space="0"/>
            </w:tcBorders>
            <w:vAlign w:val="center"/>
          </w:tcPr>
          <w:p w14:paraId="224773A6">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1F37D19A">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47E268BD">
            <w:pPr>
              <w:spacing w:line="420" w:lineRule="exact"/>
              <w:ind w:firstLine="200"/>
              <w:rPr>
                <w:rFonts w:ascii="宋体" w:hAnsi="宋体"/>
                <w:color w:val="auto"/>
              </w:rPr>
            </w:pPr>
            <w:r>
              <w:rPr>
                <w:rFonts w:ascii="宋体" w:hAnsi="宋体"/>
                <w:color w:val="auto"/>
              </w:rPr>
              <w:t>%</w:t>
            </w:r>
          </w:p>
        </w:tc>
        <w:tc>
          <w:tcPr>
            <w:tcW w:w="735" w:type="dxa"/>
            <w:tcBorders>
              <w:top w:val="single" w:color="auto" w:sz="4" w:space="0"/>
              <w:left w:val="single" w:color="auto" w:sz="4" w:space="0"/>
              <w:bottom w:val="single" w:color="auto" w:sz="4" w:space="0"/>
              <w:right w:val="single" w:color="auto" w:sz="4" w:space="0"/>
            </w:tcBorders>
            <w:vAlign w:val="center"/>
          </w:tcPr>
          <w:p w14:paraId="7C8DE45E">
            <w:pPr>
              <w:spacing w:line="420" w:lineRule="exact"/>
              <w:ind w:firstLine="200"/>
              <w:rPr>
                <w:rFonts w:ascii="宋体" w:hAnsi="宋体"/>
                <w:color w:val="auto"/>
              </w:rPr>
            </w:pPr>
          </w:p>
        </w:tc>
        <w:tc>
          <w:tcPr>
            <w:tcW w:w="1634" w:type="dxa"/>
            <w:tcBorders>
              <w:top w:val="single" w:color="auto" w:sz="4" w:space="0"/>
              <w:left w:val="single" w:color="auto" w:sz="4" w:space="0"/>
              <w:bottom w:val="single" w:color="auto" w:sz="4" w:space="0"/>
              <w:right w:val="single" w:color="auto" w:sz="4" w:space="0"/>
            </w:tcBorders>
            <w:vAlign w:val="center"/>
          </w:tcPr>
          <w:p w14:paraId="440466C0">
            <w:pPr>
              <w:spacing w:line="420" w:lineRule="exact"/>
              <w:ind w:firstLine="200"/>
              <w:rPr>
                <w:rFonts w:ascii="宋体" w:hAnsi="宋体"/>
                <w:color w:val="auto"/>
              </w:rPr>
            </w:pPr>
          </w:p>
        </w:tc>
      </w:tr>
      <w:tr w14:paraId="19E0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2" w:type="dxa"/>
            <w:tcBorders>
              <w:top w:val="single" w:color="auto" w:sz="4" w:space="0"/>
              <w:left w:val="single" w:color="auto" w:sz="4" w:space="0"/>
              <w:bottom w:val="single" w:color="auto" w:sz="4" w:space="0"/>
              <w:right w:val="single" w:color="auto" w:sz="4" w:space="0"/>
            </w:tcBorders>
            <w:vAlign w:val="center"/>
          </w:tcPr>
          <w:p w14:paraId="34171A76">
            <w:pPr>
              <w:spacing w:line="420" w:lineRule="exact"/>
              <w:jc w:val="center"/>
              <w:rPr>
                <w:rFonts w:ascii="宋体" w:hAnsi="宋体"/>
                <w:color w:val="auto"/>
              </w:rPr>
            </w:pPr>
            <w:r>
              <w:rPr>
                <w:rFonts w:hint="eastAsia" w:ascii="宋体" w:hAnsi="宋体"/>
                <w:color w:val="auto"/>
              </w:rPr>
              <w:t>……</w:t>
            </w:r>
          </w:p>
        </w:tc>
        <w:tc>
          <w:tcPr>
            <w:tcW w:w="1890" w:type="dxa"/>
            <w:tcBorders>
              <w:top w:val="single" w:color="auto" w:sz="4" w:space="0"/>
              <w:left w:val="single" w:color="auto" w:sz="4" w:space="0"/>
              <w:bottom w:val="single" w:color="auto" w:sz="4" w:space="0"/>
              <w:right w:val="single" w:color="auto" w:sz="4" w:space="0"/>
            </w:tcBorders>
            <w:vAlign w:val="center"/>
          </w:tcPr>
          <w:p w14:paraId="62D96B47">
            <w:pPr>
              <w:spacing w:line="420" w:lineRule="exact"/>
              <w:ind w:firstLine="200"/>
              <w:rPr>
                <w:rFonts w:ascii="宋体" w:hAnsi="宋体"/>
                <w:color w:val="auto"/>
              </w:rPr>
            </w:pPr>
          </w:p>
        </w:tc>
        <w:tc>
          <w:tcPr>
            <w:tcW w:w="1155" w:type="dxa"/>
            <w:tcBorders>
              <w:top w:val="single" w:color="auto" w:sz="4" w:space="0"/>
              <w:left w:val="single" w:color="auto" w:sz="4" w:space="0"/>
              <w:bottom w:val="single" w:color="auto" w:sz="4" w:space="0"/>
              <w:right w:val="single" w:color="auto" w:sz="4" w:space="0"/>
            </w:tcBorders>
            <w:vAlign w:val="center"/>
          </w:tcPr>
          <w:p w14:paraId="5CE77F01">
            <w:pPr>
              <w:spacing w:line="420" w:lineRule="exact"/>
              <w:ind w:firstLine="200"/>
              <w:rPr>
                <w:rFonts w:ascii="宋体" w:hAnsi="宋体"/>
                <w:color w:val="auto"/>
              </w:rPr>
            </w:pPr>
          </w:p>
        </w:tc>
        <w:tc>
          <w:tcPr>
            <w:tcW w:w="945" w:type="dxa"/>
            <w:tcBorders>
              <w:top w:val="single" w:color="auto" w:sz="4" w:space="0"/>
              <w:left w:val="single" w:color="auto" w:sz="4" w:space="0"/>
              <w:bottom w:val="single" w:color="auto" w:sz="4" w:space="0"/>
              <w:right w:val="single" w:color="auto" w:sz="4" w:space="0"/>
            </w:tcBorders>
            <w:vAlign w:val="center"/>
          </w:tcPr>
          <w:p w14:paraId="6CE645E1">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1B6ADC01">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6B983772">
            <w:pPr>
              <w:spacing w:line="420" w:lineRule="exact"/>
              <w:ind w:firstLine="200"/>
              <w:rPr>
                <w:rFonts w:ascii="宋体" w:hAns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7837C00F">
            <w:pPr>
              <w:spacing w:line="420" w:lineRule="exact"/>
              <w:ind w:firstLine="200"/>
              <w:rPr>
                <w:rFonts w:ascii="宋体" w:hAnsi="宋体"/>
                <w:color w:val="auto"/>
              </w:rPr>
            </w:pPr>
          </w:p>
        </w:tc>
        <w:tc>
          <w:tcPr>
            <w:tcW w:w="1634" w:type="dxa"/>
            <w:tcBorders>
              <w:top w:val="single" w:color="auto" w:sz="4" w:space="0"/>
              <w:left w:val="single" w:color="auto" w:sz="4" w:space="0"/>
              <w:bottom w:val="single" w:color="auto" w:sz="4" w:space="0"/>
              <w:right w:val="single" w:color="auto" w:sz="4" w:space="0"/>
            </w:tcBorders>
            <w:vAlign w:val="center"/>
          </w:tcPr>
          <w:p w14:paraId="2B79F0CF">
            <w:pPr>
              <w:spacing w:line="420" w:lineRule="exact"/>
              <w:ind w:firstLine="200"/>
              <w:rPr>
                <w:rFonts w:ascii="宋体" w:hAnsi="宋体"/>
                <w:color w:val="auto"/>
              </w:rPr>
            </w:pPr>
          </w:p>
        </w:tc>
      </w:tr>
    </w:tbl>
    <w:p w14:paraId="4768D89C">
      <w:pPr>
        <w:spacing w:line="420" w:lineRule="exact"/>
        <w:ind w:firstLine="198"/>
        <w:rPr>
          <w:rFonts w:ascii="宋体" w:hAnsi="宋体"/>
          <w:color w:val="auto"/>
        </w:rPr>
      </w:pPr>
      <w:r>
        <w:rPr>
          <w:rFonts w:hint="eastAsia" w:ascii="宋体" w:hAnsi="宋体"/>
          <w:color w:val="auto"/>
        </w:rPr>
        <w:t>上述优惠比例及实际单价可以延用到以后的备品备件更换中，也可以根据以后的市场价按上述优惠比例进行下调；本报价的币种为人民币（元）。</w:t>
      </w:r>
    </w:p>
    <w:p w14:paraId="7C45101F">
      <w:pPr>
        <w:spacing w:line="420" w:lineRule="exact"/>
        <w:ind w:firstLine="200"/>
        <w:rPr>
          <w:rFonts w:ascii="宋体" w:hAnsi="宋体"/>
          <w:color w:val="auto"/>
        </w:rPr>
      </w:pPr>
      <w:r>
        <w:rPr>
          <w:rFonts w:hint="eastAsia" w:ascii="宋体" w:hAnsi="宋体"/>
          <w:color w:val="auto"/>
        </w:rPr>
        <w:t>特此承诺！</w:t>
      </w:r>
    </w:p>
    <w:p w14:paraId="22588E5F">
      <w:pPr>
        <w:rPr>
          <w:rFonts w:ascii="宋体" w:hAnsi="宋体"/>
          <w:b/>
          <w:color w:val="auto"/>
          <w:spacing w:val="6"/>
        </w:rPr>
      </w:pPr>
    </w:p>
    <w:p w14:paraId="595D11DE">
      <w:pPr>
        <w:adjustRightInd w:val="0"/>
        <w:snapToGrid w:val="0"/>
        <w:spacing w:line="360" w:lineRule="auto"/>
        <w:rPr>
          <w:rFonts w:hAnsi="宋体" w:cs="宋体"/>
          <w:color w:val="auto"/>
          <w:szCs w:val="21"/>
        </w:rPr>
      </w:pPr>
      <w:r>
        <w:rPr>
          <w:rFonts w:hint="eastAsia" w:ascii="宋体" w:hAnsi="宋体"/>
          <w:b/>
          <w:color w:val="auto"/>
          <w:spacing w:val="6"/>
        </w:rPr>
        <w:t>注：投标人在编制此“备品备件报价承诺”时，除表格的格式及内容不得修改外，其余部分可视投标人的自身情况进行修改并承诺。若无备品配件的可不填或删除此表。</w:t>
      </w:r>
      <w:bookmarkEnd w:id="479"/>
      <w:r>
        <w:rPr>
          <w:rFonts w:hint="eastAsia" w:hAnsi="宋体" w:cs="宋体"/>
          <w:color w:val="auto"/>
          <w:szCs w:val="21"/>
        </w:rPr>
        <w:br w:type="page"/>
      </w:r>
    </w:p>
    <w:p w14:paraId="53B776C3">
      <w:pPr>
        <w:keepNext/>
        <w:keepLines/>
        <w:adjustRightInd w:val="0"/>
        <w:snapToGrid w:val="0"/>
        <w:spacing w:line="360" w:lineRule="auto"/>
        <w:jc w:val="left"/>
        <w:rPr>
          <w:rFonts w:ascii="宋体" w:hAnsi="宋体" w:cs="宋体"/>
          <w:b/>
          <w:color w:val="auto"/>
          <w:sz w:val="32"/>
          <w:szCs w:val="32"/>
        </w:rPr>
      </w:pPr>
      <w:r>
        <w:rPr>
          <w:rFonts w:hint="eastAsia" w:ascii="宋体" w:hAnsi="宋体" w:cs="宋体"/>
          <w:b/>
          <w:color w:val="auto"/>
          <w:sz w:val="28"/>
          <w:szCs w:val="28"/>
        </w:rPr>
        <w:t>格式18</w:t>
      </w:r>
    </w:p>
    <w:p w14:paraId="7E70B372">
      <w:pPr>
        <w:wordWrap w:val="0"/>
        <w:adjustRightInd w:val="0"/>
        <w:snapToGrid w:val="0"/>
        <w:spacing w:line="360" w:lineRule="auto"/>
        <w:jc w:val="center"/>
        <w:rPr>
          <w:rFonts w:ascii="宋体" w:hAnsi="宋体" w:cs="宋体"/>
          <w:b/>
          <w:bCs/>
          <w:color w:val="auto"/>
          <w:sz w:val="32"/>
          <w:szCs w:val="32"/>
        </w:rPr>
      </w:pPr>
      <w:r>
        <w:rPr>
          <w:rFonts w:hint="eastAsia" w:ascii="宋体" w:hAnsi="宋体" w:cs="宋体"/>
          <w:b/>
          <w:bCs/>
          <w:color w:val="auto"/>
          <w:sz w:val="32"/>
          <w:szCs w:val="32"/>
        </w:rPr>
        <w:t>节能、环境标志产品</w:t>
      </w:r>
    </w:p>
    <w:p w14:paraId="2F27910A">
      <w:pPr>
        <w:pStyle w:val="20"/>
        <w:wordWrap w:val="0"/>
        <w:adjustRightInd w:val="0"/>
        <w:snapToGrid w:val="0"/>
        <w:spacing w:line="360" w:lineRule="auto"/>
        <w:jc w:val="center"/>
        <w:rPr>
          <w:rFonts w:hAnsi="宋体" w:cs="宋体"/>
          <w:b/>
          <w:color w:val="auto"/>
          <w:szCs w:val="21"/>
        </w:rPr>
      </w:pPr>
    </w:p>
    <w:p w14:paraId="65DDD1B9">
      <w:pPr>
        <w:pStyle w:val="20"/>
        <w:wordWrap w:val="0"/>
        <w:adjustRightInd w:val="0"/>
        <w:snapToGrid w:val="0"/>
        <w:spacing w:line="360" w:lineRule="auto"/>
        <w:rPr>
          <w:rFonts w:hAnsi="宋体" w:cs="宋体"/>
          <w:b/>
          <w:color w:val="auto"/>
          <w:szCs w:val="21"/>
        </w:rPr>
      </w:pPr>
      <w:r>
        <w:rPr>
          <w:rFonts w:hint="eastAsia" w:hAnsi="宋体" w:cs="宋体"/>
          <w:b/>
          <w:color w:val="auto"/>
          <w:szCs w:val="21"/>
        </w:rPr>
        <w:t>项目名称：</w:t>
      </w:r>
    </w:p>
    <w:p w14:paraId="6B21D72F">
      <w:pPr>
        <w:pStyle w:val="20"/>
        <w:wordWrap w:val="0"/>
        <w:adjustRightInd w:val="0"/>
        <w:snapToGrid w:val="0"/>
        <w:spacing w:line="360" w:lineRule="auto"/>
        <w:rPr>
          <w:rFonts w:hAnsi="宋体" w:cs="宋体"/>
          <w:b/>
          <w:color w:val="auto"/>
          <w:szCs w:val="21"/>
        </w:rPr>
      </w:pPr>
      <w:r>
        <w:rPr>
          <w:rFonts w:hint="eastAsia" w:hAnsi="宋体" w:cs="宋体"/>
          <w:b/>
          <w:color w:val="auto"/>
          <w:szCs w:val="21"/>
        </w:rPr>
        <w:t>项目编号：</w:t>
      </w:r>
    </w:p>
    <w:tbl>
      <w:tblPr>
        <w:tblStyle w:val="41"/>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398"/>
        <w:gridCol w:w="1575"/>
        <w:gridCol w:w="1887"/>
        <w:gridCol w:w="1913"/>
      </w:tblGrid>
      <w:tr w14:paraId="7A05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2" w:type="dxa"/>
            <w:vAlign w:val="center"/>
          </w:tcPr>
          <w:p w14:paraId="471260A1">
            <w:pPr>
              <w:wordWrap w:val="0"/>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序号</w:t>
            </w:r>
          </w:p>
        </w:tc>
        <w:tc>
          <w:tcPr>
            <w:tcW w:w="2398" w:type="dxa"/>
            <w:vAlign w:val="center"/>
          </w:tcPr>
          <w:p w14:paraId="20133EDC">
            <w:pPr>
              <w:wordWrap w:val="0"/>
              <w:adjustRightInd w:val="0"/>
              <w:snapToGrid w:val="0"/>
              <w:spacing w:line="360" w:lineRule="auto"/>
              <w:jc w:val="center"/>
              <w:rPr>
                <w:rFonts w:ascii="宋体" w:hAnsi="宋体" w:cs="宋体"/>
                <w:b/>
                <w:color w:val="auto"/>
                <w:szCs w:val="21"/>
              </w:rPr>
            </w:pPr>
            <w:r>
              <w:rPr>
                <w:rFonts w:hint="eastAsia" w:ascii="宋体" w:hAnsi="宋体" w:cs="宋体"/>
                <w:b/>
                <w:color w:val="auto"/>
                <w:szCs w:val="21"/>
                <w:lang w:bidi="ar"/>
              </w:rPr>
              <w:t>产品（项目）名称</w:t>
            </w:r>
          </w:p>
        </w:tc>
        <w:tc>
          <w:tcPr>
            <w:tcW w:w="1575" w:type="dxa"/>
            <w:vAlign w:val="center"/>
          </w:tcPr>
          <w:p w14:paraId="115AC36B">
            <w:pPr>
              <w:wordWrap w:val="0"/>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是否属于</w:t>
            </w:r>
          </w:p>
          <w:p w14:paraId="10EFA76D">
            <w:pPr>
              <w:wordWrap w:val="0"/>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强制节能产品</w:t>
            </w:r>
          </w:p>
        </w:tc>
        <w:tc>
          <w:tcPr>
            <w:tcW w:w="1887" w:type="dxa"/>
            <w:vAlign w:val="center"/>
          </w:tcPr>
          <w:p w14:paraId="16C24607">
            <w:pPr>
              <w:wordWrap w:val="0"/>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是否属于</w:t>
            </w:r>
          </w:p>
          <w:p w14:paraId="6B9D0930">
            <w:pPr>
              <w:wordWrap w:val="0"/>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节能产品</w:t>
            </w:r>
          </w:p>
        </w:tc>
        <w:tc>
          <w:tcPr>
            <w:tcW w:w="1913" w:type="dxa"/>
            <w:vAlign w:val="center"/>
          </w:tcPr>
          <w:p w14:paraId="21E368C9">
            <w:pPr>
              <w:wordWrap w:val="0"/>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是否属于</w:t>
            </w:r>
          </w:p>
          <w:p w14:paraId="42437F68">
            <w:pPr>
              <w:wordWrap w:val="0"/>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环境标志产品</w:t>
            </w:r>
          </w:p>
        </w:tc>
      </w:tr>
      <w:tr w14:paraId="7A1E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02" w:type="dxa"/>
          </w:tcPr>
          <w:p w14:paraId="31CBEF5E">
            <w:pPr>
              <w:wordWrap w:val="0"/>
              <w:adjustRightInd w:val="0"/>
              <w:snapToGrid w:val="0"/>
              <w:spacing w:line="360" w:lineRule="auto"/>
              <w:rPr>
                <w:rFonts w:ascii="宋体" w:hAnsi="宋体" w:cs="宋体"/>
                <w:bCs/>
                <w:color w:val="auto"/>
                <w:szCs w:val="21"/>
              </w:rPr>
            </w:pPr>
          </w:p>
        </w:tc>
        <w:tc>
          <w:tcPr>
            <w:tcW w:w="2398" w:type="dxa"/>
          </w:tcPr>
          <w:p w14:paraId="54AC304F">
            <w:pPr>
              <w:wordWrap w:val="0"/>
              <w:adjustRightInd w:val="0"/>
              <w:snapToGrid w:val="0"/>
              <w:spacing w:line="360" w:lineRule="auto"/>
              <w:rPr>
                <w:rFonts w:ascii="宋体" w:hAnsi="宋体" w:cs="宋体"/>
                <w:bCs/>
                <w:color w:val="auto"/>
                <w:szCs w:val="21"/>
              </w:rPr>
            </w:pPr>
          </w:p>
        </w:tc>
        <w:tc>
          <w:tcPr>
            <w:tcW w:w="1575" w:type="dxa"/>
          </w:tcPr>
          <w:p w14:paraId="4B107C17">
            <w:pPr>
              <w:wordWrap w:val="0"/>
              <w:adjustRightInd w:val="0"/>
              <w:snapToGrid w:val="0"/>
              <w:spacing w:line="360" w:lineRule="auto"/>
              <w:rPr>
                <w:rFonts w:ascii="宋体" w:hAnsi="宋体" w:cs="宋体"/>
                <w:bCs/>
                <w:color w:val="auto"/>
                <w:szCs w:val="21"/>
              </w:rPr>
            </w:pPr>
          </w:p>
        </w:tc>
        <w:tc>
          <w:tcPr>
            <w:tcW w:w="1887" w:type="dxa"/>
          </w:tcPr>
          <w:p w14:paraId="79A61241">
            <w:pPr>
              <w:wordWrap w:val="0"/>
              <w:adjustRightInd w:val="0"/>
              <w:snapToGrid w:val="0"/>
              <w:spacing w:line="360" w:lineRule="auto"/>
              <w:rPr>
                <w:rFonts w:ascii="宋体" w:hAnsi="宋体" w:cs="宋体"/>
                <w:bCs/>
                <w:color w:val="auto"/>
                <w:szCs w:val="21"/>
              </w:rPr>
            </w:pPr>
          </w:p>
        </w:tc>
        <w:tc>
          <w:tcPr>
            <w:tcW w:w="1913" w:type="dxa"/>
          </w:tcPr>
          <w:p w14:paraId="410A2E4F">
            <w:pPr>
              <w:wordWrap w:val="0"/>
              <w:adjustRightInd w:val="0"/>
              <w:snapToGrid w:val="0"/>
              <w:spacing w:line="360" w:lineRule="auto"/>
              <w:rPr>
                <w:rFonts w:ascii="宋体" w:hAnsi="宋体" w:cs="宋体"/>
                <w:bCs/>
                <w:color w:val="auto"/>
                <w:szCs w:val="21"/>
              </w:rPr>
            </w:pPr>
          </w:p>
        </w:tc>
      </w:tr>
      <w:tr w14:paraId="60A5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02" w:type="dxa"/>
          </w:tcPr>
          <w:p w14:paraId="3802D384">
            <w:pPr>
              <w:wordWrap w:val="0"/>
              <w:adjustRightInd w:val="0"/>
              <w:snapToGrid w:val="0"/>
              <w:spacing w:line="360" w:lineRule="auto"/>
              <w:rPr>
                <w:rFonts w:ascii="宋体" w:hAnsi="宋体" w:cs="宋体"/>
                <w:bCs/>
                <w:color w:val="auto"/>
                <w:szCs w:val="21"/>
              </w:rPr>
            </w:pPr>
          </w:p>
        </w:tc>
        <w:tc>
          <w:tcPr>
            <w:tcW w:w="2398" w:type="dxa"/>
          </w:tcPr>
          <w:p w14:paraId="1CD64203">
            <w:pPr>
              <w:wordWrap w:val="0"/>
              <w:adjustRightInd w:val="0"/>
              <w:snapToGrid w:val="0"/>
              <w:spacing w:line="360" w:lineRule="auto"/>
              <w:rPr>
                <w:rFonts w:ascii="宋体" w:hAnsi="宋体" w:cs="宋体"/>
                <w:bCs/>
                <w:color w:val="auto"/>
                <w:szCs w:val="21"/>
              </w:rPr>
            </w:pPr>
          </w:p>
        </w:tc>
        <w:tc>
          <w:tcPr>
            <w:tcW w:w="1575" w:type="dxa"/>
          </w:tcPr>
          <w:p w14:paraId="726E05D2">
            <w:pPr>
              <w:wordWrap w:val="0"/>
              <w:adjustRightInd w:val="0"/>
              <w:snapToGrid w:val="0"/>
              <w:spacing w:line="360" w:lineRule="auto"/>
              <w:rPr>
                <w:rFonts w:ascii="宋体" w:hAnsi="宋体" w:cs="宋体"/>
                <w:bCs/>
                <w:color w:val="auto"/>
                <w:szCs w:val="21"/>
              </w:rPr>
            </w:pPr>
          </w:p>
        </w:tc>
        <w:tc>
          <w:tcPr>
            <w:tcW w:w="1887" w:type="dxa"/>
          </w:tcPr>
          <w:p w14:paraId="2AA4B8E5">
            <w:pPr>
              <w:wordWrap w:val="0"/>
              <w:adjustRightInd w:val="0"/>
              <w:snapToGrid w:val="0"/>
              <w:spacing w:line="360" w:lineRule="auto"/>
              <w:rPr>
                <w:rFonts w:ascii="宋体" w:hAnsi="宋体" w:cs="宋体"/>
                <w:bCs/>
                <w:color w:val="auto"/>
                <w:szCs w:val="21"/>
              </w:rPr>
            </w:pPr>
          </w:p>
        </w:tc>
        <w:tc>
          <w:tcPr>
            <w:tcW w:w="1913" w:type="dxa"/>
          </w:tcPr>
          <w:p w14:paraId="26D2013C">
            <w:pPr>
              <w:wordWrap w:val="0"/>
              <w:adjustRightInd w:val="0"/>
              <w:snapToGrid w:val="0"/>
              <w:spacing w:line="360" w:lineRule="auto"/>
              <w:rPr>
                <w:rFonts w:ascii="宋体" w:hAnsi="宋体" w:cs="宋体"/>
                <w:bCs/>
                <w:color w:val="auto"/>
                <w:szCs w:val="21"/>
              </w:rPr>
            </w:pPr>
          </w:p>
        </w:tc>
      </w:tr>
      <w:tr w14:paraId="5698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02" w:type="dxa"/>
          </w:tcPr>
          <w:p w14:paraId="598AD67F">
            <w:pPr>
              <w:wordWrap w:val="0"/>
              <w:adjustRightInd w:val="0"/>
              <w:snapToGrid w:val="0"/>
              <w:spacing w:line="360" w:lineRule="auto"/>
              <w:rPr>
                <w:rFonts w:ascii="宋体" w:hAnsi="宋体" w:cs="宋体"/>
                <w:bCs/>
                <w:color w:val="auto"/>
                <w:szCs w:val="21"/>
              </w:rPr>
            </w:pPr>
          </w:p>
        </w:tc>
        <w:tc>
          <w:tcPr>
            <w:tcW w:w="2398" w:type="dxa"/>
          </w:tcPr>
          <w:p w14:paraId="48D343BF">
            <w:pPr>
              <w:wordWrap w:val="0"/>
              <w:adjustRightInd w:val="0"/>
              <w:snapToGrid w:val="0"/>
              <w:spacing w:line="360" w:lineRule="auto"/>
              <w:rPr>
                <w:rFonts w:ascii="宋体" w:hAnsi="宋体" w:cs="宋体"/>
                <w:bCs/>
                <w:color w:val="auto"/>
                <w:szCs w:val="21"/>
              </w:rPr>
            </w:pPr>
          </w:p>
        </w:tc>
        <w:tc>
          <w:tcPr>
            <w:tcW w:w="1575" w:type="dxa"/>
          </w:tcPr>
          <w:p w14:paraId="5BD6C33A">
            <w:pPr>
              <w:wordWrap w:val="0"/>
              <w:adjustRightInd w:val="0"/>
              <w:snapToGrid w:val="0"/>
              <w:spacing w:line="360" w:lineRule="auto"/>
              <w:rPr>
                <w:rFonts w:ascii="宋体" w:hAnsi="宋体" w:cs="宋体"/>
                <w:bCs/>
                <w:color w:val="auto"/>
                <w:szCs w:val="21"/>
              </w:rPr>
            </w:pPr>
          </w:p>
        </w:tc>
        <w:tc>
          <w:tcPr>
            <w:tcW w:w="1887" w:type="dxa"/>
          </w:tcPr>
          <w:p w14:paraId="741C50C0">
            <w:pPr>
              <w:wordWrap w:val="0"/>
              <w:adjustRightInd w:val="0"/>
              <w:snapToGrid w:val="0"/>
              <w:spacing w:line="360" w:lineRule="auto"/>
              <w:rPr>
                <w:rFonts w:ascii="宋体" w:hAnsi="宋体" w:cs="宋体"/>
                <w:bCs/>
                <w:color w:val="auto"/>
                <w:szCs w:val="21"/>
              </w:rPr>
            </w:pPr>
          </w:p>
        </w:tc>
        <w:tc>
          <w:tcPr>
            <w:tcW w:w="1913" w:type="dxa"/>
          </w:tcPr>
          <w:p w14:paraId="04F2C28E">
            <w:pPr>
              <w:wordWrap w:val="0"/>
              <w:adjustRightInd w:val="0"/>
              <w:snapToGrid w:val="0"/>
              <w:spacing w:line="360" w:lineRule="auto"/>
              <w:rPr>
                <w:rFonts w:ascii="宋体" w:hAnsi="宋体" w:cs="宋体"/>
                <w:bCs/>
                <w:color w:val="auto"/>
                <w:szCs w:val="21"/>
              </w:rPr>
            </w:pPr>
          </w:p>
        </w:tc>
      </w:tr>
    </w:tbl>
    <w:p w14:paraId="6348A6AD">
      <w:pPr>
        <w:wordWrap w:val="0"/>
        <w:adjustRightInd w:val="0"/>
        <w:snapToGrid w:val="0"/>
        <w:spacing w:line="360" w:lineRule="auto"/>
        <w:ind w:firstLine="2" w:firstLineChars="1"/>
        <w:rPr>
          <w:rFonts w:ascii="宋体" w:hAnsi="宋体" w:cs="宋体"/>
          <w:color w:val="auto"/>
          <w:szCs w:val="21"/>
        </w:rPr>
      </w:pPr>
      <w:bookmarkStart w:id="480" w:name="_Toc29851"/>
      <w:r>
        <w:rPr>
          <w:rFonts w:hint="eastAsia" w:ascii="宋体" w:hAnsi="宋体" w:cs="宋体"/>
          <w:color w:val="auto"/>
          <w:szCs w:val="21"/>
        </w:rPr>
        <w:t>注</w:t>
      </w:r>
      <w:bookmarkEnd w:id="480"/>
      <w:r>
        <w:rPr>
          <w:rFonts w:hint="eastAsia" w:ascii="宋体" w:hAnsi="宋体" w:cs="宋体"/>
          <w:color w:val="auto"/>
          <w:szCs w:val="21"/>
        </w:rPr>
        <w:t>：</w:t>
      </w:r>
    </w:p>
    <w:p w14:paraId="0A794D3C">
      <w:pPr>
        <w:wordWrap w:val="0"/>
        <w:adjustRightInd w:val="0"/>
        <w:snapToGrid w:val="0"/>
        <w:spacing w:line="360" w:lineRule="auto"/>
        <w:ind w:firstLine="2" w:firstLineChars="1"/>
        <w:rPr>
          <w:rFonts w:ascii="宋体" w:hAnsi="宋体" w:cs="宋体"/>
          <w:color w:val="auto"/>
          <w:szCs w:val="21"/>
        </w:rPr>
      </w:pPr>
      <w:bookmarkStart w:id="481" w:name="_Toc4700"/>
      <w:bookmarkStart w:id="482" w:name="_Toc1604"/>
      <w:r>
        <w:rPr>
          <w:rFonts w:hint="eastAsia" w:ascii="宋体" w:hAnsi="宋体" w:cs="宋体"/>
          <w:color w:val="auto"/>
          <w:szCs w:val="21"/>
        </w:rPr>
        <w:t>1.产品属于《节能产品政府采购品目清单》中以“</w:t>
      </w:r>
      <w:r>
        <w:rPr>
          <w:rFonts w:hint="eastAsia" w:ascii="宋体" w:hAnsi="宋体"/>
          <w:b/>
          <w:color w:val="auto"/>
          <w:sz w:val="24"/>
        </w:rPr>
        <w:t>★</w:t>
      </w:r>
      <w:r>
        <w:rPr>
          <w:rFonts w:hint="eastAsia" w:ascii="宋体" w:hAnsi="宋体" w:cs="宋体"/>
          <w:color w:val="auto"/>
          <w:szCs w:val="21"/>
        </w:rPr>
        <w:t>”标注的政府强制采购产品，投标人须在投标文件中提供产品经国家确定的参与实施政府采购节能产品认证机构出具的、处于有效期之内的节能产品认证证书，若投标人在投标文件中未提供或未按要求提供产品经国家确定的参与实施政府采购节能产品认证机构出具的、处于有效期之内的节能产品认证证书，其投标文件按无效处理</w:t>
      </w:r>
      <w:bookmarkEnd w:id="481"/>
      <w:r>
        <w:rPr>
          <w:rFonts w:hint="eastAsia" w:ascii="宋体" w:hAnsi="宋体" w:cs="宋体"/>
          <w:color w:val="auto"/>
          <w:szCs w:val="21"/>
        </w:rPr>
        <w:t>。</w:t>
      </w:r>
    </w:p>
    <w:p w14:paraId="3105BD8D">
      <w:pPr>
        <w:wordWrap w:val="0"/>
        <w:adjustRightInd w:val="0"/>
        <w:snapToGrid w:val="0"/>
        <w:spacing w:line="360" w:lineRule="auto"/>
        <w:ind w:firstLine="2" w:firstLineChars="1"/>
        <w:rPr>
          <w:rFonts w:ascii="宋体" w:hAnsi="宋体" w:cs="宋体"/>
          <w:color w:val="auto"/>
          <w:szCs w:val="21"/>
        </w:rPr>
      </w:pPr>
      <w:bookmarkStart w:id="483" w:name="_Toc22205"/>
      <w:r>
        <w:rPr>
          <w:rFonts w:hint="eastAsia" w:ascii="宋体" w:hAnsi="宋体" w:cs="宋体"/>
          <w:color w:val="auto"/>
          <w:szCs w:val="21"/>
        </w:rPr>
        <w:t>2.产品属于《节能产品政府采购品目清单》中非政府强制采购产品，投标人需在投标文件中提供产品经国家确定的参与实施政府采购节能产品认证机构出具的、处于有效期之内的节能产品认证证书</w:t>
      </w:r>
      <w:bookmarkEnd w:id="483"/>
      <w:r>
        <w:rPr>
          <w:rFonts w:hint="eastAsia" w:ascii="宋体" w:hAnsi="宋体" w:cs="宋体"/>
          <w:color w:val="auto"/>
          <w:szCs w:val="21"/>
        </w:rPr>
        <w:t>。</w:t>
      </w:r>
    </w:p>
    <w:p w14:paraId="2E7891DD">
      <w:pPr>
        <w:wordWrap w:val="0"/>
        <w:adjustRightInd w:val="0"/>
        <w:snapToGrid w:val="0"/>
        <w:spacing w:line="360" w:lineRule="auto"/>
        <w:ind w:firstLine="2" w:firstLineChars="1"/>
        <w:rPr>
          <w:rFonts w:ascii="宋体" w:hAnsi="宋体" w:cs="宋体"/>
          <w:color w:val="auto"/>
          <w:szCs w:val="21"/>
        </w:rPr>
      </w:pPr>
      <w:bookmarkStart w:id="484" w:name="_Toc23959"/>
      <w:r>
        <w:rPr>
          <w:rFonts w:hint="eastAsia" w:ascii="宋体" w:hAnsi="宋体" w:cs="宋体"/>
          <w:color w:val="auto"/>
          <w:szCs w:val="21"/>
        </w:rPr>
        <w:t>3.产品属于《环境标志产品政府采购品目清单》中环境标志产品，投标人需在投标文件中提供产品经国家确定的参与实施政府采购环境标志产品认证机构出具的、处于有效期之内的环境标志产品认证证书</w:t>
      </w:r>
      <w:bookmarkEnd w:id="484"/>
      <w:r>
        <w:rPr>
          <w:rFonts w:hint="eastAsia" w:ascii="宋体" w:hAnsi="宋体" w:cs="宋体"/>
          <w:color w:val="auto"/>
          <w:szCs w:val="21"/>
        </w:rPr>
        <w:t>。</w:t>
      </w:r>
    </w:p>
    <w:p w14:paraId="552670BD">
      <w:pPr>
        <w:pStyle w:val="20"/>
        <w:spacing w:line="360" w:lineRule="auto"/>
        <w:rPr>
          <w:rFonts w:hAnsi="宋体" w:cs="宋体"/>
          <w:color w:val="auto"/>
          <w:szCs w:val="21"/>
        </w:rPr>
      </w:pPr>
      <w:r>
        <w:rPr>
          <w:rFonts w:hint="eastAsia" w:hAnsi="宋体" w:cs="宋体"/>
          <w:color w:val="auto"/>
          <w:szCs w:val="21"/>
        </w:rPr>
        <w:t>4.投标人可根据实际情况拓展本表。</w:t>
      </w:r>
      <w:bookmarkEnd w:id="482"/>
      <w:r>
        <w:rPr>
          <w:rFonts w:hint="eastAsia" w:hAnsi="宋体" w:cs="宋体"/>
          <w:color w:val="auto"/>
          <w:szCs w:val="21"/>
        </w:rPr>
        <w:tab/>
      </w:r>
      <w:r>
        <w:rPr>
          <w:rFonts w:hint="eastAsia" w:hAnsi="宋体" w:cs="宋体"/>
          <w:color w:val="auto"/>
          <w:szCs w:val="21"/>
        </w:rPr>
        <w:t>若无节能、环境标志产品的可不填或删除此表。</w:t>
      </w:r>
    </w:p>
    <w:p w14:paraId="4B38E3F3">
      <w:pPr>
        <w:rPr>
          <w:rFonts w:ascii="宋体" w:hAnsi="宋体" w:cs="宋体"/>
          <w:b/>
          <w:bCs/>
          <w:color w:val="auto"/>
          <w:sz w:val="28"/>
          <w:szCs w:val="28"/>
        </w:rPr>
      </w:pPr>
      <w:r>
        <w:rPr>
          <w:rFonts w:hint="eastAsia" w:ascii="宋体" w:hAnsi="宋体" w:cs="宋体"/>
          <w:b/>
          <w:bCs/>
          <w:color w:val="auto"/>
          <w:sz w:val="28"/>
          <w:szCs w:val="28"/>
        </w:rPr>
        <w:br w:type="page"/>
      </w:r>
    </w:p>
    <w:p w14:paraId="1BC38E5C">
      <w:pPr>
        <w:keepNext/>
        <w:keepLines/>
        <w:spacing w:after="120" w:line="360" w:lineRule="auto"/>
        <w:jc w:val="left"/>
        <w:rPr>
          <w:rFonts w:ascii="宋体" w:hAnsi="宋体" w:cs="宋体"/>
          <w:b/>
          <w:color w:val="auto"/>
          <w:sz w:val="28"/>
          <w:szCs w:val="28"/>
        </w:rPr>
      </w:pPr>
      <w:r>
        <w:rPr>
          <w:rFonts w:hint="eastAsia" w:ascii="宋体" w:hAnsi="宋体" w:cs="宋体"/>
          <w:b/>
          <w:bCs/>
          <w:color w:val="auto"/>
          <w:sz w:val="28"/>
          <w:szCs w:val="28"/>
        </w:rPr>
        <w:t>格式19</w:t>
      </w:r>
    </w:p>
    <w:p w14:paraId="7C2DF144">
      <w:pPr>
        <w:keepNext/>
        <w:keepLines/>
        <w:adjustRightInd w:val="0"/>
        <w:snapToGrid w:val="0"/>
        <w:spacing w:line="360" w:lineRule="auto"/>
        <w:jc w:val="center"/>
        <w:rPr>
          <w:rFonts w:ascii="宋体" w:hAnsi="宋体" w:cs="宋体"/>
          <w:b/>
          <w:bCs/>
          <w:color w:val="auto"/>
          <w:sz w:val="32"/>
          <w:szCs w:val="32"/>
        </w:rPr>
      </w:pPr>
      <w:r>
        <w:rPr>
          <w:rFonts w:hint="eastAsia" w:ascii="宋体" w:hAnsi="宋体" w:cs="宋体"/>
          <w:b/>
          <w:bCs/>
          <w:color w:val="auto"/>
          <w:sz w:val="32"/>
          <w:szCs w:val="32"/>
        </w:rPr>
        <w:t>技术参数及性能要求偏离表</w:t>
      </w:r>
    </w:p>
    <w:p w14:paraId="7F8EB803">
      <w:pPr>
        <w:pStyle w:val="20"/>
        <w:adjustRightInd w:val="0"/>
        <w:snapToGrid w:val="0"/>
        <w:spacing w:line="360" w:lineRule="auto"/>
        <w:rPr>
          <w:rFonts w:hAnsi="宋体" w:cs="宋体"/>
          <w:b/>
          <w:color w:val="auto"/>
          <w:szCs w:val="21"/>
          <w:u w:val="single"/>
        </w:rPr>
      </w:pPr>
      <w:r>
        <w:rPr>
          <w:rFonts w:hint="eastAsia" w:hAnsi="宋体" w:cs="宋体"/>
          <w:b/>
          <w:color w:val="auto"/>
          <w:szCs w:val="21"/>
        </w:rPr>
        <w:t>项目名称：</w:t>
      </w:r>
    </w:p>
    <w:p w14:paraId="6620CEFA">
      <w:pPr>
        <w:pStyle w:val="20"/>
        <w:adjustRightInd w:val="0"/>
        <w:snapToGrid w:val="0"/>
        <w:spacing w:line="360" w:lineRule="auto"/>
        <w:rPr>
          <w:rFonts w:hAnsi="宋体" w:cs="宋体"/>
          <w:b/>
          <w:color w:val="auto"/>
          <w:szCs w:val="21"/>
        </w:rPr>
      </w:pPr>
      <w:r>
        <w:rPr>
          <w:rFonts w:hint="eastAsia" w:hAnsi="宋体" w:cs="宋体"/>
          <w:b/>
          <w:color w:val="auto"/>
          <w:szCs w:val="21"/>
        </w:rPr>
        <w:t>项目编号：</w:t>
      </w:r>
    </w:p>
    <w:tbl>
      <w:tblPr>
        <w:tblStyle w:val="4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965"/>
        <w:gridCol w:w="1976"/>
        <w:gridCol w:w="2030"/>
        <w:gridCol w:w="1145"/>
        <w:gridCol w:w="994"/>
      </w:tblGrid>
      <w:tr w14:paraId="78DF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22" w:type="dxa"/>
            <w:vAlign w:val="center"/>
          </w:tcPr>
          <w:p w14:paraId="3FF93722">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序号</w:t>
            </w:r>
          </w:p>
        </w:tc>
        <w:tc>
          <w:tcPr>
            <w:tcW w:w="1965" w:type="dxa"/>
            <w:vAlign w:val="center"/>
          </w:tcPr>
          <w:p w14:paraId="0FEC019E">
            <w:pPr>
              <w:adjustRightInd w:val="0"/>
              <w:snapToGrid w:val="0"/>
              <w:spacing w:line="360" w:lineRule="auto"/>
              <w:jc w:val="center"/>
              <w:rPr>
                <w:rFonts w:ascii="宋体" w:hAnsi="宋体" w:cs="宋体"/>
                <w:b/>
                <w:color w:val="auto"/>
                <w:szCs w:val="21"/>
              </w:rPr>
            </w:pPr>
            <w:r>
              <w:rPr>
                <w:rFonts w:hint="eastAsia" w:asciiTheme="minorEastAsia" w:hAnsiTheme="minorEastAsia" w:eastAsiaTheme="minorEastAsia" w:cstheme="minorEastAsia"/>
                <w:b/>
                <w:color w:val="auto"/>
                <w:szCs w:val="21"/>
              </w:rPr>
              <w:t>项目（标的）名称</w:t>
            </w:r>
          </w:p>
        </w:tc>
        <w:tc>
          <w:tcPr>
            <w:tcW w:w="1976" w:type="dxa"/>
            <w:vAlign w:val="center"/>
          </w:tcPr>
          <w:p w14:paraId="4E98018D">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招标文件技术要求</w:t>
            </w:r>
          </w:p>
        </w:tc>
        <w:tc>
          <w:tcPr>
            <w:tcW w:w="2030" w:type="dxa"/>
            <w:vAlign w:val="center"/>
          </w:tcPr>
          <w:p w14:paraId="50163F36">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投标文件响应情况</w:t>
            </w:r>
          </w:p>
        </w:tc>
        <w:tc>
          <w:tcPr>
            <w:tcW w:w="1145" w:type="dxa"/>
            <w:vAlign w:val="center"/>
          </w:tcPr>
          <w:p w14:paraId="53B98AD9">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偏离</w:t>
            </w:r>
          </w:p>
        </w:tc>
        <w:tc>
          <w:tcPr>
            <w:tcW w:w="994" w:type="dxa"/>
            <w:vAlign w:val="center"/>
          </w:tcPr>
          <w:p w14:paraId="04A72172">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具体偏离情况</w:t>
            </w:r>
          </w:p>
        </w:tc>
      </w:tr>
      <w:tr w14:paraId="2613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522" w:type="dxa"/>
            <w:vMerge w:val="restart"/>
            <w:vAlign w:val="center"/>
          </w:tcPr>
          <w:p w14:paraId="6D3F2406">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1</w:t>
            </w:r>
          </w:p>
        </w:tc>
        <w:tc>
          <w:tcPr>
            <w:tcW w:w="1965" w:type="dxa"/>
            <w:vMerge w:val="restart"/>
            <w:vAlign w:val="center"/>
          </w:tcPr>
          <w:p w14:paraId="7BE03F43">
            <w:pPr>
              <w:adjustRightInd w:val="0"/>
              <w:snapToGrid w:val="0"/>
              <w:spacing w:line="360" w:lineRule="auto"/>
              <w:jc w:val="center"/>
              <w:rPr>
                <w:rFonts w:ascii="宋体" w:hAnsi="宋体" w:cs="宋体"/>
                <w:color w:val="auto"/>
                <w:szCs w:val="21"/>
              </w:rPr>
            </w:pPr>
          </w:p>
        </w:tc>
        <w:tc>
          <w:tcPr>
            <w:tcW w:w="1976" w:type="dxa"/>
            <w:vAlign w:val="center"/>
          </w:tcPr>
          <w:p w14:paraId="21628D91">
            <w:pPr>
              <w:adjustRightInd w:val="0"/>
              <w:snapToGrid w:val="0"/>
              <w:spacing w:line="360" w:lineRule="auto"/>
              <w:jc w:val="center"/>
              <w:rPr>
                <w:rFonts w:ascii="宋体" w:hAnsi="宋体" w:cs="宋体"/>
                <w:color w:val="auto"/>
                <w:szCs w:val="21"/>
              </w:rPr>
            </w:pPr>
          </w:p>
        </w:tc>
        <w:tc>
          <w:tcPr>
            <w:tcW w:w="2030" w:type="dxa"/>
            <w:vAlign w:val="center"/>
          </w:tcPr>
          <w:p w14:paraId="26781C45">
            <w:pPr>
              <w:adjustRightInd w:val="0"/>
              <w:snapToGrid w:val="0"/>
              <w:spacing w:line="360" w:lineRule="auto"/>
              <w:jc w:val="center"/>
              <w:rPr>
                <w:rFonts w:ascii="宋体" w:hAnsi="宋体" w:cs="宋体"/>
                <w:color w:val="auto"/>
                <w:szCs w:val="21"/>
              </w:rPr>
            </w:pPr>
          </w:p>
        </w:tc>
        <w:tc>
          <w:tcPr>
            <w:tcW w:w="1145" w:type="dxa"/>
          </w:tcPr>
          <w:p w14:paraId="286AFDD4">
            <w:pPr>
              <w:adjustRightInd w:val="0"/>
              <w:snapToGrid w:val="0"/>
              <w:spacing w:line="360" w:lineRule="auto"/>
              <w:jc w:val="center"/>
              <w:rPr>
                <w:rFonts w:ascii="宋体" w:hAnsi="宋体" w:cs="宋体"/>
                <w:color w:val="auto"/>
                <w:szCs w:val="21"/>
              </w:rPr>
            </w:pPr>
          </w:p>
        </w:tc>
        <w:tc>
          <w:tcPr>
            <w:tcW w:w="994" w:type="dxa"/>
          </w:tcPr>
          <w:p w14:paraId="14E13ED8">
            <w:pPr>
              <w:adjustRightInd w:val="0"/>
              <w:snapToGrid w:val="0"/>
              <w:spacing w:line="360" w:lineRule="auto"/>
              <w:jc w:val="center"/>
              <w:rPr>
                <w:rFonts w:ascii="宋体" w:hAnsi="宋体" w:cs="宋体"/>
                <w:color w:val="auto"/>
                <w:szCs w:val="21"/>
              </w:rPr>
            </w:pPr>
          </w:p>
        </w:tc>
      </w:tr>
      <w:tr w14:paraId="02C2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522" w:type="dxa"/>
            <w:vMerge w:val="continue"/>
            <w:vAlign w:val="center"/>
          </w:tcPr>
          <w:p w14:paraId="14DE5BA9">
            <w:pPr>
              <w:adjustRightInd w:val="0"/>
              <w:snapToGrid w:val="0"/>
              <w:spacing w:line="360" w:lineRule="auto"/>
              <w:jc w:val="center"/>
              <w:rPr>
                <w:rFonts w:ascii="宋体" w:hAnsi="宋体" w:cs="宋体"/>
                <w:color w:val="auto"/>
                <w:szCs w:val="21"/>
              </w:rPr>
            </w:pPr>
          </w:p>
        </w:tc>
        <w:tc>
          <w:tcPr>
            <w:tcW w:w="1965" w:type="dxa"/>
            <w:vMerge w:val="continue"/>
            <w:vAlign w:val="center"/>
          </w:tcPr>
          <w:p w14:paraId="268383AF">
            <w:pPr>
              <w:adjustRightInd w:val="0"/>
              <w:snapToGrid w:val="0"/>
              <w:spacing w:line="360" w:lineRule="auto"/>
              <w:jc w:val="center"/>
              <w:rPr>
                <w:rFonts w:ascii="宋体" w:hAnsi="宋体" w:cs="宋体"/>
                <w:color w:val="auto"/>
                <w:szCs w:val="21"/>
              </w:rPr>
            </w:pPr>
          </w:p>
        </w:tc>
        <w:tc>
          <w:tcPr>
            <w:tcW w:w="1976" w:type="dxa"/>
            <w:vAlign w:val="center"/>
          </w:tcPr>
          <w:p w14:paraId="023D3C8E">
            <w:pPr>
              <w:adjustRightInd w:val="0"/>
              <w:snapToGrid w:val="0"/>
              <w:spacing w:line="360" w:lineRule="auto"/>
              <w:jc w:val="center"/>
              <w:rPr>
                <w:rFonts w:ascii="宋体" w:hAnsi="宋体" w:cs="宋体"/>
                <w:color w:val="auto"/>
                <w:szCs w:val="21"/>
              </w:rPr>
            </w:pPr>
          </w:p>
        </w:tc>
        <w:tc>
          <w:tcPr>
            <w:tcW w:w="2030" w:type="dxa"/>
            <w:vAlign w:val="center"/>
          </w:tcPr>
          <w:p w14:paraId="1C5288E3">
            <w:pPr>
              <w:adjustRightInd w:val="0"/>
              <w:snapToGrid w:val="0"/>
              <w:spacing w:line="360" w:lineRule="auto"/>
              <w:jc w:val="center"/>
              <w:rPr>
                <w:rFonts w:ascii="宋体" w:hAnsi="宋体" w:cs="宋体"/>
                <w:color w:val="auto"/>
                <w:szCs w:val="21"/>
              </w:rPr>
            </w:pPr>
          </w:p>
        </w:tc>
        <w:tc>
          <w:tcPr>
            <w:tcW w:w="1145" w:type="dxa"/>
          </w:tcPr>
          <w:p w14:paraId="49CFC380">
            <w:pPr>
              <w:adjustRightInd w:val="0"/>
              <w:snapToGrid w:val="0"/>
              <w:spacing w:line="360" w:lineRule="auto"/>
              <w:jc w:val="center"/>
              <w:rPr>
                <w:rFonts w:ascii="宋体" w:hAnsi="宋体" w:cs="宋体"/>
                <w:color w:val="auto"/>
                <w:szCs w:val="21"/>
              </w:rPr>
            </w:pPr>
          </w:p>
        </w:tc>
        <w:tc>
          <w:tcPr>
            <w:tcW w:w="994" w:type="dxa"/>
          </w:tcPr>
          <w:p w14:paraId="7427AF34">
            <w:pPr>
              <w:adjustRightInd w:val="0"/>
              <w:snapToGrid w:val="0"/>
              <w:spacing w:line="360" w:lineRule="auto"/>
              <w:jc w:val="center"/>
              <w:rPr>
                <w:rFonts w:ascii="宋体" w:hAnsi="宋体" w:cs="宋体"/>
                <w:color w:val="auto"/>
                <w:szCs w:val="21"/>
              </w:rPr>
            </w:pPr>
          </w:p>
        </w:tc>
      </w:tr>
      <w:tr w14:paraId="4D60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522" w:type="dxa"/>
            <w:vMerge w:val="continue"/>
            <w:vAlign w:val="center"/>
          </w:tcPr>
          <w:p w14:paraId="49B1C6FF">
            <w:pPr>
              <w:adjustRightInd w:val="0"/>
              <w:snapToGrid w:val="0"/>
              <w:spacing w:line="360" w:lineRule="auto"/>
              <w:jc w:val="center"/>
              <w:rPr>
                <w:rFonts w:ascii="宋体" w:hAnsi="宋体" w:cs="宋体"/>
                <w:color w:val="auto"/>
                <w:szCs w:val="21"/>
              </w:rPr>
            </w:pPr>
          </w:p>
        </w:tc>
        <w:tc>
          <w:tcPr>
            <w:tcW w:w="1965" w:type="dxa"/>
            <w:vMerge w:val="continue"/>
            <w:vAlign w:val="center"/>
          </w:tcPr>
          <w:p w14:paraId="5D0630E7">
            <w:pPr>
              <w:adjustRightInd w:val="0"/>
              <w:snapToGrid w:val="0"/>
              <w:spacing w:line="360" w:lineRule="auto"/>
              <w:jc w:val="center"/>
              <w:rPr>
                <w:rFonts w:ascii="宋体" w:hAnsi="宋体" w:cs="宋体"/>
                <w:color w:val="auto"/>
                <w:szCs w:val="21"/>
              </w:rPr>
            </w:pPr>
          </w:p>
        </w:tc>
        <w:tc>
          <w:tcPr>
            <w:tcW w:w="1976" w:type="dxa"/>
            <w:vAlign w:val="center"/>
          </w:tcPr>
          <w:p w14:paraId="5C87EEA0">
            <w:pPr>
              <w:adjustRightInd w:val="0"/>
              <w:snapToGrid w:val="0"/>
              <w:spacing w:line="360" w:lineRule="auto"/>
              <w:jc w:val="center"/>
              <w:rPr>
                <w:rFonts w:ascii="宋体" w:hAnsi="宋体" w:cs="宋体"/>
                <w:color w:val="auto"/>
                <w:szCs w:val="21"/>
              </w:rPr>
            </w:pPr>
          </w:p>
        </w:tc>
        <w:tc>
          <w:tcPr>
            <w:tcW w:w="2030" w:type="dxa"/>
            <w:vAlign w:val="center"/>
          </w:tcPr>
          <w:p w14:paraId="2D651ACE">
            <w:pPr>
              <w:adjustRightInd w:val="0"/>
              <w:snapToGrid w:val="0"/>
              <w:spacing w:line="360" w:lineRule="auto"/>
              <w:jc w:val="center"/>
              <w:rPr>
                <w:rFonts w:ascii="宋体" w:hAnsi="宋体" w:cs="宋体"/>
                <w:color w:val="auto"/>
                <w:szCs w:val="21"/>
              </w:rPr>
            </w:pPr>
          </w:p>
        </w:tc>
        <w:tc>
          <w:tcPr>
            <w:tcW w:w="1145" w:type="dxa"/>
          </w:tcPr>
          <w:p w14:paraId="1D7E9EA1">
            <w:pPr>
              <w:adjustRightInd w:val="0"/>
              <w:snapToGrid w:val="0"/>
              <w:spacing w:line="360" w:lineRule="auto"/>
              <w:jc w:val="center"/>
              <w:rPr>
                <w:rFonts w:ascii="宋体" w:hAnsi="宋体" w:cs="宋体"/>
                <w:color w:val="auto"/>
                <w:szCs w:val="21"/>
              </w:rPr>
            </w:pPr>
          </w:p>
        </w:tc>
        <w:tc>
          <w:tcPr>
            <w:tcW w:w="994" w:type="dxa"/>
          </w:tcPr>
          <w:p w14:paraId="497856AE">
            <w:pPr>
              <w:adjustRightInd w:val="0"/>
              <w:snapToGrid w:val="0"/>
              <w:spacing w:line="360" w:lineRule="auto"/>
              <w:jc w:val="center"/>
              <w:rPr>
                <w:rFonts w:ascii="宋体" w:hAnsi="宋体" w:cs="宋体"/>
                <w:color w:val="auto"/>
                <w:szCs w:val="21"/>
              </w:rPr>
            </w:pPr>
          </w:p>
        </w:tc>
      </w:tr>
      <w:tr w14:paraId="2DA4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522" w:type="dxa"/>
            <w:vMerge w:val="continue"/>
            <w:vAlign w:val="center"/>
          </w:tcPr>
          <w:p w14:paraId="2F506BD6">
            <w:pPr>
              <w:adjustRightInd w:val="0"/>
              <w:snapToGrid w:val="0"/>
              <w:spacing w:line="360" w:lineRule="auto"/>
              <w:jc w:val="center"/>
              <w:rPr>
                <w:rFonts w:ascii="宋体" w:hAnsi="宋体" w:cs="宋体"/>
                <w:color w:val="auto"/>
                <w:szCs w:val="21"/>
              </w:rPr>
            </w:pPr>
          </w:p>
        </w:tc>
        <w:tc>
          <w:tcPr>
            <w:tcW w:w="1965" w:type="dxa"/>
            <w:vMerge w:val="continue"/>
            <w:vAlign w:val="center"/>
          </w:tcPr>
          <w:p w14:paraId="7B58F5C8">
            <w:pPr>
              <w:adjustRightInd w:val="0"/>
              <w:snapToGrid w:val="0"/>
              <w:spacing w:line="360" w:lineRule="auto"/>
              <w:jc w:val="center"/>
              <w:rPr>
                <w:rFonts w:ascii="宋体" w:hAnsi="宋体" w:cs="宋体"/>
                <w:color w:val="auto"/>
                <w:szCs w:val="21"/>
              </w:rPr>
            </w:pPr>
          </w:p>
        </w:tc>
        <w:tc>
          <w:tcPr>
            <w:tcW w:w="1976" w:type="dxa"/>
            <w:vAlign w:val="center"/>
          </w:tcPr>
          <w:p w14:paraId="642F5552">
            <w:pPr>
              <w:adjustRightInd w:val="0"/>
              <w:snapToGrid w:val="0"/>
              <w:spacing w:line="360" w:lineRule="auto"/>
              <w:jc w:val="center"/>
              <w:rPr>
                <w:rFonts w:ascii="宋体" w:hAnsi="宋体" w:cs="宋体"/>
                <w:color w:val="auto"/>
                <w:szCs w:val="21"/>
              </w:rPr>
            </w:pPr>
          </w:p>
        </w:tc>
        <w:tc>
          <w:tcPr>
            <w:tcW w:w="2030" w:type="dxa"/>
            <w:vAlign w:val="center"/>
          </w:tcPr>
          <w:p w14:paraId="788DF77A">
            <w:pPr>
              <w:adjustRightInd w:val="0"/>
              <w:snapToGrid w:val="0"/>
              <w:spacing w:line="360" w:lineRule="auto"/>
              <w:jc w:val="center"/>
              <w:rPr>
                <w:rFonts w:ascii="宋体" w:hAnsi="宋体" w:cs="宋体"/>
                <w:color w:val="auto"/>
                <w:szCs w:val="21"/>
              </w:rPr>
            </w:pPr>
          </w:p>
        </w:tc>
        <w:tc>
          <w:tcPr>
            <w:tcW w:w="1145" w:type="dxa"/>
          </w:tcPr>
          <w:p w14:paraId="6581A0AD">
            <w:pPr>
              <w:adjustRightInd w:val="0"/>
              <w:snapToGrid w:val="0"/>
              <w:spacing w:line="360" w:lineRule="auto"/>
              <w:jc w:val="center"/>
              <w:rPr>
                <w:rFonts w:ascii="宋体" w:hAnsi="宋体" w:cs="宋体"/>
                <w:color w:val="auto"/>
                <w:szCs w:val="21"/>
              </w:rPr>
            </w:pPr>
          </w:p>
        </w:tc>
        <w:tc>
          <w:tcPr>
            <w:tcW w:w="994" w:type="dxa"/>
          </w:tcPr>
          <w:p w14:paraId="51ABF823">
            <w:pPr>
              <w:adjustRightInd w:val="0"/>
              <w:snapToGrid w:val="0"/>
              <w:spacing w:line="360" w:lineRule="auto"/>
              <w:jc w:val="center"/>
              <w:rPr>
                <w:rFonts w:ascii="宋体" w:hAnsi="宋体" w:cs="宋体"/>
                <w:color w:val="auto"/>
                <w:szCs w:val="21"/>
              </w:rPr>
            </w:pPr>
          </w:p>
        </w:tc>
      </w:tr>
      <w:tr w14:paraId="1CBC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522" w:type="dxa"/>
            <w:vAlign w:val="center"/>
          </w:tcPr>
          <w:p w14:paraId="36DBD9ED">
            <w:pPr>
              <w:adjustRightInd w:val="0"/>
              <w:snapToGrid w:val="0"/>
              <w:spacing w:line="360" w:lineRule="auto"/>
              <w:jc w:val="center"/>
              <w:rPr>
                <w:rFonts w:ascii="宋体" w:hAnsi="宋体" w:cs="宋体"/>
                <w:color w:val="auto"/>
                <w:szCs w:val="21"/>
              </w:rPr>
            </w:pPr>
          </w:p>
        </w:tc>
        <w:tc>
          <w:tcPr>
            <w:tcW w:w="1965" w:type="dxa"/>
            <w:vAlign w:val="center"/>
          </w:tcPr>
          <w:p w14:paraId="16BA9B52">
            <w:pPr>
              <w:adjustRightInd w:val="0"/>
              <w:snapToGrid w:val="0"/>
              <w:spacing w:line="360" w:lineRule="auto"/>
              <w:jc w:val="center"/>
              <w:rPr>
                <w:rFonts w:ascii="宋体" w:hAnsi="宋体" w:cs="宋体"/>
                <w:color w:val="auto"/>
                <w:szCs w:val="21"/>
              </w:rPr>
            </w:pPr>
          </w:p>
        </w:tc>
        <w:tc>
          <w:tcPr>
            <w:tcW w:w="1976" w:type="dxa"/>
            <w:vAlign w:val="center"/>
          </w:tcPr>
          <w:p w14:paraId="1A657615">
            <w:pPr>
              <w:adjustRightInd w:val="0"/>
              <w:snapToGrid w:val="0"/>
              <w:spacing w:line="360" w:lineRule="auto"/>
              <w:jc w:val="center"/>
              <w:rPr>
                <w:rFonts w:ascii="宋体" w:hAnsi="宋体" w:cs="宋体"/>
                <w:color w:val="auto"/>
                <w:szCs w:val="21"/>
              </w:rPr>
            </w:pPr>
          </w:p>
        </w:tc>
        <w:tc>
          <w:tcPr>
            <w:tcW w:w="2030" w:type="dxa"/>
            <w:vAlign w:val="center"/>
          </w:tcPr>
          <w:p w14:paraId="7A33A542">
            <w:pPr>
              <w:adjustRightInd w:val="0"/>
              <w:snapToGrid w:val="0"/>
              <w:spacing w:line="360" w:lineRule="auto"/>
              <w:jc w:val="center"/>
              <w:rPr>
                <w:rFonts w:ascii="宋体" w:hAnsi="宋体" w:cs="宋体"/>
                <w:color w:val="auto"/>
                <w:szCs w:val="21"/>
              </w:rPr>
            </w:pPr>
          </w:p>
        </w:tc>
        <w:tc>
          <w:tcPr>
            <w:tcW w:w="1145" w:type="dxa"/>
          </w:tcPr>
          <w:p w14:paraId="352E8307">
            <w:pPr>
              <w:adjustRightInd w:val="0"/>
              <w:snapToGrid w:val="0"/>
              <w:spacing w:line="360" w:lineRule="auto"/>
              <w:jc w:val="center"/>
              <w:rPr>
                <w:rFonts w:ascii="宋体" w:hAnsi="宋体" w:cs="宋体"/>
                <w:color w:val="auto"/>
                <w:szCs w:val="21"/>
              </w:rPr>
            </w:pPr>
          </w:p>
        </w:tc>
        <w:tc>
          <w:tcPr>
            <w:tcW w:w="994" w:type="dxa"/>
          </w:tcPr>
          <w:p w14:paraId="71D1DDB4">
            <w:pPr>
              <w:adjustRightInd w:val="0"/>
              <w:snapToGrid w:val="0"/>
              <w:spacing w:line="360" w:lineRule="auto"/>
              <w:jc w:val="center"/>
              <w:rPr>
                <w:rFonts w:ascii="宋体" w:hAnsi="宋体" w:cs="宋体"/>
                <w:color w:val="auto"/>
                <w:szCs w:val="21"/>
              </w:rPr>
            </w:pPr>
          </w:p>
        </w:tc>
      </w:tr>
      <w:tr w14:paraId="1753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522" w:type="dxa"/>
            <w:vAlign w:val="center"/>
          </w:tcPr>
          <w:p w14:paraId="1C4CBB64">
            <w:pPr>
              <w:adjustRightInd w:val="0"/>
              <w:snapToGrid w:val="0"/>
              <w:spacing w:line="360" w:lineRule="auto"/>
              <w:jc w:val="center"/>
              <w:rPr>
                <w:rFonts w:ascii="宋体" w:hAnsi="宋体" w:cs="宋体"/>
                <w:color w:val="auto"/>
                <w:szCs w:val="21"/>
              </w:rPr>
            </w:pPr>
          </w:p>
        </w:tc>
        <w:tc>
          <w:tcPr>
            <w:tcW w:w="1965" w:type="dxa"/>
            <w:vAlign w:val="center"/>
          </w:tcPr>
          <w:p w14:paraId="6E7E14F3">
            <w:pPr>
              <w:adjustRightInd w:val="0"/>
              <w:snapToGrid w:val="0"/>
              <w:spacing w:line="360" w:lineRule="auto"/>
              <w:jc w:val="center"/>
              <w:rPr>
                <w:rFonts w:ascii="宋体" w:hAnsi="宋体" w:cs="宋体"/>
                <w:color w:val="auto"/>
                <w:szCs w:val="21"/>
              </w:rPr>
            </w:pPr>
          </w:p>
        </w:tc>
        <w:tc>
          <w:tcPr>
            <w:tcW w:w="1976" w:type="dxa"/>
            <w:vAlign w:val="center"/>
          </w:tcPr>
          <w:p w14:paraId="545CD0E2">
            <w:pPr>
              <w:adjustRightInd w:val="0"/>
              <w:snapToGrid w:val="0"/>
              <w:spacing w:line="360" w:lineRule="auto"/>
              <w:jc w:val="center"/>
              <w:rPr>
                <w:rFonts w:ascii="宋体" w:hAnsi="宋体" w:cs="宋体"/>
                <w:color w:val="auto"/>
                <w:szCs w:val="21"/>
              </w:rPr>
            </w:pPr>
          </w:p>
        </w:tc>
        <w:tc>
          <w:tcPr>
            <w:tcW w:w="2030" w:type="dxa"/>
            <w:vAlign w:val="center"/>
          </w:tcPr>
          <w:p w14:paraId="599B5B23">
            <w:pPr>
              <w:adjustRightInd w:val="0"/>
              <w:snapToGrid w:val="0"/>
              <w:spacing w:line="360" w:lineRule="auto"/>
              <w:jc w:val="center"/>
              <w:rPr>
                <w:rFonts w:ascii="宋体" w:hAnsi="宋体" w:cs="宋体"/>
                <w:color w:val="auto"/>
                <w:szCs w:val="21"/>
              </w:rPr>
            </w:pPr>
          </w:p>
        </w:tc>
        <w:tc>
          <w:tcPr>
            <w:tcW w:w="1145" w:type="dxa"/>
          </w:tcPr>
          <w:p w14:paraId="338354AF">
            <w:pPr>
              <w:adjustRightInd w:val="0"/>
              <w:snapToGrid w:val="0"/>
              <w:spacing w:line="360" w:lineRule="auto"/>
              <w:jc w:val="center"/>
              <w:rPr>
                <w:rFonts w:ascii="宋体" w:hAnsi="宋体" w:cs="宋体"/>
                <w:color w:val="auto"/>
                <w:szCs w:val="21"/>
              </w:rPr>
            </w:pPr>
          </w:p>
        </w:tc>
        <w:tc>
          <w:tcPr>
            <w:tcW w:w="994" w:type="dxa"/>
          </w:tcPr>
          <w:p w14:paraId="434C2BEB">
            <w:pPr>
              <w:adjustRightInd w:val="0"/>
              <w:snapToGrid w:val="0"/>
              <w:spacing w:line="360" w:lineRule="auto"/>
              <w:jc w:val="center"/>
              <w:rPr>
                <w:rFonts w:ascii="宋体" w:hAnsi="宋体" w:cs="宋体"/>
                <w:color w:val="auto"/>
                <w:szCs w:val="21"/>
              </w:rPr>
            </w:pPr>
          </w:p>
        </w:tc>
      </w:tr>
    </w:tbl>
    <w:p w14:paraId="76C4566C">
      <w:pPr>
        <w:adjustRightInd w:val="0"/>
        <w:snapToGrid w:val="0"/>
        <w:spacing w:line="360" w:lineRule="auto"/>
        <w:rPr>
          <w:rFonts w:ascii="宋体" w:hAnsi="宋体" w:cs="宋体"/>
          <w:color w:val="auto"/>
        </w:rPr>
      </w:pPr>
      <w:r>
        <w:rPr>
          <w:rFonts w:hint="eastAsia" w:ascii="宋体" w:hAnsi="宋体" w:cs="宋体"/>
          <w:color w:val="auto"/>
        </w:rPr>
        <w:t>注：</w:t>
      </w:r>
    </w:p>
    <w:p w14:paraId="6E47138C">
      <w:pPr>
        <w:adjustRightInd w:val="0"/>
        <w:snapToGrid w:val="0"/>
        <w:spacing w:line="360" w:lineRule="auto"/>
        <w:rPr>
          <w:rFonts w:ascii="宋体" w:hAnsi="宋体" w:cs="宋体"/>
          <w:color w:val="auto"/>
        </w:rPr>
      </w:pPr>
      <w:r>
        <w:rPr>
          <w:rFonts w:hint="eastAsia" w:ascii="宋体" w:hAnsi="宋体" w:cs="宋体"/>
          <w:color w:val="auto"/>
        </w:rPr>
        <w:t>1.表格中“序号”一列，投标人须逐条对应第五章《采购需求》（三）采购标的需满足的质量、安全、技术规格、物理特性等要求的项目（标的）名称的序号。</w:t>
      </w:r>
    </w:p>
    <w:p w14:paraId="4A404808">
      <w:pPr>
        <w:adjustRightInd w:val="0"/>
        <w:snapToGrid w:val="0"/>
        <w:spacing w:line="360" w:lineRule="auto"/>
        <w:rPr>
          <w:rFonts w:ascii="宋体" w:hAnsi="宋体" w:cs="宋体"/>
          <w:color w:val="auto"/>
        </w:rPr>
      </w:pPr>
      <w:r>
        <w:rPr>
          <w:rFonts w:hint="eastAsia" w:ascii="宋体" w:hAnsi="宋体" w:cs="宋体"/>
          <w:color w:val="auto"/>
        </w:rPr>
        <w:t>2.表格中“招标文件技术要求”一列，投标人须逐条对应第五章《采购需求》（三）采购标的需满足的质量、安全、技术规格、物理特性等要求中的内容。</w:t>
      </w:r>
    </w:p>
    <w:p w14:paraId="5559513A">
      <w:pPr>
        <w:adjustRightInd w:val="0"/>
        <w:snapToGrid w:val="0"/>
        <w:spacing w:line="360" w:lineRule="auto"/>
        <w:rPr>
          <w:rFonts w:ascii="宋体" w:hAnsi="宋体" w:cs="宋体"/>
          <w:color w:val="auto"/>
        </w:rPr>
      </w:pPr>
      <w:r>
        <w:rPr>
          <w:rFonts w:hint="eastAsia" w:ascii="宋体" w:hAnsi="宋体" w:cs="宋体"/>
          <w:color w:val="auto"/>
        </w:rPr>
        <w:t>3.表格中“投标文件响应情况”一列，投标人须逐条对第五章《采购需求》（三）采购标的需满足的质量、安全、技术规格、物理特性等要求作出全面、真实的反映，投标文件应以中文应答（英文文本或缩略语需提供中文翻译或注释）。若投标文件中技术支持资料参数与技术参数及性能要求偏离表应答不符，以技术支持资料为准；若无技术支持资料又未在投标文件中作出说明和解释的，评标委员会在评审时可以视为不响应该条技术条款的规定。</w:t>
      </w:r>
    </w:p>
    <w:p w14:paraId="3B51D6F8">
      <w:pPr>
        <w:adjustRightInd w:val="0"/>
        <w:snapToGrid w:val="0"/>
        <w:spacing w:line="360" w:lineRule="auto"/>
        <w:rPr>
          <w:rFonts w:ascii="宋体" w:hAnsi="宋体" w:cs="宋体"/>
          <w:color w:val="auto"/>
        </w:rPr>
      </w:pPr>
      <w:r>
        <w:rPr>
          <w:rFonts w:hint="eastAsia" w:ascii="宋体" w:hAnsi="宋体" w:cs="宋体"/>
          <w:color w:val="auto"/>
        </w:rPr>
        <w:t>4.表格中“偏离”一列，投标人只能如实填写“正偏离”、“负偏离”或“无偏离”。凡响应内容高于第五章《采购需求》（三）采购标的需满足的质量、安全、技术规格、物理特性等要求的，按“正偏离”填写；低于第五章《采购需求》（三）采购标的需满足的质量、安全、技术规格、物理特性等要求的，按“负偏离”填写；满足第五章《采购需求》（三）采购标的需满足的质量、安全、技术规格、物理特性等要求的，按“无偏离”填写。</w:t>
      </w:r>
    </w:p>
    <w:p w14:paraId="205F316D">
      <w:pPr>
        <w:pStyle w:val="12"/>
        <w:adjustRightInd w:val="0"/>
        <w:snapToGrid w:val="0"/>
        <w:spacing w:line="360" w:lineRule="auto"/>
        <w:ind w:firstLine="0"/>
        <w:rPr>
          <w:rFonts w:ascii="宋体" w:hAnsi="宋体" w:cs="宋体"/>
          <w:color w:val="auto"/>
        </w:rPr>
      </w:pPr>
      <w:r>
        <w:rPr>
          <w:rFonts w:hint="eastAsia" w:ascii="宋体" w:hAnsi="宋体" w:cs="宋体"/>
          <w:color w:val="auto"/>
        </w:rPr>
        <w:t>5.表格中“具体偏离情况”一列，</w:t>
      </w:r>
      <w:r>
        <w:rPr>
          <w:rFonts w:hint="eastAsia" w:ascii="宋体" w:hAnsi="宋体" w:cs="宋体"/>
          <w:color w:val="auto"/>
          <w:szCs w:val="21"/>
        </w:rPr>
        <w:t>如</w:t>
      </w:r>
      <w:r>
        <w:rPr>
          <w:rFonts w:hint="eastAsia" w:ascii="宋体" w:hAnsi="宋体" w:cs="宋体"/>
          <w:color w:val="auto"/>
        </w:rPr>
        <w:t>所投产品与</w:t>
      </w:r>
      <w:r>
        <w:rPr>
          <w:rFonts w:hint="eastAsia" w:ascii="宋体" w:hAnsi="宋体" w:cs="宋体"/>
          <w:color w:val="auto"/>
          <w:szCs w:val="21"/>
        </w:rPr>
        <w:t>招标文件第五章《采购需求》（三）采购标的需满足的质量、安全、技术规格、物理特性等要求中的技术参数</w:t>
      </w:r>
      <w:r>
        <w:rPr>
          <w:rFonts w:hint="eastAsia" w:ascii="宋体" w:hAnsi="宋体" w:cs="宋体"/>
          <w:color w:val="auto"/>
        </w:rPr>
        <w:t>存在“正偏离”或“负偏离”的，</w:t>
      </w:r>
      <w:r>
        <w:rPr>
          <w:rFonts w:hint="eastAsia" w:ascii="宋体" w:hAnsi="宋体" w:cs="宋体"/>
          <w:color w:val="auto"/>
          <w:szCs w:val="21"/>
        </w:rPr>
        <w:t>必须对具体偏离内容</w:t>
      </w:r>
      <w:r>
        <w:rPr>
          <w:rFonts w:hint="eastAsia" w:ascii="宋体" w:hAnsi="宋体" w:cs="宋体"/>
          <w:color w:val="auto"/>
        </w:rPr>
        <w:t>进行详细说明。</w:t>
      </w:r>
    </w:p>
    <w:p w14:paraId="6EE4BC80">
      <w:pPr>
        <w:adjustRightInd w:val="0"/>
        <w:snapToGrid w:val="0"/>
        <w:spacing w:line="360" w:lineRule="auto"/>
        <w:jc w:val="left"/>
        <w:rPr>
          <w:rFonts w:ascii="宋体" w:hAnsi="宋体" w:cs="宋体"/>
          <w:color w:val="auto"/>
          <w:szCs w:val="21"/>
        </w:rPr>
      </w:pPr>
      <w:r>
        <w:rPr>
          <w:rFonts w:hint="eastAsia" w:ascii="宋体" w:hAnsi="宋体" w:cs="宋体"/>
          <w:color w:val="auto"/>
        </w:rPr>
        <w:t>6.投标人可根据第五章《采购需求》（三）采购标的需满足的质量、安全、技术规格、物理特性等要求拓展本表，但不得改变格式。</w:t>
      </w:r>
    </w:p>
    <w:p w14:paraId="6BC7727B">
      <w:pPr>
        <w:rPr>
          <w:rFonts w:ascii="宋体" w:hAnsi="宋体" w:cs="宋体"/>
          <w:b/>
          <w:bCs/>
          <w:color w:val="auto"/>
          <w:sz w:val="32"/>
          <w:szCs w:val="36"/>
        </w:rPr>
      </w:pPr>
      <w:r>
        <w:rPr>
          <w:rFonts w:hint="eastAsia" w:ascii="宋体" w:hAnsi="宋体" w:cs="宋体"/>
          <w:b/>
          <w:bCs/>
          <w:color w:val="auto"/>
          <w:sz w:val="32"/>
          <w:szCs w:val="36"/>
        </w:rPr>
        <w:br w:type="page"/>
      </w:r>
    </w:p>
    <w:p w14:paraId="75958B45">
      <w:pPr>
        <w:wordWrap w:val="0"/>
        <w:adjustRightInd w:val="0"/>
        <w:snapToGrid w:val="0"/>
        <w:spacing w:line="360" w:lineRule="auto"/>
        <w:ind w:firstLine="3" w:firstLineChars="1"/>
        <w:rPr>
          <w:rFonts w:ascii="宋体" w:hAnsi="宋体" w:cs="宋体"/>
          <w:b/>
          <w:color w:val="auto"/>
          <w:sz w:val="28"/>
          <w:szCs w:val="28"/>
        </w:rPr>
      </w:pPr>
      <w:bookmarkStart w:id="485" w:name="_Toc29155"/>
      <w:r>
        <w:rPr>
          <w:rFonts w:hint="eastAsia" w:ascii="宋体" w:hAnsi="宋体" w:cs="宋体"/>
          <w:b/>
          <w:color w:val="auto"/>
          <w:sz w:val="28"/>
          <w:szCs w:val="28"/>
        </w:rPr>
        <w:t>格式</w:t>
      </w:r>
      <w:bookmarkEnd w:id="485"/>
      <w:r>
        <w:rPr>
          <w:rFonts w:hint="eastAsia" w:ascii="宋体" w:hAnsi="宋体" w:cs="宋体"/>
          <w:b/>
          <w:color w:val="auto"/>
          <w:sz w:val="28"/>
          <w:szCs w:val="28"/>
        </w:rPr>
        <w:t>20</w:t>
      </w:r>
    </w:p>
    <w:p w14:paraId="6848D36B">
      <w:pPr>
        <w:keepNext/>
        <w:keepLines/>
        <w:adjustRightInd w:val="0"/>
        <w:snapToGrid w:val="0"/>
        <w:spacing w:line="360" w:lineRule="auto"/>
        <w:jc w:val="center"/>
        <w:rPr>
          <w:rFonts w:ascii="宋体" w:hAnsi="宋体" w:cs="宋体"/>
          <w:b/>
          <w:bCs/>
          <w:color w:val="auto"/>
          <w:sz w:val="32"/>
          <w:szCs w:val="32"/>
        </w:rPr>
      </w:pPr>
      <w:bookmarkStart w:id="486" w:name="_Toc26678"/>
      <w:bookmarkStart w:id="487" w:name="_Toc3466"/>
      <w:bookmarkStart w:id="488" w:name="_Toc15078"/>
      <w:bookmarkStart w:id="489" w:name="_Toc27963"/>
      <w:bookmarkStart w:id="490" w:name="_Toc6496686"/>
      <w:r>
        <w:rPr>
          <w:rFonts w:hint="eastAsia" w:ascii="宋体" w:hAnsi="宋体" w:cs="宋体"/>
          <w:b/>
          <w:bCs/>
          <w:color w:val="auto"/>
          <w:sz w:val="32"/>
          <w:szCs w:val="32"/>
        </w:rPr>
        <w:t>产品技术支持资料</w:t>
      </w:r>
      <w:bookmarkEnd w:id="486"/>
      <w:bookmarkEnd w:id="487"/>
      <w:bookmarkEnd w:id="488"/>
      <w:bookmarkEnd w:id="489"/>
      <w:bookmarkEnd w:id="490"/>
    </w:p>
    <w:p w14:paraId="03620E50">
      <w:pPr>
        <w:pStyle w:val="20"/>
        <w:adjustRightInd w:val="0"/>
        <w:snapToGrid w:val="0"/>
        <w:spacing w:line="360" w:lineRule="auto"/>
        <w:ind w:firstLine="422" w:firstLineChars="200"/>
        <w:rPr>
          <w:rFonts w:hint="eastAsia" w:hAnsi="宋体" w:cs="宋体"/>
          <w:b/>
          <w:bCs/>
          <w:color w:val="auto"/>
          <w:szCs w:val="21"/>
          <w:highlight w:val="none"/>
        </w:rPr>
      </w:pPr>
      <w:r>
        <w:rPr>
          <w:rFonts w:hint="eastAsia" w:hAnsi="宋体" w:cs="宋体"/>
          <w:b/>
          <w:bCs/>
          <w:color w:val="auto"/>
          <w:szCs w:val="21"/>
          <w:highlight w:val="none"/>
        </w:rPr>
        <w:t>投标人除须在投标文件中如实填写《技术参数及性能要求偏离表》外，第五章  采购需求（三）采购标的需满足的质量、安全、技术规格、物理特性等要求中，标注“▲”的技术参数为重要技术参数，未做任何标注的为一般技术参数。重要技术参数及采购需求里要求提供证明材料的参数需要提供证明材料，证明材料按照招标文件技术参数内的明确要求提供，未明确的可提供所投产品主要技术指标、参数及性能的公开印刷的详细说明书(非自行拟定)或制造商公开发布的印刷资料(彩页或产品宣传册)或制造商出具的技术参数证明函或第三方检测机构出具的测试报告或功能截图等。不接受投标人自行印刷、打印或者手写的技术支持资料，若投标文件中技术支持资料参数与技术参数及性能要求偏离表应答不符或无上述技术支持资料，视为未满足该条技术参数；投标文件中涉及的技术参数需在投标文件所附的证明材料内图示标注。若重要参数和一般参数不满足要求，会影响评审评分。</w:t>
      </w:r>
    </w:p>
    <w:p w14:paraId="352AAC61">
      <w:pPr>
        <w:rPr>
          <w:rFonts w:hint="eastAsia" w:hAnsi="宋体" w:cs="宋体"/>
          <w:b/>
          <w:bCs/>
          <w:color w:val="auto"/>
          <w:szCs w:val="21"/>
          <w:highlight w:val="none"/>
        </w:rPr>
      </w:pPr>
      <w:r>
        <w:rPr>
          <w:rFonts w:hint="eastAsia" w:hAnsi="宋体" w:cs="宋体"/>
          <w:b/>
          <w:bCs/>
          <w:color w:val="auto"/>
          <w:szCs w:val="21"/>
          <w:highlight w:val="none"/>
        </w:rPr>
        <w:br w:type="page"/>
      </w:r>
    </w:p>
    <w:p w14:paraId="0A822665">
      <w:pPr>
        <w:wordWrap w:val="0"/>
        <w:adjustRightInd w:val="0"/>
        <w:snapToGrid w:val="0"/>
        <w:spacing w:line="360" w:lineRule="auto"/>
        <w:ind w:firstLine="3" w:firstLineChars="1"/>
        <w:rPr>
          <w:rFonts w:hint="default" w:ascii="宋体" w:hAnsi="宋体" w:eastAsia="宋体" w:cs="宋体"/>
          <w:b/>
          <w:color w:val="auto"/>
          <w:sz w:val="28"/>
          <w:szCs w:val="28"/>
          <w:lang w:val="en-US" w:eastAsia="zh-CN"/>
        </w:rPr>
      </w:pPr>
      <w:r>
        <w:rPr>
          <w:rFonts w:hint="eastAsia" w:ascii="宋体" w:hAnsi="宋体" w:cs="宋体"/>
          <w:b/>
          <w:color w:val="auto"/>
          <w:sz w:val="28"/>
          <w:szCs w:val="28"/>
        </w:rPr>
        <w:t>格式20</w:t>
      </w:r>
      <w:r>
        <w:rPr>
          <w:rFonts w:hint="eastAsia" w:ascii="宋体" w:hAnsi="宋体" w:cs="宋体"/>
          <w:b/>
          <w:color w:val="auto"/>
          <w:sz w:val="28"/>
          <w:szCs w:val="28"/>
          <w:lang w:val="en-US" w:eastAsia="zh-CN"/>
        </w:rPr>
        <w:t>-1</w:t>
      </w:r>
    </w:p>
    <w:p w14:paraId="4E81BCE4">
      <w:pPr>
        <w:keepNext/>
        <w:keepLines/>
        <w:adjustRightInd w:val="0"/>
        <w:snapToGrid w:val="0"/>
        <w:spacing w:line="360" w:lineRule="auto"/>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重要参数证明材料</w:t>
      </w:r>
    </w:p>
    <w:p w14:paraId="0C9A8490">
      <w:pPr>
        <w:spacing w:line="360" w:lineRule="auto"/>
        <w:rPr>
          <w:rFonts w:hint="eastAsia" w:ascii="宋体" w:hAnsi="宋体" w:cs="宋体"/>
          <w:b/>
          <w:bCs/>
          <w:color w:val="auto"/>
          <w:kern w:val="0"/>
          <w:szCs w:val="21"/>
          <w:lang w:bidi="ar"/>
        </w:rPr>
      </w:pPr>
      <w:r>
        <w:rPr>
          <w:rFonts w:hint="eastAsia" w:ascii="宋体" w:hAnsi="宋体" w:cs="宋体"/>
          <w:b/>
          <w:color w:val="auto"/>
          <w:szCs w:val="21"/>
        </w:rPr>
        <w:t>项目（标的）名称</w:t>
      </w:r>
      <w:r>
        <w:rPr>
          <w:rFonts w:hint="eastAsia" w:ascii="宋体" w:hAnsi="宋体" w:cs="宋体"/>
          <w:b/>
          <w:bCs/>
          <w:color w:val="auto"/>
          <w:kern w:val="0"/>
          <w:szCs w:val="21"/>
          <w:lang w:val="en-US" w:eastAsia="zh-CN" w:bidi="ar"/>
        </w:rPr>
        <w:t>1：</w:t>
      </w:r>
      <w:r>
        <w:rPr>
          <w:rFonts w:hint="eastAsia" w:ascii="宋体" w:hAnsi="宋体" w:cs="宋体"/>
          <w:b/>
          <w:bCs/>
          <w:color w:val="auto"/>
          <w:kern w:val="0"/>
          <w:szCs w:val="21"/>
          <w:lang w:bidi="ar"/>
        </w:rPr>
        <w:t>孪生教研教学空间系统</w:t>
      </w:r>
    </w:p>
    <w:p w14:paraId="6A85BF2D">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 xml:space="preserve">▲5、在实验室的开放信息页面中，单间实验室可以每天安排若干次开放活动。每个开放计划包含以下信息：名称、开放方式、使用对象（如学生、教师等）、具体的开始和结束时间，以及是否需要定期重复执行。此外，还包括开放期间的可用时段、是否允许预约以及每日预约上限；（提供国家认可的第三方权威检测机构出具的检测报告复印件） </w:t>
      </w:r>
    </w:p>
    <w:p w14:paraId="50E02A5E">
      <w:pPr>
        <w:spacing w:line="360" w:lineRule="auto"/>
        <w:rPr>
          <w:rFonts w:hint="eastAsia" w:ascii="宋体" w:hAnsi="宋体" w:cs="宋体"/>
          <w:color w:val="auto"/>
          <w:kern w:val="0"/>
          <w:szCs w:val="21"/>
          <w:lang w:bidi="ar"/>
        </w:rPr>
      </w:pPr>
    </w:p>
    <w:p w14:paraId="5C8941ED">
      <w:pPr>
        <w:spacing w:line="360" w:lineRule="auto"/>
        <w:rPr>
          <w:rFonts w:hint="eastAsia" w:ascii="宋体" w:hAnsi="宋体" w:cs="宋体"/>
          <w:color w:val="auto"/>
          <w:kern w:val="0"/>
          <w:szCs w:val="21"/>
          <w:lang w:bidi="ar"/>
        </w:rPr>
      </w:pPr>
    </w:p>
    <w:p w14:paraId="186A635B">
      <w:pPr>
        <w:spacing w:line="360" w:lineRule="auto"/>
        <w:rPr>
          <w:rFonts w:hint="eastAsia" w:ascii="宋体" w:hAnsi="宋体" w:cs="宋体"/>
          <w:color w:val="auto"/>
          <w:kern w:val="0"/>
          <w:szCs w:val="21"/>
          <w:lang w:bidi="ar"/>
        </w:rPr>
      </w:pPr>
    </w:p>
    <w:p w14:paraId="52848F9B">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8、在集群均衡策略界面中支持跨资源负载均衡功能。当某个资源池的计算节点出现CPU或内存使用量超出设定的基准水平时，该资源池中的工作负载将自动转移至其他资源池的计算节点。此外，可指定目标计算节点范围，用户还可通过一键操作启用或关闭负载均衡功能，同时对配置进行新增或调整；（提供国家认可的第三方权威检测机构出具的检测报告复印件）</w:t>
      </w:r>
    </w:p>
    <w:p w14:paraId="13EC9505">
      <w:pPr>
        <w:spacing w:line="360" w:lineRule="auto"/>
        <w:rPr>
          <w:rFonts w:hint="eastAsia" w:ascii="宋体" w:hAnsi="宋体" w:cs="宋体"/>
          <w:color w:val="auto"/>
          <w:kern w:val="0"/>
          <w:szCs w:val="21"/>
          <w:lang w:bidi="ar"/>
        </w:rPr>
      </w:pPr>
    </w:p>
    <w:p w14:paraId="79D744EA">
      <w:pPr>
        <w:spacing w:line="360" w:lineRule="auto"/>
        <w:rPr>
          <w:rFonts w:hint="eastAsia" w:ascii="宋体" w:hAnsi="宋体" w:cs="宋体"/>
          <w:color w:val="auto"/>
          <w:kern w:val="0"/>
          <w:szCs w:val="21"/>
          <w:lang w:bidi="ar"/>
        </w:rPr>
      </w:pPr>
    </w:p>
    <w:p w14:paraId="57C1C032">
      <w:pPr>
        <w:spacing w:line="360" w:lineRule="auto"/>
        <w:rPr>
          <w:rFonts w:hint="eastAsia" w:ascii="宋体" w:hAnsi="宋体" w:cs="宋体"/>
          <w:color w:val="auto"/>
          <w:kern w:val="0"/>
          <w:szCs w:val="21"/>
          <w:lang w:bidi="ar"/>
        </w:rPr>
      </w:pPr>
    </w:p>
    <w:p w14:paraId="25C6BB58">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 xml:space="preserve">▲10、在实验室开放页面上，允许学生设置预约权限。该页面能够显示当前开放的实验室，并让学生为每个实验室指定具体的预约日期和时间段。在同一天内，学生可以对多个时间段进行预约，但如果某一个时段的预约数量达到开放的上限，则将无法继续预约。此外，学生可以查看他们的个人预约列表，并在指定的预约时间段之前取消任何预约；（提供国家认可的第三方权威检测机构出具的检测报告复印件） </w:t>
      </w:r>
    </w:p>
    <w:p w14:paraId="57DC74E2">
      <w:pPr>
        <w:spacing w:line="360" w:lineRule="auto"/>
        <w:rPr>
          <w:rFonts w:hint="eastAsia" w:ascii="宋体" w:hAnsi="宋体" w:cs="宋体"/>
          <w:color w:val="auto"/>
          <w:kern w:val="0"/>
          <w:szCs w:val="21"/>
          <w:lang w:bidi="ar"/>
        </w:rPr>
      </w:pPr>
    </w:p>
    <w:p w14:paraId="7D26F2C1">
      <w:pPr>
        <w:spacing w:line="360" w:lineRule="auto"/>
        <w:rPr>
          <w:rFonts w:hint="eastAsia" w:ascii="宋体" w:hAnsi="宋体" w:cs="宋体"/>
          <w:color w:val="auto"/>
          <w:kern w:val="0"/>
          <w:szCs w:val="21"/>
          <w:lang w:bidi="ar"/>
        </w:rPr>
      </w:pPr>
    </w:p>
    <w:p w14:paraId="2A9AF48F">
      <w:pPr>
        <w:spacing w:line="360" w:lineRule="auto"/>
        <w:rPr>
          <w:rFonts w:hint="eastAsia" w:ascii="宋体" w:hAnsi="宋体" w:cs="宋体"/>
          <w:color w:val="auto"/>
          <w:kern w:val="0"/>
          <w:szCs w:val="21"/>
          <w:lang w:bidi="ar"/>
        </w:rPr>
      </w:pPr>
    </w:p>
    <w:p w14:paraId="3E735E69">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12、通过系统设置，可开启特定选项来激活端与算力服务单元之间的数据加密和镜像校验功能；在资源池管理页面，可以实时监控各个资源池中运行的系统服务状态，并提供对出现故障的异常服务远程一键重启；（提供国家认可的第三方权威检测机构出具的检测报告复印件）</w:t>
      </w:r>
    </w:p>
    <w:p w14:paraId="56EAB548">
      <w:pPr>
        <w:spacing w:line="360" w:lineRule="auto"/>
        <w:rPr>
          <w:rFonts w:hint="eastAsia" w:ascii="宋体" w:hAnsi="宋体" w:cs="宋体"/>
          <w:color w:val="auto"/>
          <w:kern w:val="0"/>
          <w:szCs w:val="21"/>
          <w:lang w:bidi="ar"/>
        </w:rPr>
      </w:pPr>
    </w:p>
    <w:p w14:paraId="7C37B9E9">
      <w:pPr>
        <w:spacing w:line="360" w:lineRule="auto"/>
        <w:rPr>
          <w:rFonts w:hint="eastAsia" w:ascii="宋体" w:hAnsi="宋体" w:cs="宋体"/>
          <w:color w:val="auto"/>
          <w:kern w:val="0"/>
          <w:szCs w:val="21"/>
          <w:lang w:bidi="ar"/>
        </w:rPr>
      </w:pPr>
    </w:p>
    <w:p w14:paraId="198A8759">
      <w:pPr>
        <w:spacing w:line="360" w:lineRule="auto"/>
        <w:rPr>
          <w:rFonts w:hint="eastAsia" w:ascii="宋体" w:hAnsi="宋体" w:cs="宋体"/>
          <w:color w:val="auto"/>
          <w:kern w:val="0"/>
          <w:szCs w:val="21"/>
          <w:lang w:bidi="ar"/>
        </w:rPr>
      </w:pPr>
    </w:p>
    <w:p w14:paraId="16FFE198">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17、支持桌面配置的自动化审批，可设置自动批准的时间范围和可用时段，并设置定制化审批成功或失败的提示信息。此外，可指定环境使用的有效期限范围。当申请环境符合设定的规则，系统将自动生成批准并提供访问权限。同时，也可以限制一个用户在某一天内最多提交多少个请求以及自动批准的数量，以确保审批流程的正常运行；（提供国家认可的第三方权威检测机构出具的检测报告复印件）</w:t>
      </w:r>
    </w:p>
    <w:p w14:paraId="21F5CEEC">
      <w:pPr>
        <w:spacing w:line="360" w:lineRule="auto"/>
        <w:rPr>
          <w:rFonts w:hint="eastAsia" w:ascii="宋体" w:hAnsi="宋体" w:cs="宋体"/>
          <w:color w:val="auto"/>
          <w:kern w:val="0"/>
          <w:szCs w:val="21"/>
          <w:lang w:bidi="ar"/>
        </w:rPr>
      </w:pPr>
    </w:p>
    <w:p w14:paraId="22113CE4">
      <w:pPr>
        <w:spacing w:line="360" w:lineRule="auto"/>
        <w:rPr>
          <w:rFonts w:hint="eastAsia" w:ascii="宋体" w:hAnsi="宋体" w:cs="宋体"/>
          <w:color w:val="auto"/>
          <w:kern w:val="0"/>
          <w:szCs w:val="21"/>
          <w:lang w:bidi="ar"/>
        </w:rPr>
      </w:pPr>
    </w:p>
    <w:p w14:paraId="69BA6BD9">
      <w:pPr>
        <w:spacing w:line="360" w:lineRule="auto"/>
        <w:rPr>
          <w:rFonts w:hint="eastAsia" w:ascii="宋体" w:hAnsi="宋体" w:cs="宋体"/>
          <w:color w:val="auto"/>
          <w:kern w:val="0"/>
          <w:szCs w:val="21"/>
          <w:lang w:bidi="ar"/>
        </w:rPr>
      </w:pPr>
    </w:p>
    <w:p w14:paraId="67443FA7">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20、系统支持无需管理员生成桌面模板,审批桌面定制申请支持开启申请人制作桌面,可为申请人开放制作桌面的权限，满足师生可随时修改或制作个性化实验实训环境的需求；（提供国家认可的第三方权威检测机构出具的检测报告复印件）</w:t>
      </w:r>
    </w:p>
    <w:p w14:paraId="494CA1CF">
      <w:pPr>
        <w:spacing w:line="360" w:lineRule="auto"/>
        <w:rPr>
          <w:rFonts w:hint="eastAsia" w:ascii="宋体" w:hAnsi="宋体" w:cs="宋体"/>
          <w:color w:val="auto"/>
          <w:kern w:val="0"/>
          <w:szCs w:val="21"/>
          <w:lang w:bidi="ar"/>
        </w:rPr>
      </w:pPr>
    </w:p>
    <w:p w14:paraId="65F6E391">
      <w:pPr>
        <w:spacing w:line="360" w:lineRule="auto"/>
        <w:rPr>
          <w:rFonts w:hint="eastAsia" w:ascii="宋体" w:hAnsi="宋体" w:cs="宋体"/>
          <w:color w:val="auto"/>
          <w:kern w:val="0"/>
          <w:szCs w:val="21"/>
          <w:lang w:bidi="ar"/>
        </w:rPr>
      </w:pPr>
    </w:p>
    <w:p w14:paraId="167007DD">
      <w:pPr>
        <w:spacing w:line="360" w:lineRule="auto"/>
        <w:rPr>
          <w:rFonts w:hint="eastAsia" w:ascii="宋体" w:hAnsi="宋体" w:cs="宋体"/>
          <w:color w:val="auto"/>
          <w:kern w:val="0"/>
          <w:szCs w:val="21"/>
          <w:lang w:bidi="ar"/>
        </w:rPr>
      </w:pPr>
    </w:p>
    <w:p w14:paraId="590380B2">
      <w:pPr>
        <w:spacing w:line="360" w:lineRule="auto"/>
        <w:rPr>
          <w:rFonts w:hint="default" w:ascii="宋体" w:hAnsi="宋体" w:eastAsia="宋体" w:cs="宋体"/>
          <w:b/>
          <w:bCs w:val="0"/>
          <w:color w:val="auto"/>
          <w:kern w:val="0"/>
          <w:szCs w:val="21"/>
          <w:lang w:val="en-US" w:eastAsia="zh-CN" w:bidi="ar"/>
        </w:rPr>
      </w:pPr>
      <w:r>
        <w:rPr>
          <w:rFonts w:hint="eastAsia" w:ascii="宋体" w:hAnsi="宋体" w:cs="宋体"/>
          <w:b/>
          <w:bCs w:val="0"/>
          <w:color w:val="auto"/>
          <w:szCs w:val="21"/>
        </w:rPr>
        <w:t>项目（标的）名称</w:t>
      </w:r>
      <w:r>
        <w:rPr>
          <w:rFonts w:hint="eastAsia" w:ascii="宋体" w:hAnsi="宋体" w:cs="宋体"/>
          <w:b/>
          <w:bCs w:val="0"/>
          <w:color w:val="auto"/>
          <w:kern w:val="0"/>
          <w:szCs w:val="21"/>
          <w:lang w:val="en-US" w:eastAsia="zh-CN" w:bidi="ar"/>
        </w:rPr>
        <w:t>2：</w:t>
      </w:r>
      <w:r>
        <w:rPr>
          <w:rFonts w:hint="eastAsia" w:ascii="宋体" w:hAnsi="宋体" w:cs="宋体"/>
          <w:b/>
          <w:bCs w:val="0"/>
          <w:color w:val="auto"/>
          <w:kern w:val="0"/>
          <w:szCs w:val="21"/>
          <w:lang w:bidi="ar"/>
        </w:rPr>
        <w:t>孪生教研接入系统</w:t>
      </w:r>
    </w:p>
    <w:p w14:paraId="1A85A1D0">
      <w:pPr>
        <w:pStyle w:val="14"/>
        <w:spacing w:line="360" w:lineRule="auto"/>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▲9、支持学生对个人Windows桌面的数据找回，通过安装WinPE-ISO到个人Windows桌面，进入PE环境后，可以拷贝出个人桌面数据；（提供国家认可的第三方权威检测机构出具的检测报告复印件）</w:t>
      </w:r>
    </w:p>
    <w:p w14:paraId="4FC828BF">
      <w:pPr>
        <w:spacing w:line="360" w:lineRule="auto"/>
        <w:rPr>
          <w:rFonts w:hint="eastAsia" w:ascii="宋体" w:hAnsi="宋体" w:cs="宋体"/>
          <w:color w:val="auto"/>
          <w:kern w:val="0"/>
          <w:szCs w:val="21"/>
          <w:lang w:bidi="ar"/>
        </w:rPr>
      </w:pPr>
    </w:p>
    <w:p w14:paraId="5FEE4E78">
      <w:pPr>
        <w:spacing w:line="360" w:lineRule="auto"/>
        <w:rPr>
          <w:rFonts w:hint="eastAsia" w:ascii="宋体" w:hAnsi="宋体" w:cs="宋体"/>
          <w:color w:val="auto"/>
          <w:kern w:val="0"/>
          <w:szCs w:val="21"/>
          <w:lang w:bidi="ar"/>
        </w:rPr>
      </w:pPr>
    </w:p>
    <w:p w14:paraId="4A30AFFE">
      <w:pPr>
        <w:spacing w:line="360" w:lineRule="auto"/>
        <w:rPr>
          <w:rFonts w:hint="eastAsia" w:ascii="宋体" w:hAnsi="宋体" w:cs="宋体"/>
          <w:color w:val="auto"/>
          <w:kern w:val="0"/>
          <w:szCs w:val="21"/>
          <w:lang w:bidi="ar"/>
        </w:rPr>
      </w:pPr>
    </w:p>
    <w:p w14:paraId="53950FE0">
      <w:pPr>
        <w:pStyle w:val="14"/>
        <w:spacing w:line="360" w:lineRule="auto"/>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12、在预约与申请页面,学生登录后可查看教师面向其开放的桌面模板并进行桌面申请,为学生展示不同桌面模板的模板名称、系统类型、模板描述、CPU核数、内存容量、系统盘容量和使用次数,可按模板名称、模板描述搜索定位指定的桌面模板,也可按照模板分组来筛选所需模板；（提供国家认可的第三方权威检测机构出具的检测报告复印件）</w:t>
      </w:r>
    </w:p>
    <w:p w14:paraId="31540EA4">
      <w:pPr>
        <w:spacing w:line="360" w:lineRule="auto"/>
        <w:rPr>
          <w:rFonts w:hint="eastAsia" w:ascii="宋体" w:hAnsi="宋体" w:cs="宋体"/>
          <w:color w:val="auto"/>
          <w:kern w:val="0"/>
          <w:szCs w:val="21"/>
          <w:lang w:bidi="ar"/>
        </w:rPr>
      </w:pPr>
    </w:p>
    <w:p w14:paraId="3CFC4981">
      <w:pPr>
        <w:spacing w:line="360" w:lineRule="auto"/>
        <w:rPr>
          <w:rFonts w:hint="eastAsia" w:ascii="宋体" w:hAnsi="宋体" w:cs="宋体"/>
          <w:color w:val="auto"/>
          <w:kern w:val="0"/>
          <w:szCs w:val="21"/>
          <w:lang w:bidi="ar"/>
        </w:rPr>
      </w:pPr>
    </w:p>
    <w:p w14:paraId="298CEF20">
      <w:pPr>
        <w:spacing w:line="360" w:lineRule="auto"/>
        <w:rPr>
          <w:rFonts w:hint="eastAsia" w:ascii="宋体" w:hAnsi="宋体" w:cs="宋体"/>
          <w:color w:val="auto"/>
          <w:kern w:val="0"/>
          <w:szCs w:val="21"/>
          <w:lang w:bidi="ar"/>
        </w:rPr>
      </w:pPr>
    </w:p>
    <w:p w14:paraId="552C31DD">
      <w:pPr>
        <w:spacing w:line="360" w:lineRule="auto"/>
        <w:rPr>
          <w:rFonts w:hint="eastAsia" w:ascii="宋体" w:hAnsi="宋体" w:cs="宋体"/>
          <w:b/>
          <w:bCs w:val="0"/>
          <w:color w:val="auto"/>
          <w:kern w:val="0"/>
          <w:szCs w:val="21"/>
          <w:lang w:bidi="ar"/>
        </w:rPr>
      </w:pPr>
      <w:r>
        <w:rPr>
          <w:rFonts w:hint="eastAsia" w:ascii="宋体" w:hAnsi="宋体" w:cs="宋体"/>
          <w:b/>
          <w:bCs w:val="0"/>
          <w:color w:val="auto"/>
          <w:szCs w:val="21"/>
        </w:rPr>
        <w:t>项目（标的）名称</w:t>
      </w:r>
      <w:r>
        <w:rPr>
          <w:rFonts w:hint="eastAsia" w:ascii="宋体" w:hAnsi="宋体" w:cs="宋体"/>
          <w:b/>
          <w:bCs w:val="0"/>
          <w:color w:val="auto"/>
          <w:szCs w:val="21"/>
          <w:lang w:val="en-US" w:eastAsia="zh-CN"/>
        </w:rPr>
        <w:t>7</w:t>
      </w:r>
      <w:r>
        <w:rPr>
          <w:rFonts w:hint="eastAsia" w:ascii="宋体" w:hAnsi="宋体" w:cs="宋体"/>
          <w:b/>
          <w:bCs w:val="0"/>
          <w:color w:val="auto"/>
          <w:kern w:val="0"/>
          <w:szCs w:val="21"/>
          <w:lang w:val="en-US" w:eastAsia="zh-CN" w:bidi="ar"/>
        </w:rPr>
        <w:t>：</w:t>
      </w:r>
      <w:r>
        <w:rPr>
          <w:rFonts w:hint="eastAsia" w:ascii="宋体" w:hAnsi="宋体" w:cs="宋体"/>
          <w:b/>
          <w:bCs w:val="0"/>
          <w:color w:val="auto"/>
          <w:kern w:val="0"/>
          <w:szCs w:val="21"/>
          <w:lang w:bidi="ar"/>
        </w:rPr>
        <w:t>桌面云软件</w:t>
      </w:r>
    </w:p>
    <w:p w14:paraId="3BA4DDEE">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16、支持考虑到我单位专业课老师常因为课时紧张而无法前往机房，教学桌面池应支持不绑定用户部门、组织，用户无需账号密码可在终端上随机获取桌面资源，用户获取桌面资源后，管理端显示桌面的运行状态为在线；用户停止使用桌面资源后，管理端显示桌面的运行状态为离线，其他用户可以使用该桌面资源；所用桌面个数达到桌面池的上限时，新用户获取桌面将无法分配并进行文字提醒，便于教师使用；（提供国家认可的第三方权威检测机构出具的检测报告复印件）</w:t>
      </w:r>
    </w:p>
    <w:p w14:paraId="00F47DB0">
      <w:pPr>
        <w:spacing w:line="360" w:lineRule="auto"/>
        <w:rPr>
          <w:rFonts w:hint="eastAsia" w:ascii="宋体" w:hAnsi="宋体" w:cs="宋体"/>
          <w:color w:val="auto"/>
          <w:kern w:val="0"/>
          <w:szCs w:val="21"/>
          <w:lang w:bidi="ar"/>
        </w:rPr>
      </w:pPr>
    </w:p>
    <w:p w14:paraId="77E57E8C">
      <w:pPr>
        <w:spacing w:line="360" w:lineRule="auto"/>
        <w:rPr>
          <w:rFonts w:hint="eastAsia" w:ascii="宋体" w:hAnsi="宋体" w:cs="宋体"/>
          <w:color w:val="auto"/>
          <w:kern w:val="0"/>
          <w:szCs w:val="21"/>
          <w:lang w:bidi="ar"/>
        </w:rPr>
      </w:pPr>
    </w:p>
    <w:p w14:paraId="77F8528A">
      <w:pPr>
        <w:spacing w:line="360" w:lineRule="auto"/>
        <w:rPr>
          <w:rFonts w:hint="eastAsia" w:ascii="宋体" w:hAnsi="宋体" w:cs="宋体"/>
          <w:color w:val="auto"/>
          <w:kern w:val="0"/>
          <w:szCs w:val="21"/>
          <w:lang w:bidi="ar"/>
        </w:rPr>
      </w:pPr>
    </w:p>
    <w:p w14:paraId="23C98167">
      <w:pPr>
        <w:spacing w:line="360" w:lineRule="auto"/>
        <w:rPr>
          <w:rFonts w:hint="eastAsia" w:ascii="宋体" w:hAnsi="宋体" w:cs="宋体"/>
          <w:b/>
          <w:bCs w:val="0"/>
          <w:color w:val="auto"/>
          <w:kern w:val="0"/>
          <w:szCs w:val="21"/>
          <w:lang w:bidi="ar"/>
        </w:rPr>
      </w:pPr>
      <w:r>
        <w:rPr>
          <w:rFonts w:hint="eastAsia" w:ascii="宋体" w:hAnsi="宋体" w:cs="宋体"/>
          <w:b/>
          <w:bCs w:val="0"/>
          <w:color w:val="auto"/>
          <w:szCs w:val="21"/>
        </w:rPr>
        <w:t>项目（标的）名称</w:t>
      </w:r>
      <w:r>
        <w:rPr>
          <w:rFonts w:hint="eastAsia" w:ascii="宋体" w:hAnsi="宋体" w:cs="宋体"/>
          <w:b/>
          <w:bCs w:val="0"/>
          <w:color w:val="auto"/>
          <w:szCs w:val="21"/>
          <w:lang w:val="en-US" w:eastAsia="zh-CN"/>
        </w:rPr>
        <w:t>16</w:t>
      </w:r>
      <w:r>
        <w:rPr>
          <w:rFonts w:hint="eastAsia" w:ascii="宋体" w:hAnsi="宋体" w:cs="宋体"/>
          <w:b/>
          <w:bCs w:val="0"/>
          <w:color w:val="auto"/>
          <w:kern w:val="0"/>
          <w:szCs w:val="21"/>
          <w:lang w:val="en-US" w:eastAsia="zh-CN" w:bidi="ar"/>
        </w:rPr>
        <w:t>：</w:t>
      </w:r>
      <w:r>
        <w:rPr>
          <w:rFonts w:hint="eastAsia" w:ascii="宋体" w:hAnsi="宋体" w:cs="宋体"/>
          <w:b/>
          <w:bCs w:val="0"/>
          <w:color w:val="auto"/>
          <w:kern w:val="0"/>
          <w:szCs w:val="21"/>
          <w:lang w:bidi="ar"/>
        </w:rPr>
        <w:t>智能显示协同终端</w:t>
      </w:r>
    </w:p>
    <w:p w14:paraId="6863DAE0">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24、整机支持通过扬声器发出频率为18kHz-22kHz超声波信号，智能手机通过麦克风接收后，实现智能手机与整机配对，投屏设备实现一键投屏，用户无需手动输入投屏码或扫码获取投屏码；（提供国家认可的第三方权威检测机构出具的检测报告复印件）</w:t>
      </w:r>
    </w:p>
    <w:p w14:paraId="097329FF">
      <w:pPr>
        <w:rPr>
          <w:rFonts w:hint="eastAsia" w:ascii="宋体" w:hAnsi="宋体" w:cs="宋体"/>
          <w:color w:val="auto"/>
          <w:kern w:val="0"/>
          <w:szCs w:val="21"/>
          <w:lang w:bidi="ar"/>
        </w:rPr>
      </w:pPr>
    </w:p>
    <w:p w14:paraId="6CEBE0E1">
      <w:pPr>
        <w:rPr>
          <w:rFonts w:hint="eastAsia" w:ascii="宋体" w:hAnsi="宋体" w:cs="宋体"/>
          <w:color w:val="auto"/>
          <w:kern w:val="0"/>
          <w:szCs w:val="21"/>
          <w:lang w:bidi="ar"/>
        </w:rPr>
      </w:pPr>
    </w:p>
    <w:p w14:paraId="3FC31255">
      <w:pPr>
        <w:rPr>
          <w:rFonts w:hint="eastAsia" w:ascii="宋体" w:hAnsi="宋体" w:cs="宋体"/>
          <w:color w:val="auto"/>
          <w:kern w:val="0"/>
          <w:szCs w:val="21"/>
          <w:lang w:bidi="ar"/>
        </w:rPr>
      </w:pPr>
    </w:p>
    <w:p w14:paraId="360CB25B">
      <w:pPr>
        <w:rPr>
          <w:rFonts w:hint="eastAsia" w:ascii="宋体" w:hAnsi="宋体" w:cs="宋体"/>
          <w:color w:val="auto"/>
          <w:kern w:val="0"/>
          <w:szCs w:val="21"/>
          <w:lang w:bidi="ar"/>
        </w:rPr>
      </w:pPr>
    </w:p>
    <w:p w14:paraId="519E1D41">
      <w:pPr>
        <w:rPr>
          <w:rFonts w:hint="eastAsia" w:ascii="宋体" w:hAnsi="宋体" w:cs="宋体"/>
          <w:b/>
          <w:bCs/>
          <w:color w:val="auto"/>
          <w:sz w:val="32"/>
          <w:szCs w:val="36"/>
        </w:rPr>
      </w:pPr>
      <w:r>
        <w:rPr>
          <w:rFonts w:hint="eastAsia" w:ascii="宋体" w:hAnsi="宋体" w:cs="宋体"/>
          <w:b/>
          <w:bCs/>
          <w:color w:val="auto"/>
          <w:sz w:val="32"/>
          <w:szCs w:val="36"/>
        </w:rPr>
        <w:br w:type="page"/>
      </w:r>
    </w:p>
    <w:p w14:paraId="347E1EA4">
      <w:pPr>
        <w:wordWrap w:val="0"/>
        <w:adjustRightInd w:val="0"/>
        <w:snapToGrid w:val="0"/>
        <w:spacing w:line="360" w:lineRule="auto"/>
        <w:ind w:firstLine="3" w:firstLineChars="1"/>
        <w:rPr>
          <w:rFonts w:hint="default" w:ascii="宋体" w:hAnsi="宋体" w:eastAsia="宋体" w:cs="宋体"/>
          <w:b/>
          <w:color w:val="auto"/>
          <w:sz w:val="28"/>
          <w:szCs w:val="28"/>
          <w:lang w:val="en-US" w:eastAsia="zh-CN"/>
        </w:rPr>
      </w:pPr>
      <w:r>
        <w:rPr>
          <w:rFonts w:hint="eastAsia" w:ascii="宋体" w:hAnsi="宋体" w:cs="宋体"/>
          <w:b/>
          <w:color w:val="auto"/>
          <w:sz w:val="28"/>
          <w:szCs w:val="28"/>
        </w:rPr>
        <w:t>格式20</w:t>
      </w:r>
      <w:r>
        <w:rPr>
          <w:rFonts w:hint="eastAsia" w:ascii="宋体" w:hAnsi="宋体" w:cs="宋体"/>
          <w:b/>
          <w:color w:val="auto"/>
          <w:sz w:val="28"/>
          <w:szCs w:val="28"/>
          <w:lang w:val="en-US" w:eastAsia="zh-CN"/>
        </w:rPr>
        <w:t>-2</w:t>
      </w:r>
    </w:p>
    <w:p w14:paraId="2BC8E754">
      <w:pPr>
        <w:keepNext/>
        <w:keepLines/>
        <w:adjustRightInd w:val="0"/>
        <w:snapToGrid w:val="0"/>
        <w:spacing w:line="360" w:lineRule="auto"/>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一般参数证明材料</w:t>
      </w:r>
    </w:p>
    <w:p w14:paraId="6AAF9FF6">
      <w:pPr>
        <w:spacing w:line="360" w:lineRule="auto"/>
        <w:rPr>
          <w:rFonts w:hint="eastAsia" w:ascii="宋体" w:hAnsi="宋体" w:cs="宋体"/>
          <w:b/>
          <w:bCs/>
          <w:color w:val="auto"/>
          <w:kern w:val="0"/>
          <w:szCs w:val="21"/>
          <w:lang w:bidi="ar"/>
        </w:rPr>
      </w:pPr>
      <w:r>
        <w:rPr>
          <w:rFonts w:hint="eastAsia" w:ascii="宋体" w:hAnsi="宋体" w:cs="宋体"/>
          <w:b/>
          <w:color w:val="auto"/>
          <w:szCs w:val="21"/>
        </w:rPr>
        <w:t>项目（标的）名称</w:t>
      </w:r>
      <w:r>
        <w:rPr>
          <w:rFonts w:hint="eastAsia" w:ascii="宋体" w:hAnsi="宋体" w:cs="宋体"/>
          <w:b/>
          <w:bCs/>
          <w:color w:val="auto"/>
          <w:kern w:val="0"/>
          <w:szCs w:val="21"/>
          <w:lang w:val="en-US" w:eastAsia="zh-CN" w:bidi="ar"/>
        </w:rPr>
        <w:t>1：</w:t>
      </w:r>
      <w:r>
        <w:rPr>
          <w:rFonts w:hint="eastAsia" w:ascii="宋体" w:hAnsi="宋体" w:cs="宋体"/>
          <w:b/>
          <w:bCs/>
          <w:color w:val="auto"/>
          <w:kern w:val="0"/>
          <w:szCs w:val="21"/>
          <w:lang w:bidi="ar"/>
        </w:rPr>
        <w:t>孪生教研教学空间系统</w:t>
      </w:r>
    </w:p>
    <w:p w14:paraId="5CB714F3">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2、可针对学校的实验室设置开放计划，分别针对教学班、行政班的指定师生账号进行开启。用户可通过网页或客户端完成账号密码验证后，查看已开放的实验室并进入桌面使用。此外，可通过生成邀请链接的方式进行实验室开启，无需账号注册即可实现操作，只需复制链接至浏览器并输入对应的邀请码即可正常使用；（提供国家认可的第三方权威检测机构出具的检测报告复印件）</w:t>
      </w:r>
    </w:p>
    <w:p w14:paraId="18E8E963">
      <w:pPr>
        <w:spacing w:line="360" w:lineRule="auto"/>
        <w:rPr>
          <w:rFonts w:hint="eastAsia" w:ascii="宋体" w:hAnsi="宋体" w:cs="宋体"/>
          <w:color w:val="auto"/>
          <w:kern w:val="0"/>
          <w:szCs w:val="21"/>
          <w:lang w:bidi="ar"/>
        </w:rPr>
      </w:pPr>
    </w:p>
    <w:p w14:paraId="46FA2E14">
      <w:pPr>
        <w:spacing w:line="360" w:lineRule="auto"/>
        <w:rPr>
          <w:rFonts w:hint="eastAsia" w:ascii="宋体" w:hAnsi="宋体" w:cs="宋体"/>
          <w:color w:val="auto"/>
          <w:kern w:val="0"/>
          <w:szCs w:val="21"/>
          <w:lang w:bidi="ar"/>
        </w:rPr>
      </w:pPr>
    </w:p>
    <w:p w14:paraId="2188718A">
      <w:pPr>
        <w:spacing w:line="360" w:lineRule="auto"/>
        <w:rPr>
          <w:rFonts w:hint="eastAsia" w:ascii="宋体" w:hAnsi="宋体" w:cs="宋体"/>
          <w:color w:val="auto"/>
          <w:kern w:val="0"/>
          <w:szCs w:val="21"/>
          <w:lang w:bidi="ar"/>
        </w:rPr>
      </w:pPr>
    </w:p>
    <w:p w14:paraId="3A2474B3">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3、以可视化展示板呈现算力集群资源的使用情况，在算力中心的数据可视化页面中，可以展示算力资源池中的各项信息，包括算力中心的总资源量（如CPU核心总数、内存容量和存储总容量）。可通过环形图表现每台设备的本地存储使用率占比，以及整体计算资源的使用情况。页面还将展示各设备的总数据容量以及已使用的容量，并用折线图直观呈现CPU占用率分布和内存占用情况；（提供国家认可的第三方权威检测机构出具的检测报告复印件）</w:t>
      </w:r>
    </w:p>
    <w:p w14:paraId="1AC99549">
      <w:pPr>
        <w:spacing w:line="360" w:lineRule="auto"/>
        <w:rPr>
          <w:rFonts w:hint="eastAsia" w:ascii="宋体" w:hAnsi="宋体" w:cs="宋体"/>
          <w:color w:val="auto"/>
          <w:kern w:val="0"/>
          <w:szCs w:val="21"/>
          <w:lang w:bidi="ar"/>
        </w:rPr>
      </w:pPr>
    </w:p>
    <w:p w14:paraId="39DA0919">
      <w:pPr>
        <w:spacing w:line="360" w:lineRule="auto"/>
        <w:rPr>
          <w:rFonts w:hint="eastAsia" w:ascii="宋体" w:hAnsi="宋体" w:cs="宋体"/>
          <w:color w:val="auto"/>
          <w:kern w:val="0"/>
          <w:szCs w:val="21"/>
          <w:lang w:bidi="ar"/>
        </w:rPr>
      </w:pPr>
    </w:p>
    <w:p w14:paraId="4D6F3DDF">
      <w:pPr>
        <w:spacing w:line="360" w:lineRule="auto"/>
        <w:rPr>
          <w:rFonts w:hint="eastAsia" w:ascii="宋体" w:hAnsi="宋体" w:cs="宋体"/>
          <w:color w:val="auto"/>
          <w:kern w:val="0"/>
          <w:szCs w:val="21"/>
          <w:lang w:bidi="ar"/>
        </w:rPr>
      </w:pPr>
    </w:p>
    <w:p w14:paraId="0137E6B1">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6、可根据不同课程上课师生人数的差异，迅速创建一个不与线下实验室关联的虚拟实验室，支持IPV4及IPV6的网络配置，可自定义实验室的虚拟终端接入上限，最大支持不少于999个师生桌面同堂使用，方便师生用个人笔记本电脑或实验室现有终端接入虚拟实验室使用课程桌面，虚拟实验室创建成功后管理员即可为其匹配对应的算力环境及开放策略；（提供功能截图）</w:t>
      </w:r>
    </w:p>
    <w:p w14:paraId="759E8CB0">
      <w:pPr>
        <w:spacing w:line="360" w:lineRule="auto"/>
        <w:rPr>
          <w:rFonts w:hint="eastAsia" w:ascii="宋体" w:hAnsi="宋体" w:cs="宋体"/>
          <w:color w:val="auto"/>
          <w:kern w:val="0"/>
          <w:szCs w:val="21"/>
          <w:lang w:bidi="ar"/>
        </w:rPr>
      </w:pPr>
    </w:p>
    <w:p w14:paraId="2F0B3159">
      <w:pPr>
        <w:spacing w:line="360" w:lineRule="auto"/>
        <w:rPr>
          <w:rFonts w:hint="eastAsia" w:ascii="宋体" w:hAnsi="宋体" w:cs="宋体"/>
          <w:color w:val="auto"/>
          <w:kern w:val="0"/>
          <w:szCs w:val="21"/>
          <w:lang w:bidi="ar"/>
        </w:rPr>
      </w:pPr>
    </w:p>
    <w:p w14:paraId="0FB7F248">
      <w:pPr>
        <w:spacing w:line="360" w:lineRule="auto"/>
        <w:rPr>
          <w:rFonts w:hint="eastAsia" w:ascii="宋体" w:hAnsi="宋体" w:cs="宋体"/>
          <w:color w:val="auto"/>
          <w:kern w:val="0"/>
          <w:szCs w:val="21"/>
          <w:lang w:bidi="ar"/>
        </w:rPr>
      </w:pPr>
    </w:p>
    <w:p w14:paraId="0D2F71EA">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11、集成算力集群智能健康监测工具实现平台的标准化健康评估及修复，可进行算力集群资源健康状态、算力接入端的连接稳定性、算力集群的网络稳定性、数据库的运行状态、文件系统的一致性等深度健康检查，并提供量化的系统健康评分及详细的诊断报告，为管理员提供引导式故障恢复建议和一键式故障恢复功能；（提供功能截图）</w:t>
      </w:r>
    </w:p>
    <w:p w14:paraId="77B247C3">
      <w:pPr>
        <w:spacing w:line="360" w:lineRule="auto"/>
        <w:rPr>
          <w:rFonts w:hint="eastAsia" w:ascii="宋体" w:hAnsi="宋体" w:cs="宋体"/>
          <w:color w:val="auto"/>
          <w:kern w:val="0"/>
          <w:szCs w:val="21"/>
          <w:lang w:bidi="ar"/>
        </w:rPr>
      </w:pPr>
    </w:p>
    <w:p w14:paraId="66D7B7E8">
      <w:pPr>
        <w:spacing w:line="360" w:lineRule="auto"/>
        <w:rPr>
          <w:rFonts w:hint="eastAsia" w:ascii="宋体" w:hAnsi="宋体" w:cs="宋体"/>
          <w:color w:val="auto"/>
          <w:kern w:val="0"/>
          <w:szCs w:val="21"/>
          <w:lang w:bidi="ar"/>
        </w:rPr>
      </w:pPr>
    </w:p>
    <w:p w14:paraId="282722BC">
      <w:pPr>
        <w:spacing w:line="360" w:lineRule="auto"/>
        <w:rPr>
          <w:rFonts w:hint="eastAsia" w:ascii="宋体" w:hAnsi="宋体" w:cs="宋体"/>
          <w:color w:val="auto"/>
          <w:kern w:val="0"/>
          <w:szCs w:val="21"/>
          <w:lang w:bidi="ar"/>
        </w:rPr>
      </w:pPr>
    </w:p>
    <w:p w14:paraId="7E461E96">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13、支持对多类型网络分流以提升网络稳定性，可将管理网络、数据网络、镜像网络进行分离设置，且支持多网卡绑定(多网卡分流)，网卡绑定应支持常用模式包括：Broadcast、Round-robin、Active-backup、Load-balance、Lacp(802.3ad) 、Random等；为方便操作、降低操作难度，以上要求应在网页图形化界面配置无需命令行；（提供功能截图）</w:t>
      </w:r>
    </w:p>
    <w:p w14:paraId="36C48452">
      <w:pPr>
        <w:spacing w:line="360" w:lineRule="auto"/>
        <w:rPr>
          <w:rFonts w:hint="eastAsia" w:ascii="宋体" w:hAnsi="宋体" w:cs="宋体"/>
          <w:color w:val="auto"/>
          <w:kern w:val="0"/>
          <w:szCs w:val="21"/>
          <w:lang w:bidi="ar"/>
        </w:rPr>
      </w:pPr>
    </w:p>
    <w:p w14:paraId="7D2D2F06">
      <w:pPr>
        <w:spacing w:line="360" w:lineRule="auto"/>
        <w:rPr>
          <w:rFonts w:hint="eastAsia" w:ascii="宋体" w:hAnsi="宋体" w:cs="宋体"/>
          <w:color w:val="auto"/>
          <w:kern w:val="0"/>
          <w:szCs w:val="21"/>
          <w:lang w:bidi="ar"/>
        </w:rPr>
      </w:pPr>
    </w:p>
    <w:p w14:paraId="69CA4166">
      <w:pPr>
        <w:spacing w:line="360" w:lineRule="auto"/>
        <w:rPr>
          <w:rFonts w:hint="eastAsia" w:ascii="宋体" w:hAnsi="宋体" w:cs="宋体"/>
          <w:color w:val="auto"/>
          <w:kern w:val="0"/>
          <w:szCs w:val="21"/>
          <w:lang w:bidi="ar"/>
        </w:rPr>
      </w:pPr>
    </w:p>
    <w:p w14:paraId="1714A034">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 xml:space="preserve">15、支持以可视化拓扑图呈现不同实验室的设备网络连接模式，展示当前使用率最高的四间实验室的网络连接状态，划分为无线AP接入模式与有线网络接入模式；（提供国家认可的第三方权威检测机构出具的检测报告复印件） </w:t>
      </w:r>
    </w:p>
    <w:p w14:paraId="56787AB1">
      <w:pPr>
        <w:spacing w:line="360" w:lineRule="auto"/>
        <w:rPr>
          <w:rFonts w:hint="eastAsia" w:ascii="宋体" w:hAnsi="宋体" w:cs="宋体"/>
          <w:color w:val="auto"/>
          <w:kern w:val="0"/>
          <w:szCs w:val="21"/>
          <w:lang w:bidi="ar"/>
        </w:rPr>
      </w:pPr>
    </w:p>
    <w:p w14:paraId="10FD50CD">
      <w:pPr>
        <w:spacing w:line="360" w:lineRule="auto"/>
        <w:rPr>
          <w:rFonts w:hint="eastAsia" w:ascii="宋体" w:hAnsi="宋体" w:cs="宋体"/>
          <w:color w:val="auto"/>
          <w:kern w:val="0"/>
          <w:szCs w:val="21"/>
          <w:lang w:bidi="ar"/>
        </w:rPr>
      </w:pPr>
    </w:p>
    <w:p w14:paraId="4330BCE7">
      <w:pPr>
        <w:spacing w:line="360" w:lineRule="auto"/>
        <w:rPr>
          <w:rFonts w:hint="eastAsia" w:ascii="宋体" w:hAnsi="宋体" w:cs="宋体"/>
          <w:color w:val="auto"/>
          <w:kern w:val="0"/>
          <w:szCs w:val="21"/>
          <w:lang w:bidi="ar"/>
        </w:rPr>
      </w:pPr>
    </w:p>
    <w:p w14:paraId="729B2E63">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16、支持划分资源为教学应用授权生成多个专用的应用授权桌面，可基于如Windows Server、RedHat、CentOS、服务器版UOS/KylinOS等服务器操作系统进行部署，支持自定义应用授权桌面的运行配置（涵盖虚拟CPU核数、虚拟内存容量、虚拟硬盘容量、虚拟存储容量、虚拟网络策略），可设定承载应用授权桌面的算力节点并随之开机自启，支持利用虚拟化透传技术将连接于算力节点上的USB接口加密狗及PCI接口外设（如网卡、显卡等）传输至不同的应用授权桌面内使用；（提供功能截图）</w:t>
      </w:r>
    </w:p>
    <w:p w14:paraId="183E71AC">
      <w:pPr>
        <w:spacing w:line="360" w:lineRule="auto"/>
        <w:rPr>
          <w:rFonts w:hint="eastAsia" w:ascii="宋体" w:hAnsi="宋体" w:cs="宋体"/>
          <w:color w:val="auto"/>
          <w:kern w:val="0"/>
          <w:szCs w:val="21"/>
          <w:lang w:bidi="ar"/>
        </w:rPr>
      </w:pPr>
    </w:p>
    <w:p w14:paraId="3F553A14">
      <w:pPr>
        <w:spacing w:line="360" w:lineRule="auto"/>
        <w:rPr>
          <w:rFonts w:hint="eastAsia" w:ascii="宋体" w:hAnsi="宋体" w:cs="宋体"/>
          <w:color w:val="auto"/>
          <w:kern w:val="0"/>
          <w:szCs w:val="21"/>
          <w:lang w:bidi="ar"/>
        </w:rPr>
      </w:pPr>
    </w:p>
    <w:p w14:paraId="63689B82">
      <w:pPr>
        <w:spacing w:line="360" w:lineRule="auto"/>
        <w:rPr>
          <w:rFonts w:hint="eastAsia" w:ascii="宋体" w:hAnsi="宋体" w:cs="宋体"/>
          <w:color w:val="auto"/>
          <w:kern w:val="0"/>
          <w:szCs w:val="21"/>
          <w:lang w:bidi="ar"/>
        </w:rPr>
      </w:pPr>
    </w:p>
    <w:p w14:paraId="78A1BA62">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19、实验室的开放计划可设置详细的开放周期，可设置开始日期及结束日期，开放周期内可提供全天时间开放，也可根据具体时间段来开放（详细到分钟），支持根据课程安排执行按具体星期几开放以及隔周开放；（提供功能截图）</w:t>
      </w:r>
    </w:p>
    <w:p w14:paraId="076A32A3">
      <w:pPr>
        <w:spacing w:line="360" w:lineRule="auto"/>
        <w:rPr>
          <w:rFonts w:hint="eastAsia" w:ascii="宋体" w:hAnsi="宋体" w:cs="宋体"/>
          <w:color w:val="auto"/>
          <w:kern w:val="0"/>
          <w:szCs w:val="21"/>
          <w:lang w:bidi="ar"/>
        </w:rPr>
      </w:pPr>
    </w:p>
    <w:p w14:paraId="29DCC0F5">
      <w:pPr>
        <w:spacing w:line="360" w:lineRule="auto"/>
        <w:rPr>
          <w:rFonts w:hint="eastAsia" w:ascii="宋体" w:hAnsi="宋体" w:cs="宋体"/>
          <w:color w:val="auto"/>
          <w:kern w:val="0"/>
          <w:szCs w:val="21"/>
          <w:lang w:bidi="ar"/>
        </w:rPr>
      </w:pPr>
    </w:p>
    <w:p w14:paraId="7E6D566C">
      <w:pPr>
        <w:spacing w:line="360" w:lineRule="auto"/>
        <w:rPr>
          <w:rFonts w:hint="eastAsia" w:ascii="宋体" w:hAnsi="宋体" w:cs="宋体"/>
          <w:color w:val="auto"/>
          <w:kern w:val="0"/>
          <w:szCs w:val="21"/>
          <w:lang w:bidi="ar"/>
        </w:rPr>
      </w:pPr>
    </w:p>
    <w:p w14:paraId="5FB035BF">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22、为便于管理员快速调整漫游计划，支持分别查看进行中及已结束的漫游计划信息，展示信息包含计划名称、漫游对象、计划时间、回收策略、计划状态等，管理员可针对单个漫游计划执行修改、暂停、恢复、取消等操作；（提供功能截图）</w:t>
      </w:r>
    </w:p>
    <w:p w14:paraId="0494EA64">
      <w:pPr>
        <w:spacing w:line="360" w:lineRule="auto"/>
        <w:rPr>
          <w:rFonts w:hint="eastAsia" w:ascii="宋体" w:hAnsi="宋体" w:cs="宋体"/>
          <w:color w:val="auto"/>
          <w:kern w:val="0"/>
          <w:szCs w:val="21"/>
          <w:lang w:bidi="ar"/>
        </w:rPr>
      </w:pPr>
    </w:p>
    <w:p w14:paraId="5FC03956">
      <w:pPr>
        <w:spacing w:line="360" w:lineRule="auto"/>
        <w:rPr>
          <w:rFonts w:hint="eastAsia" w:ascii="宋体" w:hAnsi="宋体" w:cs="宋体"/>
          <w:color w:val="auto"/>
          <w:kern w:val="0"/>
          <w:szCs w:val="21"/>
          <w:lang w:bidi="ar"/>
        </w:rPr>
      </w:pPr>
    </w:p>
    <w:p w14:paraId="5BFC12B6">
      <w:pPr>
        <w:spacing w:line="360" w:lineRule="auto"/>
        <w:rPr>
          <w:rFonts w:hint="eastAsia" w:ascii="宋体" w:hAnsi="宋体" w:cs="宋体"/>
          <w:color w:val="auto"/>
          <w:kern w:val="0"/>
          <w:szCs w:val="21"/>
          <w:lang w:bidi="ar"/>
        </w:rPr>
      </w:pPr>
    </w:p>
    <w:p w14:paraId="452D3825">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27、为避免因过量带宽使用导致的网络冲击影响平台稳定性，支持桌面连接策略的配置选项。该选项支持全实验室或指定实验室的覆盖范围，一旦开启，可以选择流畅度优先、均衡或画质优先等三种预设档位。此外，还可以自定义调整图像质量和帧率参数，并对策略进行帧率设置、暂停计划配置及删除管理；（提供国家认可的第三方权威检测机构出具的检测报告复印件）</w:t>
      </w:r>
    </w:p>
    <w:p w14:paraId="7F793257">
      <w:pPr>
        <w:spacing w:line="360" w:lineRule="auto"/>
        <w:rPr>
          <w:rFonts w:hint="eastAsia" w:ascii="宋体" w:hAnsi="宋体" w:cs="宋体"/>
          <w:color w:val="auto"/>
          <w:kern w:val="0"/>
          <w:szCs w:val="21"/>
          <w:lang w:bidi="ar"/>
        </w:rPr>
      </w:pPr>
    </w:p>
    <w:p w14:paraId="36B0C755">
      <w:pPr>
        <w:spacing w:line="360" w:lineRule="auto"/>
        <w:rPr>
          <w:rFonts w:hint="eastAsia" w:ascii="宋体" w:hAnsi="宋体" w:cs="宋体"/>
          <w:color w:val="auto"/>
          <w:kern w:val="0"/>
          <w:szCs w:val="21"/>
          <w:lang w:bidi="ar"/>
        </w:rPr>
      </w:pPr>
    </w:p>
    <w:p w14:paraId="587F2134">
      <w:pPr>
        <w:spacing w:line="360" w:lineRule="auto"/>
        <w:rPr>
          <w:rFonts w:hint="eastAsia" w:ascii="宋体" w:hAnsi="宋体" w:cs="宋体"/>
          <w:color w:val="auto"/>
          <w:kern w:val="0"/>
          <w:szCs w:val="21"/>
          <w:lang w:bidi="ar"/>
        </w:rPr>
      </w:pPr>
    </w:p>
    <w:p w14:paraId="21CBC1DA">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28、为避免在线远端访问带来的网络访问压力，支持仅面向已引入的多间虚拟实验室及指定的多个课程桌面进行桌面连接策略的设置，可同时设置并开启多个策略，也可以灵活修改策略帧率，暂停策略计划及删除无用策略；（提供功能截图）</w:t>
      </w:r>
    </w:p>
    <w:p w14:paraId="324E4D42">
      <w:pPr>
        <w:spacing w:line="360" w:lineRule="auto"/>
        <w:rPr>
          <w:rFonts w:hint="eastAsia" w:ascii="宋体" w:hAnsi="宋体" w:cs="宋体"/>
          <w:color w:val="auto"/>
          <w:kern w:val="0"/>
          <w:szCs w:val="21"/>
          <w:lang w:bidi="ar"/>
        </w:rPr>
      </w:pPr>
    </w:p>
    <w:p w14:paraId="394A4B4D">
      <w:pPr>
        <w:spacing w:line="360" w:lineRule="auto"/>
        <w:rPr>
          <w:rFonts w:hint="eastAsia" w:ascii="宋体" w:hAnsi="宋体" w:cs="宋体"/>
          <w:color w:val="auto"/>
          <w:kern w:val="0"/>
          <w:szCs w:val="21"/>
          <w:lang w:bidi="ar"/>
        </w:rPr>
      </w:pPr>
    </w:p>
    <w:p w14:paraId="33656536">
      <w:pPr>
        <w:spacing w:line="360" w:lineRule="auto"/>
        <w:rPr>
          <w:rFonts w:hint="eastAsia" w:ascii="宋体" w:hAnsi="宋体" w:cs="宋体"/>
          <w:color w:val="auto"/>
          <w:kern w:val="0"/>
          <w:szCs w:val="21"/>
          <w:lang w:bidi="ar"/>
        </w:rPr>
      </w:pPr>
    </w:p>
    <w:p w14:paraId="2E7C3130">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30、提供师生长周期在线桌面使用数据的存储策略设置，可将服务记录保留时间按需设置为一个月/三个月/半年/一年/三年，且相关服务记录支持导出，便于了解学生课后学习的自主性数据并形成新的学习评价方向；（提供国家认可的第三方权威检测机构出具的检测报告复印件）</w:t>
      </w:r>
    </w:p>
    <w:p w14:paraId="3B863B65">
      <w:pPr>
        <w:spacing w:line="360" w:lineRule="auto"/>
        <w:rPr>
          <w:rFonts w:hint="eastAsia" w:ascii="宋体" w:hAnsi="宋体" w:cs="宋体"/>
          <w:color w:val="auto"/>
          <w:kern w:val="0"/>
          <w:szCs w:val="21"/>
          <w:lang w:bidi="ar"/>
        </w:rPr>
      </w:pPr>
    </w:p>
    <w:p w14:paraId="7D6819CE">
      <w:pPr>
        <w:spacing w:line="360" w:lineRule="auto"/>
        <w:rPr>
          <w:rFonts w:hint="eastAsia" w:ascii="宋体" w:hAnsi="宋体" w:cs="宋体"/>
          <w:color w:val="auto"/>
          <w:kern w:val="0"/>
          <w:szCs w:val="21"/>
          <w:lang w:bidi="ar"/>
        </w:rPr>
      </w:pPr>
    </w:p>
    <w:p w14:paraId="06963069">
      <w:pPr>
        <w:spacing w:line="360" w:lineRule="auto"/>
        <w:rPr>
          <w:rFonts w:hint="eastAsia" w:ascii="宋体" w:hAnsi="宋体" w:cs="宋体"/>
          <w:color w:val="auto"/>
          <w:kern w:val="0"/>
          <w:szCs w:val="21"/>
          <w:lang w:bidi="ar"/>
        </w:rPr>
      </w:pPr>
    </w:p>
    <w:p w14:paraId="2F11628F">
      <w:pPr>
        <w:spacing w:line="360" w:lineRule="auto"/>
        <w:rPr>
          <w:rFonts w:hint="eastAsia" w:ascii="宋体" w:hAnsi="宋体" w:cs="宋体"/>
          <w:b/>
          <w:bCs/>
          <w:color w:val="auto"/>
          <w:kern w:val="0"/>
          <w:szCs w:val="21"/>
          <w:lang w:bidi="ar"/>
        </w:rPr>
      </w:pPr>
      <w:r>
        <w:rPr>
          <w:rFonts w:hint="eastAsia" w:ascii="宋体" w:hAnsi="宋体" w:cs="宋体"/>
          <w:b/>
          <w:color w:val="auto"/>
          <w:szCs w:val="21"/>
        </w:rPr>
        <w:t>项目（标的）名称</w:t>
      </w:r>
      <w:r>
        <w:rPr>
          <w:rFonts w:hint="eastAsia" w:ascii="宋体" w:hAnsi="宋体" w:cs="宋体"/>
          <w:b/>
          <w:bCs/>
          <w:color w:val="auto"/>
          <w:kern w:val="0"/>
          <w:szCs w:val="21"/>
          <w:lang w:val="en-US" w:eastAsia="zh-CN" w:bidi="ar"/>
        </w:rPr>
        <w:t>2：孪生教研接入系统</w:t>
      </w:r>
    </w:p>
    <w:p w14:paraId="735295F9">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8、针对学生提前预约实验室使用的需求，支持孪生实验室的占位预约，可根据桌面环境需求选择需预约的实验室、预约的日期以及预约的时间段，确认预约后将自动审批，学生可查看个人预约单，并可随时取消个人待开始的预约；预约的学生可自由选择教室中的座位进行占位，可自行选择管理员开放的教学环境进入使用，在该座位已预约使用时间段内其他学生无法再对此座位进行占位预约；（提供功能截图）</w:t>
      </w:r>
    </w:p>
    <w:p w14:paraId="33C4EDFF">
      <w:pPr>
        <w:spacing w:line="360" w:lineRule="auto"/>
        <w:rPr>
          <w:rFonts w:hint="eastAsia" w:ascii="宋体" w:hAnsi="宋体" w:cs="宋体"/>
          <w:color w:val="auto"/>
          <w:kern w:val="0"/>
          <w:szCs w:val="21"/>
          <w:lang w:bidi="ar"/>
        </w:rPr>
      </w:pPr>
    </w:p>
    <w:p w14:paraId="605E092E">
      <w:pPr>
        <w:spacing w:line="360" w:lineRule="auto"/>
        <w:rPr>
          <w:rFonts w:hint="eastAsia" w:ascii="宋体" w:hAnsi="宋体" w:cs="宋体"/>
          <w:color w:val="auto"/>
          <w:kern w:val="0"/>
          <w:szCs w:val="21"/>
          <w:lang w:bidi="ar"/>
        </w:rPr>
      </w:pPr>
    </w:p>
    <w:p w14:paraId="5B64F4DF">
      <w:pPr>
        <w:spacing w:line="360" w:lineRule="auto"/>
        <w:rPr>
          <w:rFonts w:hint="eastAsia" w:ascii="宋体" w:hAnsi="宋体" w:cs="宋体"/>
          <w:color w:val="auto"/>
          <w:kern w:val="0"/>
          <w:szCs w:val="21"/>
          <w:lang w:bidi="ar"/>
        </w:rPr>
      </w:pPr>
    </w:p>
    <w:p w14:paraId="52B28C1D">
      <w:p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13、提供软件著作权证书复印件，为保证产品稳定性和兼容性，</w:t>
      </w:r>
      <w:r>
        <w:rPr>
          <w:rFonts w:hint="eastAsia" w:ascii="宋体" w:hAnsi="宋体" w:cs="宋体"/>
          <w:color w:val="auto"/>
          <w:kern w:val="0"/>
          <w:sz w:val="21"/>
          <w:szCs w:val="21"/>
          <w:lang w:bidi="ar"/>
        </w:rPr>
        <w:t>要求孪生教研教学空间系统、孪生教研接入系统、云端智算系统模块、教研智算分析系统模块须相互兼容，提供模块统一纳管对接承诺书</w:t>
      </w:r>
      <w:r>
        <w:rPr>
          <w:rFonts w:hint="eastAsia" w:ascii="宋体" w:hAnsi="宋体" w:cs="宋体"/>
          <w:color w:val="auto"/>
          <w:kern w:val="0"/>
          <w:szCs w:val="21"/>
          <w:lang w:bidi="ar"/>
        </w:rPr>
        <w:t>。</w:t>
      </w:r>
    </w:p>
    <w:p w14:paraId="080C8301">
      <w:pPr>
        <w:spacing w:line="360" w:lineRule="auto"/>
        <w:rPr>
          <w:rFonts w:hint="eastAsia" w:ascii="宋体" w:hAnsi="宋体" w:cs="宋体"/>
          <w:color w:val="auto"/>
          <w:kern w:val="0"/>
          <w:szCs w:val="21"/>
          <w:lang w:bidi="ar"/>
        </w:rPr>
      </w:pPr>
    </w:p>
    <w:p w14:paraId="67334A6E">
      <w:pPr>
        <w:spacing w:line="360" w:lineRule="auto"/>
        <w:rPr>
          <w:rFonts w:hint="eastAsia" w:ascii="宋体" w:hAnsi="宋体" w:cs="宋体"/>
          <w:color w:val="auto"/>
          <w:kern w:val="0"/>
          <w:szCs w:val="21"/>
          <w:lang w:bidi="ar"/>
        </w:rPr>
      </w:pPr>
    </w:p>
    <w:p w14:paraId="6BBB5915">
      <w:pPr>
        <w:spacing w:line="360" w:lineRule="auto"/>
        <w:rPr>
          <w:rFonts w:hint="eastAsia" w:ascii="宋体" w:hAnsi="宋体" w:cs="宋体"/>
          <w:color w:val="auto"/>
          <w:kern w:val="0"/>
          <w:szCs w:val="21"/>
          <w:lang w:bidi="ar"/>
        </w:rPr>
      </w:pPr>
    </w:p>
    <w:p w14:paraId="4BCD0CB8">
      <w:pPr>
        <w:spacing w:line="360" w:lineRule="auto"/>
        <w:rPr>
          <w:rFonts w:hint="eastAsia" w:ascii="宋体" w:hAnsi="宋体" w:cs="宋体"/>
          <w:b/>
          <w:bCs/>
          <w:color w:val="auto"/>
          <w:kern w:val="0"/>
          <w:szCs w:val="21"/>
          <w:lang w:bidi="ar"/>
        </w:rPr>
      </w:pPr>
      <w:r>
        <w:rPr>
          <w:rFonts w:hint="eastAsia" w:ascii="宋体" w:hAnsi="宋体" w:cs="宋体"/>
          <w:b/>
          <w:color w:val="auto"/>
          <w:szCs w:val="21"/>
        </w:rPr>
        <w:t>项目（标的）名称</w:t>
      </w:r>
      <w:r>
        <w:rPr>
          <w:rFonts w:hint="eastAsia" w:ascii="宋体" w:hAnsi="宋体" w:cs="宋体"/>
          <w:b/>
          <w:bCs/>
          <w:color w:val="auto"/>
          <w:kern w:val="0"/>
          <w:szCs w:val="21"/>
          <w:lang w:val="en-US" w:eastAsia="zh-CN" w:bidi="ar"/>
        </w:rPr>
        <w:t>5：数字化教学设备</w:t>
      </w:r>
    </w:p>
    <w:p w14:paraId="297AC80E">
      <w:pPr>
        <w:spacing w:line="360" w:lineRule="auto"/>
        <w:rPr>
          <w:rFonts w:hint="eastAsia" w:ascii="宋体" w:hAnsi="宋体" w:cs="宋体"/>
          <w:color w:val="auto"/>
          <w:kern w:val="0"/>
          <w:szCs w:val="21"/>
          <w:lang w:eastAsia="zh-CN" w:bidi="ar"/>
        </w:rPr>
      </w:pPr>
      <w:r>
        <w:rPr>
          <w:rFonts w:hint="eastAsia" w:ascii="宋体" w:hAnsi="宋体" w:cs="宋体"/>
          <w:color w:val="auto"/>
          <w:kern w:val="0"/>
          <w:szCs w:val="21"/>
          <w:lang w:eastAsia="zh-CN" w:bidi="ar"/>
        </w:rPr>
        <w:t>2、设备支持红外线遥控，具备一个红外接收传感器；设备支持工业串口调试，具备一个RS232工业串口（提供产品外观图片）</w:t>
      </w:r>
    </w:p>
    <w:p w14:paraId="68ED0A13">
      <w:pPr>
        <w:spacing w:line="360" w:lineRule="auto"/>
        <w:rPr>
          <w:rFonts w:hint="eastAsia" w:ascii="宋体" w:hAnsi="宋体" w:cs="宋体"/>
          <w:color w:val="auto"/>
          <w:kern w:val="0"/>
          <w:szCs w:val="21"/>
          <w:lang w:eastAsia="zh-CN" w:bidi="ar"/>
        </w:rPr>
      </w:pPr>
    </w:p>
    <w:p w14:paraId="372545CF">
      <w:pPr>
        <w:spacing w:line="360" w:lineRule="auto"/>
        <w:rPr>
          <w:rFonts w:hint="eastAsia" w:ascii="宋体" w:hAnsi="宋体" w:cs="宋体"/>
          <w:color w:val="auto"/>
          <w:kern w:val="0"/>
          <w:szCs w:val="21"/>
          <w:lang w:eastAsia="zh-CN" w:bidi="ar"/>
        </w:rPr>
      </w:pPr>
    </w:p>
    <w:p w14:paraId="26472F9C">
      <w:pPr>
        <w:spacing w:line="360" w:lineRule="auto"/>
        <w:rPr>
          <w:rFonts w:hint="eastAsia" w:ascii="宋体" w:hAnsi="宋体" w:cs="宋体"/>
          <w:color w:val="auto"/>
          <w:kern w:val="0"/>
          <w:szCs w:val="21"/>
          <w:lang w:eastAsia="zh-CN" w:bidi="ar"/>
        </w:rPr>
      </w:pPr>
    </w:p>
    <w:p w14:paraId="096BC064">
      <w:pPr>
        <w:pStyle w:val="14"/>
        <w:numPr>
          <w:ilvl w:val="0"/>
          <w:numId w:val="0"/>
        </w:num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3、教学设备支持蜂窝物联网接入管理，提供一个 GSM移动物联网用户识别卡插槽；（提供产品外观图片）</w:t>
      </w:r>
    </w:p>
    <w:p w14:paraId="2D895938">
      <w:pPr>
        <w:pStyle w:val="14"/>
        <w:numPr>
          <w:ilvl w:val="0"/>
          <w:numId w:val="0"/>
        </w:numPr>
        <w:spacing w:line="360" w:lineRule="auto"/>
        <w:rPr>
          <w:rFonts w:hint="eastAsia" w:ascii="宋体" w:hAnsi="宋体" w:cs="宋体"/>
          <w:color w:val="auto"/>
          <w:kern w:val="0"/>
          <w:szCs w:val="21"/>
          <w:lang w:bidi="ar"/>
        </w:rPr>
      </w:pPr>
    </w:p>
    <w:p w14:paraId="18BF931A">
      <w:pPr>
        <w:pStyle w:val="14"/>
        <w:numPr>
          <w:ilvl w:val="0"/>
          <w:numId w:val="0"/>
        </w:numPr>
        <w:spacing w:line="360" w:lineRule="auto"/>
        <w:rPr>
          <w:rFonts w:hint="eastAsia" w:ascii="宋体" w:hAnsi="宋体" w:cs="宋体"/>
          <w:color w:val="auto"/>
          <w:kern w:val="0"/>
          <w:szCs w:val="21"/>
          <w:lang w:bidi="ar"/>
        </w:rPr>
      </w:pPr>
    </w:p>
    <w:p w14:paraId="5AE43052">
      <w:pPr>
        <w:pStyle w:val="14"/>
        <w:numPr>
          <w:ilvl w:val="0"/>
          <w:numId w:val="0"/>
        </w:numPr>
        <w:spacing w:line="360" w:lineRule="auto"/>
        <w:rPr>
          <w:rFonts w:hint="eastAsia" w:ascii="宋体" w:hAnsi="宋体" w:cs="宋体"/>
          <w:color w:val="auto"/>
          <w:kern w:val="0"/>
          <w:szCs w:val="21"/>
          <w:lang w:bidi="ar"/>
        </w:rPr>
      </w:pPr>
    </w:p>
    <w:p w14:paraId="75D903C1">
      <w:pPr>
        <w:pStyle w:val="14"/>
        <w:numPr>
          <w:ilvl w:val="-1"/>
          <w:numId w:val="0"/>
        </w:numPr>
        <w:spacing w:line="360" w:lineRule="auto"/>
        <w:rPr>
          <w:rFonts w:hint="eastAsia" w:ascii="宋体" w:hAnsi="宋体" w:cs="宋体"/>
          <w:color w:val="auto"/>
          <w:kern w:val="0"/>
          <w:szCs w:val="21"/>
          <w:lang w:bidi="ar"/>
        </w:rPr>
      </w:pPr>
      <w:r>
        <w:rPr>
          <w:rFonts w:hint="eastAsia" w:ascii="宋体" w:hAnsi="宋体" w:cs="宋体"/>
          <w:color w:val="auto"/>
          <w:kern w:val="0"/>
          <w:szCs w:val="21"/>
          <w:lang w:bidi="ar"/>
        </w:rPr>
        <w:t>13、为保证产品稳定性，保证日常教学和考试正常运行，要求设备平均无故障时间(MTBF）不小于16万小时；（提供国家认可的第三方权威检测机构出具的检测报告复印件）</w:t>
      </w:r>
    </w:p>
    <w:p w14:paraId="0CF62394">
      <w:pPr>
        <w:pStyle w:val="14"/>
        <w:numPr>
          <w:ilvl w:val="-1"/>
          <w:numId w:val="0"/>
        </w:numPr>
        <w:spacing w:line="360" w:lineRule="auto"/>
        <w:rPr>
          <w:rFonts w:hint="eastAsia" w:ascii="宋体" w:hAnsi="宋体" w:cs="宋体"/>
          <w:color w:val="auto"/>
          <w:kern w:val="0"/>
          <w:szCs w:val="21"/>
          <w:lang w:bidi="ar"/>
        </w:rPr>
      </w:pPr>
    </w:p>
    <w:p w14:paraId="4FAF8CBC">
      <w:pPr>
        <w:pStyle w:val="14"/>
        <w:numPr>
          <w:ilvl w:val="-1"/>
          <w:numId w:val="0"/>
        </w:numPr>
        <w:spacing w:line="360" w:lineRule="auto"/>
        <w:rPr>
          <w:rFonts w:hint="eastAsia" w:ascii="宋体" w:hAnsi="宋体" w:cs="宋体"/>
          <w:color w:val="auto"/>
          <w:kern w:val="0"/>
          <w:szCs w:val="21"/>
          <w:lang w:bidi="ar"/>
        </w:rPr>
      </w:pPr>
    </w:p>
    <w:p w14:paraId="1BF47CCD">
      <w:pPr>
        <w:pStyle w:val="14"/>
        <w:numPr>
          <w:ilvl w:val="-1"/>
          <w:numId w:val="0"/>
        </w:numPr>
        <w:spacing w:line="360" w:lineRule="auto"/>
        <w:rPr>
          <w:rFonts w:hint="eastAsia" w:ascii="宋体" w:hAnsi="宋体" w:cs="宋体"/>
          <w:color w:val="auto"/>
          <w:kern w:val="0"/>
          <w:szCs w:val="21"/>
          <w:lang w:bidi="ar"/>
        </w:rPr>
      </w:pPr>
    </w:p>
    <w:p w14:paraId="687F44DA">
      <w:pPr>
        <w:spacing w:line="360" w:lineRule="auto"/>
        <w:rPr>
          <w:rFonts w:hint="eastAsia" w:ascii="宋体" w:hAnsi="宋体" w:cs="宋体"/>
          <w:b/>
          <w:bCs/>
          <w:color w:val="auto"/>
          <w:kern w:val="0"/>
          <w:szCs w:val="21"/>
          <w:lang w:bidi="ar"/>
        </w:rPr>
      </w:pPr>
      <w:r>
        <w:rPr>
          <w:rFonts w:hint="eastAsia" w:ascii="宋体" w:hAnsi="宋体" w:cs="宋体"/>
          <w:b/>
          <w:color w:val="auto"/>
          <w:szCs w:val="21"/>
        </w:rPr>
        <w:t>项目（标的）名称</w:t>
      </w:r>
      <w:r>
        <w:rPr>
          <w:rFonts w:hint="eastAsia" w:ascii="宋体" w:hAnsi="宋体" w:cs="宋体"/>
          <w:b/>
          <w:bCs/>
          <w:color w:val="auto"/>
          <w:kern w:val="0"/>
          <w:szCs w:val="21"/>
          <w:lang w:val="en-US" w:eastAsia="zh-CN" w:bidi="ar"/>
        </w:rPr>
        <w:t>7：桌面云软件</w:t>
      </w:r>
    </w:p>
    <w:p w14:paraId="4A999EB3">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3、可对多区域资源进行汇总分析，可统计所有区域的桌面云部署信息，包括：服务器数量、CPU核数和使用率、内存容量和使用率、存储容量和使用率、教室数量、场景数量、终端数量、桌面数量、区域内每月桌面使用次数、每月桌面场景使用时长和排行，每月机房日均使用时长和排行；这些数据统计功能可以帮助学校全面了解云桌面部署的整体情况，分析资源配置是否合理，评估性能表现，以及优化资源分配策略，以更好地支持跨校区的云桌面建设和管理需求；（提供国家认可的第三方权威检测机构出具的检测报告复印件）</w:t>
      </w:r>
    </w:p>
    <w:p w14:paraId="3E11FD2D">
      <w:pPr>
        <w:pStyle w:val="14"/>
        <w:spacing w:line="360" w:lineRule="auto"/>
        <w:rPr>
          <w:rFonts w:hint="eastAsia" w:ascii="宋体" w:hAnsi="宋体" w:cs="宋体"/>
          <w:color w:val="auto"/>
          <w:kern w:val="0"/>
          <w:szCs w:val="21"/>
        </w:rPr>
      </w:pPr>
    </w:p>
    <w:p w14:paraId="0172C2C4">
      <w:pPr>
        <w:pStyle w:val="14"/>
        <w:spacing w:line="360" w:lineRule="auto"/>
        <w:rPr>
          <w:rFonts w:hint="eastAsia" w:ascii="宋体" w:hAnsi="宋体" w:cs="宋体"/>
          <w:color w:val="auto"/>
          <w:kern w:val="0"/>
          <w:szCs w:val="21"/>
        </w:rPr>
      </w:pPr>
    </w:p>
    <w:p w14:paraId="03E0F805">
      <w:pPr>
        <w:pStyle w:val="14"/>
        <w:spacing w:line="360" w:lineRule="auto"/>
        <w:rPr>
          <w:rFonts w:hint="eastAsia" w:ascii="宋体" w:hAnsi="宋体" w:cs="宋体"/>
          <w:color w:val="auto"/>
          <w:kern w:val="0"/>
          <w:szCs w:val="21"/>
        </w:rPr>
      </w:pPr>
    </w:p>
    <w:p w14:paraId="79FB1F7A">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5、为保证桌面的并发速度和模板下发速度，要求能够在执行分布式存储节点替换、桌面数据同步、更新模板等操作时自动触发任务队列，同一时间仅允许一个任务运行，其余任务处于等待执行状态，可针对等待执行状态的任务进行暂停、取消操作，可查看已结束的任务队列记录，便于追溯运维操作。（提供国家认可的第三方权威检测机构出具的检测报告复印件）</w:t>
      </w:r>
    </w:p>
    <w:p w14:paraId="6AB37312">
      <w:pPr>
        <w:pStyle w:val="14"/>
        <w:spacing w:line="360" w:lineRule="auto"/>
        <w:rPr>
          <w:rFonts w:hint="eastAsia" w:ascii="宋体" w:hAnsi="宋体" w:cs="宋体"/>
          <w:color w:val="auto"/>
          <w:kern w:val="0"/>
          <w:szCs w:val="21"/>
        </w:rPr>
      </w:pPr>
    </w:p>
    <w:p w14:paraId="4037FFFD">
      <w:pPr>
        <w:pStyle w:val="14"/>
        <w:spacing w:line="360" w:lineRule="auto"/>
        <w:rPr>
          <w:rFonts w:hint="eastAsia" w:ascii="宋体" w:hAnsi="宋体" w:cs="宋体"/>
          <w:color w:val="auto"/>
          <w:kern w:val="0"/>
          <w:szCs w:val="21"/>
        </w:rPr>
      </w:pPr>
    </w:p>
    <w:p w14:paraId="05C1FEBD">
      <w:pPr>
        <w:pStyle w:val="14"/>
        <w:spacing w:line="360" w:lineRule="auto"/>
        <w:rPr>
          <w:rFonts w:hint="eastAsia" w:ascii="宋体" w:hAnsi="宋体" w:cs="宋体"/>
          <w:color w:val="auto"/>
          <w:kern w:val="0"/>
          <w:szCs w:val="21"/>
        </w:rPr>
      </w:pPr>
    </w:p>
    <w:p w14:paraId="1225B209">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6、单个终端可同时支持教学桌面和个人桌面两种使用方式，教学桌面开机无需账号直接进入桌面，满足学生上课使用；个人桌面开机须输入账号密码进入桌面，便于个性化实验或教师办公使用；管理台可控制允许终端进入的桌面类型，包括仅使用教学桌面，仅使用个人桌面，混合登录三种方式；（提供国家认可的第三方权威检测机构出具的检测报告复印件）</w:t>
      </w:r>
    </w:p>
    <w:p w14:paraId="09B55BB9">
      <w:pPr>
        <w:pStyle w:val="14"/>
        <w:spacing w:line="360" w:lineRule="auto"/>
        <w:rPr>
          <w:rFonts w:hint="eastAsia" w:ascii="宋体" w:hAnsi="宋体" w:cs="宋体"/>
          <w:color w:val="auto"/>
          <w:kern w:val="0"/>
          <w:szCs w:val="21"/>
        </w:rPr>
      </w:pPr>
    </w:p>
    <w:p w14:paraId="55C7F06B">
      <w:pPr>
        <w:pStyle w:val="14"/>
        <w:spacing w:line="360" w:lineRule="auto"/>
        <w:rPr>
          <w:rFonts w:hint="eastAsia" w:ascii="宋体" w:hAnsi="宋体" w:cs="宋体"/>
          <w:color w:val="auto"/>
          <w:kern w:val="0"/>
          <w:szCs w:val="21"/>
        </w:rPr>
      </w:pPr>
    </w:p>
    <w:p w14:paraId="60F64929">
      <w:pPr>
        <w:pStyle w:val="14"/>
        <w:spacing w:line="360" w:lineRule="auto"/>
        <w:rPr>
          <w:rFonts w:hint="eastAsia" w:ascii="宋体" w:hAnsi="宋体" w:cs="宋体"/>
          <w:color w:val="auto"/>
          <w:kern w:val="0"/>
          <w:szCs w:val="21"/>
        </w:rPr>
      </w:pPr>
    </w:p>
    <w:p w14:paraId="50275C70">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13、支持硬件虚拟化功能，开启后针对硬件识别码的软件可实现软件统一注册，大幅度降低激活软件带来的工作量；（提供功能截图）</w:t>
      </w:r>
    </w:p>
    <w:p w14:paraId="3CF936CE">
      <w:pPr>
        <w:pStyle w:val="14"/>
        <w:spacing w:line="360" w:lineRule="auto"/>
        <w:rPr>
          <w:rFonts w:hint="eastAsia" w:ascii="宋体" w:hAnsi="宋体" w:cs="宋体"/>
          <w:color w:val="auto"/>
          <w:kern w:val="0"/>
          <w:szCs w:val="21"/>
        </w:rPr>
      </w:pPr>
    </w:p>
    <w:p w14:paraId="6ECEF38B">
      <w:pPr>
        <w:pStyle w:val="14"/>
        <w:spacing w:line="360" w:lineRule="auto"/>
        <w:rPr>
          <w:rFonts w:hint="eastAsia" w:ascii="宋体" w:hAnsi="宋体" w:cs="宋体"/>
          <w:color w:val="auto"/>
          <w:kern w:val="0"/>
          <w:szCs w:val="21"/>
        </w:rPr>
      </w:pPr>
    </w:p>
    <w:p w14:paraId="2A7D6EAF">
      <w:pPr>
        <w:pStyle w:val="14"/>
        <w:spacing w:line="360" w:lineRule="auto"/>
        <w:rPr>
          <w:rFonts w:hint="eastAsia" w:ascii="宋体" w:hAnsi="宋体" w:cs="宋体"/>
          <w:color w:val="auto"/>
          <w:kern w:val="0"/>
          <w:szCs w:val="21"/>
        </w:rPr>
      </w:pPr>
    </w:p>
    <w:p w14:paraId="5C15E9AD">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15、支持模板的共享和转让，管理用户可将所属权限下的模板共享给其他管理员，便于其他管理员编辑使用，也可直接转让模板，让被转让的管理员拥有模板所有操作权限，从而实现模板的分权管理；（提供国家认可的第三方权威检测机构出具的检测报告复印件）</w:t>
      </w:r>
    </w:p>
    <w:p w14:paraId="099158FD">
      <w:pPr>
        <w:pStyle w:val="14"/>
        <w:spacing w:line="360" w:lineRule="auto"/>
        <w:rPr>
          <w:rFonts w:hint="eastAsia" w:ascii="宋体" w:hAnsi="宋体" w:cs="宋体"/>
          <w:color w:val="auto"/>
          <w:kern w:val="0"/>
          <w:szCs w:val="21"/>
        </w:rPr>
      </w:pPr>
    </w:p>
    <w:p w14:paraId="09280CBB">
      <w:pPr>
        <w:pStyle w:val="14"/>
        <w:spacing w:line="360" w:lineRule="auto"/>
        <w:rPr>
          <w:rFonts w:hint="eastAsia" w:ascii="宋体" w:hAnsi="宋体" w:cs="宋体"/>
          <w:color w:val="auto"/>
          <w:kern w:val="0"/>
          <w:szCs w:val="21"/>
        </w:rPr>
      </w:pPr>
    </w:p>
    <w:p w14:paraId="34471ACB">
      <w:pPr>
        <w:pStyle w:val="14"/>
        <w:spacing w:line="360" w:lineRule="auto"/>
        <w:rPr>
          <w:rFonts w:hint="eastAsia" w:ascii="宋体" w:hAnsi="宋体" w:cs="宋体"/>
          <w:color w:val="auto"/>
          <w:kern w:val="0"/>
          <w:szCs w:val="21"/>
        </w:rPr>
      </w:pPr>
    </w:p>
    <w:p w14:paraId="5586379A">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19、支持在虚拟化平台上查看服务器和虚拟机的运行详细情况，包括服务器和虚拟桌面的CPU占用率、内存占用率、磁盘读写速度、网络流量、进程资源占用率；（提供国家认可的第三方权威检测机构出具的检测报告复印件）</w:t>
      </w:r>
    </w:p>
    <w:p w14:paraId="18CF2D64">
      <w:pPr>
        <w:pStyle w:val="14"/>
        <w:spacing w:line="360" w:lineRule="auto"/>
        <w:rPr>
          <w:rFonts w:hint="eastAsia" w:ascii="宋体" w:hAnsi="宋体" w:cs="宋体"/>
          <w:color w:val="auto"/>
          <w:kern w:val="0"/>
          <w:szCs w:val="21"/>
        </w:rPr>
      </w:pPr>
    </w:p>
    <w:p w14:paraId="404FF6AD">
      <w:pPr>
        <w:pStyle w:val="14"/>
        <w:spacing w:line="360" w:lineRule="auto"/>
        <w:rPr>
          <w:rFonts w:hint="eastAsia" w:ascii="宋体" w:hAnsi="宋体" w:cs="宋体"/>
          <w:color w:val="auto"/>
          <w:kern w:val="0"/>
          <w:szCs w:val="21"/>
        </w:rPr>
      </w:pPr>
    </w:p>
    <w:p w14:paraId="46F65386">
      <w:pPr>
        <w:pStyle w:val="14"/>
        <w:spacing w:line="360" w:lineRule="auto"/>
        <w:rPr>
          <w:rFonts w:hint="eastAsia" w:ascii="宋体" w:hAnsi="宋体" w:cs="宋体"/>
          <w:color w:val="auto"/>
          <w:kern w:val="0"/>
          <w:szCs w:val="21"/>
        </w:rPr>
      </w:pPr>
    </w:p>
    <w:p w14:paraId="5B84A54F">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20、考虑到我单位经常有隔位考试的情况，为提高管理便捷度，应支持终端的快速筛选功能，可以通过单数序号或双数序号的方式进行批量管理；（提供国家认可的第三方权威检测机构出具的检测报告复印件）</w:t>
      </w:r>
    </w:p>
    <w:p w14:paraId="7CFB8057">
      <w:pPr>
        <w:pStyle w:val="14"/>
        <w:spacing w:line="360" w:lineRule="auto"/>
        <w:rPr>
          <w:rFonts w:hint="eastAsia" w:ascii="宋体" w:hAnsi="宋体" w:cs="宋体"/>
          <w:color w:val="auto"/>
          <w:kern w:val="0"/>
          <w:szCs w:val="21"/>
        </w:rPr>
      </w:pPr>
    </w:p>
    <w:p w14:paraId="3DAD0DA7">
      <w:pPr>
        <w:pStyle w:val="14"/>
        <w:spacing w:line="360" w:lineRule="auto"/>
        <w:rPr>
          <w:rFonts w:hint="eastAsia" w:ascii="宋体" w:hAnsi="宋体" w:cs="宋体"/>
          <w:color w:val="auto"/>
          <w:kern w:val="0"/>
          <w:szCs w:val="21"/>
        </w:rPr>
      </w:pPr>
    </w:p>
    <w:p w14:paraId="3269476F">
      <w:pPr>
        <w:pStyle w:val="14"/>
        <w:spacing w:line="360" w:lineRule="auto"/>
        <w:rPr>
          <w:rFonts w:hint="eastAsia" w:ascii="宋体" w:hAnsi="宋体" w:cs="宋体"/>
          <w:color w:val="auto"/>
          <w:kern w:val="0"/>
          <w:szCs w:val="21"/>
        </w:rPr>
      </w:pPr>
    </w:p>
    <w:p w14:paraId="50C337E5">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21、为便于管理人员进行故障隐患的及时处理，支持管理平台全局告警项，可设置核心服务异常、计算节点离线、节点镜像网络断开、分布式卷组磁盘离线、主备控数据同步告警和桌面高可用等项的实时监控，可设置关键项教学桌面运行时间、个人桌面运行时间、系统授权日期和系统关键分区剩余空间的阈值，设置告警信息推送的管理员邮箱；（提供国家认可的第三方权威检测机构出具的检测报告复印件）</w:t>
      </w:r>
    </w:p>
    <w:p w14:paraId="10EB1F9F">
      <w:pPr>
        <w:pStyle w:val="14"/>
        <w:spacing w:line="360" w:lineRule="auto"/>
        <w:rPr>
          <w:rFonts w:hint="eastAsia" w:ascii="宋体" w:hAnsi="宋体" w:cs="宋体"/>
          <w:color w:val="auto"/>
          <w:kern w:val="0"/>
          <w:szCs w:val="21"/>
        </w:rPr>
      </w:pPr>
    </w:p>
    <w:p w14:paraId="7C803982">
      <w:pPr>
        <w:pStyle w:val="14"/>
        <w:spacing w:line="360" w:lineRule="auto"/>
        <w:rPr>
          <w:rFonts w:hint="eastAsia" w:ascii="宋体" w:hAnsi="宋体" w:cs="宋体"/>
          <w:color w:val="auto"/>
          <w:kern w:val="0"/>
          <w:szCs w:val="21"/>
        </w:rPr>
      </w:pPr>
    </w:p>
    <w:p w14:paraId="6F3E0B97">
      <w:pPr>
        <w:pStyle w:val="14"/>
        <w:spacing w:line="360" w:lineRule="auto"/>
        <w:rPr>
          <w:rFonts w:hint="eastAsia" w:ascii="宋体" w:hAnsi="宋体" w:cs="宋体"/>
          <w:color w:val="auto"/>
          <w:kern w:val="0"/>
          <w:szCs w:val="21"/>
        </w:rPr>
      </w:pPr>
    </w:p>
    <w:p w14:paraId="1C725C9E">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24、产品底层服务器虚拟化软件需通过国家权威机构的“信息技术 虚拟机管理通用要求”，“信息技术 弹性计算应用接口”测评，提供评测证书及测试报告复印件或扫描件；</w:t>
      </w:r>
    </w:p>
    <w:p w14:paraId="32A6C3D9">
      <w:pPr>
        <w:pStyle w:val="14"/>
        <w:spacing w:line="360" w:lineRule="auto"/>
        <w:rPr>
          <w:rFonts w:hint="eastAsia" w:ascii="宋体" w:hAnsi="宋体" w:cs="宋体"/>
          <w:color w:val="auto"/>
          <w:kern w:val="0"/>
          <w:szCs w:val="21"/>
        </w:rPr>
      </w:pPr>
    </w:p>
    <w:p w14:paraId="19E3F867">
      <w:pPr>
        <w:pStyle w:val="14"/>
        <w:spacing w:line="360" w:lineRule="auto"/>
        <w:rPr>
          <w:rFonts w:hint="eastAsia" w:ascii="宋体" w:hAnsi="宋体" w:cs="宋体"/>
          <w:color w:val="auto"/>
          <w:kern w:val="0"/>
          <w:szCs w:val="21"/>
        </w:rPr>
      </w:pPr>
    </w:p>
    <w:p w14:paraId="3A66E8AE">
      <w:pPr>
        <w:pStyle w:val="14"/>
        <w:spacing w:line="360" w:lineRule="auto"/>
        <w:rPr>
          <w:rFonts w:hint="eastAsia" w:ascii="宋体" w:hAnsi="宋体" w:cs="宋体"/>
          <w:color w:val="auto"/>
          <w:kern w:val="0"/>
          <w:szCs w:val="21"/>
        </w:rPr>
      </w:pPr>
    </w:p>
    <w:p w14:paraId="3ABD665B">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25、提供软件著作权证书复印件，为保证产品稳定性和兼容性，要求数字化教学设备、云端智算系统模块、实验室智慧服务系统、桌面云软件、终端高可用容灾系统、教学实训计算模块须相互兼容，提供模块统一纳管对接承诺书。</w:t>
      </w:r>
    </w:p>
    <w:p w14:paraId="38CEAC34">
      <w:pPr>
        <w:pStyle w:val="14"/>
        <w:spacing w:line="360" w:lineRule="auto"/>
        <w:rPr>
          <w:rFonts w:hint="eastAsia" w:ascii="宋体" w:hAnsi="宋体" w:cs="宋体"/>
          <w:color w:val="auto"/>
          <w:kern w:val="0"/>
          <w:szCs w:val="21"/>
        </w:rPr>
      </w:pPr>
    </w:p>
    <w:p w14:paraId="1960AA18">
      <w:pPr>
        <w:pStyle w:val="14"/>
        <w:spacing w:line="360" w:lineRule="auto"/>
        <w:rPr>
          <w:rFonts w:hint="eastAsia" w:ascii="宋体" w:hAnsi="宋体" w:cs="宋体"/>
          <w:color w:val="auto"/>
          <w:kern w:val="0"/>
          <w:szCs w:val="21"/>
        </w:rPr>
      </w:pPr>
    </w:p>
    <w:p w14:paraId="74030F9E">
      <w:pPr>
        <w:pStyle w:val="14"/>
        <w:spacing w:line="360" w:lineRule="auto"/>
        <w:rPr>
          <w:rFonts w:hint="eastAsia" w:ascii="宋体" w:hAnsi="宋体" w:cs="宋体"/>
          <w:color w:val="auto"/>
          <w:kern w:val="0"/>
          <w:szCs w:val="21"/>
        </w:rPr>
      </w:pPr>
    </w:p>
    <w:p w14:paraId="5B06AAC7">
      <w:pPr>
        <w:spacing w:line="360" w:lineRule="auto"/>
        <w:rPr>
          <w:rFonts w:hint="eastAsia" w:ascii="宋体" w:hAnsi="宋体" w:cs="宋体"/>
          <w:b/>
          <w:bCs/>
          <w:color w:val="auto"/>
          <w:kern w:val="0"/>
          <w:szCs w:val="21"/>
          <w:lang w:bidi="ar"/>
        </w:rPr>
      </w:pPr>
      <w:r>
        <w:rPr>
          <w:rFonts w:hint="eastAsia" w:ascii="宋体" w:hAnsi="宋体" w:cs="宋体"/>
          <w:b/>
          <w:color w:val="auto"/>
          <w:szCs w:val="21"/>
        </w:rPr>
        <w:t>项目（标的）名称</w:t>
      </w:r>
      <w:r>
        <w:rPr>
          <w:rFonts w:hint="eastAsia" w:ascii="宋体" w:hAnsi="宋体" w:cs="宋体"/>
          <w:b/>
          <w:bCs/>
          <w:color w:val="auto"/>
          <w:kern w:val="0"/>
          <w:szCs w:val="21"/>
          <w:lang w:val="en-US" w:eastAsia="zh-CN" w:bidi="ar"/>
        </w:rPr>
        <w:t>9：课堂教学互动管理系统</w:t>
      </w:r>
    </w:p>
    <w:p w14:paraId="35946422">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5、教师开启屏幕广播功能后，学生的终端能够实时接收屏幕广播信息。即使学生在终端上关闭掉虚拟桌面，也能继续接收教师端的屏幕和视频流，保证教学过程无中断。（提供国家认可的第三方权威检测机构出具的检测报告复印件）</w:t>
      </w:r>
    </w:p>
    <w:p w14:paraId="47424CD4">
      <w:pPr>
        <w:pStyle w:val="14"/>
        <w:spacing w:line="360" w:lineRule="auto"/>
        <w:rPr>
          <w:rFonts w:hint="eastAsia" w:ascii="宋体" w:hAnsi="宋体" w:cs="宋体"/>
          <w:color w:val="auto"/>
          <w:kern w:val="0"/>
          <w:szCs w:val="21"/>
        </w:rPr>
      </w:pPr>
    </w:p>
    <w:p w14:paraId="0EA77923">
      <w:pPr>
        <w:pStyle w:val="14"/>
        <w:spacing w:line="360" w:lineRule="auto"/>
        <w:rPr>
          <w:rFonts w:hint="eastAsia" w:ascii="宋体" w:hAnsi="宋体" w:cs="宋体"/>
          <w:color w:val="auto"/>
          <w:kern w:val="0"/>
          <w:szCs w:val="21"/>
        </w:rPr>
      </w:pPr>
    </w:p>
    <w:p w14:paraId="26B59081">
      <w:pPr>
        <w:pStyle w:val="14"/>
        <w:spacing w:line="360" w:lineRule="auto"/>
        <w:rPr>
          <w:rFonts w:hint="eastAsia" w:ascii="宋体" w:hAnsi="宋体" w:cs="宋体"/>
          <w:color w:val="auto"/>
          <w:kern w:val="0"/>
          <w:szCs w:val="21"/>
        </w:rPr>
      </w:pPr>
    </w:p>
    <w:p w14:paraId="235AFC73">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8、教师可以在软件中实时观察所选择学生的操作画面，每个监控界面可同时查看多台终端设备，支持设置每组显示的终端数量以及轮流展示的时间间隔。（提供国家认可的第三方权威检测机构出具的检测报告复印件）</w:t>
      </w:r>
    </w:p>
    <w:p w14:paraId="681556BC">
      <w:pPr>
        <w:pStyle w:val="14"/>
        <w:spacing w:line="360" w:lineRule="auto"/>
        <w:rPr>
          <w:rFonts w:hint="eastAsia" w:ascii="宋体" w:hAnsi="宋体" w:cs="宋体"/>
          <w:color w:val="auto"/>
          <w:kern w:val="0"/>
          <w:szCs w:val="21"/>
        </w:rPr>
      </w:pPr>
    </w:p>
    <w:p w14:paraId="6BE14E28">
      <w:pPr>
        <w:pStyle w:val="14"/>
        <w:spacing w:line="360" w:lineRule="auto"/>
        <w:rPr>
          <w:rFonts w:hint="eastAsia" w:ascii="宋体" w:hAnsi="宋体" w:cs="宋体"/>
          <w:color w:val="auto"/>
          <w:kern w:val="0"/>
          <w:szCs w:val="21"/>
        </w:rPr>
      </w:pPr>
    </w:p>
    <w:p w14:paraId="090F91E1">
      <w:pPr>
        <w:pStyle w:val="14"/>
        <w:spacing w:line="360" w:lineRule="auto"/>
        <w:rPr>
          <w:rFonts w:hint="eastAsia" w:ascii="宋体" w:hAnsi="宋体" w:cs="宋体"/>
          <w:color w:val="auto"/>
          <w:kern w:val="0"/>
          <w:szCs w:val="21"/>
        </w:rPr>
      </w:pPr>
    </w:p>
    <w:p w14:paraId="6B3F27ED">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14、提供让所有学生全息黑屏静音的教师管理功能，便于让学生更专注的聆听课堂内容，系统支持三种解锁模式：手动解锁、按时自动解锁以及设定锁定持续时间。（提供国家认可的第三方权威检测机构出具的检测报告复印件）</w:t>
      </w:r>
    </w:p>
    <w:p w14:paraId="51FA7A5A">
      <w:pPr>
        <w:pStyle w:val="14"/>
        <w:spacing w:line="360" w:lineRule="auto"/>
        <w:rPr>
          <w:rFonts w:hint="eastAsia" w:ascii="宋体" w:hAnsi="宋体" w:cs="宋体"/>
          <w:color w:val="auto"/>
          <w:kern w:val="0"/>
          <w:szCs w:val="21"/>
        </w:rPr>
      </w:pPr>
    </w:p>
    <w:p w14:paraId="25C2C7A2">
      <w:pPr>
        <w:pStyle w:val="14"/>
        <w:spacing w:line="360" w:lineRule="auto"/>
        <w:rPr>
          <w:rFonts w:hint="eastAsia" w:ascii="宋体" w:hAnsi="宋体" w:cs="宋体"/>
          <w:color w:val="auto"/>
          <w:kern w:val="0"/>
          <w:szCs w:val="21"/>
        </w:rPr>
      </w:pPr>
    </w:p>
    <w:p w14:paraId="059B6C61">
      <w:pPr>
        <w:pStyle w:val="14"/>
        <w:spacing w:line="360" w:lineRule="auto"/>
        <w:rPr>
          <w:rFonts w:hint="eastAsia" w:ascii="宋体" w:hAnsi="宋体" w:cs="宋体"/>
          <w:color w:val="auto"/>
          <w:kern w:val="0"/>
          <w:szCs w:val="21"/>
        </w:rPr>
      </w:pPr>
    </w:p>
    <w:p w14:paraId="658E3FB4">
      <w:pPr>
        <w:spacing w:line="360" w:lineRule="auto"/>
        <w:rPr>
          <w:rFonts w:hint="eastAsia" w:ascii="宋体" w:hAnsi="宋体" w:cs="宋体"/>
          <w:b/>
          <w:bCs/>
          <w:color w:val="auto"/>
          <w:kern w:val="0"/>
          <w:szCs w:val="21"/>
          <w:lang w:val="en-US" w:eastAsia="zh-CN" w:bidi="ar"/>
        </w:rPr>
      </w:pPr>
      <w:r>
        <w:rPr>
          <w:rFonts w:hint="eastAsia" w:ascii="宋体" w:hAnsi="宋体" w:cs="宋体"/>
          <w:b/>
          <w:color w:val="auto"/>
          <w:szCs w:val="21"/>
        </w:rPr>
        <w:t>项目（标的）名称</w:t>
      </w:r>
      <w:r>
        <w:rPr>
          <w:rFonts w:hint="eastAsia" w:ascii="宋体" w:hAnsi="宋体" w:cs="宋体"/>
          <w:b/>
          <w:bCs/>
          <w:color w:val="auto"/>
          <w:kern w:val="0"/>
          <w:szCs w:val="21"/>
          <w:lang w:val="en-US" w:eastAsia="zh-CN" w:bidi="ar"/>
        </w:rPr>
        <w:t>16：智能显示协同终端</w:t>
      </w:r>
    </w:p>
    <w:p w14:paraId="11AD4B4F">
      <w:pPr>
        <w:pStyle w:val="14"/>
        <w:spacing w:line="360" w:lineRule="auto"/>
        <w:rPr>
          <w:rFonts w:hint="eastAsia" w:ascii="宋体" w:hAnsi="宋体" w:cs="宋体"/>
          <w:b/>
          <w:bCs/>
          <w:color w:val="auto"/>
          <w:kern w:val="0"/>
          <w:szCs w:val="21"/>
          <w:lang w:val="en-US" w:eastAsia="zh-CN" w:bidi="ar"/>
        </w:rPr>
      </w:pPr>
      <w:r>
        <w:rPr>
          <w:rFonts w:hint="eastAsia" w:ascii="宋体" w:hAnsi="宋体" w:cs="宋体"/>
          <w:color w:val="auto"/>
          <w:kern w:val="0"/>
          <w:szCs w:val="21"/>
        </w:rPr>
        <w:t>一、配套硬件部分</w:t>
      </w:r>
    </w:p>
    <w:p w14:paraId="2CF1EA75">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25、PC模块参数不低于以下配置：（1）采用Intel酷睿系列≥i7十二代CPU（2）16GB DDR4笔记本内存或以上配置，256GB或以上SSD固态硬盘；（3）和整机的连接接口针脚数≤60pin；（4）整机具备供电保护模块，能够检测内置电脑是否插好在位，在内置电脑未在位的情况下，内置电脑无法上电工作；（5）支持双路可插拔模块，一个槽位支持OPS模块插拔，另一个槽位支持AI模块插拔；（提供国家认可的第三方权威检测机构出具的检测报告复印件）</w:t>
      </w:r>
    </w:p>
    <w:p w14:paraId="4DEDB0EF">
      <w:pPr>
        <w:pStyle w:val="14"/>
        <w:spacing w:line="360" w:lineRule="auto"/>
        <w:rPr>
          <w:rFonts w:hint="eastAsia" w:ascii="宋体" w:hAnsi="宋体" w:cs="宋体"/>
          <w:color w:val="auto"/>
          <w:kern w:val="0"/>
          <w:szCs w:val="21"/>
        </w:rPr>
      </w:pPr>
    </w:p>
    <w:p w14:paraId="7F1ACF8A">
      <w:pPr>
        <w:pStyle w:val="14"/>
        <w:spacing w:line="360" w:lineRule="auto"/>
        <w:rPr>
          <w:rFonts w:hint="eastAsia" w:ascii="宋体" w:hAnsi="宋体" w:cs="宋体"/>
          <w:color w:val="auto"/>
          <w:kern w:val="0"/>
          <w:szCs w:val="21"/>
        </w:rPr>
      </w:pPr>
    </w:p>
    <w:p w14:paraId="29ED7063">
      <w:pPr>
        <w:pStyle w:val="14"/>
        <w:spacing w:line="360" w:lineRule="auto"/>
        <w:rPr>
          <w:rFonts w:hint="eastAsia" w:ascii="宋体" w:hAnsi="宋体" w:cs="宋体"/>
          <w:color w:val="auto"/>
          <w:kern w:val="0"/>
          <w:szCs w:val="21"/>
        </w:rPr>
      </w:pPr>
    </w:p>
    <w:p w14:paraId="6A474DCC">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二、核心互动教学系统</w:t>
      </w:r>
    </w:p>
    <w:p w14:paraId="2CB7BFB0">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4.支持导入系统本地文件、WPS云盘文件、自有云盘文件、手机文件；支持导入PDF、Word、Excel、PPT类型文件；支持多文件同时导入；（提供国家认可的第三方检测机构出具的检测报告复印件）</w:t>
      </w:r>
    </w:p>
    <w:p w14:paraId="492B1904">
      <w:pPr>
        <w:pStyle w:val="14"/>
        <w:spacing w:line="360" w:lineRule="auto"/>
        <w:rPr>
          <w:rFonts w:hint="eastAsia" w:ascii="宋体" w:hAnsi="宋体" w:cs="宋体"/>
          <w:color w:val="auto"/>
          <w:kern w:val="0"/>
          <w:szCs w:val="21"/>
        </w:rPr>
      </w:pPr>
    </w:p>
    <w:p w14:paraId="5D30851A">
      <w:pPr>
        <w:pStyle w:val="14"/>
        <w:spacing w:line="360" w:lineRule="auto"/>
        <w:rPr>
          <w:rFonts w:hint="eastAsia" w:ascii="宋体" w:hAnsi="宋体" w:cs="宋体"/>
          <w:color w:val="auto"/>
          <w:kern w:val="0"/>
          <w:szCs w:val="21"/>
        </w:rPr>
      </w:pPr>
    </w:p>
    <w:p w14:paraId="6940B545">
      <w:pPr>
        <w:pStyle w:val="14"/>
        <w:spacing w:line="360" w:lineRule="auto"/>
        <w:rPr>
          <w:rFonts w:hint="eastAsia" w:ascii="宋体" w:hAnsi="宋体" w:cs="宋体"/>
          <w:color w:val="auto"/>
          <w:kern w:val="0"/>
          <w:szCs w:val="21"/>
        </w:rPr>
      </w:pPr>
    </w:p>
    <w:p w14:paraId="655B6394">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6.支持自由模式、纵向模式的书写方式；自由模式支持在画板上任意拖动书写，不限制画板的横向和纵向书写范围，并支持定位板书内容；纵向模式支持锁定白板横向书写范围，通过滑动翻页的形式书写板书内容；板书书写时支持自由调整笔迹颜色及笔触粗细；支持双指滑动板书、长按圈选后移动区域，书写笔迹支持用手背擦除；书写内容各端实时同步更新；（提供国家认可的第三方权威检测机构出具的检测报告复印件）</w:t>
      </w:r>
    </w:p>
    <w:p w14:paraId="62DE3986">
      <w:pPr>
        <w:pStyle w:val="14"/>
        <w:spacing w:line="360" w:lineRule="auto"/>
        <w:rPr>
          <w:rFonts w:hint="eastAsia" w:ascii="宋体" w:hAnsi="宋体" w:cs="宋体"/>
          <w:color w:val="auto"/>
          <w:kern w:val="0"/>
          <w:szCs w:val="21"/>
        </w:rPr>
      </w:pPr>
    </w:p>
    <w:p w14:paraId="4F760381">
      <w:pPr>
        <w:pStyle w:val="14"/>
        <w:spacing w:line="360" w:lineRule="auto"/>
        <w:rPr>
          <w:rFonts w:hint="eastAsia" w:ascii="宋体" w:hAnsi="宋体" w:cs="宋体"/>
          <w:color w:val="auto"/>
          <w:kern w:val="0"/>
          <w:szCs w:val="21"/>
        </w:rPr>
      </w:pPr>
    </w:p>
    <w:p w14:paraId="47E87A73">
      <w:pPr>
        <w:pStyle w:val="14"/>
        <w:spacing w:line="360" w:lineRule="auto"/>
        <w:rPr>
          <w:rFonts w:hint="eastAsia" w:ascii="宋体" w:hAnsi="宋体" w:cs="宋体"/>
          <w:color w:val="auto"/>
          <w:kern w:val="0"/>
          <w:szCs w:val="21"/>
        </w:rPr>
      </w:pPr>
    </w:p>
    <w:p w14:paraId="0036B56F">
      <w:pPr>
        <w:pStyle w:val="14"/>
        <w:spacing w:line="360" w:lineRule="auto"/>
        <w:rPr>
          <w:rFonts w:hint="eastAsia" w:ascii="宋体" w:hAnsi="宋体" w:cs="宋体"/>
          <w:color w:val="auto"/>
          <w:kern w:val="0"/>
          <w:szCs w:val="21"/>
        </w:rPr>
      </w:pPr>
      <w:r>
        <w:rPr>
          <w:rFonts w:hint="eastAsia" w:ascii="宋体" w:hAnsi="宋体" w:cs="宋体"/>
          <w:color w:val="auto"/>
          <w:kern w:val="0"/>
          <w:szCs w:val="21"/>
        </w:rPr>
        <w:t>10.支持教师发起通话，发起时支持选择适合的设备麦克风及摄像头；支持学生加入本次通话，教师可查看当前实时通话参与人列表；支持学生主动发起通话申请，经老师同意后开始进入通话模式；通话过程中，支持切换摄像头画面、启用和关闭摄像头、麦克风；（提供国家认可的第三方检测机构出具的检测报告复印件）</w:t>
      </w:r>
    </w:p>
    <w:p w14:paraId="25BFF986">
      <w:pPr>
        <w:pStyle w:val="14"/>
        <w:spacing w:line="360" w:lineRule="auto"/>
        <w:rPr>
          <w:rFonts w:hint="eastAsia" w:ascii="宋体" w:hAnsi="宋体" w:cs="宋体"/>
          <w:color w:val="auto"/>
          <w:kern w:val="0"/>
          <w:szCs w:val="21"/>
        </w:rPr>
      </w:pPr>
    </w:p>
    <w:p w14:paraId="57688A6A">
      <w:pPr>
        <w:pStyle w:val="14"/>
        <w:spacing w:line="360" w:lineRule="auto"/>
        <w:rPr>
          <w:rFonts w:hint="eastAsia" w:ascii="宋体" w:hAnsi="宋体" w:cs="宋体"/>
          <w:color w:val="auto"/>
          <w:kern w:val="0"/>
          <w:szCs w:val="21"/>
        </w:rPr>
      </w:pPr>
    </w:p>
    <w:p w14:paraId="64FB815A">
      <w:pPr>
        <w:pStyle w:val="14"/>
        <w:spacing w:line="360" w:lineRule="auto"/>
        <w:rPr>
          <w:rFonts w:hint="eastAsia" w:ascii="宋体" w:hAnsi="宋体" w:cs="宋体"/>
          <w:color w:val="auto"/>
          <w:kern w:val="0"/>
          <w:szCs w:val="21"/>
        </w:rPr>
      </w:pPr>
    </w:p>
    <w:p w14:paraId="01E16CDE">
      <w:pPr>
        <w:pStyle w:val="14"/>
        <w:spacing w:line="360" w:lineRule="auto"/>
        <w:rPr>
          <w:rFonts w:hint="eastAsia" w:ascii="宋体" w:hAnsi="宋体" w:cs="宋体"/>
          <w:color w:val="auto"/>
          <w:kern w:val="0"/>
          <w:szCs w:val="21"/>
        </w:rPr>
      </w:pPr>
    </w:p>
    <w:p w14:paraId="37F1A4EA">
      <w:pPr>
        <w:spacing w:line="360" w:lineRule="auto"/>
        <w:rPr>
          <w:rFonts w:hint="eastAsia" w:ascii="宋体" w:hAnsi="宋体" w:cs="宋体"/>
          <w:b/>
          <w:bCs/>
          <w:color w:val="auto"/>
          <w:kern w:val="0"/>
          <w:szCs w:val="21"/>
          <w:lang w:bidi="ar"/>
        </w:rPr>
      </w:pPr>
      <w:r>
        <w:rPr>
          <w:rFonts w:hint="eastAsia" w:ascii="宋体" w:hAnsi="宋体" w:cs="宋体"/>
          <w:b/>
          <w:color w:val="auto"/>
          <w:szCs w:val="21"/>
        </w:rPr>
        <w:t>项目（标的）名称</w:t>
      </w:r>
      <w:r>
        <w:rPr>
          <w:rFonts w:hint="eastAsia" w:ascii="宋体" w:hAnsi="宋体" w:cs="宋体"/>
          <w:b/>
          <w:color w:val="auto"/>
          <w:szCs w:val="21"/>
          <w:lang w:val="en-US" w:eastAsia="zh-CN"/>
        </w:rPr>
        <w:t>1</w:t>
      </w:r>
      <w:r>
        <w:rPr>
          <w:rFonts w:hint="eastAsia" w:ascii="宋体" w:hAnsi="宋体" w:cs="宋体"/>
          <w:b/>
          <w:bCs/>
          <w:color w:val="auto"/>
          <w:kern w:val="0"/>
          <w:szCs w:val="21"/>
          <w:lang w:val="en-US" w:eastAsia="zh-CN" w:bidi="ar"/>
        </w:rPr>
        <w:t>9：拾音扩声主机</w:t>
      </w:r>
    </w:p>
    <w:p w14:paraId="62E49BB6">
      <w:pPr>
        <w:widowControl/>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3、具有≥3路RJ45信号网口，其中红外信号传输接口≥2路RJ45信号网口，可以拓展8只接收器；（提供实物连接图进行佐证）</w:t>
      </w:r>
    </w:p>
    <w:p w14:paraId="56C912F2">
      <w:pPr>
        <w:widowControl/>
        <w:spacing w:line="360" w:lineRule="auto"/>
        <w:jc w:val="left"/>
        <w:textAlignment w:val="top"/>
        <w:rPr>
          <w:rFonts w:hint="eastAsia" w:ascii="宋体" w:hAnsi="宋体" w:cs="宋体"/>
          <w:color w:val="auto"/>
          <w:kern w:val="0"/>
          <w:szCs w:val="21"/>
        </w:rPr>
      </w:pPr>
    </w:p>
    <w:p w14:paraId="50477521">
      <w:pPr>
        <w:widowControl/>
        <w:spacing w:line="360" w:lineRule="auto"/>
        <w:jc w:val="left"/>
        <w:textAlignment w:val="top"/>
        <w:rPr>
          <w:rFonts w:hint="eastAsia" w:ascii="宋体" w:hAnsi="宋体" w:cs="宋体"/>
          <w:color w:val="auto"/>
          <w:kern w:val="0"/>
          <w:szCs w:val="21"/>
        </w:rPr>
      </w:pPr>
    </w:p>
    <w:p w14:paraId="4B422D41">
      <w:pPr>
        <w:widowControl/>
        <w:spacing w:line="360" w:lineRule="auto"/>
        <w:jc w:val="left"/>
        <w:textAlignment w:val="top"/>
        <w:rPr>
          <w:rFonts w:hint="eastAsia" w:ascii="宋体" w:hAnsi="宋体" w:cs="宋体"/>
          <w:color w:val="auto"/>
          <w:kern w:val="0"/>
          <w:szCs w:val="21"/>
        </w:rPr>
      </w:pPr>
    </w:p>
    <w:p w14:paraId="66E035B6">
      <w:pPr>
        <w:widowControl/>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8、1个C型USB接口：可连接PC，配合麦克风实现飞鼠功能并可用于固件升级；（提供飞鼠功能软件界面截图进行佐证）</w:t>
      </w:r>
    </w:p>
    <w:p w14:paraId="21B258F2">
      <w:pPr>
        <w:widowControl/>
        <w:spacing w:line="360" w:lineRule="auto"/>
        <w:jc w:val="left"/>
        <w:textAlignment w:val="top"/>
        <w:rPr>
          <w:rFonts w:hint="eastAsia" w:ascii="宋体" w:hAnsi="宋体" w:cs="宋体"/>
          <w:color w:val="auto"/>
          <w:kern w:val="0"/>
          <w:szCs w:val="21"/>
        </w:rPr>
      </w:pPr>
    </w:p>
    <w:p w14:paraId="68B36B73">
      <w:pPr>
        <w:widowControl/>
        <w:spacing w:line="360" w:lineRule="auto"/>
        <w:jc w:val="left"/>
        <w:textAlignment w:val="top"/>
        <w:rPr>
          <w:rFonts w:hint="eastAsia" w:ascii="宋体" w:hAnsi="宋体" w:cs="宋体"/>
          <w:color w:val="auto"/>
          <w:kern w:val="0"/>
          <w:szCs w:val="21"/>
        </w:rPr>
      </w:pPr>
    </w:p>
    <w:p w14:paraId="48922F31">
      <w:pPr>
        <w:widowControl/>
        <w:spacing w:line="360" w:lineRule="auto"/>
        <w:jc w:val="left"/>
        <w:textAlignment w:val="top"/>
        <w:rPr>
          <w:rFonts w:hint="eastAsia" w:ascii="宋体" w:hAnsi="宋体" w:cs="宋体"/>
          <w:color w:val="auto"/>
          <w:kern w:val="0"/>
          <w:szCs w:val="21"/>
        </w:rPr>
      </w:pPr>
    </w:p>
    <w:p w14:paraId="11C79B91">
      <w:pPr>
        <w:widowControl/>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11、主机内置智能校准芯片及音频测试软件,可对不同教室格局进行智能声场校准(提供智能校准图截图进行佐证)，具备红外遥控功能,红外灵敏度±3db-±9DB可调，内置数字光标速率可调,可调范围-2-+2之间。</w:t>
      </w:r>
    </w:p>
    <w:p w14:paraId="2B28FA8B">
      <w:pPr>
        <w:widowControl/>
        <w:spacing w:line="360" w:lineRule="auto"/>
        <w:jc w:val="left"/>
        <w:textAlignment w:val="top"/>
        <w:rPr>
          <w:rFonts w:hint="eastAsia" w:ascii="宋体" w:hAnsi="宋体" w:cs="宋体"/>
          <w:color w:val="auto"/>
          <w:kern w:val="0"/>
          <w:szCs w:val="21"/>
        </w:rPr>
      </w:pPr>
    </w:p>
    <w:p w14:paraId="3FF22BB2">
      <w:pPr>
        <w:widowControl/>
        <w:spacing w:line="360" w:lineRule="auto"/>
        <w:jc w:val="left"/>
        <w:textAlignment w:val="top"/>
        <w:rPr>
          <w:rFonts w:hint="eastAsia" w:ascii="宋体" w:hAnsi="宋体" w:cs="宋体"/>
          <w:color w:val="auto"/>
          <w:kern w:val="0"/>
          <w:szCs w:val="21"/>
        </w:rPr>
      </w:pPr>
    </w:p>
    <w:p w14:paraId="454C6A34">
      <w:pPr>
        <w:widowControl/>
        <w:spacing w:line="360" w:lineRule="auto"/>
        <w:jc w:val="left"/>
        <w:textAlignment w:val="top"/>
        <w:rPr>
          <w:rFonts w:hint="eastAsia" w:ascii="宋体" w:hAnsi="宋体" w:cs="宋体"/>
          <w:color w:val="auto"/>
          <w:kern w:val="0"/>
          <w:szCs w:val="21"/>
        </w:rPr>
      </w:pPr>
    </w:p>
    <w:p w14:paraId="52A94445">
      <w:pPr>
        <w:spacing w:line="360" w:lineRule="auto"/>
        <w:rPr>
          <w:rFonts w:hint="eastAsia" w:ascii="宋体" w:hAnsi="宋体" w:cs="宋体"/>
          <w:b/>
          <w:bCs/>
          <w:color w:val="auto"/>
          <w:kern w:val="0"/>
          <w:szCs w:val="21"/>
          <w:lang w:bidi="ar"/>
        </w:rPr>
      </w:pPr>
      <w:r>
        <w:rPr>
          <w:rFonts w:hint="eastAsia" w:ascii="宋体" w:hAnsi="宋体" w:cs="宋体"/>
          <w:b/>
          <w:color w:val="auto"/>
          <w:szCs w:val="21"/>
        </w:rPr>
        <w:t>项目（标的）名称</w:t>
      </w:r>
      <w:r>
        <w:rPr>
          <w:rFonts w:hint="eastAsia" w:ascii="宋体" w:hAnsi="宋体" w:cs="宋体"/>
          <w:b/>
          <w:color w:val="auto"/>
          <w:szCs w:val="21"/>
          <w:lang w:val="en-US" w:eastAsia="zh-CN"/>
        </w:rPr>
        <w:t>25</w:t>
      </w:r>
      <w:r>
        <w:rPr>
          <w:rFonts w:hint="eastAsia" w:ascii="宋体" w:hAnsi="宋体" w:cs="宋体"/>
          <w:b/>
          <w:bCs/>
          <w:color w:val="auto"/>
          <w:kern w:val="0"/>
          <w:szCs w:val="21"/>
          <w:lang w:val="en-US" w:eastAsia="zh-CN" w:bidi="ar"/>
        </w:rPr>
        <w:t>：智慧管理主机</w:t>
      </w:r>
    </w:p>
    <w:p w14:paraId="16EC2ECA">
      <w:pPr>
        <w:widowControl/>
        <w:spacing w:line="360" w:lineRule="auto"/>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2</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本机集成（非外接）HDMI输入接口≥4路，TYPE-C接口≥1路；HDMI输出接口≥4路；支持≥4路显示终端设备同屏显示；支持≥4路显示终端设备异屏显示；支持输出画面冻结功能；支持≥HDMI4*4全交叉无缝矩阵切换，可采集外接便携式笔记本信号到平台显示无需安装软件，输入和输出接口均支持4K高清分辨率；输入和输出HDMI接口均支持自定义属性，可与显示设备自定义绑定；HDMI支持分辨率预置和音频传输选择；干接点接口≥1路，GPIO接口≥2路，IO接口支持外设设备高低电平检测，实现多媒体设备的联动控制；（提供国家认可的第三方权威检测机构出具的检测报告复印件）</w:t>
      </w:r>
      <w:r>
        <w:rPr>
          <w:rFonts w:hint="eastAsia" w:ascii="宋体" w:hAnsi="宋体" w:cs="宋体"/>
          <w:color w:val="auto"/>
          <w:kern w:val="0"/>
          <w:szCs w:val="21"/>
          <w:lang w:bidi="ar"/>
        </w:rPr>
        <w:br w:type="textWrapping"/>
      </w:r>
    </w:p>
    <w:p w14:paraId="3340D07E">
      <w:pPr>
        <w:widowControl/>
        <w:spacing w:line="360" w:lineRule="auto"/>
        <w:jc w:val="left"/>
        <w:textAlignment w:val="top"/>
        <w:rPr>
          <w:rFonts w:hint="eastAsia" w:ascii="宋体" w:hAnsi="宋体" w:cs="宋体"/>
          <w:color w:val="auto"/>
          <w:kern w:val="0"/>
          <w:szCs w:val="21"/>
          <w:lang w:bidi="ar"/>
        </w:rPr>
      </w:pPr>
    </w:p>
    <w:p w14:paraId="0C02CD86">
      <w:pPr>
        <w:widowControl/>
        <w:spacing w:line="360" w:lineRule="auto"/>
        <w:jc w:val="left"/>
        <w:textAlignment w:val="top"/>
        <w:rPr>
          <w:rFonts w:hint="eastAsia" w:ascii="宋体" w:hAnsi="宋体" w:cs="宋体"/>
          <w:color w:val="auto"/>
          <w:kern w:val="0"/>
          <w:szCs w:val="21"/>
          <w:lang w:bidi="ar"/>
        </w:rPr>
      </w:pPr>
    </w:p>
    <w:p w14:paraId="7B7DA066">
      <w:pPr>
        <w:widowControl/>
        <w:spacing w:line="360" w:lineRule="auto"/>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4</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本机需集成（非外接）USB矩阵接口≥8路，需具备≥4进4出USB KVM切换能力；支持≥1进4出，以及≥4*4混切；需满足RS232通讯接口≥6路，RS485通讯接口≥2路，RS232接口支持软件自定义选择，可以与串口设备进行自定义组合控制，状态指示灯≥3路，可显示电源、串口、连接状态；复位按钮≥1路，可一键复位到出厂参数；（需提供</w:t>
      </w:r>
      <w:r>
        <w:rPr>
          <w:rFonts w:hint="eastAsia" w:ascii="宋体" w:hAnsi="宋体" w:cs="宋体"/>
          <w:color w:val="auto"/>
          <w:kern w:val="0"/>
          <w:szCs w:val="21"/>
          <w:lang w:val="en-US" w:eastAsia="zh-CN" w:bidi="ar"/>
        </w:rPr>
        <w:t>主机</w:t>
      </w:r>
      <w:r>
        <w:rPr>
          <w:rFonts w:hint="eastAsia" w:ascii="宋体" w:hAnsi="宋体" w:cs="宋体"/>
          <w:color w:val="auto"/>
          <w:kern w:val="0"/>
          <w:szCs w:val="21"/>
          <w:lang w:bidi="ar"/>
        </w:rPr>
        <w:t>实物照片）</w:t>
      </w:r>
    </w:p>
    <w:p w14:paraId="364D1641">
      <w:pPr>
        <w:widowControl/>
        <w:spacing w:line="360" w:lineRule="auto"/>
        <w:jc w:val="left"/>
        <w:textAlignment w:val="top"/>
        <w:rPr>
          <w:rFonts w:hint="eastAsia" w:ascii="宋体" w:hAnsi="宋体" w:cs="宋体"/>
          <w:color w:val="auto"/>
          <w:kern w:val="0"/>
          <w:szCs w:val="21"/>
          <w:lang w:bidi="ar"/>
        </w:rPr>
      </w:pPr>
    </w:p>
    <w:p w14:paraId="2E0E6797">
      <w:pPr>
        <w:widowControl/>
        <w:spacing w:line="360" w:lineRule="auto"/>
        <w:jc w:val="left"/>
        <w:textAlignment w:val="top"/>
        <w:rPr>
          <w:rFonts w:hint="eastAsia" w:ascii="宋体" w:hAnsi="宋体" w:cs="宋体"/>
          <w:color w:val="auto"/>
          <w:kern w:val="0"/>
          <w:szCs w:val="21"/>
          <w:lang w:bidi="ar"/>
        </w:rPr>
      </w:pPr>
    </w:p>
    <w:p w14:paraId="0279CF74">
      <w:pPr>
        <w:widowControl/>
        <w:spacing w:line="360" w:lineRule="auto"/>
        <w:jc w:val="left"/>
        <w:textAlignment w:val="top"/>
        <w:rPr>
          <w:rFonts w:hint="eastAsia" w:ascii="宋体" w:hAnsi="宋体" w:cs="宋体"/>
          <w:color w:val="auto"/>
          <w:kern w:val="0"/>
          <w:szCs w:val="21"/>
          <w:lang w:bidi="ar"/>
        </w:rPr>
      </w:pPr>
    </w:p>
    <w:p w14:paraId="0406225D">
      <w:pPr>
        <w:widowControl/>
        <w:spacing w:line="360" w:lineRule="auto"/>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7</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具备可编程设计能力，支持物联网关接入，可设置多路物联通道，支持教室之间项目联动控制，终端软件为自主研发，具备设置程序备份功能，更换中控时可直接下发设置程序</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（提供国家认可的第三方权威检测机构出具的检测报告复印件）</w:t>
      </w:r>
    </w:p>
    <w:p w14:paraId="6F40986D">
      <w:pPr>
        <w:widowControl/>
        <w:spacing w:line="360" w:lineRule="auto"/>
        <w:jc w:val="left"/>
        <w:textAlignment w:val="top"/>
        <w:rPr>
          <w:rFonts w:hint="eastAsia" w:ascii="宋体" w:hAnsi="宋体" w:cs="宋体"/>
          <w:color w:val="auto"/>
          <w:kern w:val="0"/>
          <w:szCs w:val="21"/>
          <w:lang w:bidi="ar"/>
        </w:rPr>
      </w:pPr>
    </w:p>
    <w:p w14:paraId="425E3DE5">
      <w:pPr>
        <w:widowControl/>
        <w:spacing w:line="360" w:lineRule="auto"/>
        <w:jc w:val="left"/>
        <w:textAlignment w:val="top"/>
        <w:rPr>
          <w:rFonts w:hint="eastAsia" w:ascii="宋体" w:hAnsi="宋体" w:cs="宋体"/>
          <w:color w:val="auto"/>
          <w:kern w:val="0"/>
          <w:szCs w:val="21"/>
          <w:lang w:bidi="ar"/>
        </w:rPr>
      </w:pPr>
    </w:p>
    <w:p w14:paraId="42821AC3">
      <w:pPr>
        <w:widowControl/>
        <w:spacing w:line="360" w:lineRule="auto"/>
        <w:jc w:val="left"/>
        <w:textAlignment w:val="top"/>
        <w:rPr>
          <w:rFonts w:hint="eastAsia" w:ascii="宋体" w:hAnsi="宋体" w:cs="宋体"/>
          <w:color w:val="auto"/>
          <w:kern w:val="0"/>
          <w:szCs w:val="21"/>
          <w:lang w:bidi="ar"/>
        </w:rPr>
      </w:pPr>
    </w:p>
    <w:p w14:paraId="228578A2">
      <w:pPr>
        <w:spacing w:line="360" w:lineRule="auto"/>
        <w:rPr>
          <w:rFonts w:hint="eastAsia" w:ascii="宋体" w:hAnsi="宋体" w:cs="宋体"/>
          <w:b/>
          <w:bCs/>
          <w:color w:val="auto"/>
          <w:kern w:val="0"/>
          <w:szCs w:val="21"/>
          <w:lang w:bidi="ar"/>
        </w:rPr>
      </w:pPr>
      <w:r>
        <w:rPr>
          <w:rFonts w:hint="eastAsia" w:ascii="宋体" w:hAnsi="宋体" w:cs="宋体"/>
          <w:b/>
          <w:color w:val="auto"/>
          <w:szCs w:val="21"/>
        </w:rPr>
        <w:t>项目（标的）名称</w:t>
      </w:r>
      <w:r>
        <w:rPr>
          <w:rFonts w:hint="eastAsia" w:ascii="宋体" w:hAnsi="宋体" w:cs="宋体"/>
          <w:b/>
          <w:color w:val="auto"/>
          <w:szCs w:val="21"/>
          <w:lang w:val="en-US" w:eastAsia="zh-CN"/>
        </w:rPr>
        <w:t>26</w:t>
      </w:r>
      <w:r>
        <w:rPr>
          <w:rFonts w:hint="eastAsia" w:ascii="宋体" w:hAnsi="宋体" w:cs="宋体"/>
          <w:b/>
          <w:bCs/>
          <w:color w:val="auto"/>
          <w:kern w:val="0"/>
          <w:szCs w:val="21"/>
          <w:lang w:val="en-US" w:eastAsia="zh-CN" w:bidi="ar"/>
        </w:rPr>
        <w:t>：触摸控制面板</w:t>
      </w:r>
    </w:p>
    <w:p w14:paraId="30CC4338">
      <w:pPr>
        <w:widowControl/>
        <w:spacing w:line="360" w:lineRule="auto"/>
        <w:jc w:val="left"/>
        <w:textAlignment w:val="top"/>
        <w:rPr>
          <w:rFonts w:hint="eastAsia" w:ascii="宋体" w:hAnsi="宋体" w:cs="宋体"/>
          <w:color w:val="auto"/>
          <w:szCs w:val="21"/>
        </w:rPr>
      </w:pPr>
      <w:r>
        <w:rPr>
          <w:rFonts w:hint="eastAsia" w:ascii="宋体" w:hAnsi="宋体" w:cs="宋体"/>
          <w:color w:val="auto"/>
          <w:szCs w:val="21"/>
        </w:rPr>
        <w:t>2、需具备≥1个Type-C接口，≥1个USB Host 2.0接口；≥1路HMI(RS232)通讯接口，连接控制主机通讯与供电，RJ45接口类型；≥1路DC12V供电输入；≥1个RS485通讯端口；≥1个RJ45网络接口；≥1个3.5mm立体声耳机输出接口；具备高灵敏度降噪拾音头和喇叭，用于IP语音对讲；（需提供国家认可的第三方权威检测机构出具的检测报告复印件及实物照片）</w:t>
      </w:r>
    </w:p>
    <w:p w14:paraId="4E39F498">
      <w:pPr>
        <w:widowControl/>
        <w:spacing w:line="360" w:lineRule="auto"/>
        <w:jc w:val="left"/>
        <w:textAlignment w:val="top"/>
        <w:rPr>
          <w:rFonts w:hint="eastAsia" w:ascii="宋体" w:hAnsi="宋体" w:cs="宋体"/>
          <w:color w:val="auto"/>
          <w:szCs w:val="21"/>
        </w:rPr>
      </w:pPr>
    </w:p>
    <w:p w14:paraId="3C2DE042">
      <w:pPr>
        <w:widowControl/>
        <w:spacing w:line="360" w:lineRule="auto"/>
        <w:jc w:val="left"/>
        <w:textAlignment w:val="top"/>
        <w:rPr>
          <w:rFonts w:hint="eastAsia" w:ascii="宋体" w:hAnsi="宋体" w:cs="宋体"/>
          <w:color w:val="auto"/>
          <w:szCs w:val="21"/>
        </w:rPr>
      </w:pPr>
    </w:p>
    <w:p w14:paraId="25C8002F">
      <w:pPr>
        <w:widowControl/>
        <w:spacing w:line="360" w:lineRule="auto"/>
        <w:jc w:val="left"/>
        <w:textAlignment w:val="top"/>
        <w:rPr>
          <w:rFonts w:hint="eastAsia" w:ascii="宋体" w:hAnsi="宋体" w:cs="宋体"/>
          <w:color w:val="auto"/>
          <w:szCs w:val="21"/>
        </w:rPr>
      </w:pPr>
    </w:p>
    <w:p w14:paraId="2347CE13">
      <w:pPr>
        <w:spacing w:line="360" w:lineRule="auto"/>
        <w:rPr>
          <w:rFonts w:hint="eastAsia" w:ascii="宋体" w:hAnsi="宋体" w:cs="宋体"/>
          <w:b/>
          <w:bCs/>
          <w:color w:val="auto"/>
          <w:kern w:val="0"/>
          <w:szCs w:val="21"/>
          <w:lang w:val="en-US" w:eastAsia="zh-CN" w:bidi="ar"/>
        </w:rPr>
      </w:pPr>
      <w:r>
        <w:rPr>
          <w:rFonts w:hint="eastAsia" w:ascii="宋体" w:hAnsi="宋体" w:cs="宋体"/>
          <w:b/>
          <w:color w:val="auto"/>
          <w:szCs w:val="21"/>
        </w:rPr>
        <w:t>项目（标的）名称</w:t>
      </w:r>
      <w:r>
        <w:rPr>
          <w:rFonts w:hint="eastAsia" w:ascii="宋体" w:hAnsi="宋体" w:cs="宋体"/>
          <w:b/>
          <w:color w:val="auto"/>
          <w:szCs w:val="21"/>
          <w:lang w:val="en-US" w:eastAsia="zh-CN"/>
        </w:rPr>
        <w:t>28</w:t>
      </w:r>
      <w:r>
        <w:rPr>
          <w:rFonts w:hint="eastAsia" w:ascii="宋体" w:hAnsi="宋体" w:cs="宋体"/>
          <w:b/>
          <w:bCs/>
          <w:color w:val="auto"/>
          <w:kern w:val="0"/>
          <w:szCs w:val="21"/>
          <w:lang w:val="en-US" w:eastAsia="zh-CN" w:bidi="ar"/>
        </w:rPr>
        <w:t>：高清录播系统</w:t>
      </w:r>
    </w:p>
    <w:p w14:paraId="4F0BB4E2">
      <w:pPr>
        <w:widowControl/>
        <w:spacing w:line="360" w:lineRule="auto"/>
        <w:jc w:val="left"/>
        <w:textAlignment w:val="top"/>
        <w:rPr>
          <w:rFonts w:hint="eastAsia" w:ascii="宋体" w:hAnsi="宋体" w:cs="宋体"/>
          <w:b/>
          <w:bCs/>
          <w:color w:val="auto"/>
          <w:kern w:val="0"/>
          <w:szCs w:val="21"/>
          <w:lang w:val="en-US" w:eastAsia="zh-CN" w:bidi="ar"/>
        </w:rPr>
      </w:pPr>
      <w:r>
        <w:rPr>
          <w:rFonts w:hint="eastAsia" w:ascii="宋体" w:hAnsi="宋体" w:cs="宋体"/>
          <w:color w:val="auto"/>
          <w:kern w:val="0"/>
          <w:szCs w:val="21"/>
        </w:rPr>
        <w:t>一、主机</w:t>
      </w:r>
    </w:p>
    <w:p w14:paraId="3BAEB052">
      <w:pPr>
        <w:widowControl/>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3、优质性能：主机采用嵌入式架构处理器同时内置GPU与NPU协处理器，CPU核心数≥8核心主频≥2.4GHz；（提供国家认可的第三方检测机构出具的检测报告复印件）</w:t>
      </w:r>
    </w:p>
    <w:p w14:paraId="6826CB65">
      <w:pPr>
        <w:widowControl/>
        <w:spacing w:line="360" w:lineRule="auto"/>
        <w:jc w:val="left"/>
        <w:textAlignment w:val="top"/>
        <w:rPr>
          <w:rFonts w:hint="eastAsia" w:ascii="宋体" w:hAnsi="宋体" w:cs="宋体"/>
          <w:color w:val="auto"/>
          <w:kern w:val="0"/>
          <w:szCs w:val="21"/>
        </w:rPr>
      </w:pPr>
    </w:p>
    <w:p w14:paraId="0F45E8EF">
      <w:pPr>
        <w:widowControl/>
        <w:spacing w:line="360" w:lineRule="auto"/>
        <w:jc w:val="left"/>
        <w:textAlignment w:val="top"/>
        <w:rPr>
          <w:rFonts w:hint="eastAsia" w:ascii="宋体" w:hAnsi="宋体" w:cs="宋体"/>
          <w:color w:val="auto"/>
          <w:kern w:val="0"/>
          <w:szCs w:val="21"/>
        </w:rPr>
      </w:pPr>
    </w:p>
    <w:p w14:paraId="34288EDA">
      <w:pPr>
        <w:widowControl/>
        <w:spacing w:line="360" w:lineRule="auto"/>
        <w:jc w:val="left"/>
        <w:textAlignment w:val="top"/>
        <w:rPr>
          <w:rFonts w:hint="eastAsia" w:ascii="宋体" w:hAnsi="宋体" w:cs="宋体"/>
          <w:color w:val="auto"/>
          <w:kern w:val="0"/>
          <w:szCs w:val="21"/>
        </w:rPr>
      </w:pPr>
    </w:p>
    <w:p w14:paraId="7ED51B44">
      <w:pPr>
        <w:widowControl/>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14、数字视频传输：支持对同品牌高清摄像机实现基于RJ45双绞线的视频裸数据传输技术，支持摄像机到录播主机端的视频采集和传输过程无需编解码、无画质损耗并实现≤100ms的声画同步，保障录制视频效果；（提供国家认可的第三方检测机构出具的检测报告复印件）</w:t>
      </w:r>
    </w:p>
    <w:p w14:paraId="7C782C6D">
      <w:pPr>
        <w:widowControl/>
        <w:spacing w:line="360" w:lineRule="auto"/>
        <w:jc w:val="left"/>
        <w:textAlignment w:val="top"/>
        <w:rPr>
          <w:rFonts w:hint="eastAsia" w:ascii="宋体" w:hAnsi="宋体" w:cs="宋体"/>
          <w:color w:val="auto"/>
          <w:kern w:val="0"/>
          <w:szCs w:val="21"/>
        </w:rPr>
      </w:pPr>
    </w:p>
    <w:p w14:paraId="58287071">
      <w:pPr>
        <w:widowControl/>
        <w:spacing w:line="360" w:lineRule="auto"/>
        <w:jc w:val="left"/>
        <w:textAlignment w:val="top"/>
        <w:rPr>
          <w:rFonts w:hint="eastAsia" w:ascii="宋体" w:hAnsi="宋体" w:cs="宋体"/>
          <w:color w:val="auto"/>
          <w:kern w:val="0"/>
          <w:szCs w:val="21"/>
        </w:rPr>
      </w:pPr>
    </w:p>
    <w:p w14:paraId="4B3883F2">
      <w:pPr>
        <w:widowControl/>
        <w:spacing w:line="360" w:lineRule="auto"/>
        <w:jc w:val="left"/>
        <w:textAlignment w:val="top"/>
        <w:rPr>
          <w:rFonts w:hint="eastAsia" w:ascii="宋体" w:hAnsi="宋体" w:cs="宋体"/>
          <w:color w:val="auto"/>
          <w:kern w:val="0"/>
          <w:szCs w:val="21"/>
        </w:rPr>
      </w:pPr>
    </w:p>
    <w:p w14:paraId="285D1E8C">
      <w:pPr>
        <w:widowControl/>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17、智能色彩增强：要求实现基于AI技术的板书笔迹智能色彩增强处理，满足黄色、蓝色、红色、绿色等不同颜色的彩色笔迹色彩还原与笔迹增强；（提供国家认可的第三方检测机构出具的检测报告复印件）</w:t>
      </w:r>
    </w:p>
    <w:p w14:paraId="579A4ACC">
      <w:pPr>
        <w:widowControl/>
        <w:spacing w:line="360" w:lineRule="auto"/>
        <w:jc w:val="left"/>
        <w:textAlignment w:val="top"/>
        <w:rPr>
          <w:rFonts w:hint="eastAsia" w:ascii="宋体" w:hAnsi="宋体" w:cs="宋体"/>
          <w:color w:val="auto"/>
          <w:kern w:val="0"/>
          <w:szCs w:val="21"/>
        </w:rPr>
      </w:pPr>
    </w:p>
    <w:p w14:paraId="263422F6">
      <w:pPr>
        <w:widowControl/>
        <w:spacing w:line="360" w:lineRule="auto"/>
        <w:jc w:val="left"/>
        <w:textAlignment w:val="top"/>
        <w:rPr>
          <w:rFonts w:hint="eastAsia" w:ascii="宋体" w:hAnsi="宋体" w:cs="宋体"/>
          <w:color w:val="auto"/>
          <w:kern w:val="0"/>
          <w:szCs w:val="21"/>
        </w:rPr>
      </w:pPr>
    </w:p>
    <w:p w14:paraId="6DB15B14">
      <w:pPr>
        <w:widowControl/>
        <w:spacing w:line="360" w:lineRule="auto"/>
        <w:jc w:val="left"/>
        <w:textAlignment w:val="top"/>
        <w:rPr>
          <w:rFonts w:hint="eastAsia" w:ascii="宋体" w:hAnsi="宋体" w:cs="宋体"/>
          <w:color w:val="auto"/>
          <w:kern w:val="0"/>
          <w:szCs w:val="21"/>
        </w:rPr>
      </w:pPr>
    </w:p>
    <w:p w14:paraId="7D1A3451">
      <w:pPr>
        <w:widowControl/>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二、录播流媒体处理软件</w:t>
      </w:r>
    </w:p>
    <w:p w14:paraId="0535B5F9">
      <w:pPr>
        <w:widowControl/>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4、支持RTMP、RTSP直播功能，支持TS组播流，支持4路RTMP同步推流功能；（提供国家认可的第三方检测机构出具的检测报告复印件）</w:t>
      </w:r>
    </w:p>
    <w:p w14:paraId="1D00FFF4">
      <w:pPr>
        <w:widowControl/>
        <w:spacing w:line="360" w:lineRule="auto"/>
        <w:jc w:val="left"/>
        <w:textAlignment w:val="top"/>
        <w:rPr>
          <w:rFonts w:hint="eastAsia" w:ascii="宋体" w:hAnsi="宋体" w:cs="宋体"/>
          <w:color w:val="auto"/>
          <w:kern w:val="0"/>
          <w:szCs w:val="21"/>
        </w:rPr>
      </w:pPr>
    </w:p>
    <w:p w14:paraId="5D553BE9">
      <w:pPr>
        <w:widowControl/>
        <w:spacing w:line="360" w:lineRule="auto"/>
        <w:jc w:val="left"/>
        <w:textAlignment w:val="top"/>
        <w:rPr>
          <w:rFonts w:hint="eastAsia" w:ascii="宋体" w:hAnsi="宋体" w:cs="宋体"/>
          <w:color w:val="auto"/>
          <w:kern w:val="0"/>
          <w:szCs w:val="21"/>
        </w:rPr>
      </w:pPr>
    </w:p>
    <w:p w14:paraId="15DDFD98">
      <w:pPr>
        <w:widowControl/>
        <w:spacing w:line="360" w:lineRule="auto"/>
        <w:jc w:val="left"/>
        <w:textAlignment w:val="top"/>
        <w:rPr>
          <w:rFonts w:hint="eastAsia" w:ascii="宋体" w:hAnsi="宋体" w:cs="宋体"/>
          <w:color w:val="auto"/>
          <w:kern w:val="0"/>
          <w:szCs w:val="21"/>
        </w:rPr>
      </w:pPr>
    </w:p>
    <w:p w14:paraId="19C99777">
      <w:pPr>
        <w:widowControl/>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17、需提供嵌入式录播管理软件著作权证书的复印件。</w:t>
      </w:r>
    </w:p>
    <w:p w14:paraId="5947A8AB">
      <w:pPr>
        <w:widowControl/>
        <w:spacing w:line="360" w:lineRule="auto"/>
        <w:jc w:val="left"/>
        <w:textAlignment w:val="top"/>
        <w:rPr>
          <w:rFonts w:hint="eastAsia" w:ascii="宋体" w:hAnsi="宋体" w:cs="宋体"/>
          <w:color w:val="auto"/>
          <w:kern w:val="0"/>
          <w:szCs w:val="21"/>
        </w:rPr>
      </w:pPr>
    </w:p>
    <w:p w14:paraId="22F7E2A4">
      <w:pPr>
        <w:widowControl/>
        <w:spacing w:line="360" w:lineRule="auto"/>
        <w:jc w:val="left"/>
        <w:textAlignment w:val="top"/>
        <w:rPr>
          <w:rFonts w:hint="eastAsia" w:ascii="宋体" w:hAnsi="宋体" w:cs="宋体"/>
          <w:color w:val="auto"/>
          <w:kern w:val="0"/>
          <w:szCs w:val="21"/>
        </w:rPr>
      </w:pPr>
    </w:p>
    <w:p w14:paraId="0B03DF0D">
      <w:pPr>
        <w:widowControl/>
        <w:spacing w:line="360" w:lineRule="auto"/>
        <w:jc w:val="left"/>
        <w:textAlignment w:val="top"/>
        <w:rPr>
          <w:rFonts w:hint="eastAsia" w:ascii="宋体" w:hAnsi="宋体" w:cs="宋体"/>
          <w:color w:val="auto"/>
          <w:kern w:val="0"/>
          <w:szCs w:val="21"/>
        </w:rPr>
      </w:pPr>
    </w:p>
    <w:p w14:paraId="447B3AF6">
      <w:pPr>
        <w:spacing w:line="360" w:lineRule="auto"/>
        <w:rPr>
          <w:rFonts w:hint="eastAsia" w:ascii="宋体" w:hAnsi="宋体" w:cs="宋体"/>
          <w:b/>
          <w:bCs/>
          <w:color w:val="auto"/>
          <w:kern w:val="0"/>
          <w:szCs w:val="21"/>
          <w:lang w:val="en-US" w:eastAsia="zh-CN" w:bidi="ar"/>
        </w:rPr>
      </w:pPr>
      <w:r>
        <w:rPr>
          <w:rFonts w:hint="eastAsia" w:ascii="宋体" w:hAnsi="宋体" w:cs="宋体"/>
          <w:b/>
          <w:color w:val="auto"/>
          <w:szCs w:val="21"/>
        </w:rPr>
        <w:t>项目（标的）名称</w:t>
      </w:r>
      <w:r>
        <w:rPr>
          <w:rFonts w:hint="eastAsia" w:ascii="宋体" w:hAnsi="宋体" w:cs="宋体"/>
          <w:b/>
          <w:color w:val="auto"/>
          <w:szCs w:val="21"/>
          <w:lang w:val="en-US" w:eastAsia="zh-CN"/>
        </w:rPr>
        <w:t>31</w:t>
      </w:r>
      <w:r>
        <w:rPr>
          <w:rFonts w:hint="eastAsia" w:ascii="宋体" w:hAnsi="宋体" w:cs="宋体"/>
          <w:b/>
          <w:bCs/>
          <w:color w:val="auto"/>
          <w:kern w:val="0"/>
          <w:szCs w:val="21"/>
          <w:lang w:val="en-US" w:eastAsia="zh-CN" w:bidi="ar"/>
        </w:rPr>
        <w:t>：网络摄像机</w:t>
      </w:r>
    </w:p>
    <w:p w14:paraId="4D85496D">
      <w:pPr>
        <w:widowControl/>
        <w:spacing w:line="360" w:lineRule="auto"/>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12、可对检测区域内不低于10个行人进行检测、框选跟踪,、抓拍，可筛选和抓拍最佳人脸图片存储及上报中心，抓拍数量及图片大小可设，可上传全景照。（提供国家认可的第三方权威检测机构出具的检测报告复印件）</w:t>
      </w:r>
    </w:p>
    <w:p w14:paraId="37E31199">
      <w:pPr>
        <w:widowControl/>
        <w:spacing w:line="360" w:lineRule="auto"/>
        <w:jc w:val="left"/>
        <w:textAlignment w:val="top"/>
        <w:rPr>
          <w:rFonts w:hint="eastAsia" w:ascii="宋体" w:hAnsi="宋体" w:cs="宋体"/>
          <w:color w:val="auto"/>
          <w:kern w:val="0"/>
          <w:szCs w:val="21"/>
          <w:lang w:bidi="ar"/>
        </w:rPr>
      </w:pPr>
    </w:p>
    <w:p w14:paraId="0010E75D">
      <w:pPr>
        <w:widowControl/>
        <w:spacing w:line="360" w:lineRule="auto"/>
        <w:jc w:val="left"/>
        <w:textAlignment w:val="top"/>
        <w:rPr>
          <w:rFonts w:hint="eastAsia" w:ascii="宋体" w:hAnsi="宋体" w:cs="宋体"/>
          <w:color w:val="auto"/>
          <w:kern w:val="0"/>
          <w:szCs w:val="21"/>
          <w:lang w:bidi="ar"/>
        </w:rPr>
      </w:pPr>
    </w:p>
    <w:p w14:paraId="2392C099">
      <w:pPr>
        <w:widowControl/>
        <w:spacing w:line="360" w:lineRule="auto"/>
        <w:jc w:val="left"/>
        <w:textAlignment w:val="top"/>
        <w:rPr>
          <w:rFonts w:hint="eastAsia" w:ascii="宋体" w:hAnsi="宋体" w:cs="宋体"/>
          <w:color w:val="auto"/>
          <w:kern w:val="0"/>
          <w:szCs w:val="21"/>
          <w:lang w:bidi="ar"/>
        </w:rPr>
      </w:pPr>
    </w:p>
    <w:p w14:paraId="1A217DE6">
      <w:pPr>
        <w:spacing w:line="360" w:lineRule="auto"/>
        <w:rPr>
          <w:rFonts w:hint="eastAsia" w:ascii="宋体" w:hAnsi="宋体" w:cs="宋体"/>
          <w:b/>
          <w:bCs/>
          <w:color w:val="auto"/>
          <w:kern w:val="0"/>
          <w:szCs w:val="21"/>
          <w:lang w:val="en-US" w:eastAsia="zh-CN" w:bidi="ar"/>
        </w:rPr>
      </w:pPr>
      <w:r>
        <w:rPr>
          <w:rFonts w:hint="eastAsia" w:ascii="宋体" w:hAnsi="宋体" w:cs="宋体"/>
          <w:b/>
          <w:color w:val="auto"/>
          <w:szCs w:val="21"/>
        </w:rPr>
        <w:t>项目（标的）名称</w:t>
      </w:r>
      <w:r>
        <w:rPr>
          <w:rFonts w:hint="eastAsia" w:ascii="宋体" w:hAnsi="宋体" w:cs="宋体"/>
          <w:b/>
          <w:color w:val="auto"/>
          <w:szCs w:val="21"/>
          <w:lang w:val="en-US" w:eastAsia="zh-CN"/>
        </w:rPr>
        <w:t>32</w:t>
      </w:r>
      <w:r>
        <w:rPr>
          <w:rFonts w:hint="eastAsia" w:ascii="宋体" w:hAnsi="宋体" w:cs="宋体"/>
          <w:b/>
          <w:bCs/>
          <w:color w:val="auto"/>
          <w:kern w:val="0"/>
          <w:szCs w:val="21"/>
          <w:lang w:val="en-US" w:eastAsia="zh-CN" w:bidi="ar"/>
        </w:rPr>
        <w:t>：网络硬盘录像机</w:t>
      </w:r>
    </w:p>
    <w:p w14:paraId="21C2DEF8">
      <w:pPr>
        <w:widowControl/>
        <w:spacing w:line="360" w:lineRule="auto"/>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3、设备支持文搜功能，可通过文字语义描述，快速检索目标对象或内容；支持对人体、车辆、非机动车、物品、动物、基础事件等类型的检索；并可基于文搜快速检索的结果，对目标进行图搜的二次精准检索定位；（提供国家认可的第三方权威检测机构出具的检测报告复印件）</w:t>
      </w:r>
    </w:p>
    <w:p w14:paraId="1CBB9B17">
      <w:pPr>
        <w:widowControl/>
        <w:spacing w:line="360" w:lineRule="auto"/>
        <w:jc w:val="left"/>
        <w:textAlignment w:val="top"/>
        <w:rPr>
          <w:rFonts w:hint="eastAsia" w:ascii="宋体" w:hAnsi="宋体" w:cs="宋体"/>
          <w:color w:val="auto"/>
          <w:kern w:val="0"/>
          <w:szCs w:val="21"/>
          <w:lang w:bidi="ar"/>
        </w:rPr>
      </w:pPr>
    </w:p>
    <w:p w14:paraId="75C32268">
      <w:pPr>
        <w:widowControl/>
        <w:spacing w:line="360" w:lineRule="auto"/>
        <w:jc w:val="left"/>
        <w:textAlignment w:val="top"/>
        <w:rPr>
          <w:rFonts w:hint="eastAsia" w:ascii="宋体" w:hAnsi="宋体" w:cs="宋体"/>
          <w:color w:val="auto"/>
          <w:kern w:val="0"/>
          <w:szCs w:val="21"/>
          <w:lang w:bidi="ar"/>
        </w:rPr>
      </w:pPr>
    </w:p>
    <w:p w14:paraId="33BB9BE7">
      <w:pPr>
        <w:widowControl/>
        <w:spacing w:line="360" w:lineRule="auto"/>
        <w:jc w:val="left"/>
        <w:textAlignment w:val="top"/>
        <w:rPr>
          <w:rFonts w:hint="eastAsia" w:ascii="宋体" w:hAnsi="宋体" w:cs="宋体"/>
          <w:color w:val="auto"/>
          <w:kern w:val="0"/>
          <w:szCs w:val="21"/>
          <w:lang w:bidi="ar"/>
        </w:rPr>
      </w:pPr>
    </w:p>
    <w:p w14:paraId="1B75CD97">
      <w:pPr>
        <w:spacing w:line="360" w:lineRule="auto"/>
        <w:rPr>
          <w:rFonts w:hint="eastAsia" w:ascii="宋体" w:hAnsi="宋体" w:cs="宋体"/>
          <w:b/>
          <w:bCs/>
          <w:color w:val="auto"/>
          <w:kern w:val="0"/>
          <w:szCs w:val="21"/>
          <w:lang w:val="en-US" w:eastAsia="zh-CN" w:bidi="ar"/>
        </w:rPr>
      </w:pPr>
      <w:r>
        <w:rPr>
          <w:rFonts w:hint="eastAsia" w:ascii="宋体" w:hAnsi="宋体" w:cs="宋体"/>
          <w:b/>
          <w:color w:val="auto"/>
          <w:szCs w:val="21"/>
        </w:rPr>
        <w:t>项目（标的）名称</w:t>
      </w:r>
      <w:r>
        <w:rPr>
          <w:rFonts w:hint="eastAsia" w:ascii="宋体" w:hAnsi="宋体" w:cs="宋体"/>
          <w:b/>
          <w:color w:val="auto"/>
          <w:szCs w:val="21"/>
          <w:lang w:val="en-US" w:eastAsia="zh-CN"/>
        </w:rPr>
        <w:t>34</w:t>
      </w:r>
      <w:r>
        <w:rPr>
          <w:rFonts w:hint="eastAsia" w:ascii="宋体" w:hAnsi="宋体" w:cs="宋体"/>
          <w:b/>
          <w:bCs/>
          <w:color w:val="auto"/>
          <w:kern w:val="0"/>
          <w:szCs w:val="21"/>
          <w:lang w:val="en-US" w:eastAsia="zh-CN" w:bidi="ar"/>
        </w:rPr>
        <w:t>：智能指纹门禁一体机</w:t>
      </w:r>
    </w:p>
    <w:p w14:paraId="48B85CE1">
      <w:pPr>
        <w:widowControl/>
        <w:spacing w:line="360" w:lineRule="auto"/>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3.硬件接口（接口数不少于以下）：1.LAN接口、2.RS485接口×1、3.韦根接口×1、4.TYPE-A接口×1、5.门锁I/O输出×1、6.门磁I/O输入×1、7.开门按钮I/O输入×1、8.报警I/O输出（常开、常闭各1路）×1、9.报警I/O输入×2、10.机械防拆开关×1、11.SD卡插槽；（提供国家认可的第三方检测机构出具的检测报告复印件）</w:t>
      </w:r>
    </w:p>
    <w:p w14:paraId="1182C9A7">
      <w:pPr>
        <w:widowControl/>
        <w:spacing w:line="360" w:lineRule="auto"/>
        <w:jc w:val="left"/>
        <w:textAlignment w:val="top"/>
        <w:rPr>
          <w:rFonts w:hint="eastAsia" w:ascii="宋体" w:hAnsi="宋体" w:cs="宋体"/>
          <w:color w:val="auto"/>
          <w:kern w:val="0"/>
          <w:szCs w:val="21"/>
          <w:lang w:bidi="ar"/>
        </w:rPr>
      </w:pPr>
    </w:p>
    <w:p w14:paraId="499C96E4">
      <w:pPr>
        <w:widowControl/>
        <w:spacing w:line="360" w:lineRule="auto"/>
        <w:jc w:val="left"/>
        <w:textAlignment w:val="top"/>
        <w:rPr>
          <w:rFonts w:hint="eastAsia" w:ascii="宋体" w:hAnsi="宋体" w:cs="宋体"/>
          <w:color w:val="auto"/>
          <w:kern w:val="0"/>
          <w:szCs w:val="21"/>
          <w:lang w:bidi="ar"/>
        </w:rPr>
      </w:pPr>
    </w:p>
    <w:p w14:paraId="25888B06">
      <w:pPr>
        <w:widowControl/>
        <w:spacing w:line="360" w:lineRule="auto"/>
        <w:jc w:val="left"/>
        <w:textAlignment w:val="top"/>
        <w:rPr>
          <w:rFonts w:hint="eastAsia" w:ascii="宋体" w:hAnsi="宋体" w:cs="宋体"/>
          <w:color w:val="auto"/>
          <w:kern w:val="0"/>
          <w:szCs w:val="21"/>
          <w:lang w:bidi="ar"/>
        </w:rPr>
      </w:pPr>
    </w:p>
    <w:p w14:paraId="5FFB6B20">
      <w:pPr>
        <w:widowControl/>
        <w:spacing w:line="360" w:lineRule="auto"/>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12、设备支持防假体攻击功能，对视频、电子照片、打印照片、头模、3D模型攻击应能防伪；（提供国家认可的第三方检测机构出具的检测报告复印件）</w:t>
      </w:r>
    </w:p>
    <w:p w14:paraId="4ECC160B">
      <w:pPr>
        <w:widowControl/>
        <w:jc w:val="left"/>
        <w:textAlignment w:val="top"/>
        <w:rPr>
          <w:rFonts w:hint="eastAsia" w:ascii="宋体" w:hAnsi="宋体" w:cs="宋体"/>
          <w:color w:val="auto"/>
          <w:kern w:val="0"/>
          <w:szCs w:val="21"/>
        </w:rPr>
      </w:pPr>
    </w:p>
    <w:p w14:paraId="76BF227F">
      <w:pPr>
        <w:widowControl/>
        <w:jc w:val="left"/>
        <w:textAlignment w:val="top"/>
        <w:rPr>
          <w:rFonts w:hint="eastAsia" w:ascii="宋体" w:hAnsi="宋体" w:cs="宋体"/>
          <w:color w:val="auto"/>
          <w:kern w:val="0"/>
          <w:szCs w:val="21"/>
        </w:rPr>
      </w:pPr>
    </w:p>
    <w:p w14:paraId="54F2204D">
      <w:pPr>
        <w:widowControl/>
        <w:jc w:val="left"/>
        <w:textAlignment w:val="top"/>
        <w:rPr>
          <w:rFonts w:hint="eastAsia" w:ascii="宋体" w:hAnsi="宋体" w:cs="宋体"/>
          <w:color w:val="auto"/>
          <w:kern w:val="0"/>
          <w:szCs w:val="21"/>
        </w:rPr>
      </w:pPr>
    </w:p>
    <w:p w14:paraId="18C89B7E">
      <w:pPr>
        <w:widowControl/>
        <w:jc w:val="left"/>
        <w:textAlignment w:val="top"/>
        <w:rPr>
          <w:rFonts w:hint="eastAsia" w:ascii="宋体" w:hAnsi="宋体" w:cs="宋体"/>
          <w:color w:val="auto"/>
          <w:kern w:val="0"/>
          <w:szCs w:val="21"/>
        </w:rPr>
      </w:pPr>
    </w:p>
    <w:p w14:paraId="6F7178E6">
      <w:pPr>
        <w:pStyle w:val="14"/>
        <w:rPr>
          <w:rFonts w:hint="eastAsia" w:ascii="宋体" w:hAnsi="宋体" w:cs="宋体"/>
          <w:color w:val="auto"/>
          <w:kern w:val="0"/>
          <w:szCs w:val="21"/>
        </w:rPr>
      </w:pPr>
    </w:p>
    <w:p w14:paraId="32AE01E5">
      <w:pPr>
        <w:rPr>
          <w:rFonts w:hint="eastAsia" w:ascii="宋体" w:hAnsi="宋体" w:cs="宋体"/>
          <w:color w:val="auto"/>
          <w:kern w:val="0"/>
          <w:szCs w:val="21"/>
        </w:rPr>
      </w:pPr>
      <w:r>
        <w:rPr>
          <w:rFonts w:hint="eastAsia" w:ascii="宋体" w:hAnsi="宋体" w:cs="宋体"/>
          <w:color w:val="auto"/>
          <w:kern w:val="0"/>
          <w:szCs w:val="21"/>
        </w:rPr>
        <w:br w:type="page"/>
      </w:r>
    </w:p>
    <w:p w14:paraId="336C0AA3">
      <w:pPr>
        <w:pStyle w:val="14"/>
        <w:rPr>
          <w:rFonts w:hint="eastAsia" w:ascii="宋体" w:hAnsi="宋体" w:cs="宋体"/>
          <w:color w:val="auto"/>
          <w:kern w:val="0"/>
          <w:szCs w:val="21"/>
        </w:rPr>
      </w:pPr>
    </w:p>
    <w:p w14:paraId="318CE447">
      <w:pPr>
        <w:wordWrap w:val="0"/>
        <w:adjustRightInd w:val="0"/>
        <w:snapToGrid w:val="0"/>
        <w:spacing w:line="360" w:lineRule="auto"/>
        <w:ind w:firstLine="3" w:firstLineChars="1"/>
        <w:rPr>
          <w:rFonts w:hint="default" w:ascii="宋体" w:hAnsi="宋体" w:eastAsia="宋体" w:cs="宋体"/>
          <w:b/>
          <w:color w:val="auto"/>
          <w:sz w:val="28"/>
          <w:szCs w:val="28"/>
          <w:lang w:val="en-US" w:eastAsia="zh-CN"/>
        </w:rPr>
      </w:pPr>
      <w:r>
        <w:rPr>
          <w:rFonts w:hint="eastAsia" w:ascii="宋体" w:hAnsi="宋体" w:cs="宋体"/>
          <w:b/>
          <w:color w:val="auto"/>
          <w:sz w:val="28"/>
          <w:szCs w:val="28"/>
        </w:rPr>
        <w:t>格式20</w:t>
      </w:r>
      <w:r>
        <w:rPr>
          <w:rFonts w:hint="eastAsia" w:ascii="宋体" w:hAnsi="宋体" w:cs="宋体"/>
          <w:b/>
          <w:color w:val="auto"/>
          <w:sz w:val="28"/>
          <w:szCs w:val="28"/>
          <w:lang w:val="en-US" w:eastAsia="zh-CN"/>
        </w:rPr>
        <w:t>-3</w:t>
      </w:r>
    </w:p>
    <w:p w14:paraId="688D9E2B">
      <w:pPr>
        <w:keepNext/>
        <w:keepLines/>
        <w:adjustRightInd w:val="0"/>
        <w:snapToGrid w:val="0"/>
        <w:spacing w:line="360" w:lineRule="auto"/>
        <w:jc w:val="center"/>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其他</w:t>
      </w:r>
      <w:r>
        <w:rPr>
          <w:rFonts w:hint="eastAsia" w:ascii="宋体" w:hAnsi="宋体" w:cs="宋体"/>
          <w:b/>
          <w:bCs/>
          <w:color w:val="auto"/>
          <w:sz w:val="32"/>
          <w:szCs w:val="32"/>
        </w:rPr>
        <w:t>产品技术支持资料</w:t>
      </w:r>
    </w:p>
    <w:p w14:paraId="7D395448">
      <w:pPr>
        <w:spacing w:line="360" w:lineRule="auto"/>
        <w:jc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eastAsia="zh-CN" w:bidi="ar"/>
        </w:rPr>
        <w:t>（</w:t>
      </w:r>
      <w:r>
        <w:rPr>
          <w:rFonts w:hint="eastAsia" w:ascii="宋体" w:hAnsi="宋体" w:cs="宋体"/>
          <w:color w:val="auto"/>
          <w:kern w:val="0"/>
          <w:szCs w:val="21"/>
          <w:lang w:val="en-US" w:eastAsia="zh-CN" w:bidi="ar"/>
        </w:rPr>
        <w:t>格式自拟，若无可删除此格式</w:t>
      </w:r>
      <w:r>
        <w:rPr>
          <w:rFonts w:hint="eastAsia" w:ascii="宋体" w:hAnsi="宋体" w:cs="宋体"/>
          <w:color w:val="auto"/>
          <w:kern w:val="0"/>
          <w:szCs w:val="21"/>
          <w:lang w:eastAsia="zh-CN" w:bidi="ar"/>
        </w:rPr>
        <w:t>）</w:t>
      </w:r>
    </w:p>
    <w:p w14:paraId="086563B3">
      <w:pPr>
        <w:rPr>
          <w:rFonts w:ascii="宋体" w:hAnsi="宋体" w:cs="宋体"/>
          <w:b/>
          <w:bCs/>
          <w:color w:val="auto"/>
          <w:sz w:val="32"/>
          <w:szCs w:val="36"/>
        </w:rPr>
      </w:pPr>
      <w:r>
        <w:rPr>
          <w:rFonts w:hint="eastAsia" w:ascii="宋体" w:hAnsi="宋体" w:cs="宋体"/>
          <w:b/>
          <w:bCs/>
          <w:color w:val="auto"/>
          <w:sz w:val="32"/>
          <w:szCs w:val="36"/>
        </w:rPr>
        <w:br w:type="page"/>
      </w:r>
    </w:p>
    <w:p w14:paraId="3FA5A46E">
      <w:pPr>
        <w:adjustRightInd w:val="0"/>
        <w:snapToGrid w:val="0"/>
        <w:spacing w:line="360" w:lineRule="auto"/>
        <w:rPr>
          <w:rFonts w:ascii="宋体" w:hAnsi="宋体" w:cs="宋体"/>
          <w:b/>
          <w:color w:val="auto"/>
          <w:sz w:val="32"/>
          <w:szCs w:val="32"/>
        </w:rPr>
      </w:pPr>
      <w:r>
        <w:rPr>
          <w:rFonts w:hint="eastAsia" w:ascii="宋体" w:hAnsi="宋体" w:cs="宋体"/>
          <w:b/>
          <w:color w:val="auto"/>
          <w:sz w:val="28"/>
          <w:szCs w:val="28"/>
        </w:rPr>
        <w:t>格式21</w:t>
      </w:r>
    </w:p>
    <w:p w14:paraId="503BE1B1">
      <w:pPr>
        <w:keepNext/>
        <w:keepLines/>
        <w:adjustRightInd w:val="0"/>
        <w:snapToGrid w:val="0"/>
        <w:spacing w:line="360" w:lineRule="auto"/>
        <w:jc w:val="center"/>
        <w:rPr>
          <w:rFonts w:ascii="宋体" w:hAnsi="宋体" w:cs="宋体"/>
          <w:b/>
          <w:bCs/>
          <w:color w:val="auto"/>
          <w:sz w:val="32"/>
          <w:szCs w:val="32"/>
        </w:rPr>
      </w:pPr>
      <w:r>
        <w:rPr>
          <w:rFonts w:hint="eastAsia" w:ascii="宋体" w:hAnsi="宋体" w:cs="宋体"/>
          <w:b/>
          <w:bCs/>
          <w:color w:val="auto"/>
          <w:sz w:val="28"/>
          <w:szCs w:val="28"/>
        </w:rPr>
        <w:t>商务条款偏离表</w:t>
      </w:r>
    </w:p>
    <w:p w14:paraId="1920BF26">
      <w:pPr>
        <w:pStyle w:val="20"/>
        <w:adjustRightInd w:val="0"/>
        <w:snapToGrid w:val="0"/>
        <w:spacing w:line="360" w:lineRule="auto"/>
        <w:rPr>
          <w:rFonts w:hAnsi="宋体" w:cs="宋体"/>
          <w:b/>
          <w:color w:val="auto"/>
          <w:szCs w:val="21"/>
        </w:rPr>
      </w:pPr>
      <w:r>
        <w:rPr>
          <w:rFonts w:hint="eastAsia" w:hAnsi="宋体" w:cs="宋体"/>
          <w:b/>
          <w:color w:val="auto"/>
          <w:szCs w:val="21"/>
        </w:rPr>
        <w:t>项目名称：</w:t>
      </w:r>
    </w:p>
    <w:p w14:paraId="3C6B66F7">
      <w:pPr>
        <w:pStyle w:val="20"/>
        <w:adjustRightInd w:val="0"/>
        <w:snapToGrid w:val="0"/>
        <w:spacing w:line="360" w:lineRule="auto"/>
        <w:rPr>
          <w:rFonts w:hAnsi="宋体" w:cs="宋体"/>
          <w:b/>
          <w:color w:val="auto"/>
          <w:szCs w:val="21"/>
        </w:rPr>
      </w:pPr>
      <w:r>
        <w:rPr>
          <w:rFonts w:hint="eastAsia" w:hAnsi="宋体" w:cs="宋体"/>
          <w:b/>
          <w:color w:val="auto"/>
          <w:szCs w:val="21"/>
        </w:rPr>
        <w:t>项目编号：</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263"/>
        <w:gridCol w:w="3203"/>
        <w:gridCol w:w="1367"/>
      </w:tblGrid>
      <w:tr w14:paraId="5CAE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5AAE60BC">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序号</w:t>
            </w:r>
          </w:p>
        </w:tc>
        <w:tc>
          <w:tcPr>
            <w:tcW w:w="3263" w:type="dxa"/>
            <w:vAlign w:val="center"/>
          </w:tcPr>
          <w:p w14:paraId="45F8B8DC">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招标文件商务条款</w:t>
            </w:r>
          </w:p>
        </w:tc>
        <w:tc>
          <w:tcPr>
            <w:tcW w:w="3203" w:type="dxa"/>
            <w:vAlign w:val="center"/>
          </w:tcPr>
          <w:p w14:paraId="3A851DB7">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投标文件响应情况</w:t>
            </w:r>
          </w:p>
        </w:tc>
        <w:tc>
          <w:tcPr>
            <w:tcW w:w="1367" w:type="dxa"/>
            <w:vAlign w:val="center"/>
          </w:tcPr>
          <w:p w14:paraId="38338C36">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偏离</w:t>
            </w:r>
          </w:p>
        </w:tc>
      </w:tr>
      <w:tr w14:paraId="5BD1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7213A32E">
            <w:pPr>
              <w:pStyle w:val="20"/>
              <w:adjustRightInd w:val="0"/>
              <w:snapToGrid w:val="0"/>
              <w:spacing w:line="360" w:lineRule="auto"/>
              <w:rPr>
                <w:rFonts w:hAnsi="宋体" w:cs="宋体"/>
                <w:color w:val="auto"/>
                <w:szCs w:val="21"/>
              </w:rPr>
            </w:pPr>
          </w:p>
        </w:tc>
        <w:tc>
          <w:tcPr>
            <w:tcW w:w="3263" w:type="dxa"/>
          </w:tcPr>
          <w:p w14:paraId="7A1924B2">
            <w:pPr>
              <w:pStyle w:val="20"/>
              <w:adjustRightInd w:val="0"/>
              <w:snapToGrid w:val="0"/>
              <w:spacing w:line="360" w:lineRule="auto"/>
              <w:rPr>
                <w:rFonts w:hAnsi="宋体" w:cs="宋体"/>
                <w:color w:val="auto"/>
                <w:szCs w:val="21"/>
              </w:rPr>
            </w:pPr>
          </w:p>
        </w:tc>
        <w:tc>
          <w:tcPr>
            <w:tcW w:w="3203" w:type="dxa"/>
          </w:tcPr>
          <w:p w14:paraId="7F52852C">
            <w:pPr>
              <w:pStyle w:val="20"/>
              <w:adjustRightInd w:val="0"/>
              <w:snapToGrid w:val="0"/>
              <w:spacing w:line="360" w:lineRule="auto"/>
              <w:rPr>
                <w:rFonts w:hAnsi="宋体" w:cs="宋体"/>
                <w:color w:val="auto"/>
                <w:szCs w:val="21"/>
              </w:rPr>
            </w:pPr>
          </w:p>
        </w:tc>
        <w:tc>
          <w:tcPr>
            <w:tcW w:w="1367" w:type="dxa"/>
          </w:tcPr>
          <w:p w14:paraId="1373163D">
            <w:pPr>
              <w:pStyle w:val="20"/>
              <w:adjustRightInd w:val="0"/>
              <w:snapToGrid w:val="0"/>
              <w:spacing w:line="360" w:lineRule="auto"/>
              <w:rPr>
                <w:rFonts w:hAnsi="宋体" w:cs="宋体"/>
                <w:color w:val="auto"/>
                <w:szCs w:val="21"/>
              </w:rPr>
            </w:pPr>
          </w:p>
        </w:tc>
      </w:tr>
      <w:tr w14:paraId="7002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56406CA9">
            <w:pPr>
              <w:pStyle w:val="20"/>
              <w:adjustRightInd w:val="0"/>
              <w:snapToGrid w:val="0"/>
              <w:spacing w:line="360" w:lineRule="auto"/>
              <w:rPr>
                <w:rFonts w:hAnsi="宋体" w:cs="宋体"/>
                <w:color w:val="auto"/>
                <w:szCs w:val="21"/>
              </w:rPr>
            </w:pPr>
          </w:p>
        </w:tc>
        <w:tc>
          <w:tcPr>
            <w:tcW w:w="3263" w:type="dxa"/>
          </w:tcPr>
          <w:p w14:paraId="1BD1D1CA">
            <w:pPr>
              <w:pStyle w:val="20"/>
              <w:adjustRightInd w:val="0"/>
              <w:snapToGrid w:val="0"/>
              <w:spacing w:line="360" w:lineRule="auto"/>
              <w:rPr>
                <w:rFonts w:hAnsi="宋体" w:cs="宋体"/>
                <w:color w:val="auto"/>
                <w:szCs w:val="21"/>
              </w:rPr>
            </w:pPr>
          </w:p>
        </w:tc>
        <w:tc>
          <w:tcPr>
            <w:tcW w:w="3203" w:type="dxa"/>
          </w:tcPr>
          <w:p w14:paraId="6125E851">
            <w:pPr>
              <w:pStyle w:val="20"/>
              <w:adjustRightInd w:val="0"/>
              <w:snapToGrid w:val="0"/>
              <w:spacing w:line="360" w:lineRule="auto"/>
              <w:rPr>
                <w:rFonts w:hAnsi="宋体" w:cs="宋体"/>
                <w:color w:val="auto"/>
                <w:szCs w:val="21"/>
              </w:rPr>
            </w:pPr>
          </w:p>
        </w:tc>
        <w:tc>
          <w:tcPr>
            <w:tcW w:w="1367" w:type="dxa"/>
          </w:tcPr>
          <w:p w14:paraId="4BC2DBC8">
            <w:pPr>
              <w:pStyle w:val="20"/>
              <w:adjustRightInd w:val="0"/>
              <w:snapToGrid w:val="0"/>
              <w:spacing w:line="360" w:lineRule="auto"/>
              <w:rPr>
                <w:rFonts w:hAnsi="宋体" w:cs="宋体"/>
                <w:color w:val="auto"/>
                <w:szCs w:val="21"/>
              </w:rPr>
            </w:pPr>
          </w:p>
        </w:tc>
      </w:tr>
      <w:tr w14:paraId="6981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65C3120B">
            <w:pPr>
              <w:pStyle w:val="20"/>
              <w:adjustRightInd w:val="0"/>
              <w:snapToGrid w:val="0"/>
              <w:spacing w:line="360" w:lineRule="auto"/>
              <w:rPr>
                <w:rFonts w:hAnsi="宋体" w:cs="宋体"/>
                <w:color w:val="auto"/>
                <w:szCs w:val="21"/>
              </w:rPr>
            </w:pPr>
          </w:p>
        </w:tc>
        <w:tc>
          <w:tcPr>
            <w:tcW w:w="3263" w:type="dxa"/>
          </w:tcPr>
          <w:p w14:paraId="402C38B6">
            <w:pPr>
              <w:pStyle w:val="20"/>
              <w:adjustRightInd w:val="0"/>
              <w:snapToGrid w:val="0"/>
              <w:spacing w:line="360" w:lineRule="auto"/>
              <w:rPr>
                <w:rFonts w:hAnsi="宋体" w:cs="宋体"/>
                <w:color w:val="auto"/>
                <w:szCs w:val="21"/>
              </w:rPr>
            </w:pPr>
          </w:p>
        </w:tc>
        <w:tc>
          <w:tcPr>
            <w:tcW w:w="3203" w:type="dxa"/>
          </w:tcPr>
          <w:p w14:paraId="6D8A8148">
            <w:pPr>
              <w:pStyle w:val="20"/>
              <w:adjustRightInd w:val="0"/>
              <w:snapToGrid w:val="0"/>
              <w:spacing w:line="360" w:lineRule="auto"/>
              <w:rPr>
                <w:rFonts w:hAnsi="宋体" w:cs="宋体"/>
                <w:color w:val="auto"/>
                <w:szCs w:val="21"/>
              </w:rPr>
            </w:pPr>
          </w:p>
        </w:tc>
        <w:tc>
          <w:tcPr>
            <w:tcW w:w="1367" w:type="dxa"/>
          </w:tcPr>
          <w:p w14:paraId="0542A0D3">
            <w:pPr>
              <w:pStyle w:val="20"/>
              <w:adjustRightInd w:val="0"/>
              <w:snapToGrid w:val="0"/>
              <w:spacing w:line="360" w:lineRule="auto"/>
              <w:rPr>
                <w:rFonts w:hAnsi="宋体" w:cs="宋体"/>
                <w:color w:val="auto"/>
                <w:szCs w:val="21"/>
              </w:rPr>
            </w:pPr>
          </w:p>
        </w:tc>
      </w:tr>
    </w:tbl>
    <w:p w14:paraId="064E1CA2">
      <w:pPr>
        <w:pStyle w:val="181"/>
        <w:adjustRightInd w:val="0"/>
        <w:snapToGrid w:val="0"/>
        <w:spacing w:line="360" w:lineRule="auto"/>
        <w:ind w:firstLine="0" w:firstLineChars="0"/>
        <w:rPr>
          <w:rFonts w:ascii="宋体" w:hAnsi="宋体" w:cs="宋体"/>
          <w:color w:val="auto"/>
          <w:szCs w:val="21"/>
        </w:rPr>
      </w:pPr>
      <w:r>
        <w:rPr>
          <w:rFonts w:hint="eastAsia" w:ascii="宋体" w:hAnsi="宋体" w:cs="宋体"/>
          <w:color w:val="auto"/>
          <w:szCs w:val="21"/>
        </w:rPr>
        <w:t>注：</w:t>
      </w:r>
    </w:p>
    <w:p w14:paraId="144A4808">
      <w:pPr>
        <w:adjustRightInd w:val="0"/>
        <w:snapToGrid w:val="0"/>
        <w:spacing w:line="360" w:lineRule="auto"/>
        <w:ind w:firstLine="2" w:firstLineChars="1"/>
        <w:jc w:val="left"/>
        <w:rPr>
          <w:rFonts w:ascii="宋体" w:hAnsi="宋体" w:cs="宋体"/>
          <w:color w:val="auto"/>
          <w:szCs w:val="21"/>
        </w:rPr>
      </w:pPr>
      <w:r>
        <w:rPr>
          <w:rFonts w:hint="eastAsia" w:ascii="宋体" w:hAnsi="宋体" w:cs="宋体"/>
          <w:color w:val="auto"/>
          <w:szCs w:val="21"/>
        </w:rPr>
        <w:t>1.表格中“序号”一列，投标人须逐条对应招标文件第三章《合同书样式及主要条款》合同条款前附表要求的序号。</w:t>
      </w:r>
    </w:p>
    <w:p w14:paraId="44872E6C">
      <w:pPr>
        <w:adjustRightInd w:val="0"/>
        <w:snapToGrid w:val="0"/>
        <w:spacing w:line="360" w:lineRule="auto"/>
        <w:ind w:firstLine="2" w:firstLineChars="1"/>
        <w:jc w:val="left"/>
        <w:rPr>
          <w:rFonts w:ascii="宋体" w:hAnsi="宋体" w:cs="宋体"/>
          <w:color w:val="auto"/>
          <w:szCs w:val="21"/>
        </w:rPr>
      </w:pPr>
      <w:r>
        <w:rPr>
          <w:rFonts w:hint="eastAsia" w:ascii="宋体" w:hAnsi="宋体" w:cs="宋体"/>
          <w:color w:val="auto"/>
          <w:szCs w:val="21"/>
        </w:rPr>
        <w:t>2.表格中“招标文件商务条款”一列，投标人须逐条对应招标文件第三章《合同书样式及主要条款》合同条款前附表要求。</w:t>
      </w:r>
    </w:p>
    <w:p w14:paraId="3C9F32B6">
      <w:pPr>
        <w:adjustRightInd w:val="0"/>
        <w:snapToGrid w:val="0"/>
        <w:spacing w:line="360" w:lineRule="auto"/>
        <w:ind w:firstLine="2" w:firstLineChars="1"/>
        <w:jc w:val="left"/>
        <w:rPr>
          <w:rFonts w:ascii="宋体" w:hAnsi="宋体" w:cs="宋体"/>
          <w:color w:val="auto"/>
          <w:szCs w:val="21"/>
        </w:rPr>
      </w:pPr>
      <w:r>
        <w:rPr>
          <w:rFonts w:hint="eastAsia" w:ascii="宋体" w:hAnsi="宋体" w:cs="宋体"/>
          <w:color w:val="auto"/>
          <w:szCs w:val="21"/>
        </w:rPr>
        <w:t>3.表格中“投标文件响应情况”一列，投标人须逐条对招标文件第三章《合同书样式及主要条款》合同条款前附表要求作出全面、真实的反映，若投标文件中响应情况与招标文件商务条款不符或无有效证明，而投标人又未在投标文件中作出说明和解释的，评标委员会在评审时可以视为不响应该条商务条款的规定。</w:t>
      </w:r>
    </w:p>
    <w:p w14:paraId="345A06A7">
      <w:pPr>
        <w:adjustRightInd w:val="0"/>
        <w:snapToGrid w:val="0"/>
        <w:spacing w:line="360" w:lineRule="auto"/>
        <w:ind w:firstLine="2" w:firstLineChars="1"/>
        <w:jc w:val="left"/>
        <w:rPr>
          <w:rFonts w:ascii="宋体" w:hAnsi="宋体" w:cs="宋体"/>
          <w:color w:val="auto"/>
          <w:szCs w:val="21"/>
        </w:rPr>
      </w:pPr>
      <w:r>
        <w:rPr>
          <w:rFonts w:hint="eastAsia" w:ascii="宋体" w:hAnsi="宋体" w:cs="宋体"/>
          <w:color w:val="auto"/>
          <w:szCs w:val="21"/>
        </w:rPr>
        <w:t>4.表格中“偏离”一列，投标人只能如实填写“正偏离”、“负偏离”或“无偏离”。凡响应内容高于招标文件要求的，按“正偏离”填写；低于招标文件要求的，按“负偏离”填写；满足招标文件要求的，按“无偏离”填写。</w:t>
      </w:r>
    </w:p>
    <w:p w14:paraId="4F95FE77">
      <w:pPr>
        <w:adjustRightInd w:val="0"/>
        <w:snapToGrid w:val="0"/>
        <w:spacing w:line="360" w:lineRule="auto"/>
        <w:rPr>
          <w:rFonts w:ascii="宋体" w:hAnsi="宋体" w:cs="宋体"/>
          <w:color w:val="auto"/>
          <w:szCs w:val="21"/>
        </w:rPr>
      </w:pPr>
      <w:r>
        <w:rPr>
          <w:rFonts w:hint="eastAsia" w:ascii="宋体" w:hAnsi="宋体" w:cs="宋体"/>
          <w:color w:val="auto"/>
          <w:szCs w:val="21"/>
        </w:rPr>
        <w:t>5.投标人可根据招标文件商务条款拓展本表，但不得改变格式。</w:t>
      </w:r>
    </w:p>
    <w:p w14:paraId="37303AFE">
      <w:pPr>
        <w:rPr>
          <w:rFonts w:ascii="宋体" w:hAnsi="宋体" w:cs="宋体"/>
          <w:b/>
          <w:bCs/>
          <w:color w:val="auto"/>
          <w:sz w:val="32"/>
          <w:szCs w:val="36"/>
        </w:rPr>
      </w:pPr>
      <w:r>
        <w:rPr>
          <w:rFonts w:hint="eastAsia" w:ascii="宋体" w:hAnsi="宋体" w:cs="宋体"/>
          <w:b/>
          <w:bCs/>
          <w:color w:val="auto"/>
          <w:sz w:val="32"/>
          <w:szCs w:val="36"/>
        </w:rPr>
        <w:br w:type="page"/>
      </w:r>
    </w:p>
    <w:p w14:paraId="3649207C">
      <w:pPr>
        <w:keepNext/>
        <w:keepLines/>
        <w:spacing w:after="120" w:line="360" w:lineRule="auto"/>
        <w:jc w:val="left"/>
        <w:rPr>
          <w:rFonts w:ascii="宋体" w:hAnsi="宋体" w:cs="宋体"/>
          <w:b/>
          <w:color w:val="auto"/>
          <w:sz w:val="28"/>
          <w:szCs w:val="28"/>
        </w:rPr>
      </w:pPr>
      <w:r>
        <w:rPr>
          <w:rFonts w:hint="eastAsia" w:ascii="宋体" w:hAnsi="宋体" w:cs="宋体"/>
          <w:b/>
          <w:bCs/>
          <w:color w:val="auto"/>
          <w:sz w:val="28"/>
          <w:szCs w:val="28"/>
        </w:rPr>
        <w:t>格式22</w:t>
      </w:r>
    </w:p>
    <w:p w14:paraId="1D45C711">
      <w:pPr>
        <w:keepNext/>
        <w:keepLines/>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项目实施方案</w:t>
      </w:r>
    </w:p>
    <w:p w14:paraId="7EA982FA">
      <w:pPr>
        <w:spacing w:line="360" w:lineRule="auto"/>
        <w:jc w:val="left"/>
        <w:rPr>
          <w:rFonts w:ascii="宋体" w:hAnsi="宋体" w:cs="宋体"/>
          <w:color w:val="auto"/>
          <w:kern w:val="0"/>
          <w:szCs w:val="21"/>
        </w:rPr>
      </w:pPr>
      <w:r>
        <w:rPr>
          <w:rFonts w:hint="eastAsia" w:ascii="宋体" w:hAnsi="宋体" w:cs="宋体"/>
          <w:color w:val="auto"/>
          <w:kern w:val="0"/>
          <w:szCs w:val="21"/>
        </w:rPr>
        <w:t>包括但不限于：①重点难点分析；②供货及安装方案；③软硬件接入集成方案；④交付及验收方案；⑤应急预案</w:t>
      </w:r>
    </w:p>
    <w:p w14:paraId="13DC8A2E">
      <w:pPr>
        <w:spacing w:line="360" w:lineRule="auto"/>
        <w:jc w:val="left"/>
        <w:rPr>
          <w:rFonts w:ascii="宋体" w:hAnsi="宋体" w:cs="宋体"/>
          <w:color w:val="auto"/>
          <w:kern w:val="0"/>
          <w:szCs w:val="21"/>
        </w:rPr>
      </w:pPr>
      <w:r>
        <w:rPr>
          <w:rFonts w:hint="eastAsia" w:ascii="宋体" w:hAnsi="宋体" w:cs="宋体"/>
          <w:color w:val="auto"/>
          <w:kern w:val="0"/>
          <w:szCs w:val="21"/>
        </w:rPr>
        <w:t>......</w:t>
      </w:r>
    </w:p>
    <w:p w14:paraId="49924D5D">
      <w:pPr>
        <w:rPr>
          <w:color w:val="auto"/>
        </w:rPr>
      </w:pPr>
      <w:r>
        <w:rPr>
          <w:rFonts w:hint="eastAsia"/>
          <w:color w:val="auto"/>
        </w:rPr>
        <w:br w:type="page"/>
      </w:r>
    </w:p>
    <w:p w14:paraId="71A7BBAD">
      <w:pPr>
        <w:keepNext/>
        <w:keepLines/>
        <w:spacing w:after="120" w:line="360" w:lineRule="auto"/>
        <w:jc w:val="left"/>
        <w:rPr>
          <w:rFonts w:ascii="宋体" w:hAnsi="宋体" w:cs="宋体"/>
          <w:b/>
          <w:color w:val="auto"/>
          <w:sz w:val="28"/>
          <w:szCs w:val="28"/>
        </w:rPr>
      </w:pPr>
      <w:r>
        <w:rPr>
          <w:rFonts w:hint="eastAsia" w:ascii="宋体" w:hAnsi="宋体" w:cs="宋体"/>
          <w:b/>
          <w:bCs/>
          <w:color w:val="auto"/>
          <w:sz w:val="28"/>
          <w:szCs w:val="28"/>
        </w:rPr>
        <w:t>格式23</w:t>
      </w:r>
    </w:p>
    <w:p w14:paraId="32920055">
      <w:pPr>
        <w:keepNext/>
        <w:keepLines/>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质量保证措施及承诺</w:t>
      </w:r>
    </w:p>
    <w:p w14:paraId="0EECDE23">
      <w:pPr>
        <w:spacing w:line="360" w:lineRule="auto"/>
        <w:jc w:val="left"/>
        <w:rPr>
          <w:rFonts w:ascii="宋体" w:hAnsi="宋体" w:cs="宋体"/>
          <w:color w:val="auto"/>
          <w:kern w:val="0"/>
          <w:szCs w:val="21"/>
        </w:rPr>
      </w:pPr>
      <w:r>
        <w:rPr>
          <w:rFonts w:hint="eastAsia" w:ascii="宋体" w:hAnsi="宋体" w:cs="宋体"/>
          <w:color w:val="auto"/>
          <w:kern w:val="0"/>
          <w:szCs w:val="21"/>
        </w:rPr>
        <w:t>包括但不限于：①质保期承诺；②因质量引起的退、换货方案；③质量保证措施及承诺；④违约处罚措施及承诺</w:t>
      </w:r>
    </w:p>
    <w:p w14:paraId="04648958">
      <w:pPr>
        <w:spacing w:line="360" w:lineRule="auto"/>
        <w:jc w:val="left"/>
        <w:rPr>
          <w:rFonts w:ascii="宋体" w:hAnsi="宋体" w:cs="宋体"/>
          <w:color w:val="auto"/>
          <w:kern w:val="0"/>
          <w:szCs w:val="21"/>
        </w:rPr>
      </w:pPr>
      <w:r>
        <w:rPr>
          <w:rFonts w:hint="eastAsia" w:ascii="宋体" w:hAnsi="宋体" w:cs="宋体"/>
          <w:color w:val="auto"/>
          <w:kern w:val="0"/>
          <w:szCs w:val="21"/>
        </w:rPr>
        <w:t>......</w:t>
      </w:r>
    </w:p>
    <w:p w14:paraId="3D876F2E">
      <w:pPr>
        <w:spacing w:line="360" w:lineRule="auto"/>
        <w:jc w:val="center"/>
        <w:rPr>
          <w:rFonts w:ascii="宋体" w:hAnsi="宋体" w:cs="宋体"/>
          <w:color w:val="auto"/>
          <w:kern w:val="0"/>
          <w:szCs w:val="21"/>
        </w:rPr>
      </w:pPr>
    </w:p>
    <w:p w14:paraId="0F459D78">
      <w:pPr>
        <w:adjustRightInd w:val="0"/>
        <w:snapToGrid w:val="0"/>
        <w:spacing w:line="360" w:lineRule="auto"/>
        <w:rPr>
          <w:rFonts w:ascii="宋体" w:hAnsi="宋体" w:cs="宋体"/>
          <w:b/>
          <w:bCs/>
          <w:color w:val="auto"/>
          <w:sz w:val="28"/>
          <w:szCs w:val="28"/>
        </w:rPr>
      </w:pPr>
      <w:r>
        <w:rPr>
          <w:rFonts w:hint="eastAsia" w:ascii="宋体" w:hAnsi="宋体" w:cs="宋体"/>
          <w:b/>
          <w:bCs/>
          <w:color w:val="auto"/>
          <w:sz w:val="28"/>
          <w:szCs w:val="28"/>
        </w:rPr>
        <w:br w:type="page"/>
      </w:r>
    </w:p>
    <w:p w14:paraId="27F07A6D">
      <w:pPr>
        <w:keepNext/>
        <w:keepLines/>
        <w:spacing w:after="120" w:line="360" w:lineRule="auto"/>
        <w:jc w:val="left"/>
        <w:rPr>
          <w:rFonts w:ascii="宋体" w:hAnsi="宋体" w:cs="宋体"/>
          <w:b/>
          <w:color w:val="auto"/>
          <w:sz w:val="28"/>
          <w:szCs w:val="28"/>
        </w:rPr>
      </w:pPr>
      <w:r>
        <w:rPr>
          <w:rFonts w:hint="eastAsia" w:ascii="宋体" w:hAnsi="宋体" w:cs="宋体"/>
          <w:b/>
          <w:bCs/>
          <w:color w:val="auto"/>
          <w:sz w:val="28"/>
          <w:szCs w:val="28"/>
        </w:rPr>
        <w:t>格式24</w:t>
      </w:r>
    </w:p>
    <w:p w14:paraId="33A73454">
      <w:pPr>
        <w:keepNext/>
        <w:keepLines/>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售后服务方案</w:t>
      </w:r>
    </w:p>
    <w:p w14:paraId="58F5F129">
      <w:pPr>
        <w:spacing w:line="360" w:lineRule="auto"/>
        <w:jc w:val="left"/>
        <w:rPr>
          <w:rFonts w:ascii="宋体" w:hAnsi="宋体" w:cs="宋体"/>
          <w:color w:val="auto"/>
          <w:kern w:val="0"/>
          <w:szCs w:val="21"/>
        </w:rPr>
      </w:pPr>
      <w:r>
        <w:rPr>
          <w:rFonts w:hint="eastAsia" w:ascii="宋体" w:hAnsi="宋体" w:cs="宋体"/>
          <w:color w:val="auto"/>
          <w:kern w:val="0"/>
          <w:szCs w:val="21"/>
        </w:rPr>
        <w:t>包括但不限于：①售后响应时间；②维修保养；③跟踪回访</w:t>
      </w:r>
    </w:p>
    <w:p w14:paraId="4CA5C0B1">
      <w:pPr>
        <w:spacing w:line="360" w:lineRule="auto"/>
        <w:jc w:val="left"/>
        <w:rPr>
          <w:rFonts w:ascii="宋体" w:hAnsi="宋体" w:cs="宋体"/>
          <w:color w:val="auto"/>
          <w:kern w:val="0"/>
          <w:szCs w:val="21"/>
        </w:rPr>
      </w:pPr>
      <w:r>
        <w:rPr>
          <w:rFonts w:hint="eastAsia" w:ascii="宋体" w:hAnsi="宋体" w:cs="宋体"/>
          <w:color w:val="auto"/>
          <w:kern w:val="0"/>
          <w:szCs w:val="21"/>
        </w:rPr>
        <w:t>......</w:t>
      </w:r>
    </w:p>
    <w:p w14:paraId="14FDA44A">
      <w:pPr>
        <w:keepNext/>
        <w:keepLines/>
        <w:spacing w:before="120" w:after="120" w:line="360" w:lineRule="auto"/>
        <w:jc w:val="center"/>
        <w:rPr>
          <w:rFonts w:ascii="宋体" w:hAnsi="宋体" w:cs="宋体"/>
          <w:b/>
          <w:color w:val="auto"/>
          <w:sz w:val="28"/>
          <w:szCs w:val="28"/>
        </w:rPr>
      </w:pPr>
      <w:r>
        <w:rPr>
          <w:rFonts w:hint="eastAsia" w:ascii="宋体" w:hAnsi="宋体" w:cs="宋体"/>
          <w:b/>
          <w:color w:val="auto"/>
          <w:sz w:val="28"/>
          <w:szCs w:val="28"/>
        </w:rPr>
        <w:br w:type="page"/>
      </w:r>
    </w:p>
    <w:p w14:paraId="43C2D226">
      <w:pPr>
        <w:keepNext/>
        <w:keepLines/>
        <w:spacing w:after="120" w:line="360" w:lineRule="auto"/>
        <w:jc w:val="left"/>
        <w:rPr>
          <w:rFonts w:ascii="宋体" w:hAnsi="宋体" w:cs="宋体"/>
          <w:b/>
          <w:color w:val="auto"/>
          <w:sz w:val="28"/>
          <w:szCs w:val="28"/>
        </w:rPr>
      </w:pPr>
      <w:r>
        <w:rPr>
          <w:rFonts w:hint="eastAsia" w:ascii="宋体" w:hAnsi="宋体" w:cs="宋体"/>
          <w:b/>
          <w:bCs/>
          <w:color w:val="auto"/>
          <w:sz w:val="28"/>
          <w:szCs w:val="28"/>
        </w:rPr>
        <w:t>格式25</w:t>
      </w:r>
    </w:p>
    <w:p w14:paraId="079E9D93">
      <w:pPr>
        <w:keepNext/>
        <w:keepLines/>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技术培训方案</w:t>
      </w:r>
    </w:p>
    <w:p w14:paraId="1CB26120">
      <w:pPr>
        <w:spacing w:line="360" w:lineRule="auto"/>
        <w:jc w:val="left"/>
        <w:rPr>
          <w:rFonts w:ascii="宋体" w:hAnsi="宋体" w:cs="宋体"/>
          <w:color w:val="auto"/>
          <w:kern w:val="0"/>
          <w:szCs w:val="21"/>
        </w:rPr>
      </w:pPr>
      <w:r>
        <w:rPr>
          <w:rFonts w:hint="eastAsia" w:ascii="宋体" w:hAnsi="宋体" w:cs="宋体"/>
          <w:color w:val="auto"/>
          <w:kern w:val="0"/>
          <w:szCs w:val="21"/>
        </w:rPr>
        <w:t>包括但不限于：①培训内容及形式；②培训时间计划安排；③培训师资人员</w:t>
      </w:r>
    </w:p>
    <w:p w14:paraId="7CABBF75">
      <w:pPr>
        <w:spacing w:line="360" w:lineRule="auto"/>
        <w:jc w:val="left"/>
        <w:rPr>
          <w:rFonts w:ascii="宋体" w:hAnsi="宋体" w:cs="宋体"/>
          <w:color w:val="auto"/>
          <w:kern w:val="0"/>
          <w:szCs w:val="21"/>
        </w:rPr>
      </w:pPr>
      <w:r>
        <w:rPr>
          <w:rFonts w:hint="eastAsia" w:ascii="宋体" w:hAnsi="宋体" w:cs="宋体"/>
          <w:color w:val="auto"/>
          <w:kern w:val="0"/>
          <w:szCs w:val="21"/>
        </w:rPr>
        <w:t>......</w:t>
      </w:r>
    </w:p>
    <w:p w14:paraId="0EB85537">
      <w:pPr>
        <w:rPr>
          <w:rFonts w:ascii="宋体" w:hAnsi="宋体" w:cs="宋体"/>
          <w:b/>
          <w:bCs/>
          <w:color w:val="auto"/>
          <w:sz w:val="28"/>
          <w:szCs w:val="28"/>
        </w:rPr>
      </w:pPr>
      <w:r>
        <w:rPr>
          <w:rFonts w:hint="eastAsia" w:ascii="宋体" w:hAnsi="宋体" w:cs="宋体"/>
          <w:b/>
          <w:bCs/>
          <w:color w:val="auto"/>
          <w:sz w:val="28"/>
          <w:szCs w:val="28"/>
        </w:rPr>
        <w:br w:type="page"/>
      </w:r>
    </w:p>
    <w:p w14:paraId="34F7E634">
      <w:pPr>
        <w:keepNext/>
        <w:keepLines/>
        <w:spacing w:after="120" w:line="360" w:lineRule="auto"/>
        <w:jc w:val="left"/>
        <w:rPr>
          <w:rFonts w:ascii="宋体" w:hAnsi="宋体" w:cs="宋体"/>
          <w:b/>
          <w:color w:val="auto"/>
          <w:sz w:val="28"/>
          <w:szCs w:val="28"/>
        </w:rPr>
      </w:pPr>
      <w:r>
        <w:rPr>
          <w:rFonts w:hint="eastAsia" w:ascii="宋体" w:hAnsi="宋体" w:cs="宋体"/>
          <w:b/>
          <w:bCs/>
          <w:color w:val="auto"/>
          <w:sz w:val="28"/>
          <w:szCs w:val="28"/>
        </w:rPr>
        <w:t>格式26</w:t>
      </w:r>
    </w:p>
    <w:p w14:paraId="091874C6">
      <w:pPr>
        <w:keepNext/>
        <w:keepLines/>
        <w:spacing w:before="120" w:after="120" w:line="360" w:lineRule="auto"/>
        <w:jc w:val="center"/>
        <w:rPr>
          <w:rFonts w:ascii="宋体" w:hAnsi="宋体" w:cs="宋体"/>
          <w:b/>
          <w:bCs/>
          <w:color w:val="auto"/>
          <w:sz w:val="28"/>
          <w:szCs w:val="28"/>
        </w:rPr>
      </w:pPr>
      <w:r>
        <w:rPr>
          <w:rFonts w:hint="eastAsia" w:ascii="宋体" w:hAnsi="宋体" w:cs="宋体"/>
          <w:b/>
          <w:bCs/>
          <w:color w:val="auto"/>
          <w:sz w:val="28"/>
          <w:szCs w:val="28"/>
        </w:rPr>
        <w:t>投标人以往同类项目履约情况表</w:t>
      </w:r>
    </w:p>
    <w:p w14:paraId="2D3FE7E5">
      <w:pPr>
        <w:pStyle w:val="20"/>
        <w:spacing w:line="360" w:lineRule="auto"/>
        <w:rPr>
          <w:rFonts w:hAnsi="宋体" w:cs="宋体"/>
          <w:b/>
          <w:color w:val="auto"/>
          <w:szCs w:val="21"/>
          <w:u w:val="single"/>
        </w:rPr>
      </w:pPr>
      <w:r>
        <w:rPr>
          <w:rFonts w:hint="eastAsia" w:hAnsi="宋体" w:cs="宋体"/>
          <w:b/>
          <w:color w:val="auto"/>
          <w:szCs w:val="21"/>
        </w:rPr>
        <w:t>项目名称：</w:t>
      </w:r>
    </w:p>
    <w:p w14:paraId="3F35CC7D">
      <w:pPr>
        <w:pStyle w:val="20"/>
        <w:spacing w:line="360" w:lineRule="auto"/>
        <w:rPr>
          <w:rFonts w:hAnsi="宋体" w:cs="宋体"/>
          <w:b/>
          <w:color w:val="auto"/>
          <w:szCs w:val="21"/>
        </w:rPr>
      </w:pPr>
      <w:r>
        <w:rPr>
          <w:rFonts w:hint="eastAsia" w:hAnsi="宋体" w:cs="宋体"/>
          <w:b/>
          <w:color w:val="auto"/>
          <w:szCs w:val="21"/>
        </w:rPr>
        <w:t>项目编号：</w:t>
      </w:r>
    </w:p>
    <w:tbl>
      <w:tblPr>
        <w:tblStyle w:val="41"/>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49"/>
        <w:gridCol w:w="1181"/>
        <w:gridCol w:w="1279"/>
        <w:gridCol w:w="1145"/>
        <w:gridCol w:w="851"/>
        <w:gridCol w:w="1214"/>
        <w:gridCol w:w="817"/>
      </w:tblGrid>
      <w:tr w14:paraId="1EB4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0" w:type="dxa"/>
            <w:vAlign w:val="center"/>
          </w:tcPr>
          <w:p w14:paraId="3B4CD4F9">
            <w:pPr>
              <w:pStyle w:val="37"/>
              <w:spacing w:before="0" w:beforeAutospacing="0" w:after="0" w:afterAutospacing="0" w:line="360" w:lineRule="auto"/>
              <w:jc w:val="center"/>
              <w:textAlignment w:val="center"/>
              <w:rPr>
                <w:rFonts w:cs="宋体"/>
                <w:b/>
                <w:bCs/>
                <w:color w:val="auto"/>
                <w:sz w:val="21"/>
                <w:szCs w:val="21"/>
              </w:rPr>
            </w:pPr>
            <w:r>
              <w:rPr>
                <w:rFonts w:hint="eastAsia" w:cs="宋体"/>
                <w:b/>
                <w:bCs/>
                <w:color w:val="auto"/>
                <w:sz w:val="21"/>
                <w:szCs w:val="21"/>
              </w:rPr>
              <w:t>序号</w:t>
            </w:r>
          </w:p>
        </w:tc>
        <w:tc>
          <w:tcPr>
            <w:tcW w:w="1549" w:type="dxa"/>
            <w:vAlign w:val="center"/>
          </w:tcPr>
          <w:p w14:paraId="24E31CE9">
            <w:pPr>
              <w:pStyle w:val="37"/>
              <w:spacing w:before="0" w:beforeAutospacing="0" w:after="0" w:afterAutospacing="0" w:line="360" w:lineRule="auto"/>
              <w:jc w:val="center"/>
              <w:textAlignment w:val="center"/>
              <w:rPr>
                <w:rFonts w:cs="宋体"/>
                <w:b/>
                <w:bCs/>
                <w:color w:val="auto"/>
                <w:sz w:val="21"/>
                <w:szCs w:val="21"/>
              </w:rPr>
            </w:pPr>
            <w:r>
              <w:rPr>
                <w:rFonts w:hint="eastAsia" w:cs="宋体"/>
                <w:b/>
                <w:bCs/>
                <w:color w:val="auto"/>
                <w:sz w:val="21"/>
                <w:szCs w:val="21"/>
              </w:rPr>
              <w:t>同类项目名称</w:t>
            </w:r>
          </w:p>
        </w:tc>
        <w:tc>
          <w:tcPr>
            <w:tcW w:w="1181" w:type="dxa"/>
            <w:vAlign w:val="center"/>
          </w:tcPr>
          <w:p w14:paraId="55EBAEF8">
            <w:pPr>
              <w:pStyle w:val="37"/>
              <w:spacing w:before="0" w:beforeAutospacing="0" w:after="0" w:afterAutospacing="0" w:line="360" w:lineRule="auto"/>
              <w:jc w:val="center"/>
              <w:textAlignment w:val="center"/>
              <w:rPr>
                <w:rFonts w:cs="宋体"/>
                <w:b/>
                <w:bCs/>
                <w:color w:val="auto"/>
                <w:sz w:val="21"/>
                <w:szCs w:val="21"/>
              </w:rPr>
            </w:pPr>
            <w:r>
              <w:rPr>
                <w:rFonts w:hint="eastAsia" w:cs="宋体"/>
                <w:b/>
                <w:bCs/>
                <w:color w:val="auto"/>
                <w:sz w:val="21"/>
                <w:szCs w:val="21"/>
              </w:rPr>
              <w:t>采购标的</w:t>
            </w:r>
          </w:p>
        </w:tc>
        <w:tc>
          <w:tcPr>
            <w:tcW w:w="1279" w:type="dxa"/>
            <w:vAlign w:val="center"/>
          </w:tcPr>
          <w:p w14:paraId="1EAC6E17">
            <w:pPr>
              <w:pStyle w:val="37"/>
              <w:spacing w:before="0" w:beforeAutospacing="0" w:after="0" w:afterAutospacing="0" w:line="360" w:lineRule="auto"/>
              <w:jc w:val="center"/>
              <w:textAlignment w:val="center"/>
              <w:rPr>
                <w:rFonts w:cs="宋体"/>
                <w:b/>
                <w:bCs/>
                <w:color w:val="auto"/>
                <w:sz w:val="21"/>
                <w:szCs w:val="21"/>
              </w:rPr>
            </w:pPr>
            <w:r>
              <w:rPr>
                <w:rFonts w:hint="eastAsia" w:cs="宋体"/>
                <w:b/>
                <w:bCs/>
                <w:color w:val="auto"/>
                <w:sz w:val="21"/>
                <w:szCs w:val="21"/>
              </w:rPr>
              <w:t>委托方</w:t>
            </w:r>
          </w:p>
        </w:tc>
        <w:tc>
          <w:tcPr>
            <w:tcW w:w="1145" w:type="dxa"/>
            <w:vAlign w:val="center"/>
          </w:tcPr>
          <w:p w14:paraId="591D8363">
            <w:pPr>
              <w:pStyle w:val="37"/>
              <w:spacing w:before="0" w:beforeAutospacing="0" w:after="0" w:afterAutospacing="0" w:line="360" w:lineRule="auto"/>
              <w:jc w:val="center"/>
              <w:textAlignment w:val="center"/>
              <w:rPr>
                <w:rFonts w:cs="宋体"/>
                <w:b/>
                <w:bCs/>
                <w:color w:val="auto"/>
                <w:sz w:val="21"/>
                <w:szCs w:val="21"/>
              </w:rPr>
            </w:pPr>
            <w:r>
              <w:rPr>
                <w:rFonts w:hint="eastAsia" w:cs="宋体"/>
                <w:b/>
                <w:bCs/>
                <w:color w:val="auto"/>
                <w:sz w:val="21"/>
                <w:szCs w:val="21"/>
              </w:rPr>
              <w:t>联系人</w:t>
            </w:r>
          </w:p>
        </w:tc>
        <w:tc>
          <w:tcPr>
            <w:tcW w:w="851" w:type="dxa"/>
            <w:vAlign w:val="center"/>
          </w:tcPr>
          <w:p w14:paraId="302D2DF1">
            <w:pPr>
              <w:pStyle w:val="37"/>
              <w:spacing w:before="0" w:beforeAutospacing="0" w:after="0" w:afterAutospacing="0" w:line="360" w:lineRule="auto"/>
              <w:jc w:val="center"/>
              <w:textAlignment w:val="center"/>
              <w:rPr>
                <w:rFonts w:cs="宋体"/>
                <w:b/>
                <w:bCs/>
                <w:color w:val="auto"/>
                <w:sz w:val="21"/>
                <w:szCs w:val="21"/>
              </w:rPr>
            </w:pPr>
            <w:r>
              <w:rPr>
                <w:rFonts w:hint="eastAsia" w:cs="宋体"/>
                <w:b/>
                <w:bCs/>
                <w:color w:val="auto"/>
                <w:sz w:val="21"/>
                <w:szCs w:val="21"/>
              </w:rPr>
              <w:t>电话</w:t>
            </w:r>
          </w:p>
        </w:tc>
        <w:tc>
          <w:tcPr>
            <w:tcW w:w="1214" w:type="dxa"/>
            <w:vAlign w:val="center"/>
          </w:tcPr>
          <w:p w14:paraId="355AB79B">
            <w:pPr>
              <w:pStyle w:val="37"/>
              <w:spacing w:before="0" w:beforeAutospacing="0" w:after="0" w:afterAutospacing="0" w:line="360" w:lineRule="auto"/>
              <w:jc w:val="center"/>
              <w:textAlignment w:val="center"/>
              <w:rPr>
                <w:rFonts w:cs="宋体"/>
                <w:b/>
                <w:bCs/>
                <w:color w:val="auto"/>
                <w:sz w:val="21"/>
                <w:szCs w:val="21"/>
              </w:rPr>
            </w:pPr>
            <w:r>
              <w:rPr>
                <w:rFonts w:hint="eastAsia" w:cs="宋体"/>
                <w:b/>
                <w:bCs/>
                <w:color w:val="auto"/>
                <w:sz w:val="21"/>
                <w:szCs w:val="21"/>
              </w:rPr>
              <w:t>合同金额（万元）</w:t>
            </w:r>
          </w:p>
        </w:tc>
        <w:tc>
          <w:tcPr>
            <w:tcW w:w="817" w:type="dxa"/>
            <w:vAlign w:val="center"/>
          </w:tcPr>
          <w:p w14:paraId="15429EC9">
            <w:pPr>
              <w:pStyle w:val="37"/>
              <w:spacing w:before="0" w:beforeAutospacing="0" w:after="0" w:afterAutospacing="0" w:line="360" w:lineRule="auto"/>
              <w:jc w:val="center"/>
              <w:textAlignment w:val="center"/>
              <w:rPr>
                <w:rFonts w:cs="宋体"/>
                <w:b/>
                <w:bCs/>
                <w:color w:val="auto"/>
                <w:sz w:val="21"/>
                <w:szCs w:val="21"/>
              </w:rPr>
            </w:pPr>
            <w:r>
              <w:rPr>
                <w:rFonts w:hint="eastAsia" w:cs="宋体"/>
                <w:b/>
                <w:bCs/>
                <w:color w:val="auto"/>
                <w:sz w:val="21"/>
                <w:szCs w:val="21"/>
              </w:rPr>
              <w:t>备注</w:t>
            </w:r>
          </w:p>
        </w:tc>
      </w:tr>
      <w:tr w14:paraId="3AA6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0" w:type="dxa"/>
          </w:tcPr>
          <w:p w14:paraId="3383F7A9">
            <w:pPr>
              <w:pStyle w:val="37"/>
              <w:spacing w:before="0" w:beforeAutospacing="0" w:after="0" w:afterAutospacing="0" w:line="360" w:lineRule="auto"/>
              <w:jc w:val="center"/>
              <w:textAlignment w:val="center"/>
              <w:rPr>
                <w:rFonts w:cs="宋体"/>
                <w:color w:val="auto"/>
                <w:sz w:val="21"/>
                <w:szCs w:val="21"/>
              </w:rPr>
            </w:pPr>
          </w:p>
        </w:tc>
        <w:tc>
          <w:tcPr>
            <w:tcW w:w="1549" w:type="dxa"/>
          </w:tcPr>
          <w:p w14:paraId="5A65E47A">
            <w:pPr>
              <w:pStyle w:val="37"/>
              <w:spacing w:before="0" w:beforeAutospacing="0" w:after="0" w:afterAutospacing="0" w:line="360" w:lineRule="auto"/>
              <w:jc w:val="center"/>
              <w:textAlignment w:val="center"/>
              <w:rPr>
                <w:rFonts w:cs="宋体"/>
                <w:color w:val="auto"/>
                <w:sz w:val="21"/>
                <w:szCs w:val="21"/>
              </w:rPr>
            </w:pPr>
          </w:p>
        </w:tc>
        <w:tc>
          <w:tcPr>
            <w:tcW w:w="1181" w:type="dxa"/>
          </w:tcPr>
          <w:p w14:paraId="27BE5CBC">
            <w:pPr>
              <w:pStyle w:val="37"/>
              <w:spacing w:before="0" w:beforeAutospacing="0" w:after="0" w:afterAutospacing="0" w:line="360" w:lineRule="auto"/>
              <w:jc w:val="center"/>
              <w:textAlignment w:val="center"/>
              <w:rPr>
                <w:rFonts w:cs="宋体"/>
                <w:color w:val="auto"/>
                <w:sz w:val="21"/>
                <w:szCs w:val="21"/>
              </w:rPr>
            </w:pPr>
          </w:p>
        </w:tc>
        <w:tc>
          <w:tcPr>
            <w:tcW w:w="1279" w:type="dxa"/>
          </w:tcPr>
          <w:p w14:paraId="3500C21E">
            <w:pPr>
              <w:pStyle w:val="37"/>
              <w:spacing w:before="0" w:beforeAutospacing="0" w:after="0" w:afterAutospacing="0" w:line="360" w:lineRule="auto"/>
              <w:jc w:val="center"/>
              <w:textAlignment w:val="center"/>
              <w:rPr>
                <w:rFonts w:cs="宋体"/>
                <w:color w:val="auto"/>
                <w:sz w:val="21"/>
                <w:szCs w:val="21"/>
              </w:rPr>
            </w:pPr>
          </w:p>
        </w:tc>
        <w:tc>
          <w:tcPr>
            <w:tcW w:w="1145" w:type="dxa"/>
          </w:tcPr>
          <w:p w14:paraId="7914124A">
            <w:pPr>
              <w:pStyle w:val="37"/>
              <w:spacing w:before="0" w:beforeAutospacing="0" w:after="0" w:afterAutospacing="0" w:line="360" w:lineRule="auto"/>
              <w:jc w:val="center"/>
              <w:textAlignment w:val="center"/>
              <w:rPr>
                <w:rFonts w:cs="宋体"/>
                <w:color w:val="auto"/>
                <w:sz w:val="21"/>
                <w:szCs w:val="21"/>
              </w:rPr>
            </w:pPr>
          </w:p>
        </w:tc>
        <w:tc>
          <w:tcPr>
            <w:tcW w:w="851" w:type="dxa"/>
          </w:tcPr>
          <w:p w14:paraId="369A504A">
            <w:pPr>
              <w:pStyle w:val="37"/>
              <w:spacing w:before="0" w:beforeAutospacing="0" w:after="0" w:afterAutospacing="0" w:line="360" w:lineRule="auto"/>
              <w:jc w:val="center"/>
              <w:textAlignment w:val="center"/>
              <w:rPr>
                <w:rFonts w:cs="宋体"/>
                <w:color w:val="auto"/>
                <w:sz w:val="21"/>
                <w:szCs w:val="21"/>
              </w:rPr>
            </w:pPr>
          </w:p>
        </w:tc>
        <w:tc>
          <w:tcPr>
            <w:tcW w:w="1214" w:type="dxa"/>
          </w:tcPr>
          <w:p w14:paraId="77A81B13">
            <w:pPr>
              <w:pStyle w:val="37"/>
              <w:spacing w:before="0" w:beforeAutospacing="0" w:after="0" w:afterAutospacing="0" w:line="360" w:lineRule="auto"/>
              <w:jc w:val="center"/>
              <w:textAlignment w:val="center"/>
              <w:rPr>
                <w:rFonts w:cs="宋体"/>
                <w:color w:val="auto"/>
                <w:sz w:val="21"/>
                <w:szCs w:val="21"/>
              </w:rPr>
            </w:pPr>
          </w:p>
        </w:tc>
        <w:tc>
          <w:tcPr>
            <w:tcW w:w="817" w:type="dxa"/>
          </w:tcPr>
          <w:p w14:paraId="48EB26DA">
            <w:pPr>
              <w:pStyle w:val="37"/>
              <w:spacing w:before="0" w:beforeAutospacing="0" w:after="0" w:afterAutospacing="0" w:line="360" w:lineRule="auto"/>
              <w:jc w:val="center"/>
              <w:textAlignment w:val="center"/>
              <w:rPr>
                <w:rFonts w:cs="宋体"/>
                <w:color w:val="auto"/>
                <w:sz w:val="21"/>
                <w:szCs w:val="21"/>
              </w:rPr>
            </w:pPr>
          </w:p>
        </w:tc>
      </w:tr>
      <w:tr w14:paraId="75AA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0" w:type="dxa"/>
          </w:tcPr>
          <w:p w14:paraId="34086940">
            <w:pPr>
              <w:pStyle w:val="37"/>
              <w:spacing w:before="0" w:beforeAutospacing="0" w:after="0" w:afterAutospacing="0" w:line="360" w:lineRule="auto"/>
              <w:jc w:val="center"/>
              <w:textAlignment w:val="center"/>
              <w:rPr>
                <w:rFonts w:cs="宋体"/>
                <w:color w:val="auto"/>
                <w:sz w:val="21"/>
                <w:szCs w:val="21"/>
              </w:rPr>
            </w:pPr>
          </w:p>
        </w:tc>
        <w:tc>
          <w:tcPr>
            <w:tcW w:w="1549" w:type="dxa"/>
          </w:tcPr>
          <w:p w14:paraId="3A7EA6A2">
            <w:pPr>
              <w:pStyle w:val="37"/>
              <w:spacing w:before="0" w:beforeAutospacing="0" w:after="0" w:afterAutospacing="0" w:line="360" w:lineRule="auto"/>
              <w:jc w:val="center"/>
              <w:textAlignment w:val="center"/>
              <w:rPr>
                <w:rFonts w:cs="宋体"/>
                <w:color w:val="auto"/>
                <w:sz w:val="21"/>
                <w:szCs w:val="21"/>
              </w:rPr>
            </w:pPr>
          </w:p>
        </w:tc>
        <w:tc>
          <w:tcPr>
            <w:tcW w:w="1181" w:type="dxa"/>
          </w:tcPr>
          <w:p w14:paraId="1758028F">
            <w:pPr>
              <w:pStyle w:val="37"/>
              <w:spacing w:before="0" w:beforeAutospacing="0" w:after="0" w:afterAutospacing="0" w:line="360" w:lineRule="auto"/>
              <w:jc w:val="center"/>
              <w:textAlignment w:val="center"/>
              <w:rPr>
                <w:rFonts w:cs="宋体"/>
                <w:color w:val="auto"/>
                <w:sz w:val="21"/>
                <w:szCs w:val="21"/>
              </w:rPr>
            </w:pPr>
          </w:p>
        </w:tc>
        <w:tc>
          <w:tcPr>
            <w:tcW w:w="1279" w:type="dxa"/>
          </w:tcPr>
          <w:p w14:paraId="0691C36A">
            <w:pPr>
              <w:pStyle w:val="37"/>
              <w:spacing w:before="0" w:beforeAutospacing="0" w:after="0" w:afterAutospacing="0" w:line="360" w:lineRule="auto"/>
              <w:jc w:val="center"/>
              <w:textAlignment w:val="center"/>
              <w:rPr>
                <w:rFonts w:cs="宋体"/>
                <w:color w:val="auto"/>
                <w:sz w:val="21"/>
                <w:szCs w:val="21"/>
              </w:rPr>
            </w:pPr>
          </w:p>
        </w:tc>
        <w:tc>
          <w:tcPr>
            <w:tcW w:w="1145" w:type="dxa"/>
          </w:tcPr>
          <w:p w14:paraId="6ACF8D2E">
            <w:pPr>
              <w:pStyle w:val="37"/>
              <w:spacing w:before="0" w:beforeAutospacing="0" w:after="0" w:afterAutospacing="0" w:line="360" w:lineRule="auto"/>
              <w:jc w:val="center"/>
              <w:textAlignment w:val="center"/>
              <w:rPr>
                <w:rFonts w:cs="宋体"/>
                <w:color w:val="auto"/>
                <w:sz w:val="21"/>
                <w:szCs w:val="21"/>
              </w:rPr>
            </w:pPr>
          </w:p>
        </w:tc>
        <w:tc>
          <w:tcPr>
            <w:tcW w:w="851" w:type="dxa"/>
          </w:tcPr>
          <w:p w14:paraId="4B2E303F">
            <w:pPr>
              <w:pStyle w:val="37"/>
              <w:spacing w:before="0" w:beforeAutospacing="0" w:after="0" w:afterAutospacing="0" w:line="360" w:lineRule="auto"/>
              <w:jc w:val="center"/>
              <w:textAlignment w:val="center"/>
              <w:rPr>
                <w:rFonts w:cs="宋体"/>
                <w:color w:val="auto"/>
                <w:sz w:val="21"/>
                <w:szCs w:val="21"/>
              </w:rPr>
            </w:pPr>
          </w:p>
        </w:tc>
        <w:tc>
          <w:tcPr>
            <w:tcW w:w="1214" w:type="dxa"/>
          </w:tcPr>
          <w:p w14:paraId="3D65EC0C">
            <w:pPr>
              <w:pStyle w:val="37"/>
              <w:spacing w:before="0" w:beforeAutospacing="0" w:after="0" w:afterAutospacing="0" w:line="360" w:lineRule="auto"/>
              <w:jc w:val="center"/>
              <w:textAlignment w:val="center"/>
              <w:rPr>
                <w:rFonts w:cs="宋体"/>
                <w:color w:val="auto"/>
                <w:sz w:val="21"/>
                <w:szCs w:val="21"/>
              </w:rPr>
            </w:pPr>
          </w:p>
        </w:tc>
        <w:tc>
          <w:tcPr>
            <w:tcW w:w="817" w:type="dxa"/>
          </w:tcPr>
          <w:p w14:paraId="0D762D91">
            <w:pPr>
              <w:pStyle w:val="37"/>
              <w:spacing w:before="0" w:beforeAutospacing="0" w:after="0" w:afterAutospacing="0" w:line="360" w:lineRule="auto"/>
              <w:jc w:val="center"/>
              <w:textAlignment w:val="center"/>
              <w:rPr>
                <w:rFonts w:cs="宋体"/>
                <w:color w:val="auto"/>
                <w:sz w:val="21"/>
                <w:szCs w:val="21"/>
              </w:rPr>
            </w:pPr>
          </w:p>
        </w:tc>
      </w:tr>
      <w:tr w14:paraId="227B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0" w:type="dxa"/>
          </w:tcPr>
          <w:p w14:paraId="598D0EC7">
            <w:pPr>
              <w:pStyle w:val="37"/>
              <w:spacing w:before="0" w:beforeAutospacing="0" w:after="0" w:afterAutospacing="0" w:line="360" w:lineRule="auto"/>
              <w:jc w:val="center"/>
              <w:textAlignment w:val="center"/>
              <w:rPr>
                <w:rFonts w:cs="宋体"/>
                <w:color w:val="auto"/>
                <w:sz w:val="21"/>
                <w:szCs w:val="21"/>
              </w:rPr>
            </w:pPr>
          </w:p>
        </w:tc>
        <w:tc>
          <w:tcPr>
            <w:tcW w:w="1549" w:type="dxa"/>
          </w:tcPr>
          <w:p w14:paraId="3E75282C">
            <w:pPr>
              <w:pStyle w:val="37"/>
              <w:spacing w:before="0" w:beforeAutospacing="0" w:after="0" w:afterAutospacing="0" w:line="360" w:lineRule="auto"/>
              <w:jc w:val="center"/>
              <w:textAlignment w:val="center"/>
              <w:rPr>
                <w:rFonts w:cs="宋体"/>
                <w:color w:val="auto"/>
                <w:sz w:val="21"/>
                <w:szCs w:val="21"/>
              </w:rPr>
            </w:pPr>
          </w:p>
        </w:tc>
        <w:tc>
          <w:tcPr>
            <w:tcW w:w="1181" w:type="dxa"/>
          </w:tcPr>
          <w:p w14:paraId="1512E3A4">
            <w:pPr>
              <w:pStyle w:val="37"/>
              <w:spacing w:before="0" w:beforeAutospacing="0" w:after="0" w:afterAutospacing="0" w:line="360" w:lineRule="auto"/>
              <w:jc w:val="center"/>
              <w:textAlignment w:val="center"/>
              <w:rPr>
                <w:rFonts w:cs="宋体"/>
                <w:color w:val="auto"/>
                <w:sz w:val="21"/>
                <w:szCs w:val="21"/>
              </w:rPr>
            </w:pPr>
          </w:p>
        </w:tc>
        <w:tc>
          <w:tcPr>
            <w:tcW w:w="1279" w:type="dxa"/>
          </w:tcPr>
          <w:p w14:paraId="73D029B9">
            <w:pPr>
              <w:pStyle w:val="37"/>
              <w:spacing w:before="0" w:beforeAutospacing="0" w:after="0" w:afterAutospacing="0" w:line="360" w:lineRule="auto"/>
              <w:jc w:val="center"/>
              <w:textAlignment w:val="center"/>
              <w:rPr>
                <w:rFonts w:cs="宋体"/>
                <w:color w:val="auto"/>
                <w:sz w:val="21"/>
                <w:szCs w:val="21"/>
              </w:rPr>
            </w:pPr>
          </w:p>
        </w:tc>
        <w:tc>
          <w:tcPr>
            <w:tcW w:w="1145" w:type="dxa"/>
          </w:tcPr>
          <w:p w14:paraId="51F4AADB">
            <w:pPr>
              <w:pStyle w:val="37"/>
              <w:spacing w:before="0" w:beforeAutospacing="0" w:after="0" w:afterAutospacing="0" w:line="360" w:lineRule="auto"/>
              <w:jc w:val="center"/>
              <w:textAlignment w:val="center"/>
              <w:rPr>
                <w:rFonts w:cs="宋体"/>
                <w:color w:val="auto"/>
                <w:sz w:val="21"/>
                <w:szCs w:val="21"/>
              </w:rPr>
            </w:pPr>
          </w:p>
        </w:tc>
        <w:tc>
          <w:tcPr>
            <w:tcW w:w="851" w:type="dxa"/>
          </w:tcPr>
          <w:p w14:paraId="3C421E96">
            <w:pPr>
              <w:pStyle w:val="37"/>
              <w:spacing w:before="0" w:beforeAutospacing="0" w:after="0" w:afterAutospacing="0" w:line="360" w:lineRule="auto"/>
              <w:jc w:val="center"/>
              <w:textAlignment w:val="center"/>
              <w:rPr>
                <w:rFonts w:cs="宋体"/>
                <w:color w:val="auto"/>
                <w:sz w:val="21"/>
                <w:szCs w:val="21"/>
              </w:rPr>
            </w:pPr>
          </w:p>
        </w:tc>
        <w:tc>
          <w:tcPr>
            <w:tcW w:w="1214" w:type="dxa"/>
          </w:tcPr>
          <w:p w14:paraId="3A502DE3">
            <w:pPr>
              <w:pStyle w:val="37"/>
              <w:spacing w:before="0" w:beforeAutospacing="0" w:after="0" w:afterAutospacing="0" w:line="360" w:lineRule="auto"/>
              <w:jc w:val="center"/>
              <w:textAlignment w:val="center"/>
              <w:rPr>
                <w:rFonts w:cs="宋体"/>
                <w:color w:val="auto"/>
                <w:sz w:val="21"/>
                <w:szCs w:val="21"/>
              </w:rPr>
            </w:pPr>
          </w:p>
        </w:tc>
        <w:tc>
          <w:tcPr>
            <w:tcW w:w="817" w:type="dxa"/>
          </w:tcPr>
          <w:p w14:paraId="46887901">
            <w:pPr>
              <w:pStyle w:val="37"/>
              <w:spacing w:before="0" w:beforeAutospacing="0" w:after="0" w:afterAutospacing="0" w:line="360" w:lineRule="auto"/>
              <w:jc w:val="center"/>
              <w:textAlignment w:val="center"/>
              <w:rPr>
                <w:rFonts w:cs="宋体"/>
                <w:color w:val="auto"/>
                <w:sz w:val="21"/>
                <w:szCs w:val="21"/>
              </w:rPr>
            </w:pPr>
          </w:p>
        </w:tc>
      </w:tr>
    </w:tbl>
    <w:p w14:paraId="0258B3A1">
      <w:pPr>
        <w:spacing w:line="360" w:lineRule="auto"/>
        <w:rPr>
          <w:rFonts w:ascii="宋体" w:hAnsi="宋体" w:cs="宋体"/>
          <w:color w:val="auto"/>
          <w:szCs w:val="21"/>
        </w:rPr>
      </w:pPr>
    </w:p>
    <w:p w14:paraId="06BD788F">
      <w:pPr>
        <w:spacing w:line="360" w:lineRule="auto"/>
        <w:rPr>
          <w:rFonts w:ascii="宋体" w:hAnsi="宋体" w:cs="宋体"/>
          <w:color w:val="auto"/>
          <w:szCs w:val="21"/>
        </w:rPr>
      </w:pPr>
      <w:r>
        <w:rPr>
          <w:rFonts w:hint="eastAsia" w:ascii="宋体" w:hAnsi="宋体" w:cs="宋体"/>
          <w:color w:val="auto"/>
          <w:szCs w:val="21"/>
        </w:rPr>
        <w:t>注：</w:t>
      </w:r>
    </w:p>
    <w:p w14:paraId="0ECEE456">
      <w:pPr>
        <w:spacing w:line="360" w:lineRule="auto"/>
        <w:rPr>
          <w:rFonts w:ascii="宋体" w:hAnsi="宋体" w:cs="宋体"/>
          <w:bCs/>
          <w:color w:val="auto"/>
          <w:szCs w:val="21"/>
        </w:rPr>
      </w:pPr>
      <w:r>
        <w:rPr>
          <w:rFonts w:hint="eastAsia" w:ascii="宋体" w:hAnsi="宋体" w:cs="宋体"/>
          <w:bCs/>
          <w:color w:val="auto"/>
          <w:szCs w:val="21"/>
        </w:rPr>
        <w:t>1.</w:t>
      </w:r>
      <w:r>
        <w:rPr>
          <w:rFonts w:hint="eastAsia" w:ascii="宋体" w:hAnsi="宋体" w:cs="宋体"/>
          <w:color w:val="auto"/>
          <w:szCs w:val="21"/>
        </w:rPr>
        <w:t>投标文件中须提供《投标人以往同类项目履约情况表》及相对应的履约证明材料，履约证明材料为合同（合同首页、标的及金额所在页及合同签字盖章页）或委托方出具的履约验收证明材料。无证明材料或未按要求提供证明材料或证明材料不明确、无法体现类似项目履约情况的，不予认可。</w:t>
      </w:r>
    </w:p>
    <w:p w14:paraId="33EE8D08">
      <w:pPr>
        <w:spacing w:line="360" w:lineRule="auto"/>
        <w:rPr>
          <w:rFonts w:ascii="宋体" w:hAnsi="宋体" w:cs="宋体"/>
          <w:bCs/>
          <w:color w:val="auto"/>
          <w:szCs w:val="21"/>
        </w:rPr>
      </w:pPr>
      <w:r>
        <w:rPr>
          <w:rFonts w:hint="eastAsia" w:ascii="宋体" w:hAnsi="宋体" w:cs="宋体"/>
          <w:bCs/>
          <w:color w:val="auto"/>
          <w:szCs w:val="21"/>
        </w:rPr>
        <w:t>2.投标人可根据实际情况拓展本表。</w:t>
      </w:r>
    </w:p>
    <w:p w14:paraId="5B59DF88">
      <w:pPr>
        <w:rPr>
          <w:rFonts w:ascii="宋体" w:hAnsi="宋体" w:cs="宋体"/>
          <w:b/>
          <w:color w:val="auto"/>
          <w:sz w:val="28"/>
          <w:szCs w:val="28"/>
        </w:rPr>
      </w:pPr>
      <w:r>
        <w:rPr>
          <w:rFonts w:hint="eastAsia" w:ascii="宋体" w:hAnsi="宋体" w:cs="宋体"/>
          <w:b/>
          <w:color w:val="auto"/>
          <w:sz w:val="28"/>
          <w:szCs w:val="28"/>
        </w:rPr>
        <w:br w:type="page"/>
      </w:r>
    </w:p>
    <w:p w14:paraId="15E902A8">
      <w:pPr>
        <w:rPr>
          <w:rFonts w:ascii="宋体" w:hAnsi="宋体" w:cs="宋体"/>
          <w:b/>
          <w:color w:val="auto"/>
          <w:sz w:val="28"/>
          <w:szCs w:val="28"/>
        </w:rPr>
      </w:pPr>
      <w:r>
        <w:rPr>
          <w:rFonts w:hint="eastAsia" w:ascii="宋体" w:hAnsi="宋体" w:cs="宋体"/>
          <w:b/>
          <w:color w:val="auto"/>
          <w:sz w:val="28"/>
          <w:szCs w:val="28"/>
        </w:rPr>
        <w:t>格式27</w:t>
      </w:r>
    </w:p>
    <w:p w14:paraId="1995AE0E">
      <w:pPr>
        <w:spacing w:line="360" w:lineRule="auto"/>
        <w:jc w:val="center"/>
        <w:rPr>
          <w:rFonts w:ascii="宋体" w:hAnsi="宋体" w:cs="宋体"/>
          <w:b/>
          <w:bCs/>
          <w:color w:val="auto"/>
          <w:sz w:val="24"/>
          <w:szCs w:val="40"/>
        </w:rPr>
      </w:pPr>
      <w:bookmarkStart w:id="491" w:name="_Toc2152"/>
      <w:bookmarkStart w:id="492" w:name="_Toc2914"/>
      <w:bookmarkStart w:id="493" w:name="_Toc25645"/>
      <w:bookmarkStart w:id="494" w:name="_Toc38338337"/>
      <w:bookmarkStart w:id="495" w:name="_Toc31336"/>
      <w:bookmarkStart w:id="496" w:name="_Toc37716417"/>
      <w:r>
        <w:rPr>
          <w:rFonts w:hint="eastAsia" w:ascii="宋体" w:hAnsi="宋体" w:cs="宋体"/>
          <w:b/>
          <w:bCs/>
          <w:color w:val="auto"/>
          <w:sz w:val="24"/>
          <w:szCs w:val="40"/>
        </w:rPr>
        <w:t>构成投标文件的其它资料</w:t>
      </w:r>
      <w:bookmarkEnd w:id="491"/>
      <w:bookmarkEnd w:id="492"/>
      <w:bookmarkEnd w:id="493"/>
      <w:bookmarkEnd w:id="494"/>
      <w:bookmarkEnd w:id="495"/>
      <w:bookmarkEnd w:id="496"/>
    </w:p>
    <w:p w14:paraId="26A1865E">
      <w:pPr>
        <w:spacing w:line="360" w:lineRule="auto"/>
        <w:jc w:val="left"/>
        <w:rPr>
          <w:rFonts w:ascii="宋体" w:hAnsi="宋体" w:cs="宋体"/>
          <w:color w:val="auto"/>
          <w:szCs w:val="21"/>
        </w:rPr>
      </w:pPr>
      <w:r>
        <w:rPr>
          <w:rFonts w:hint="eastAsia" w:ascii="宋体" w:hAnsi="宋体" w:cs="宋体"/>
          <w:color w:val="auto"/>
          <w:szCs w:val="21"/>
        </w:rPr>
        <w:t>详见第二章《投标人须知前附表》第15.2条，请自拟格式。</w:t>
      </w:r>
    </w:p>
    <w:p w14:paraId="5C4790C4">
      <w:pPr>
        <w:spacing w:line="360" w:lineRule="auto"/>
        <w:jc w:val="left"/>
        <w:rPr>
          <w:rFonts w:ascii="宋体" w:hAnsi="宋体" w:cs="宋体"/>
          <w:color w:val="auto"/>
          <w:szCs w:val="21"/>
        </w:rPr>
      </w:pPr>
      <w:r>
        <w:rPr>
          <w:rFonts w:hint="eastAsia" w:ascii="宋体" w:hAnsi="宋体" w:cs="宋体"/>
          <w:color w:val="auto"/>
          <w:szCs w:val="21"/>
        </w:rPr>
        <w:t>1.投标保证金交纳凭证或保函或投标（竞标）保证保险保单（扫描件加盖投标人电子公章）；</w:t>
      </w:r>
    </w:p>
    <w:p w14:paraId="01BDBB1F">
      <w:pPr>
        <w:spacing w:line="360" w:lineRule="auto"/>
        <w:jc w:val="left"/>
        <w:rPr>
          <w:rFonts w:ascii="宋体" w:hAnsi="宋体" w:cs="宋体"/>
          <w:color w:val="auto"/>
          <w:szCs w:val="21"/>
        </w:rPr>
      </w:pPr>
      <w:r>
        <w:rPr>
          <w:rFonts w:hint="eastAsia" w:ascii="宋体" w:hAnsi="宋体" w:cs="宋体"/>
          <w:color w:val="auto"/>
          <w:szCs w:val="21"/>
        </w:rPr>
        <w:t>2.第五章《采购需求》中要求提供的其他资料；</w:t>
      </w:r>
    </w:p>
    <w:p w14:paraId="66028197">
      <w:pPr>
        <w:spacing w:line="360" w:lineRule="auto"/>
        <w:jc w:val="left"/>
        <w:rPr>
          <w:rFonts w:ascii="宋体" w:hAnsi="宋体" w:cs="宋体"/>
          <w:color w:val="auto"/>
          <w:szCs w:val="21"/>
        </w:rPr>
      </w:pPr>
      <w:r>
        <w:rPr>
          <w:rFonts w:hint="eastAsia" w:ascii="宋体" w:hAnsi="宋体" w:cs="宋体"/>
          <w:color w:val="auto"/>
          <w:szCs w:val="21"/>
        </w:rPr>
        <w:t>3.招标文件中所涉及到的相关资料及证明文件或投标人认为必须提供的其他相关资料。</w:t>
      </w:r>
    </w:p>
    <w:p w14:paraId="362155AF">
      <w:pPr>
        <w:widowControl/>
        <w:spacing w:line="360" w:lineRule="auto"/>
        <w:jc w:val="left"/>
        <w:rPr>
          <w:rFonts w:ascii="宋体" w:hAnsi="宋体" w:cs="宋体"/>
          <w:color w:val="auto"/>
          <w:szCs w:val="21"/>
        </w:rPr>
      </w:pPr>
    </w:p>
    <w:p w14:paraId="3DF53E29">
      <w:pPr>
        <w:spacing w:line="360" w:lineRule="auto"/>
        <w:rPr>
          <w:rFonts w:ascii="宋体" w:hAnsi="宋体" w:cs="宋体"/>
          <w:color w:val="auto"/>
          <w:kern w:val="0"/>
          <w:szCs w:val="21"/>
        </w:rPr>
      </w:pPr>
      <w:r>
        <w:rPr>
          <w:rFonts w:hint="eastAsia" w:ascii="宋体" w:hAnsi="宋体" w:cs="宋体"/>
          <w:color w:val="auto"/>
          <w:szCs w:val="21"/>
        </w:rPr>
        <w:br w:type="page"/>
      </w:r>
    </w:p>
    <w:p w14:paraId="3F2F6DE9">
      <w:pPr>
        <w:pStyle w:val="2"/>
        <w:spacing w:line="360" w:lineRule="auto"/>
        <w:rPr>
          <w:rFonts w:ascii="宋体" w:hAnsi="宋体" w:cs="宋体"/>
          <w:color w:val="auto"/>
          <w:szCs w:val="32"/>
        </w:rPr>
      </w:pPr>
      <w:bookmarkStart w:id="497" w:name="_Toc489145771"/>
      <w:bookmarkStart w:id="498" w:name="_Toc26540"/>
      <w:bookmarkStart w:id="499" w:name="_Toc31992"/>
      <w:r>
        <w:rPr>
          <w:rFonts w:hint="eastAsia" w:ascii="宋体" w:hAnsi="宋体" w:cs="宋体"/>
          <w:color w:val="auto"/>
          <w:szCs w:val="32"/>
        </w:rPr>
        <w:t xml:space="preserve">第五章  </w:t>
      </w:r>
      <w:bookmarkEnd w:id="497"/>
      <w:bookmarkEnd w:id="498"/>
      <w:r>
        <w:rPr>
          <w:rFonts w:hint="eastAsia" w:ascii="宋体" w:hAnsi="宋体" w:cs="宋体"/>
          <w:color w:val="auto"/>
          <w:szCs w:val="32"/>
        </w:rPr>
        <w:t>采购需求</w:t>
      </w:r>
      <w:bookmarkEnd w:id="499"/>
    </w:p>
    <w:bookmarkEnd w:id="8"/>
    <w:bookmarkEnd w:id="9"/>
    <w:p w14:paraId="536595BF">
      <w:pPr>
        <w:widowControl/>
        <w:shd w:val="clear" w:color="auto" w:fill="FFFFFF"/>
        <w:spacing w:line="360" w:lineRule="auto"/>
        <w:ind w:firstLine="316" w:firstLineChars="150"/>
        <w:rPr>
          <w:rFonts w:asciiTheme="minorEastAsia" w:hAnsiTheme="minorEastAsia" w:eastAsiaTheme="minorEastAsia" w:cstheme="minorEastAsia"/>
          <w:b/>
          <w:color w:val="auto"/>
          <w:kern w:val="0"/>
          <w:szCs w:val="21"/>
        </w:rPr>
      </w:pPr>
      <w:bookmarkStart w:id="500" w:name="_Toc7630"/>
      <w:bookmarkStart w:id="501" w:name="_Toc31507"/>
      <w:bookmarkStart w:id="502" w:name="_Toc4546"/>
      <w:r>
        <w:rPr>
          <w:rFonts w:hint="eastAsia" w:asciiTheme="minorEastAsia" w:hAnsiTheme="minorEastAsia" w:eastAsiaTheme="minorEastAsia" w:cstheme="minorEastAsia"/>
          <w:b/>
          <w:color w:val="auto"/>
          <w:kern w:val="0"/>
          <w:szCs w:val="21"/>
        </w:rPr>
        <w:t>（一）采购标的需实现的功能或者目标，以及为落实政府采购政策需满足的要求；</w:t>
      </w:r>
    </w:p>
    <w:p w14:paraId="1999951B">
      <w:pPr>
        <w:snapToGrid w:val="0"/>
        <w:spacing w:before="156" w:after="156" w:line="360" w:lineRule="auto"/>
        <w:ind w:firstLine="422" w:firstLineChars="200"/>
        <w:contextualSpacing/>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1.采购标的需实现的功能或者目标：</w:t>
      </w:r>
    </w:p>
    <w:p w14:paraId="3EB31CF9">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(1)金融科技实验室</w:t>
      </w:r>
    </w:p>
    <w:p w14:paraId="42A74915">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为金融科技、量化交易、证券投资、期货期权交易等实验教学及配套系统建设高质量的云桌面算力及存储资源池，建设多媒体教学、实验管理、实验室开放、安防门禁等智能化软硬件设备，构建支持动态配置、虚拟仿真、多场景、全时空开放的实验教学、实验室管理软硬件基础设施。可面向金融学本科生和研究生、金融专业硕士开设《金融工程》《数字金融》《金融科技》《量化投资》《证券投资模拟》《金融大数据分析与挖掘》等实验课程和相关实验项目，支持学科竞赛，孵化省级、国家级高水平课程。</w:t>
      </w:r>
    </w:p>
    <w:p w14:paraId="384BAD5E">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(2)数字经济实验室</w:t>
      </w:r>
    </w:p>
    <w:p w14:paraId="68C00211">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为开设数字经济、经济大数据采集、经济大数据分析、Python程序设计、数据挖掘、区块链应用等专业实验项目和实验课程，以及开展跨专业实验项目、学科交叉科研训练和多学科融合科研创新建设云桌面算力及存储资源池，建设多媒体教学、实验管理、实验室开放、安防门禁等智能化软硬件设备，构建支持动态配置、虚拟仿真、多场景、全时空开放的实验教学、实验室管理软硬件基础设施。可面向经济学、数字经济、金融学等本科生和区域经济学、产业经济学研究生开设《经济大数据分析》《数据挖掘》《数据治理》《数据资产》《大数据分析与应用》等实验课程和相关实验项目，支持学科竞赛，孵化省级、国家级高水平课程。</w:t>
      </w:r>
    </w:p>
    <w:p w14:paraId="4E8329D1">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(3)科研创新实训室</w:t>
      </w:r>
    </w:p>
    <w:p w14:paraId="18E601DB">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为保障师生积极开展科研创新，支持自有知识产权的科研数据库建设、大数据分析任务、数据挖掘任务、AI+科研和持续性有组织科研等，建设可动态分配和远程访问的算力及存储资源池及配套的模块化后台管理系统，建设多媒体交互、实训室开放、安防门禁等智能化软硬件设备，可面向全院师生动态开放全时空可访问的个性化、数智化的科研创新软硬件环境，提升科研工作效率。</w:t>
      </w:r>
    </w:p>
    <w:p w14:paraId="336314E6">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(4)精品录播教室</w:t>
      </w:r>
    </w:p>
    <w:p w14:paraId="47A591A7">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建设一套支持高质量音视频录制、多机位、多通道的智能化课程录制系统及声学降噪、多媒体交互、开放管理、安防门禁等配套设施，实现课程录制一键开启、统一管理、集中控制、智能跟踪，提升录课效率和智能化程度，支持高水平课程建设。</w:t>
      </w:r>
    </w:p>
    <w:p w14:paraId="205E540D">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(5)中心机房</w:t>
      </w:r>
    </w:p>
    <w:p w14:paraId="33C47F62">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更新现有中心机房设施设备，对利旧设备升级关键部件以提升容量和性能，配置环境监控系统、消防报警系统、气体灭火装置、监控和门禁系统，建设动态资源配置、智能化安防、远程化管理的数智化基础设施。</w:t>
      </w:r>
    </w:p>
    <w:p w14:paraId="51F63945">
      <w:pPr>
        <w:widowControl/>
        <w:shd w:val="clear" w:color="auto" w:fill="FFFFFF"/>
        <w:spacing w:line="360" w:lineRule="auto"/>
        <w:ind w:firstLine="422" w:firstLineChars="200"/>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2.落实政府采购政策需满足的要求：</w:t>
      </w:r>
    </w:p>
    <w:p w14:paraId="12ADFA05">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（1）符合《中华人民共和国政府采购法》《中华人民共和国政府采购法实施条例》《政府采购货物和服务招标投标管理办法》（财政部令第87号）等有关法律、法规和规章的规定。</w:t>
      </w:r>
    </w:p>
    <w:p w14:paraId="7F8AF48C">
      <w:pPr>
        <w:widowControl/>
        <w:shd w:val="clear" w:color="auto" w:fill="FFFFFF"/>
        <w:spacing w:line="360" w:lineRule="auto"/>
        <w:ind w:firstLine="420" w:firstLineChars="200"/>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Cs/>
          <w:color w:val="auto"/>
          <w:kern w:val="0"/>
          <w:szCs w:val="21"/>
        </w:rPr>
        <w:t>（2）鼓励节能政策：在技术、服务等指标同等条件下，优先采购属于国家公布的节能清单中产品；鼓励环保政策：在性能、技术、服务等指标同等条件下，优先采购国家公布的环保产品清单中的产品；促进中小企业发展政策、监狱企业、残疾人福利性单位扶持政策：评审时对符合条件的小型和微型投标人给予投标报价10%的扣除。监狱企业、残疾人福利性单位视同小型、微型企业。</w:t>
      </w:r>
    </w:p>
    <w:p w14:paraId="758F9008">
      <w:pPr>
        <w:widowControl/>
        <w:shd w:val="clear" w:color="auto" w:fill="FFFFFF"/>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（二）采购标的需执行的国家相关标准、行业标准、地方标准或者其他标准、规范；</w:t>
      </w:r>
    </w:p>
    <w:p w14:paraId="35F8A2F5">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1.国家相关标准：符合执行国家相关标准、规范。</w:t>
      </w:r>
    </w:p>
    <w:p w14:paraId="6EB62849">
      <w:pPr>
        <w:widowControl/>
        <w:shd w:val="clear" w:color="auto" w:fill="FFFFFF"/>
        <w:spacing w:line="360" w:lineRule="auto"/>
        <w:ind w:firstLine="420" w:firstLineChars="200"/>
        <w:jc w:val="left"/>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2.行业标准：符合执行行业相关标准、规范。</w:t>
      </w:r>
    </w:p>
    <w:p w14:paraId="6C1A20EB">
      <w:pPr>
        <w:widowControl/>
        <w:shd w:val="clear" w:color="auto" w:fill="FFFFFF"/>
        <w:spacing w:line="360" w:lineRule="auto"/>
        <w:ind w:firstLine="420" w:firstLineChars="200"/>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Cs/>
          <w:color w:val="auto"/>
          <w:kern w:val="0"/>
          <w:szCs w:val="21"/>
        </w:rPr>
        <w:t>3.地方标准或者其他标准、规范：保证提供的设备是全新（包括零部件）、符合采购需求、具有国家相关部门注册并符合国家质量检测标准和产品出厂标准的设备。</w:t>
      </w:r>
    </w:p>
    <w:p w14:paraId="4FDAFC7D">
      <w:pPr>
        <w:widowControl/>
        <w:shd w:val="clear" w:color="auto" w:fill="FFFFFF"/>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（三）采购标的需满足的质量、安全、技术规格、物理特性等要求；</w:t>
      </w:r>
    </w:p>
    <w:p w14:paraId="3EE189D1">
      <w:pPr>
        <w:widowControl/>
        <w:shd w:val="clear" w:color="auto" w:fill="FFFFFF"/>
        <w:spacing w:line="360" w:lineRule="auto"/>
        <w:jc w:val="left"/>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注：</w:t>
      </w:r>
    </w:p>
    <w:p w14:paraId="5FA7E9FC">
      <w:pPr>
        <w:widowControl/>
        <w:shd w:val="clear" w:color="auto" w:fill="FFFFFF"/>
        <w:spacing w:line="360" w:lineRule="auto"/>
        <w:jc w:val="left"/>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1.下表中标注“▲”的技术参数为重要技术参数，未做任何标注的为一般技术参数。</w:t>
      </w:r>
      <w:r>
        <w:rPr>
          <w:rFonts w:hint="eastAsia" w:hAnsi="宋体" w:cs="宋体"/>
          <w:b/>
          <w:bCs/>
          <w:color w:val="auto"/>
          <w:szCs w:val="21"/>
        </w:rPr>
        <w:t>重要技术参数及采购需求里要求提供证明材料的参数需要</w:t>
      </w:r>
      <w:r>
        <w:rPr>
          <w:rFonts w:hint="eastAsia" w:asciiTheme="minorEastAsia" w:hAnsiTheme="minorEastAsia" w:eastAsiaTheme="minorEastAsia" w:cstheme="minorEastAsia"/>
          <w:b/>
          <w:bCs/>
          <w:color w:val="auto"/>
          <w:kern w:val="0"/>
          <w:szCs w:val="21"/>
        </w:rPr>
        <w:t>提供证明材料，证明材料按照招标文件技术参数内的明确要求提供，未明确的可提供所投产品主要技术指标、参数及性能的公开印刷的详细说明书(非自行拟定)或制造商公开发布的印刷资料(彩页或产品宣传册)或制造商出具的技术参数证明函或第三方检测机构出具的测试报告或功能截图等。不接受投标人自行印刷、打印或者手写的技术支持资料，若投标文件中技术支持资料参数与技术参数及性能要求偏离表应答不符或无上述技术支持资料，视为未满足该条技术参数；投标文件中涉及的技术参数需在投标文件所附的证明材料内图示标注。</w:t>
      </w:r>
    </w:p>
    <w:tbl>
      <w:tblPr>
        <w:tblStyle w:val="41"/>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51"/>
        <w:gridCol w:w="765"/>
        <w:gridCol w:w="6151"/>
        <w:gridCol w:w="603"/>
        <w:gridCol w:w="664"/>
      </w:tblGrid>
      <w:tr w14:paraId="40CC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5" w:hRule="atLeast"/>
          <w:jc w:val="center"/>
        </w:trPr>
        <w:tc>
          <w:tcPr>
            <w:tcW w:w="551" w:type="dxa"/>
            <w:shd w:val="clear" w:color="auto" w:fill="FFFFFF"/>
            <w:vAlign w:val="center"/>
          </w:tcPr>
          <w:p w14:paraId="46537970">
            <w:pPr>
              <w:widowControl/>
              <w:wordWrap w:val="0"/>
              <w:adjustRightInd w:val="0"/>
              <w:snapToGrid w:val="0"/>
              <w:spacing w:line="360" w:lineRule="auto"/>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序号</w:t>
            </w:r>
          </w:p>
        </w:tc>
        <w:tc>
          <w:tcPr>
            <w:tcW w:w="765" w:type="dxa"/>
            <w:shd w:val="clear" w:color="auto" w:fill="FFFFFF"/>
            <w:vAlign w:val="center"/>
          </w:tcPr>
          <w:p w14:paraId="6E4525A2">
            <w:pPr>
              <w:widowControl/>
              <w:wordWrap w:val="0"/>
              <w:adjustRightInd w:val="0"/>
              <w:snapToGrid w:val="0"/>
              <w:spacing w:line="360" w:lineRule="auto"/>
              <w:jc w:val="center"/>
              <w:textAlignment w:val="center"/>
              <w:rPr>
                <w:rFonts w:ascii="宋体" w:hAnsi="宋体" w:cs="宋体"/>
                <w:b/>
                <w:bCs/>
                <w:color w:val="auto"/>
                <w:kern w:val="0"/>
                <w:szCs w:val="21"/>
                <w:lang w:bidi="ar"/>
              </w:rPr>
            </w:pPr>
            <w:r>
              <w:rPr>
                <w:rFonts w:hint="eastAsia" w:ascii="宋体" w:hAnsi="宋体" w:cs="宋体"/>
                <w:b/>
                <w:color w:val="auto"/>
                <w:szCs w:val="21"/>
              </w:rPr>
              <w:t>项目（标的）名称</w:t>
            </w:r>
          </w:p>
        </w:tc>
        <w:tc>
          <w:tcPr>
            <w:tcW w:w="6151" w:type="dxa"/>
            <w:shd w:val="clear" w:color="auto" w:fill="FFFFFF"/>
            <w:vAlign w:val="center"/>
          </w:tcPr>
          <w:p w14:paraId="3C5AF86D">
            <w:pPr>
              <w:widowControl/>
              <w:wordWrap w:val="0"/>
              <w:adjustRightInd w:val="0"/>
              <w:snapToGrid w:val="0"/>
              <w:spacing w:line="360" w:lineRule="auto"/>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技术参数及性能要求</w:t>
            </w:r>
          </w:p>
        </w:tc>
        <w:tc>
          <w:tcPr>
            <w:tcW w:w="603" w:type="dxa"/>
            <w:shd w:val="clear" w:color="auto" w:fill="FFFFFF"/>
            <w:vAlign w:val="center"/>
          </w:tcPr>
          <w:p w14:paraId="1701F2BC">
            <w:pPr>
              <w:widowControl/>
              <w:wordWrap w:val="0"/>
              <w:adjustRightInd w:val="0"/>
              <w:snapToGrid w:val="0"/>
              <w:spacing w:line="360" w:lineRule="auto"/>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数量</w:t>
            </w:r>
          </w:p>
        </w:tc>
        <w:tc>
          <w:tcPr>
            <w:tcW w:w="664" w:type="dxa"/>
            <w:shd w:val="clear" w:color="auto" w:fill="FFFFFF"/>
            <w:vAlign w:val="center"/>
          </w:tcPr>
          <w:p w14:paraId="5C86DF87">
            <w:pPr>
              <w:widowControl/>
              <w:wordWrap w:val="0"/>
              <w:adjustRightInd w:val="0"/>
              <w:snapToGrid w:val="0"/>
              <w:spacing w:line="360" w:lineRule="auto"/>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计量</w:t>
            </w:r>
          </w:p>
          <w:p w14:paraId="73B1AB7D">
            <w:pPr>
              <w:widowControl/>
              <w:wordWrap w:val="0"/>
              <w:adjustRightInd w:val="0"/>
              <w:snapToGrid w:val="0"/>
              <w:spacing w:line="360" w:lineRule="auto"/>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单位</w:t>
            </w:r>
          </w:p>
        </w:tc>
      </w:tr>
      <w:tr w14:paraId="3AD0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1B5A00F4">
            <w:pPr>
              <w:widowControl/>
              <w:jc w:val="center"/>
              <w:textAlignment w:val="center"/>
              <w:rPr>
                <w:rFonts w:ascii="宋体" w:hAnsi="宋体" w:cs="宋体"/>
                <w:color w:val="auto"/>
                <w:kern w:val="0"/>
                <w:szCs w:val="21"/>
              </w:rPr>
            </w:pPr>
            <w:r>
              <w:rPr>
                <w:rFonts w:hint="eastAsia" w:ascii="宋体" w:hAnsi="宋体" w:cs="宋体"/>
                <w:color w:val="auto"/>
                <w:kern w:val="0"/>
                <w:szCs w:val="21"/>
              </w:rPr>
              <w:t>1</w:t>
            </w:r>
          </w:p>
        </w:tc>
        <w:tc>
          <w:tcPr>
            <w:tcW w:w="765" w:type="dxa"/>
            <w:shd w:val="clear" w:color="auto" w:fill="auto"/>
            <w:vAlign w:val="center"/>
          </w:tcPr>
          <w:p w14:paraId="689A899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孪生教研教学空间系统</w:t>
            </w:r>
          </w:p>
        </w:tc>
        <w:tc>
          <w:tcPr>
            <w:tcW w:w="6151" w:type="dxa"/>
            <w:shd w:val="clear" w:color="000000" w:fill="FFFFFF"/>
            <w:vAlign w:val="center"/>
          </w:tcPr>
          <w:p w14:paraId="0036568A">
            <w:pPr>
              <w:widowControl/>
              <w:jc w:val="left"/>
              <w:rPr>
                <w:rFonts w:ascii="宋体" w:hAnsi="宋体" w:cs="宋体"/>
                <w:color w:val="auto"/>
                <w:kern w:val="0"/>
                <w:szCs w:val="21"/>
              </w:rPr>
            </w:pPr>
            <w:r>
              <w:rPr>
                <w:rFonts w:hint="eastAsia" w:ascii="宋体" w:hAnsi="宋体" w:cs="宋体"/>
                <w:color w:val="auto"/>
                <w:kern w:val="0"/>
                <w:szCs w:val="21"/>
                <w:lang w:bidi="ar"/>
              </w:rPr>
              <w:t>1、为保障安全自主可控的使用需求，平台服务端可部署于国产化服务器操作系统上，支持基于国产ARM架构及国产X86架构芯片的服务器；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可针对学校的实验室设置开放计划，分别针对教学班、行政班的指定师生账号进行开启。用户可通过网页或客户端完成账号密码验证后，查看已开放的实验室并进入桌面使用。此外，可通过生成邀请链接的方式进行实验室开启，无需账号注册即可实现操作，只需复制链接至浏览器并输入对应的邀请码即可正常使用；（提供国家认可的第三方权威检测机构出具的检测报告复印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3、以可视化展示板呈现算力集群资源的使用情况，在算力中心的数据可视化页面中，可以展示算力资源池中的各项信息，包括算力中心的总资源量（如CPU核心总数、内存容量和存储总容量）。可通过环形图表现每台设备的本地存储使用率占比，以及整体计算资源的使用情况。页面还将展示各设备的总数据容量以及已使用的容量，并用折线图直观呈现CPU占用率分布和内存占用情况；（提供国家认可的第三方权威检测机构出具的检测报告复印件）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将不同算力类型（原生算力、高性能算力、桌面云算力、信创算力）的物理算力资源（CPU、内存、存储、显存等）抽象化，实现硬件资源池化重构，并可根据算力用途（科研、应用、教学等）及划分多个资源池，每个资源池可独立设置GPU切分策略、集群网络配置策略、课程桌面创建策略、课程桌面存储策略；</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5、在实验室的开放信息页面中，单间实验室可以每天安排若干次开放活动。每个开放计划包含以下信息：名称、开放方式、使用对象（如学生、教师等）、具体的开始和结束时间，以及是否需要定期重复执行。此外，还包括开放期间的可用时段、是否允许预约以及每日预约上限；（提供国家认可的第三方权威检测机构出具的检测报告复印件）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可根据不同课程上课师生人数的差异，迅速创建一个不与线下实验室关联的虚拟实验室，支持IPV4及IPV6的网络配置，可自定义实验室的虚拟终端接入上限，最大支持不少于999个师生桌面同堂使用，方便师生用个人笔记本电脑或实验室现有终端接入虚拟实验室使用课程桌面，虚拟实验室创建成功后管理员即可为其匹配对应的算力环境及开放策略；（提供功能截图）</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可批量生成无需绑定师生身份信息的公共教学环境下分时复用的还原式课程桌面，也可批量生成绑定师生身份信息的实验课、学科竞赛、长期科研环境下数据长期保留的伴随式课程桌面，支持自定义与课程匹配的实验教学操作系统环境（涵盖IP地址、网络配置、性能配置、操作系统版本），可根据课程环境要求也可灵活设定环境策略（涵盖USB重定向策略、屏幕水印显示策略、系统盘/数据盘还原策略），还原式课程桌面使用时限到期时相关资源自动回收共享给其他师生分配使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在集群均衡策略界面中支持跨资源负载均衡功能。当某个资源池的计算节点出现CPU或内存使用量超出设定的基准水平时，该资源池中的工作负载将自动转移至其他资源池的计算节点。此外，可指定目标计算节点范围，用户还可通过一键操作启用或关闭负载均衡功能，同时对配置进行新增或调整；（提供国家认可的第三方权威检测机构出具的检测报告复印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9、支持高并发教学的磁盘加速策略及灵活的资源回收策略，基于冗余内存资源，在高并发教学场景下的可临时调度内存资源加速师生桌面应用以实现更流畅运行；可自定义设置桌面资源自动回收计时，当师生桌面使用完毕断开连接后按时回归资源池并允许其他师生按需使用；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10、在实验室开放页面上，允许学生设置预约权限。该页面能够显示当前开放的实验室，并让学生为每个实验室指定具体的预约日期和时间段。在同一天内，学生可以对多个时间段进行预约，但如果某一个时段的预约数量达到开放的上限，则将无法继续预约。此外，学生可以查看他们的个人预约列表，并在指定的预约时间段之前取消任何预约；（提供国家认可的第三方权威检测机构出具的检测报告复印件）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集成算力集群智能健康监测工具实现平台的标准化健康评估及修复，可进行算力集群资源健康状态、算力接入端的连接稳定性、算力集群的网络稳定性、数据库的运行状态、文件系统的一致性等深度健康检查，并提供量化的系统健康评分及详细的诊断报告，为管理员提供引导式故障恢复建议和一键式故障恢复功能；（提供功能截图）</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12、通过系统设置，可开启特定选项来激活端与算力服务单元之间的数据加密和镜像校验功能；在资源池管理页面，可以实时监控各个资源池中运行的系统服务状态，并提供对出现故障的异常服务远程一键重启；（提供国家认可的第三方权威检测机构出具的检测报告复印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13、支持对多类型网络分流以提升网络稳定性，可将管理网络、数据网络、镜像网络进行分离设置，且支持多网卡绑定(多网卡分流)，网卡绑定应支持常用模式包括：Broadcast、Round-robin、Active-backup、Load-balance、Lacp(802.3ad) 、Random等；为方便操作、降低操作难度，以上要求应在网页图形化界面配置无需命令行；（提供功能截图）</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14、提供对算力接入端无线访问认证模式的批量设置能力，通过网络虚拟化技术按需构建多个虚拟交换机对算力集群环境进行统一的数据传输与网络管理，支持根据实际网络架构设置对应的网络类型，并允许指定虚拟交换机所关联的主机及需要映射的网络适配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15、支持以可视化拓扑图呈现不同实验室的设备网络连接模式，展示当前使用率最高的四间实验室的网络连接状态，划分为无线AP接入模式与有线网络接入模式；（提供国家认可的第三方权威检测机构出具的检测报告复印件）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16、支持划分资源为教学应用授权生成多个专用的应用授权桌面，可基于如Windows Server、RedHat、CentOS、服务器版UOS/KylinOS等服务器操作系统进行部署，支持自定义应用授权桌面的运行配置（涵盖虚拟CPU核数、虚拟内存容量、虚拟硬盘容量、虚拟存储容量、虚拟网络策略），可设定承载应用授权桌面的算力节点并随之开机自启，支持利用虚拟化透传技术将连接于算力节点上的USB接口加密狗及PCI接口外设（如网卡、显卡等）传输至不同的应用授权桌面内使用；（提供功能截图）</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17、支持桌面配置的自动化审批，可设置自动批准的时间范围和可用时段，并设置定制化审批成功或失败的提示信息。此外，可指定环境使用的有效期限范围。当申请环境符合设定的规则，系统将自动生成批准并提供访问权限。同时，也可以限制一个用户在某一天内最多提交多少个请求以及自动批准的数量，以确保审批流程的正常运行；（提供国家认可的第三方权威检测机构出具的检测报告复印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18、可设置实验室开放计划中的桌面回收策略，当实验室开放计划的使用时间段结束时，平台可自动对尚在使用的桌面执行强制关机以回收资源，也可任其继续使用，于桌面关机后进行资源回收；同时也支持面向开放的实验室设置资源回收策略，当学生使用开放实验室中的桌面断开连接若干分钟后，若是云端算力桌面则对应终端绑定释放给其他学生使用，若是本地算力桌面则会执行终端关机操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19、实验室的开放计划可设置详细的开放周期，可设置开始日期及结束日期，开放周期内可提供全天时间开放，也可根据具体时间段来开放（详细到分钟），支持根据课程安排执行按具体星期几开放以及隔周开放；（提供功能截图）</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20、系统支持无需管理员生成桌面模板,审批桌面定制申请支持开启申请人制作桌面,可为申请人开放制作桌面的权限，满足师生可随时修改或制作个性化实验实训环境的需求；（提供国家认可的第三方权威检测机构出具的检测报告复印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21、为提升师生对开放环境的操作自主性，提供教学资源环境开放功能，支持直接引入资源管理平台已有教学资源环境进行开放，线上开放需指定开放目录和指定发布组织、账号，支持自定义开放目录；支持管理员对已开放的教学资源环境开放策略执行修改、暂停、取消、下架等操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22、为便于管理员快速调整漫游计划，支持分别查看进行中及已结束的漫游计划信息，展示信息包含计划名称、漫游对象、计划时间、回收策略、计划状态等，管理员可针对单个漫游计划执行修改、暂停、恢复、取消等操作；（提供功能截图）</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23、支持自定义开放模板的目录以方便归类，支持设置≥29个目录，删除目录时其包含的模板可自动移入默认目录；</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24、支持管理员设置师生登录门户的预约权限，当线下实验室排课拥挤无法支撑大规模预约时管理员可一键隐藏师生门户的实验室预约页面，当算力资源紧张时可一键隐藏师生门户的桌面申请及定制申请页面，同时也可根据资源冗余情况设定桌面创建/定制申请中的团队预约模式是否支持教师或学生角色使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25、支持管理员灵活配置在线数据仓库的容量及规格，可基于当前算力集群中的某一台服务器作为存储空间，可面向教学行政班的师生批量开启网盘并划分为其划分初始网盘容量，若学生因网盘存储资料较多而出现容量不足的情况管理员可以一键扩容，若学生毕业后可一键关闭该学生的网盘账号并自动清除对应资料以释放空间；</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26、支持多种状态反馈申请单进展，包含师生提交申请单后未被管理员操作的待处理状态、在申请单的使用时间过后仍未审批的已过期状态、驳回申请单的驳回状态、通过申请单后的审批成功状态、通过审批单且成功分配资源的交付成功状态以及通过审批单但因资源不足未能分配资源的交付失败状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27、为避免因过量带宽使用导致的网络冲击影响平台稳定性，支持桌面连接策略的配置选项。该选项支持全实验室或指定实验室的覆盖范围，一旦开启，可以选择流畅度优先、均衡或画质优先等三种预设档位。此外，还可以自定义调整图像质量和帧率参数，并对策略进行帧率设置、暂停计划配置及删除管理；（提供国家认可的第三方权威检测机构出具的检测报告复印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28、为避免在线远端访问带来的网络访问压力，支持仅面向已引入的多间虚拟实验室及指定的多个课程桌面进行桌面连接策略的设置，可同时设置并开启多个策略，也可以灵活修改策略帧率，暂停策略计划及删除无用策略；（提供功能截图）</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29、提供面向不同教学班师生在线桌面使用数据的统计，详细记录服务对象的实验室预约申请数、桌面创建申请数、桌面定制申请数、桌面总使用次数、桌面总使用时长和桌面使用记录详情，详细记录使用桌面的名称，时间和时长；</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30、提供师生长周期在线桌面使用数据的存储策略设置，可将服务记录保留时间按需设置为一个月/三个月/半年/一年/三年，且相关服务记录支持导出，便于了解学生课后学习的自主性数据并形成新的学习评价方向；（提供国家认可的第三方权威检测机构出具的检测报告复印件）</w:t>
            </w:r>
          </w:p>
        </w:tc>
        <w:tc>
          <w:tcPr>
            <w:tcW w:w="603" w:type="dxa"/>
            <w:shd w:val="clear" w:color="000000" w:fill="FFFFFF"/>
            <w:vAlign w:val="center"/>
          </w:tcPr>
          <w:p w14:paraId="3051A14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64" w:type="dxa"/>
            <w:shd w:val="clear" w:color="000000" w:fill="FFFFFF"/>
            <w:vAlign w:val="center"/>
          </w:tcPr>
          <w:p w14:paraId="5E1BE28E">
            <w:pPr>
              <w:widowControl/>
              <w:jc w:val="center"/>
              <w:textAlignment w:val="center"/>
              <w:rPr>
                <w:rFonts w:ascii="宋体" w:hAnsi="宋体" w:cs="宋体"/>
                <w:color w:val="auto"/>
                <w:kern w:val="0"/>
                <w:szCs w:val="21"/>
              </w:rPr>
            </w:pPr>
            <w:r>
              <w:rPr>
                <w:rFonts w:hint="eastAsia" w:ascii="宋体" w:hAnsi="宋体" w:cs="宋体"/>
                <w:color w:val="auto"/>
                <w:szCs w:val="21"/>
              </w:rPr>
              <w:t>套</w:t>
            </w:r>
          </w:p>
        </w:tc>
      </w:tr>
      <w:tr w14:paraId="4F6A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4ECD54D5">
            <w:pPr>
              <w:widowControl/>
              <w:jc w:val="center"/>
              <w:textAlignment w:val="center"/>
              <w:rPr>
                <w:rFonts w:ascii="宋体" w:hAnsi="宋体" w:cs="宋体"/>
                <w:color w:val="auto"/>
                <w:kern w:val="0"/>
                <w:szCs w:val="21"/>
              </w:rPr>
            </w:pPr>
            <w:r>
              <w:rPr>
                <w:rFonts w:hint="eastAsia" w:ascii="宋体" w:hAnsi="宋体" w:cs="宋体"/>
                <w:color w:val="auto"/>
                <w:kern w:val="0"/>
                <w:szCs w:val="21"/>
              </w:rPr>
              <w:t>2</w:t>
            </w:r>
          </w:p>
        </w:tc>
        <w:tc>
          <w:tcPr>
            <w:tcW w:w="765" w:type="dxa"/>
            <w:shd w:val="clear" w:color="auto" w:fill="auto"/>
            <w:vAlign w:val="center"/>
          </w:tcPr>
          <w:p w14:paraId="3CA1391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孪生教研接入系统</w:t>
            </w:r>
          </w:p>
        </w:tc>
        <w:tc>
          <w:tcPr>
            <w:tcW w:w="6151" w:type="dxa"/>
            <w:shd w:val="clear" w:color="000000" w:fill="FFFFFF"/>
            <w:vAlign w:val="center"/>
          </w:tcPr>
          <w:p w14:paraId="298A5DE8">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1、支持为用户交付云端算力桌面的跨空间远程访问使用，本地算力桌面的固定式教室使用，提供公共教学类及个人专享类桌面的使用，可提供对桌面环境的生成、配置及更新；</w:t>
            </w:r>
          </w:p>
          <w:p w14:paraId="0B2B93F6">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2、具备使用向导，清晰展示用户门户相关功能的使用步骤及原则，让师生快速掌握使用方式；</w:t>
            </w:r>
          </w:p>
          <w:p w14:paraId="11FBBBDA">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支持以模块化图片展示管理员开放的孪生实验室，信息包含实验室名、接入上限、剩余接入数以及当前实验室可选择的桌面环境，可根据空闲状态及已满状态快速筛选对应类型开放实验室，也可根据实验室名称进行精准的实验室搜索定位；</w:t>
            </w:r>
          </w:p>
          <w:p w14:paraId="697B4524">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显示当前账号被管理员统一分配的所有可使用的虚拟桌面，可根据桌面名称进行精准的虚拟桌面搜索定位，为了便于师生的信息获取，虚拟桌面的展示信息至少包含在/离线状态、硬件配置、虚拟桌面名称、虚拟桌面操作系统类型、虚拟桌面可用时间，支持师生对虚拟桌面进行唤醒、挂起、重启、自然关机、强制关机等状态操作；</w:t>
            </w:r>
          </w:p>
          <w:p w14:paraId="578D34B8">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5、为保障极端环境下的桌面数据保留，在孪生虚拟桌面因异常或系统崩溃无法正常进入系统的极端情况下，师生可自主进行对应桌面数据的找回，可将异常桌面调用进入WinPE，从而将相关个人数据正常导出；</w:t>
            </w:r>
          </w:p>
          <w:p w14:paraId="74301CF1">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6、针对已导出数据的异常桌面，师生可自主将桌面进行重置，重置将清除桌面的所有数据并将桌面恢复至初始状态；</w:t>
            </w:r>
          </w:p>
          <w:p w14:paraId="4E9DFBDF">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7、为方便师生使用过程中的资料流转，桌面使用过程中可调用顶部导航栏，通过导航栏可将桌面内的文件下载至系统本地，也可将系统本地或移动存储设备中的文件以拖拽的形式上传至桌面中；</w:t>
            </w:r>
          </w:p>
          <w:p w14:paraId="16B36FA7">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针对学生提前预约实验室使用的需求，支持孪生实验室的占位预约，可根据桌面环境需求选择需预约的实验室、预约的日期以及预约的时间段，确认预约后将自动审批，学生可查看个人预约单，并可随时取消个人待开始的预约；预约的学生可自由选择教室中的座位进行占位，可自行选择管理员开放的教学环境进入使用，在该座位已预约使用时间段内其他学生无法再对此座位进行占位预约；（提供功能截图）</w:t>
            </w:r>
          </w:p>
          <w:p w14:paraId="0F3C699D">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▲9、支持学生对个人Windows桌面的数据找回，通过安装WinPE-ISO到个人Windows桌面，进入PE环境后，可以拷贝出个人桌面数据；（提供国家认可的第三方权威检测机构出具的检测报告复印件）</w:t>
            </w:r>
          </w:p>
          <w:p w14:paraId="0BE14D31">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10、提供个人中心界面，用户可在个人中心中查看其个人信息，允许用户对个人信息进行修改，提供密码修改功能，支持设置默认页面展示内容；</w:t>
            </w:r>
          </w:p>
          <w:p w14:paraId="5926DA90">
            <w:pPr>
              <w:pStyle w:val="14"/>
              <w:rPr>
                <w:rFonts w:ascii="宋体" w:hAnsi="宋体" w:cs="宋体"/>
                <w:color w:val="auto"/>
                <w:kern w:val="0"/>
                <w:szCs w:val="21"/>
                <w:lang w:bidi="ar"/>
              </w:rPr>
            </w:pPr>
            <w:r>
              <w:rPr>
                <w:rFonts w:hint="eastAsia" w:ascii="宋体" w:hAnsi="宋体" w:cs="宋体"/>
                <w:color w:val="auto"/>
                <w:kern w:val="0"/>
                <w:szCs w:val="21"/>
                <w:lang w:bidi="ar"/>
              </w:rPr>
              <w:t>11、支持使用客户端直接调用本地笔记本电脑连接的USB外设，客户端具备先进的USB设备重定向技术，无需对网络配置进行任何更改，支持师生将物理连接到本地笔记本电脑的USB外接设备无缝地映射到云端的虚拟环境中，并且通过加密的安全通道进行数据传输，以保护数据的完整性和隐私性，从而实现数据的传输、设备的控制和功能的扩展；</w:t>
            </w:r>
          </w:p>
          <w:p w14:paraId="54ABA232">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12、在预约与申请页面,学生登录后可查看教师面向其开放的桌面模板并进行桌面申请,为学生展示不同桌面模板的模板名称、系统类型、模板描述、CPU核数、内存容量、系统盘容量和使用次数,可按模板名称、模板描述搜索定位指定的桌面模板,也可按照模板分组来筛选所需模板；（提供国家认可的第三方权威检测机构出具的检测报告复印件）</w:t>
            </w:r>
          </w:p>
          <w:p w14:paraId="7B6CC8F4">
            <w:pPr>
              <w:pStyle w:val="14"/>
              <w:rPr>
                <w:rFonts w:ascii="宋体" w:hAnsi="宋体" w:cs="宋体"/>
                <w:color w:val="auto"/>
                <w:kern w:val="0"/>
                <w:szCs w:val="21"/>
              </w:rPr>
            </w:pPr>
            <w:r>
              <w:rPr>
                <w:rFonts w:hint="eastAsia" w:ascii="宋体" w:hAnsi="宋体" w:cs="宋体"/>
                <w:color w:val="auto"/>
                <w:kern w:val="0"/>
                <w:szCs w:val="21"/>
                <w:lang w:bidi="ar"/>
              </w:rPr>
              <w:t>13、提供软件著作权证书复印件，为保证产品稳定性和兼容性，</w:t>
            </w:r>
            <w:r>
              <w:rPr>
                <w:rFonts w:hint="eastAsia" w:ascii="宋体" w:hAnsi="宋体" w:cs="宋体"/>
                <w:color w:val="auto"/>
                <w:kern w:val="0"/>
                <w:sz w:val="21"/>
                <w:szCs w:val="21"/>
                <w:lang w:bidi="ar"/>
              </w:rPr>
              <w:t>要求孪生教研教学空间系统、孪生教研接入系统、云端智算系统模块、教研智算分析系统模块须相互兼容，提供模块统一纳管对接承诺书</w:t>
            </w:r>
            <w:r>
              <w:rPr>
                <w:rFonts w:hint="eastAsia" w:ascii="宋体" w:hAnsi="宋体" w:cs="宋体"/>
                <w:color w:val="auto"/>
                <w:kern w:val="0"/>
                <w:szCs w:val="21"/>
                <w:lang w:bidi="ar"/>
              </w:rPr>
              <w:t>。</w:t>
            </w:r>
          </w:p>
        </w:tc>
        <w:tc>
          <w:tcPr>
            <w:tcW w:w="603" w:type="dxa"/>
            <w:shd w:val="clear" w:color="000000" w:fill="FFFFFF"/>
            <w:vAlign w:val="center"/>
          </w:tcPr>
          <w:p w14:paraId="12916DB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40</w:t>
            </w:r>
          </w:p>
        </w:tc>
        <w:tc>
          <w:tcPr>
            <w:tcW w:w="664" w:type="dxa"/>
            <w:shd w:val="clear" w:color="000000" w:fill="FFFFFF"/>
            <w:vAlign w:val="center"/>
          </w:tcPr>
          <w:p w14:paraId="25DD5D8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点</w:t>
            </w:r>
          </w:p>
        </w:tc>
      </w:tr>
      <w:tr w14:paraId="654B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047A102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w:t>
            </w:r>
          </w:p>
        </w:tc>
        <w:tc>
          <w:tcPr>
            <w:tcW w:w="765" w:type="dxa"/>
            <w:shd w:val="clear" w:color="auto" w:fill="auto"/>
            <w:vAlign w:val="center"/>
          </w:tcPr>
          <w:p w14:paraId="5A46319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教研实训交互系统</w:t>
            </w:r>
          </w:p>
        </w:tc>
        <w:tc>
          <w:tcPr>
            <w:tcW w:w="6151" w:type="dxa"/>
            <w:shd w:val="clear" w:color="000000" w:fill="FFFFFF"/>
            <w:vAlign w:val="center"/>
          </w:tcPr>
          <w:p w14:paraId="29C7309F">
            <w:pPr>
              <w:pStyle w:val="14"/>
              <w:numPr>
                <w:ilvl w:val="0"/>
                <w:numId w:val="0"/>
              </w:numPr>
              <w:rPr>
                <w:rFonts w:ascii="宋体" w:hAnsi="宋体" w:cs="宋体"/>
                <w:color w:val="auto"/>
                <w:kern w:val="0"/>
                <w:szCs w:val="21"/>
                <w:lang w:bidi="ar"/>
              </w:rPr>
            </w:pPr>
            <w:r>
              <w:rPr>
                <w:rFonts w:ascii="宋体" w:hAnsi="宋体" w:eastAsia="宋体" w:cs="宋体"/>
                <w:color w:val="auto"/>
                <w:kern w:val="0"/>
                <w:sz w:val="21"/>
                <w:szCs w:val="21"/>
                <w:lang w:val="en-US" w:eastAsia="zh-CN" w:bidi="ar"/>
              </w:rPr>
              <w:t>1、</w:t>
            </w:r>
            <w:r>
              <w:rPr>
                <w:rFonts w:hint="eastAsia" w:ascii="宋体" w:hAnsi="宋体" w:cs="宋体"/>
                <w:color w:val="auto"/>
                <w:kern w:val="0"/>
                <w:szCs w:val="21"/>
                <w:lang w:bidi="ar"/>
              </w:rPr>
              <w:t>实验设备支持对所有区域的云部署进行全面的统计与分析，提供详尽的数据可视化功能，数据包括但不限于以下信息：CPU使用率、内存使用率、存储使用率、教室数量、终端设备数量、使用次数、各个桌面场景的使用时长、机房内的日均使用时长等；</w:t>
            </w:r>
          </w:p>
          <w:p w14:paraId="75A1883F">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2、屏幕尺寸不低于23.8英寸，需包含配套有线键鼠设备；</w:t>
            </w:r>
          </w:p>
          <w:p w14:paraId="0898F59E">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3、终端使用本地高性能计算资源进行统一管理和维护，设备物理内核不低于四个，最高数字脉冲信号运算速度可达两千兆赫兹；</w:t>
            </w:r>
          </w:p>
          <w:p w14:paraId="3DC9398C">
            <w:pPr>
              <w:pStyle w:val="14"/>
              <w:numPr>
                <w:ilvl w:val="255"/>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4、运行过程中提供不少于四千兆字节的运行主存储器空间，保障设备本地不低于一百二十八吉字节的固态驱动存储空间；</w:t>
            </w:r>
          </w:p>
          <w:p w14:paraId="18533353">
            <w:pPr>
              <w:pStyle w:val="14"/>
              <w:numPr>
                <w:ilvl w:val="255"/>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5、支持虚拟教室功能，支持手动将终端划分到对应的教室，同时支持根据终端设备IP地址自动将终端纳入到不同的教室进行统一管理；</w:t>
            </w:r>
          </w:p>
          <w:p w14:paraId="636269F6">
            <w:pPr>
              <w:pStyle w:val="14"/>
              <w:numPr>
                <w:ilvl w:val="255"/>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6、开放的面向多场景下的外设连接，不低于8个通用的USB接口，同时支持语音的连接和使用，提供的显示接口不少于1个HDMI口、1个VGA口；</w:t>
            </w:r>
          </w:p>
          <w:p w14:paraId="0B26C6AD">
            <w:pPr>
              <w:pStyle w:val="14"/>
              <w:numPr>
                <w:ilvl w:val="255"/>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7、支持上电自启动功能，并能够根据实际使用情况选择关闭或开启；</w:t>
            </w:r>
          </w:p>
          <w:p w14:paraId="6E3CC7B8">
            <w:pPr>
              <w:pStyle w:val="14"/>
              <w:numPr>
                <w:ilvl w:val="255"/>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8、支持系统环境的批量部署，可根据不同专业的教学、考试要求，快速创建多套教学环境，使用时开放，不使用时随时回收；</w:t>
            </w:r>
          </w:p>
          <w:p w14:paraId="52C2D78D">
            <w:pPr>
              <w:pStyle w:val="14"/>
              <w:numPr>
                <w:ilvl w:val="255"/>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9、考虑到每年都有需要隔位考试的情况，为提高管理便捷度，应支持终端的快速筛选功能，可以通过单数序号或双数序号的方式进行批量管理；</w:t>
            </w:r>
          </w:p>
          <w:p w14:paraId="4C8773F1">
            <w:pPr>
              <w:pStyle w:val="14"/>
              <w:numPr>
                <w:ilvl w:val="255"/>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10、支持多种考试场景，包括但不限于全国计算机等级考试、ATA考试、会计类考试，在考试场景下，终端出现断网、断电等故障保证考试数据不丢；</w:t>
            </w:r>
          </w:p>
          <w:p w14:paraId="52D68BFE">
            <w:pPr>
              <w:pStyle w:val="14"/>
              <w:numPr>
                <w:ilvl w:val="255"/>
                <w:numId w:val="0"/>
              </w:numPr>
              <w:rPr>
                <w:rFonts w:ascii="宋体" w:hAnsi="宋体" w:cs="宋体"/>
                <w:color w:val="auto"/>
                <w:kern w:val="0"/>
                <w:szCs w:val="21"/>
              </w:rPr>
            </w:pPr>
            <w:r>
              <w:rPr>
                <w:rFonts w:hint="eastAsia" w:ascii="宋体" w:hAnsi="宋体" w:cs="宋体"/>
                <w:color w:val="auto"/>
                <w:kern w:val="0"/>
                <w:szCs w:val="21"/>
                <w:lang w:bidi="ar"/>
              </w:rPr>
              <w:t>11、信息点布线:包括钢制桥架、六类网线、电源线、国标插座、跳线、光纤、水晶头及布线费用等。</w:t>
            </w:r>
          </w:p>
        </w:tc>
        <w:tc>
          <w:tcPr>
            <w:tcW w:w="603" w:type="dxa"/>
            <w:shd w:val="clear" w:color="000000" w:fill="FFFFFF"/>
            <w:vAlign w:val="center"/>
          </w:tcPr>
          <w:p w14:paraId="1D72355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40</w:t>
            </w:r>
          </w:p>
        </w:tc>
        <w:tc>
          <w:tcPr>
            <w:tcW w:w="664" w:type="dxa"/>
            <w:shd w:val="clear" w:color="000000" w:fill="FFFFFF"/>
            <w:vAlign w:val="center"/>
          </w:tcPr>
          <w:p w14:paraId="2AB7CDF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75C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0E36FAE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4</w:t>
            </w:r>
          </w:p>
        </w:tc>
        <w:tc>
          <w:tcPr>
            <w:tcW w:w="765" w:type="dxa"/>
            <w:shd w:val="clear" w:color="auto" w:fill="auto"/>
            <w:vAlign w:val="center"/>
          </w:tcPr>
          <w:p w14:paraId="3838CE7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教研智算分析系统模块</w:t>
            </w:r>
          </w:p>
        </w:tc>
        <w:tc>
          <w:tcPr>
            <w:tcW w:w="6151" w:type="dxa"/>
            <w:shd w:val="clear" w:color="000000" w:fill="FFFFFF"/>
            <w:vAlign w:val="center"/>
          </w:tcPr>
          <w:p w14:paraId="15B04C83">
            <w:pPr>
              <w:pStyle w:val="14"/>
              <w:numPr>
                <w:ilvl w:val="0"/>
                <w:numId w:val="0"/>
              </w:numPr>
              <w:rPr>
                <w:rFonts w:ascii="宋体" w:hAnsi="宋体" w:cs="宋体"/>
                <w:color w:val="auto"/>
                <w:kern w:val="0"/>
                <w:szCs w:val="21"/>
                <w:lang w:bidi="ar"/>
              </w:rPr>
            </w:pPr>
            <w:r>
              <w:rPr>
                <w:rFonts w:hint="eastAsia" w:ascii="宋体" w:hAnsi="宋体" w:eastAsia="宋体" w:cs="宋体"/>
                <w:color w:val="auto"/>
                <w:kern w:val="0"/>
                <w:sz w:val="21"/>
                <w:szCs w:val="21"/>
                <w:lang w:val="en-US" w:eastAsia="zh-CN" w:bidi="ar"/>
              </w:rPr>
              <w:t>一、</w:t>
            </w:r>
            <w:r>
              <w:rPr>
                <w:rFonts w:hint="eastAsia" w:ascii="宋体" w:hAnsi="宋体" w:cs="宋体"/>
                <w:color w:val="auto"/>
                <w:kern w:val="0"/>
                <w:szCs w:val="21"/>
                <w:lang w:bidi="ar"/>
              </w:rPr>
              <w:t>使用功能要求：</w:t>
            </w:r>
          </w:p>
          <w:p w14:paraId="6E9FD2D3">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1、为孪生教研平台提供人工智能算力资源硬件支撑；</w:t>
            </w:r>
          </w:p>
          <w:p w14:paraId="34B21D66">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2、支持多校区算力资源跨空间纳管调度，专网互通的多个校区之间通过统一门户即可实现多校区间算力集群的用户管理及权限划分，多校区间的实时资源使用反馈；</w:t>
            </w:r>
          </w:p>
          <w:p w14:paraId="3DCCDAC5">
            <w:pPr>
              <w:pStyle w:val="14"/>
              <w:numPr>
                <w:ilvl w:val="0"/>
                <w:numId w:val="0"/>
              </w:numPr>
              <w:rPr>
                <w:rFonts w:hint="eastAsia" w:ascii="宋体" w:hAnsi="宋体" w:cs="宋体"/>
                <w:color w:val="auto"/>
                <w:kern w:val="0"/>
                <w:szCs w:val="21"/>
                <w:lang w:bidi="ar"/>
              </w:rPr>
            </w:pPr>
            <w:r>
              <w:rPr>
                <w:rFonts w:hint="eastAsia" w:ascii="宋体" w:hAnsi="宋体" w:cs="宋体"/>
                <w:color w:val="auto"/>
                <w:kern w:val="0"/>
                <w:szCs w:val="21"/>
                <w:lang w:bidi="ar"/>
              </w:rPr>
              <w:t>3、以可视化拓扑图呈现算力集群资源的使用情况，清晰展示算力资源池中不同算力类型的分布状态，动态呈现算力中心资源池总数、算力中心存储总容量，支持以环形图百分比展示不同算力设备的本地存储使用率占比；</w:t>
            </w:r>
          </w:p>
          <w:p w14:paraId="43CB7FFA">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4、内置资源监测功能，能够实时监测设备的资源占用情况，并且可用Web管理平台进行图像化显示，可以灵活监控每一台资源群节点的运行进程；</w:t>
            </w:r>
          </w:p>
          <w:p w14:paraId="0718753E">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5、可进行场景化定制开放使用，场景使用完毕可弹性回收，清除本地资源占用用于其余研管环境；</w:t>
            </w:r>
          </w:p>
          <w:p w14:paraId="65FE9499">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6、当资源节点出现故障，不会对用户本地化任何操作造成影响，支持软件数据的导入功能，可将资源节点上的数据全部同步到接收器上，保障数据的统一性；</w:t>
            </w:r>
          </w:p>
          <w:p w14:paraId="03076B90">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二、平台支撑要求：</w:t>
            </w:r>
          </w:p>
          <w:p w14:paraId="333E1464">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1、提供标准2U机架设备；</w:t>
            </w:r>
          </w:p>
          <w:p w14:paraId="1F4A017C">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2、可以通过管理平台进行文件上传，包括软件程序以及更新补丁等内容，并支持对上传内容进行分类管理，便于在web平台进行更新时随时调用本地文件；</w:t>
            </w:r>
          </w:p>
          <w:p w14:paraId="52F385D3">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3、提供报警功能，可以在指定监控范围内设置报警指标，其中包括计算资源使用率、存储空间占用情况、运行时间和授权时间等参数。用户还可设定触发阈值和持续时间，并将报警信息发送至指定管理员的电子邮件地址中；</w:t>
            </w:r>
          </w:p>
          <w:p w14:paraId="1D4D48B9">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4、可被软件和编译器更改一同使用，以确保在编译器时间使用的内存参考在运行时不会因缓存溢出或不足而变得不安全；</w:t>
            </w:r>
          </w:p>
          <w:p w14:paraId="410E974D">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5、拥有虚拟化技术：使单个平台生成多个“虚拟”平台。可将计算活动隔离到多个独立分区保持工作效率；</w:t>
            </w:r>
          </w:p>
          <w:p w14:paraId="49A0C67B">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6、实配两个中央计算单元，每个中央计算单元物理内核不低于三十二个，每个物理内核可模拟出两个逻辑内核，基础数字脉冲信号震荡速度不低于两千八百兆赫兹，最高可达三千七百兆赫兹；</w:t>
            </w:r>
          </w:p>
          <w:p w14:paraId="1C8E68BE">
            <w:pPr>
              <w:pStyle w:val="14"/>
              <w:numPr>
                <w:ilvl w:val="255"/>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7、数据缓存容量需不低于八百九十六吉字节，数据存储容量需不低于一块具备非易失性内存主机控制器接口规范的三千八百四十吉字节的固态驱动器，同时具备三块十二太字节的串口数据存储器；</w:t>
            </w:r>
          </w:p>
          <w:p w14:paraId="1E750396">
            <w:pPr>
              <w:pStyle w:val="14"/>
              <w:numPr>
                <w:ilvl w:val="255"/>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8、网络要求：为了减少网络延迟，须支持I/O AT、负载均衡、链路汇聚、绑定冗余等特性；提供不少于两个万兆比特、及两个千兆比特每秒速率的网络传输接口</w:t>
            </w:r>
            <w:r>
              <w:rPr>
                <w:rFonts w:hint="eastAsia" w:ascii="宋体" w:hAnsi="宋体" w:cs="宋体"/>
                <w:color w:val="auto"/>
                <w:kern w:val="0"/>
                <w:szCs w:val="21"/>
                <w:lang w:eastAsia="zh-CN" w:bidi="ar"/>
              </w:rPr>
              <w:t>；</w:t>
            </w:r>
          </w:p>
          <w:p w14:paraId="5633E944">
            <w:pPr>
              <w:pStyle w:val="14"/>
              <w:numPr>
                <w:ilvl w:val="255"/>
                <w:numId w:val="0"/>
              </w:numPr>
              <w:rPr>
                <w:rFonts w:hint="eastAsia" w:ascii="宋体" w:hAnsi="宋体" w:eastAsia="宋体" w:cs="宋体"/>
                <w:color w:val="auto"/>
                <w:kern w:val="0"/>
                <w:szCs w:val="21"/>
                <w:lang w:eastAsia="zh-CN"/>
              </w:rPr>
            </w:pPr>
            <w:r>
              <w:rPr>
                <w:rFonts w:hint="eastAsia" w:ascii="宋体" w:hAnsi="宋体" w:cs="宋体"/>
                <w:color w:val="auto"/>
                <w:kern w:val="0"/>
                <w:szCs w:val="21"/>
                <w:lang w:bidi="ar"/>
              </w:rPr>
              <w:t>9、支持IPMI2.0，对外提供</w:t>
            </w:r>
            <w:r>
              <w:rPr>
                <w:rFonts w:hint="eastAsia"/>
                <w:color w:val="auto"/>
              </w:rPr>
              <w:t>≥</w:t>
            </w:r>
            <w:r>
              <w:rPr>
                <w:rFonts w:hint="eastAsia" w:ascii="宋体" w:hAnsi="宋体" w:cs="宋体"/>
                <w:color w:val="auto"/>
                <w:kern w:val="0"/>
                <w:szCs w:val="21"/>
                <w:lang w:bidi="ar"/>
              </w:rPr>
              <w:t>1个管理网口，支持远程管理</w:t>
            </w:r>
            <w:r>
              <w:rPr>
                <w:rFonts w:hint="eastAsia" w:ascii="宋体" w:hAnsi="宋体" w:cs="宋体"/>
                <w:color w:val="auto"/>
                <w:kern w:val="0"/>
                <w:szCs w:val="21"/>
                <w:lang w:eastAsia="zh-CN" w:bidi="ar"/>
              </w:rPr>
              <w:t>。</w:t>
            </w:r>
          </w:p>
        </w:tc>
        <w:tc>
          <w:tcPr>
            <w:tcW w:w="603" w:type="dxa"/>
            <w:shd w:val="clear" w:color="000000" w:fill="FFFFFF"/>
            <w:vAlign w:val="center"/>
          </w:tcPr>
          <w:p w14:paraId="5997539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w:t>
            </w:r>
          </w:p>
        </w:tc>
        <w:tc>
          <w:tcPr>
            <w:tcW w:w="664" w:type="dxa"/>
            <w:shd w:val="clear" w:color="000000" w:fill="FFFFFF"/>
            <w:vAlign w:val="center"/>
          </w:tcPr>
          <w:p w14:paraId="2899B97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3A99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19C2461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5</w:t>
            </w:r>
          </w:p>
        </w:tc>
        <w:tc>
          <w:tcPr>
            <w:tcW w:w="765" w:type="dxa"/>
            <w:shd w:val="clear" w:color="auto" w:fill="auto"/>
            <w:vAlign w:val="center"/>
          </w:tcPr>
          <w:p w14:paraId="13118F9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数字化教学设备</w:t>
            </w:r>
          </w:p>
        </w:tc>
        <w:tc>
          <w:tcPr>
            <w:tcW w:w="6151" w:type="dxa"/>
            <w:shd w:val="clear" w:color="000000" w:fill="FFFFFF"/>
            <w:vAlign w:val="center"/>
          </w:tcPr>
          <w:p w14:paraId="717A3682">
            <w:pPr>
              <w:pStyle w:val="14"/>
              <w:numPr>
                <w:ilvl w:val="0"/>
                <w:numId w:val="0"/>
              </w:numPr>
              <w:rPr>
                <w:rFonts w:ascii="宋体" w:hAnsi="宋体" w:cs="宋体"/>
                <w:color w:val="auto"/>
                <w:kern w:val="0"/>
                <w:szCs w:val="21"/>
                <w:lang w:bidi="ar"/>
              </w:rPr>
            </w:pPr>
            <w:r>
              <w:rPr>
                <w:rFonts w:ascii="宋体" w:hAnsi="宋体" w:eastAsia="宋体" w:cs="宋体"/>
                <w:color w:val="auto"/>
                <w:kern w:val="0"/>
                <w:sz w:val="21"/>
                <w:szCs w:val="21"/>
                <w:lang w:val="en-US" w:eastAsia="zh-CN" w:bidi="ar"/>
              </w:rPr>
              <w:t>1、</w:t>
            </w:r>
            <w:r>
              <w:rPr>
                <w:rFonts w:hint="eastAsia" w:ascii="宋体" w:hAnsi="宋体" w:cs="宋体"/>
                <w:color w:val="auto"/>
                <w:kern w:val="0"/>
                <w:szCs w:val="21"/>
                <w:lang w:bidi="ar"/>
              </w:rPr>
              <w:t>数字化教学设备的管理平台可通过账号密码及微信扫码多种方式登录；</w:t>
            </w:r>
          </w:p>
          <w:p w14:paraId="4EAA1580">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2、设备支持红外线遥控，具备一个红外接收传感器；设备支持工业串口调试，具备一个RS232工业串口（提供产品外观图片）</w:t>
            </w:r>
          </w:p>
          <w:p w14:paraId="24125661">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3、教学设备支持蜂窝物联网接入管理，提供一个 GSM移动物联网用户识别卡插槽；（提供产品外观图片）</w:t>
            </w:r>
          </w:p>
          <w:p w14:paraId="7BA0B749">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4、管理平台支持跨校区分散部署，可将算力资源部署在不同的校区，但仅需使用单一IP地址即可统一访问和管理所有区域，方便进行多区域切换操作，并支持新增区域，平台能够轻松构建校级同一管理系统，满足教学系统跨校区建设需求；</w:t>
            </w:r>
          </w:p>
          <w:p w14:paraId="11894376">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5、实验演示设备支持对所有区域的云部署进行全面的统计与分析，提供详尽的数据可视化功能，数据包括但不限于以下信息：处理器使用率、内存使用率、存储使用率、教室数量、终端设备数量、使用次数、各个桌面场景的使用时长、机房内的日均使用时长等；</w:t>
            </w:r>
          </w:p>
          <w:p w14:paraId="1265FF3E">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6、屏幕尺寸不低于23.8英寸，需包含配套有线键鼠设备；</w:t>
            </w:r>
          </w:p>
          <w:p w14:paraId="470F13AC">
            <w:pPr>
              <w:pStyle w:val="14"/>
              <w:numPr>
                <w:ilvl w:val="0"/>
                <w:numId w:val="0"/>
              </w:numPr>
              <w:rPr>
                <w:rFonts w:ascii="宋体" w:hAnsi="宋体" w:cs="宋体"/>
                <w:color w:val="auto"/>
                <w:kern w:val="0"/>
                <w:szCs w:val="21"/>
                <w:lang w:bidi="ar"/>
              </w:rPr>
            </w:pPr>
            <w:r>
              <w:rPr>
                <w:rFonts w:hint="eastAsia" w:ascii="宋体" w:hAnsi="宋体" w:cs="宋体"/>
                <w:color w:val="auto"/>
                <w:kern w:val="0"/>
                <w:szCs w:val="21"/>
                <w:lang w:bidi="ar"/>
              </w:rPr>
              <w:t>7、终端使用本地高性能计算资源进行统一管理和维护，设备物理内核不低于十个，逻辑内核不低于十六个，最高数字脉冲信号运算速度可达四千九百兆赫兹；</w:t>
            </w:r>
          </w:p>
          <w:p w14:paraId="02AA4917">
            <w:pPr>
              <w:pStyle w:val="14"/>
              <w:numPr>
                <w:ilvl w:val="-1"/>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8、运行过程中提供不少于十六吉字节的运行主存储器空间，可通过机身底部开盖式扩容口将主存储器空间提升至最大六十四吉字节，保障设备本地不低于五百一十二吉字节的固态驱动存储空间；</w:t>
            </w:r>
          </w:p>
          <w:p w14:paraId="53FD0030">
            <w:pPr>
              <w:pStyle w:val="14"/>
              <w:numPr>
                <w:ilvl w:val="-1"/>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9、支持虚拟教室功能，支持手动将终端划分到对应的教室，同时支持根据终端设备IP地址自动将终端纳入到不同的教室进行统一管理；</w:t>
            </w:r>
          </w:p>
          <w:p w14:paraId="49D5DB19">
            <w:pPr>
              <w:pStyle w:val="14"/>
              <w:numPr>
                <w:ilvl w:val="-1"/>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10、开放的面向多场景下的外设连接，不低于8个通用的USB接口，同时支持语音的连接和使用，设备前后各含一对标准化语音输入输出接口，提供的显示接口不少于1个VGA口，</w:t>
            </w:r>
            <w:r>
              <w:rPr>
                <w:rFonts w:hint="eastAsia" w:ascii="宋体" w:hAnsi="宋体" w:cs="宋体"/>
                <w:color w:val="auto"/>
                <w:szCs w:val="21"/>
              </w:rPr>
              <w:t>不少于</w:t>
            </w:r>
            <w:r>
              <w:rPr>
                <w:rFonts w:hint="eastAsia" w:ascii="宋体" w:hAnsi="宋体" w:cs="宋体"/>
                <w:color w:val="auto"/>
                <w:kern w:val="0"/>
                <w:szCs w:val="21"/>
                <w:lang w:bidi="ar"/>
              </w:rPr>
              <w:t>1个HDMI口；</w:t>
            </w:r>
          </w:p>
          <w:p w14:paraId="17EFA8D4">
            <w:pPr>
              <w:pStyle w:val="14"/>
              <w:numPr>
                <w:ilvl w:val="-1"/>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11、支持上电自启动功能，并能够根据实际使用情况选择关闭或开启；</w:t>
            </w:r>
          </w:p>
          <w:p w14:paraId="63AF5176">
            <w:pPr>
              <w:pStyle w:val="14"/>
              <w:numPr>
                <w:ilvl w:val="-1"/>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12、支持系统环境的批量部署，可根据不同专业的教学、考试要求，快速创建多套教学环境，使用时开放，不使用时随时回收；</w:t>
            </w:r>
          </w:p>
          <w:p w14:paraId="220E956D">
            <w:pPr>
              <w:pStyle w:val="14"/>
              <w:numPr>
                <w:ilvl w:val="-1"/>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13、为保证产品稳定性，保证日常教学和考试正常运行，要求设备平均无故障时间(MTBF）不小于16万小时；（提供国家认可的第三方权威检测机构出具的检测报告复印件）</w:t>
            </w:r>
          </w:p>
          <w:p w14:paraId="2243B824">
            <w:pPr>
              <w:pStyle w:val="14"/>
              <w:numPr>
                <w:ilvl w:val="-1"/>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14、考虑到每年都有需要隔位考试的情况，为提高管理便捷度，应支持终端的快速筛选功能，可以通过单数序号或双数序号的方式进行批量管理；</w:t>
            </w:r>
          </w:p>
          <w:p w14:paraId="51C4A493">
            <w:pPr>
              <w:pStyle w:val="14"/>
              <w:numPr>
                <w:ilvl w:val="-1"/>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15、支持多种考试场景，包括但不限于全国计算机等级考试、ATA考试、会计类考试，在考试场景下，终端出现断网、断电等故障保证考试数据不丢；</w:t>
            </w:r>
          </w:p>
          <w:p w14:paraId="331C6D00">
            <w:pPr>
              <w:pStyle w:val="14"/>
              <w:numPr>
                <w:ilvl w:val="-1"/>
                <w:numId w:val="0"/>
              </w:numPr>
              <w:rPr>
                <w:rFonts w:ascii="宋体" w:hAnsi="宋体" w:cs="宋体"/>
                <w:color w:val="auto"/>
                <w:kern w:val="0"/>
                <w:szCs w:val="21"/>
              </w:rPr>
            </w:pPr>
            <w:r>
              <w:rPr>
                <w:rFonts w:hint="eastAsia" w:ascii="宋体" w:hAnsi="宋体" w:cs="宋体"/>
                <w:color w:val="auto"/>
                <w:kern w:val="0"/>
                <w:szCs w:val="21"/>
                <w:lang w:bidi="ar"/>
              </w:rPr>
              <w:t>16、所有设备需支持开机自动进入场景或手动进入场景，能够手动指定终端开机后自动进入所制定的操作系统，根据实际的教学环境选择指定的时段自动进入；</w:t>
            </w:r>
          </w:p>
        </w:tc>
        <w:tc>
          <w:tcPr>
            <w:tcW w:w="603" w:type="dxa"/>
            <w:shd w:val="clear" w:color="000000" w:fill="FFFFFF"/>
            <w:vAlign w:val="center"/>
          </w:tcPr>
          <w:p w14:paraId="7BB8727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w:t>
            </w:r>
          </w:p>
        </w:tc>
        <w:tc>
          <w:tcPr>
            <w:tcW w:w="664" w:type="dxa"/>
            <w:shd w:val="clear" w:color="000000" w:fill="FFFFFF"/>
            <w:vAlign w:val="center"/>
          </w:tcPr>
          <w:p w14:paraId="52030AE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3AC4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051A557D">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6</w:t>
            </w:r>
          </w:p>
        </w:tc>
        <w:tc>
          <w:tcPr>
            <w:tcW w:w="765" w:type="dxa"/>
            <w:shd w:val="clear" w:color="auto" w:fill="auto"/>
            <w:vAlign w:val="center"/>
          </w:tcPr>
          <w:p w14:paraId="7240718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云端智算系统模块</w:t>
            </w:r>
          </w:p>
        </w:tc>
        <w:tc>
          <w:tcPr>
            <w:tcW w:w="6151" w:type="dxa"/>
            <w:shd w:val="clear" w:color="000000" w:fill="FFFFFF"/>
            <w:vAlign w:val="center"/>
          </w:tcPr>
          <w:p w14:paraId="340E1423">
            <w:pPr>
              <w:pStyle w:val="14"/>
              <w:numPr>
                <w:ilvl w:val="0"/>
                <w:numId w:val="2"/>
              </w:numPr>
              <w:rPr>
                <w:rFonts w:hint="eastAsia" w:ascii="宋体" w:hAnsi="宋体" w:cs="宋体"/>
                <w:color w:val="auto"/>
                <w:kern w:val="0"/>
                <w:szCs w:val="21"/>
                <w:lang w:bidi="ar"/>
              </w:rPr>
            </w:pPr>
            <w:r>
              <w:rPr>
                <w:rFonts w:hint="eastAsia" w:ascii="宋体" w:hAnsi="宋体" w:cs="宋体"/>
                <w:color w:val="auto"/>
                <w:kern w:val="0"/>
                <w:szCs w:val="21"/>
                <w:lang w:bidi="ar"/>
              </w:rPr>
              <w:t>实验设备支持对所有区域的云部署进行全面的统计与分析，提供详尽的数据可视化功能，数据包括但不限于以下信息：CPU使用率、内存使用率、存储使用率、教室数量、终端设备数量、使用次数、各个桌面场景的使用时长、机房内的日均使用时长等；</w:t>
            </w:r>
          </w:p>
          <w:p w14:paraId="62AFF5EA">
            <w:pPr>
              <w:pStyle w:val="14"/>
              <w:numPr>
                <w:ilvl w:val="0"/>
                <w:numId w:val="0"/>
              </w:numP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2、屏幕尺寸不低于23.8英寸，需包含配套有线键鼠设备；</w:t>
            </w:r>
          </w:p>
          <w:p w14:paraId="2CE79659">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3、终端使用本地高性能计算资源进行统一管理和维护，设备物理内核不低于四个，最高数字脉冲信号运算速度可达两千兆赫兹；</w:t>
            </w:r>
          </w:p>
          <w:p w14:paraId="4BBEF9EB">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4、运行过程中提供不少于四千兆字节的运行主存储器空间，保障设备本地不低于一百二十八吉字节的固态驱动存储空间；</w:t>
            </w:r>
          </w:p>
          <w:p w14:paraId="147A8CE6">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5、支持虚拟教室功能，支持手动将终端划分到对应的教室，同时支持根据终端设备IP地址自动将终端纳入到不同的教室进行统一管理；</w:t>
            </w:r>
          </w:p>
          <w:p w14:paraId="1B5F3032">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6、开放的面向多场景下的外设连接，不低于8个通用的USB接口，同时支持语音的连接和使用，提供的显示接口不少于1个HDMI口、</w:t>
            </w:r>
            <w:r>
              <w:rPr>
                <w:rFonts w:hint="eastAsia" w:ascii="宋体" w:hAnsi="宋体" w:cs="宋体"/>
                <w:color w:val="auto"/>
                <w:szCs w:val="21"/>
              </w:rPr>
              <w:t>不少于</w:t>
            </w:r>
            <w:r>
              <w:rPr>
                <w:rFonts w:hint="eastAsia" w:ascii="宋体" w:hAnsi="宋体" w:cs="宋体"/>
                <w:color w:val="auto"/>
                <w:kern w:val="0"/>
                <w:szCs w:val="21"/>
                <w:lang w:bidi="ar"/>
              </w:rPr>
              <w:t>1个VGA接口；</w:t>
            </w:r>
          </w:p>
          <w:p w14:paraId="752658F8">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7、支持上电自启动功能，并能够根据实际使用情况选择关闭或开启；</w:t>
            </w:r>
          </w:p>
          <w:p w14:paraId="53D5471E">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8、支持系统环境的批量部署，可根据不同专业的教学、考试要求，快速创建多套教学环境，使用时开放，不使用时随时回收；</w:t>
            </w:r>
          </w:p>
          <w:p w14:paraId="1639C161">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9、考虑到每年都有需要隔位考试的情况，为提高管理便捷度，应支持终端的快速筛选功能，可以通过单数序号或双数序号的方式进行批量管理；</w:t>
            </w:r>
          </w:p>
          <w:p w14:paraId="501779C1">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10、支持多种考试场景，包括但不限于全国计算机等级考试、ATA考试、会计类考试，在考试场景下，终端出现断网、断电等故障保证考试数据不丢；</w:t>
            </w:r>
          </w:p>
          <w:p w14:paraId="0F552B4D">
            <w:pPr>
              <w:pStyle w:val="14"/>
              <w:rPr>
                <w:rFonts w:ascii="宋体" w:hAnsi="宋体" w:cs="宋体"/>
                <w:color w:val="auto"/>
                <w:kern w:val="0"/>
                <w:szCs w:val="21"/>
              </w:rPr>
            </w:pPr>
            <w:r>
              <w:rPr>
                <w:rFonts w:hint="eastAsia" w:ascii="宋体" w:hAnsi="宋体" w:cs="宋体"/>
                <w:color w:val="auto"/>
                <w:kern w:val="0"/>
                <w:szCs w:val="21"/>
                <w:lang w:bidi="ar"/>
              </w:rPr>
              <w:t>11、信息点布线:包括钢制桥架、六类网线、电源线、国标插座、跳线、光纤、水晶头及布线费用等。</w:t>
            </w:r>
          </w:p>
        </w:tc>
        <w:tc>
          <w:tcPr>
            <w:tcW w:w="603" w:type="dxa"/>
            <w:shd w:val="clear" w:color="000000" w:fill="FFFFFF"/>
            <w:vAlign w:val="center"/>
          </w:tcPr>
          <w:p w14:paraId="7E74E9B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120</w:t>
            </w:r>
          </w:p>
        </w:tc>
        <w:tc>
          <w:tcPr>
            <w:tcW w:w="664" w:type="dxa"/>
            <w:shd w:val="clear" w:color="000000" w:fill="FFFFFF"/>
            <w:vAlign w:val="center"/>
          </w:tcPr>
          <w:p w14:paraId="6227D6E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3EB7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52FD5897">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7</w:t>
            </w:r>
          </w:p>
        </w:tc>
        <w:tc>
          <w:tcPr>
            <w:tcW w:w="765" w:type="dxa"/>
            <w:shd w:val="clear" w:color="auto" w:fill="auto"/>
            <w:vAlign w:val="center"/>
          </w:tcPr>
          <w:p w14:paraId="3DA0584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桌面云软件</w:t>
            </w:r>
          </w:p>
        </w:tc>
        <w:tc>
          <w:tcPr>
            <w:tcW w:w="6151" w:type="dxa"/>
            <w:shd w:val="clear" w:color="000000" w:fill="FFFFFF"/>
            <w:vAlign w:val="center"/>
          </w:tcPr>
          <w:p w14:paraId="6DB12E61">
            <w:pPr>
              <w:pStyle w:val="14"/>
              <w:rPr>
                <w:rFonts w:hint="eastAsia" w:ascii="宋体" w:hAnsi="宋体" w:cs="宋体"/>
                <w:color w:val="auto"/>
                <w:kern w:val="0"/>
                <w:szCs w:val="21"/>
              </w:rPr>
            </w:pPr>
            <w:r>
              <w:rPr>
                <w:rFonts w:hint="eastAsia" w:ascii="宋体" w:hAnsi="宋体" w:cs="宋体"/>
                <w:color w:val="auto"/>
                <w:kern w:val="0"/>
                <w:szCs w:val="21"/>
              </w:rPr>
              <w:t>1、针对有移动访问的教学环境可提供VDI架构桌面、针对有语音听力相关的教学环境可提供VOI架构桌面、针对有WIN7等老旧系统需求的教学环境可提供IDV架构桌面，针对老师办公提供专人使用的个人桌面，以上环境均需在同一个平台中进行管理和交付；系统支持包括账号密码登录在内的多重身份认证方式，还提供微信扫码认证功能，方便用户从不同场景登录使用。</w:t>
            </w:r>
          </w:p>
          <w:p w14:paraId="787A8D0C">
            <w:pPr>
              <w:pStyle w:val="14"/>
              <w:rPr>
                <w:rFonts w:hint="eastAsia" w:ascii="宋体" w:hAnsi="宋体" w:cs="宋体"/>
                <w:color w:val="auto"/>
                <w:kern w:val="0"/>
                <w:szCs w:val="21"/>
              </w:rPr>
            </w:pPr>
            <w:r>
              <w:rPr>
                <w:rFonts w:hint="eastAsia" w:ascii="宋体" w:hAnsi="宋体" w:cs="宋体"/>
                <w:color w:val="auto"/>
                <w:kern w:val="0"/>
                <w:szCs w:val="21"/>
              </w:rPr>
              <w:t>2、为满足本校对合作校区的信息课程安排和管理需求，要求支持跨校区管理，使用单一IP地址就能够访问和管理部署在不同的校区的云资源，支持新增区域、切换区域分别管理，便于构建校级云桌面同一管理平台；</w:t>
            </w:r>
          </w:p>
          <w:p w14:paraId="7D646C5B">
            <w:pPr>
              <w:pStyle w:val="14"/>
              <w:rPr>
                <w:rFonts w:hint="eastAsia" w:ascii="宋体" w:hAnsi="宋体" w:cs="宋体"/>
                <w:color w:val="auto"/>
                <w:kern w:val="0"/>
                <w:szCs w:val="21"/>
              </w:rPr>
            </w:pPr>
            <w:r>
              <w:rPr>
                <w:rFonts w:hint="eastAsia" w:ascii="宋体" w:hAnsi="宋体" w:cs="宋体"/>
                <w:color w:val="auto"/>
                <w:kern w:val="0"/>
                <w:szCs w:val="21"/>
              </w:rPr>
              <w:t>3、可对多区域资源进行汇总分析，可统计所有区域的桌面云部署信息，包括：服务器数量、CPU核数和使用率、内存容量和使用率、存储容量和使用率、教室数量、场景数量、终端数量、桌面数量、区域内每月桌面使用次数、每月桌面场景使用时长和排行，每月机房日均使用时长和排行；这些数据统计功能可以帮助学校全面了解云桌面部署的整体情况，分析资源配置是否合理，评估性能表现，以及优化资源分配策略，以更好地支持跨校区的云桌面建设和管理需求；（提供国家认可的第三方权威检测机构出具的检测报告复印件）</w:t>
            </w:r>
          </w:p>
          <w:p w14:paraId="564E52A4">
            <w:pPr>
              <w:pStyle w:val="14"/>
              <w:rPr>
                <w:rFonts w:hint="eastAsia" w:ascii="宋体" w:hAnsi="宋体" w:cs="宋体"/>
                <w:color w:val="auto"/>
                <w:kern w:val="0"/>
                <w:szCs w:val="21"/>
              </w:rPr>
            </w:pPr>
            <w:r>
              <w:rPr>
                <w:rFonts w:hint="eastAsia" w:ascii="宋体" w:hAnsi="宋体" w:cs="宋体"/>
                <w:color w:val="auto"/>
                <w:kern w:val="0"/>
                <w:szCs w:val="21"/>
              </w:rPr>
              <w:t>4、为了方便进行操作系统课程的教学，让学生自主实践装机，应支持批量部署裸虚拟机环境，支持镜像反复重装，满足装机实验课程的实践需要；</w:t>
            </w:r>
          </w:p>
          <w:p w14:paraId="171BF19A">
            <w:pPr>
              <w:pStyle w:val="14"/>
              <w:rPr>
                <w:rFonts w:hint="eastAsia" w:ascii="宋体" w:hAnsi="宋体" w:cs="宋体"/>
                <w:color w:val="auto"/>
                <w:kern w:val="0"/>
                <w:szCs w:val="21"/>
              </w:rPr>
            </w:pPr>
            <w:r>
              <w:rPr>
                <w:rFonts w:hint="eastAsia" w:ascii="宋体" w:hAnsi="宋体" w:cs="宋体"/>
                <w:color w:val="auto"/>
                <w:kern w:val="0"/>
                <w:szCs w:val="21"/>
              </w:rPr>
              <w:t>5、为保证桌面的并发速度和模板下发速度，要求能够在执行分布式存储节点替换、桌面数据同步、更新模板等操作时自动触发任务队列，同一时间仅允许一个任务运行，其余任务处于等待执行状态，可针对等待执行状态的任务进行暂停、取消操作，可查看已结束的任务队列记录，便于追溯运维操作。（提供国家认可的第三方权威检测机构出具的检测报告复印件）</w:t>
            </w:r>
          </w:p>
          <w:p w14:paraId="1A0BE723">
            <w:pPr>
              <w:pStyle w:val="14"/>
              <w:rPr>
                <w:rFonts w:hint="eastAsia" w:ascii="宋体" w:hAnsi="宋体" w:cs="宋体"/>
                <w:color w:val="auto"/>
                <w:kern w:val="0"/>
                <w:szCs w:val="21"/>
              </w:rPr>
            </w:pPr>
            <w:r>
              <w:rPr>
                <w:rFonts w:hint="eastAsia" w:ascii="宋体" w:hAnsi="宋体" w:cs="宋体"/>
                <w:color w:val="auto"/>
                <w:kern w:val="0"/>
                <w:szCs w:val="21"/>
              </w:rPr>
              <w:t>6、单个终端可同时支持教学桌面和个人桌面两种使用方式，教学桌面开机无需账号直接进入桌面，满足学生上课使用；个人桌面开机须输入账号密码进入桌面，便于个性化实验或教师办公使用；管理台可控制允许终端进入的桌面类型，包括仅使用教学桌面，仅使用个人桌面，混合登录三种方式；（提供国家认可的第三方权威检测机构出具的检测报告复印件）</w:t>
            </w:r>
          </w:p>
          <w:p w14:paraId="2F250CC7">
            <w:pPr>
              <w:pStyle w:val="14"/>
              <w:rPr>
                <w:rFonts w:hint="eastAsia" w:ascii="宋体" w:hAnsi="宋体" w:cs="宋体"/>
                <w:color w:val="auto"/>
                <w:kern w:val="0"/>
                <w:szCs w:val="21"/>
              </w:rPr>
            </w:pPr>
            <w:r>
              <w:rPr>
                <w:rFonts w:hint="eastAsia" w:ascii="宋体" w:hAnsi="宋体" w:cs="宋体"/>
                <w:color w:val="auto"/>
                <w:kern w:val="0"/>
                <w:szCs w:val="21"/>
              </w:rPr>
              <w:t>7、由于机房还原功能需要适应不同时间段、不同人群的使用需求，要求本次云桌面支持多种场景还原需求，可以对系统盘个数据盘分别设置每次还原，每天还原，每周还原、每月还原或不还原，可以对场景中的桌面实现立即还原、开机还原、关机还原等设置，满足不同课程、考试时期、论文答辩、课题研究等场景的需求；</w:t>
            </w:r>
          </w:p>
          <w:p w14:paraId="2CEAC955">
            <w:pPr>
              <w:pStyle w:val="14"/>
              <w:rPr>
                <w:rFonts w:hint="eastAsia" w:ascii="宋体" w:hAnsi="宋体" w:cs="宋体"/>
                <w:color w:val="auto"/>
                <w:kern w:val="0"/>
                <w:szCs w:val="21"/>
              </w:rPr>
            </w:pPr>
            <w:r>
              <w:rPr>
                <w:rFonts w:hint="eastAsia" w:ascii="宋体" w:hAnsi="宋体" w:cs="宋体"/>
                <w:color w:val="auto"/>
                <w:kern w:val="0"/>
                <w:szCs w:val="21"/>
              </w:rPr>
              <w:t>8、用户可以自己在一个终端上同时登录多个私人桌面，方便用于计算机通讯模拟，桌面可窗口化显示、拖动缩放,无需桌面切换即可满足用户同时使用不同桌面的场景；</w:t>
            </w:r>
          </w:p>
          <w:p w14:paraId="4B397DD3">
            <w:pPr>
              <w:pStyle w:val="14"/>
              <w:rPr>
                <w:rFonts w:hint="eastAsia" w:ascii="宋体" w:hAnsi="宋体" w:cs="宋体"/>
                <w:color w:val="auto"/>
                <w:kern w:val="0"/>
                <w:szCs w:val="21"/>
              </w:rPr>
            </w:pPr>
            <w:r>
              <w:rPr>
                <w:rFonts w:hint="eastAsia" w:ascii="宋体" w:hAnsi="宋体" w:cs="宋体"/>
                <w:color w:val="auto"/>
                <w:kern w:val="0"/>
                <w:szCs w:val="21"/>
              </w:rPr>
              <w:t>9、通过网页登录桌面或系统模板时，支持拖拽方式实现本地系统和虚拟桌面之间的文件上传和下载，便于数据文件的共享；</w:t>
            </w:r>
          </w:p>
          <w:p w14:paraId="1464B295">
            <w:pPr>
              <w:pStyle w:val="14"/>
              <w:rPr>
                <w:rFonts w:hint="eastAsia" w:ascii="宋体" w:hAnsi="宋体" w:cs="宋体"/>
                <w:color w:val="auto"/>
                <w:kern w:val="0"/>
                <w:szCs w:val="21"/>
              </w:rPr>
            </w:pPr>
            <w:r>
              <w:rPr>
                <w:rFonts w:hint="eastAsia" w:ascii="宋体" w:hAnsi="宋体" w:cs="宋体"/>
                <w:color w:val="auto"/>
                <w:kern w:val="0"/>
                <w:szCs w:val="21"/>
              </w:rPr>
              <w:t>10、提供在Windows系统下的屏幕水印功能 ，可根据需求设置显示位置、字体尺寸、颜色深浅等属性。此外，显示内容可以自定义，其中包括计算机名、终端编号、IP地址和MAC地址等技术信息，还可自定义显示内容。在用户登录后，水印会自动出现在桌面右上角，并以浮动框架形式置顶显示，以方便管理员快速定位对应终端进行维护。</w:t>
            </w:r>
          </w:p>
          <w:p w14:paraId="37980F7B">
            <w:pPr>
              <w:pStyle w:val="14"/>
              <w:rPr>
                <w:rFonts w:hint="eastAsia" w:ascii="宋体" w:hAnsi="宋体" w:cs="宋体"/>
                <w:color w:val="auto"/>
                <w:kern w:val="0"/>
                <w:szCs w:val="21"/>
              </w:rPr>
            </w:pPr>
            <w:r>
              <w:rPr>
                <w:rFonts w:hint="eastAsia" w:ascii="宋体" w:hAnsi="宋体" w:cs="宋体"/>
                <w:color w:val="auto"/>
                <w:kern w:val="0"/>
                <w:szCs w:val="21"/>
              </w:rPr>
              <w:t>11、支持个人桌面镜像分层技术，可直接在管理平台设置分层空间大小，用于存储用户系统盘产生的数据，个人桌面模板统一更新时，可保留个性化教学办公数据；</w:t>
            </w:r>
          </w:p>
          <w:p w14:paraId="1B1E85F3">
            <w:pPr>
              <w:pStyle w:val="14"/>
              <w:rPr>
                <w:rFonts w:hint="eastAsia" w:ascii="宋体" w:hAnsi="宋体" w:cs="宋体"/>
                <w:color w:val="auto"/>
                <w:kern w:val="0"/>
                <w:szCs w:val="21"/>
              </w:rPr>
            </w:pPr>
            <w:r>
              <w:rPr>
                <w:rFonts w:hint="eastAsia" w:ascii="宋体" w:hAnsi="宋体" w:cs="宋体"/>
                <w:color w:val="auto"/>
                <w:kern w:val="0"/>
                <w:szCs w:val="21"/>
              </w:rPr>
              <w:t xml:space="preserve">12、支持本地VOI桌面漫游 到云端服务器，在任意终端可通过浏览器或VDI客户端访问该桌面，实现本地VOI桌面的漫游使用； </w:t>
            </w:r>
          </w:p>
          <w:p w14:paraId="2BB27031">
            <w:pPr>
              <w:pStyle w:val="14"/>
              <w:rPr>
                <w:rFonts w:hint="eastAsia" w:ascii="宋体" w:hAnsi="宋体" w:cs="宋体"/>
                <w:color w:val="auto"/>
                <w:kern w:val="0"/>
                <w:szCs w:val="21"/>
              </w:rPr>
            </w:pPr>
            <w:r>
              <w:rPr>
                <w:rFonts w:hint="eastAsia" w:ascii="宋体" w:hAnsi="宋体" w:cs="宋体"/>
                <w:color w:val="auto"/>
                <w:kern w:val="0"/>
                <w:szCs w:val="21"/>
              </w:rPr>
              <w:t>13、支持硬件虚拟化功能，开启后针对硬件识别码的软件可实现软件统一注册，大幅度降低激活软件带来的工作量；（提供功能截图）</w:t>
            </w:r>
          </w:p>
          <w:p w14:paraId="25937A83">
            <w:pPr>
              <w:pStyle w:val="14"/>
              <w:rPr>
                <w:rFonts w:hint="eastAsia" w:ascii="宋体" w:hAnsi="宋体" w:cs="宋体"/>
                <w:color w:val="auto"/>
                <w:kern w:val="0"/>
                <w:szCs w:val="21"/>
              </w:rPr>
            </w:pPr>
            <w:r>
              <w:rPr>
                <w:rFonts w:hint="eastAsia" w:ascii="宋体" w:hAnsi="宋体" w:cs="宋体"/>
                <w:color w:val="auto"/>
                <w:kern w:val="0"/>
                <w:szCs w:val="21"/>
              </w:rPr>
              <w:t>14、为了能够将本次所建云桌面和未来规划的建设内容共同管理，要求支持融合模板功能，在创建或更新一个模板的情况下，就能够下发给所有场景的云桌面使用，包括但不限于VDI/VOI/IDV等桌面，节省模板空间的占用，简化我单位的管理；</w:t>
            </w:r>
          </w:p>
          <w:p w14:paraId="5A761948">
            <w:pPr>
              <w:pStyle w:val="14"/>
              <w:rPr>
                <w:rFonts w:hint="eastAsia" w:ascii="宋体" w:hAnsi="宋体" w:cs="宋体"/>
                <w:color w:val="auto"/>
                <w:kern w:val="0"/>
                <w:szCs w:val="21"/>
              </w:rPr>
            </w:pPr>
            <w:r>
              <w:rPr>
                <w:rFonts w:hint="eastAsia" w:ascii="宋体" w:hAnsi="宋体" w:cs="宋体"/>
                <w:color w:val="auto"/>
                <w:kern w:val="0"/>
                <w:szCs w:val="21"/>
              </w:rPr>
              <w:t>15、支持模板的共享和转让，管理用户可将所属权限下的模板共享给其他管理员，便于其他管理员编辑使用，也可直接转让模板，让被转让的管理员拥有模板所有操作权限，从而实现模板的分权管理；（提供国家认可的第三方权威检测机构出具的检测报告复印件）</w:t>
            </w:r>
          </w:p>
          <w:p w14:paraId="1A41FD0C">
            <w:pPr>
              <w:pStyle w:val="14"/>
              <w:rPr>
                <w:rFonts w:hint="eastAsia" w:ascii="宋体" w:hAnsi="宋体" w:cs="宋体"/>
                <w:color w:val="auto"/>
                <w:kern w:val="0"/>
                <w:szCs w:val="21"/>
              </w:rPr>
            </w:pPr>
            <w:r>
              <w:rPr>
                <w:rFonts w:hint="eastAsia" w:ascii="宋体" w:hAnsi="宋体" w:cs="宋体"/>
                <w:color w:val="auto"/>
                <w:kern w:val="0"/>
                <w:szCs w:val="21"/>
              </w:rPr>
              <w:t>▲16、支持考虑到我单位专业课老师常因为课时紧张而无法前往机房，教学桌面池应支持不绑定用户部门、组织，用户无需账号密码可在终端上随机获取桌面资源，用户获取桌面资源后，管理端显示桌面的运行状态为在线；用户停止使用桌面资源后，管理端显示桌面的运行状态为离线，其他用户可以使用该桌面资源；所用桌面个数达到桌面池的上限时，新用户获取桌面将无法分配并进行文字提醒，便于教师使用；（提供国家认可的第三方权威检测机构出具的检测报告复印件）</w:t>
            </w:r>
          </w:p>
          <w:p w14:paraId="42E1F848">
            <w:pPr>
              <w:pStyle w:val="14"/>
              <w:rPr>
                <w:rFonts w:hint="eastAsia" w:ascii="宋体" w:hAnsi="宋体" w:cs="宋体"/>
                <w:color w:val="auto"/>
                <w:kern w:val="0"/>
                <w:szCs w:val="21"/>
              </w:rPr>
            </w:pPr>
            <w:r>
              <w:rPr>
                <w:rFonts w:hint="eastAsia" w:ascii="宋体" w:hAnsi="宋体" w:cs="宋体"/>
                <w:color w:val="auto"/>
                <w:kern w:val="0"/>
                <w:szCs w:val="21"/>
              </w:rPr>
              <w:t>17、单个终端可部署多个操作系统，支持在管理平台上设置终端共享数据盘，可任意选定可使用共享盘的操作系统数量，可设置终端共享数据盘的的空间大小，并能设定清除策略，包含不清除/每周清除/每月清除；</w:t>
            </w:r>
          </w:p>
          <w:p w14:paraId="51452DD7">
            <w:pPr>
              <w:pStyle w:val="14"/>
              <w:rPr>
                <w:rFonts w:hint="eastAsia" w:ascii="宋体" w:hAnsi="宋体" w:cs="宋体"/>
                <w:color w:val="auto"/>
                <w:kern w:val="0"/>
                <w:szCs w:val="21"/>
              </w:rPr>
            </w:pPr>
            <w:r>
              <w:rPr>
                <w:rFonts w:hint="eastAsia" w:ascii="宋体" w:hAnsi="宋体" w:cs="宋体"/>
                <w:color w:val="auto"/>
                <w:kern w:val="0"/>
                <w:szCs w:val="21"/>
              </w:rPr>
              <w:t>18、针对VDI/VOI/IDV三种桌面终端均可设置定时开关机计划，可按周期在固定时间唤醒和关闭对应的教学桌面终端，日期精确到天、时间精确到分钟，并可以指定开机的虚拟桌面范围；</w:t>
            </w:r>
          </w:p>
          <w:p w14:paraId="484D2A55">
            <w:pPr>
              <w:pStyle w:val="14"/>
              <w:rPr>
                <w:rFonts w:hint="eastAsia" w:ascii="宋体" w:hAnsi="宋体" w:cs="宋体"/>
                <w:color w:val="auto"/>
                <w:kern w:val="0"/>
                <w:szCs w:val="21"/>
              </w:rPr>
            </w:pPr>
            <w:r>
              <w:rPr>
                <w:rFonts w:hint="eastAsia" w:ascii="宋体" w:hAnsi="宋体" w:cs="宋体"/>
                <w:color w:val="auto"/>
                <w:kern w:val="0"/>
                <w:szCs w:val="21"/>
              </w:rPr>
              <w:t>19、支持在虚拟化平台上查看服务器和虚拟机的运行详细情况，包括服务器和虚拟桌面的CPU占用率、内存占用率、磁盘读写速度、网络流量、进程资源占用率；（提供国家认可的第三方权威检测机构出具的检测报告复印件）</w:t>
            </w:r>
          </w:p>
          <w:p w14:paraId="469CFDE4">
            <w:pPr>
              <w:pStyle w:val="14"/>
              <w:rPr>
                <w:rFonts w:hint="eastAsia" w:ascii="宋体" w:hAnsi="宋体" w:cs="宋体"/>
                <w:color w:val="auto"/>
                <w:kern w:val="0"/>
                <w:szCs w:val="21"/>
              </w:rPr>
            </w:pPr>
            <w:r>
              <w:rPr>
                <w:rFonts w:hint="eastAsia" w:ascii="宋体" w:hAnsi="宋体" w:cs="宋体"/>
                <w:color w:val="auto"/>
                <w:kern w:val="0"/>
                <w:szCs w:val="21"/>
              </w:rPr>
              <w:t>20、考虑到我单位经常有隔位考试的情况，为提高管理便捷度，应支持终端的快速筛选功能，可以通过单数序号或双数序号的方式进行批量管理；（提供国家认可的第三方权威检测机构出具的检测报告复印件）</w:t>
            </w:r>
          </w:p>
          <w:p w14:paraId="4334A866">
            <w:pPr>
              <w:pStyle w:val="14"/>
              <w:rPr>
                <w:rFonts w:hint="eastAsia" w:ascii="宋体" w:hAnsi="宋体" w:cs="宋体"/>
                <w:color w:val="auto"/>
                <w:kern w:val="0"/>
                <w:szCs w:val="21"/>
              </w:rPr>
            </w:pPr>
            <w:r>
              <w:rPr>
                <w:rFonts w:hint="eastAsia" w:ascii="宋体" w:hAnsi="宋体" w:cs="宋体"/>
                <w:color w:val="auto"/>
                <w:kern w:val="0"/>
                <w:szCs w:val="21"/>
              </w:rPr>
              <w:t>21、为便于管理人员进行故障隐患的及时处理，支持管理平台全局告警项，可设置核心服务异常、计算节点离线、节点镜像网络断开、分布式卷组磁盘离线、主备控数据同步告警和桌面高可用等项的实时监控，可设置关键项教学桌面运行时间、个人桌面运行时间、系统授权日期和系统关键分区剩余空间的阈值，设置告警信息推送的管理员邮箱；（提供国家认可的第三方权威检测机构出具的检测报告复印件）</w:t>
            </w:r>
          </w:p>
          <w:p w14:paraId="42B4773C">
            <w:pPr>
              <w:pStyle w:val="14"/>
              <w:rPr>
                <w:rFonts w:hint="eastAsia" w:ascii="宋体" w:hAnsi="宋体" w:cs="宋体"/>
                <w:color w:val="auto"/>
                <w:kern w:val="0"/>
                <w:szCs w:val="21"/>
              </w:rPr>
            </w:pPr>
            <w:r>
              <w:rPr>
                <w:rFonts w:hint="eastAsia" w:ascii="宋体" w:hAnsi="宋体" w:cs="宋体"/>
                <w:color w:val="auto"/>
                <w:kern w:val="0"/>
                <w:szCs w:val="21"/>
              </w:rPr>
              <w:t xml:space="preserve">22、终端支持无线连接VDI桌面，可在管理平台批量设置终端无线网络（无需逐一设置），支持“WEP”，“WPA”、“WPA2”、“WPA/WPA2”等多种认证模式； </w:t>
            </w:r>
          </w:p>
          <w:p w14:paraId="4670229B">
            <w:pPr>
              <w:pStyle w:val="14"/>
              <w:rPr>
                <w:rFonts w:hint="eastAsia" w:ascii="宋体" w:hAnsi="宋体" w:cs="宋体"/>
                <w:color w:val="auto"/>
                <w:kern w:val="0"/>
                <w:szCs w:val="21"/>
              </w:rPr>
            </w:pPr>
            <w:r>
              <w:rPr>
                <w:rFonts w:hint="eastAsia" w:ascii="宋体" w:hAnsi="宋体" w:cs="宋体"/>
                <w:color w:val="auto"/>
                <w:kern w:val="0"/>
                <w:szCs w:val="21"/>
              </w:rPr>
              <w:t>23、提供独立的桌面云系统检测工具，可检测服务器、终端连接状态，集群网络状态，数据库状态，文件系统状态，模板状态，桌面状态等内容，可提供体检分数和检测结果详情展示，并可生成检测报告，也可对检测的问题进行一键恢复，便于系统的日常运维；</w:t>
            </w:r>
          </w:p>
          <w:p w14:paraId="429E50FD">
            <w:pPr>
              <w:pStyle w:val="14"/>
              <w:rPr>
                <w:rFonts w:hint="eastAsia" w:ascii="宋体" w:hAnsi="宋体" w:cs="宋体"/>
                <w:color w:val="auto"/>
                <w:kern w:val="0"/>
                <w:szCs w:val="21"/>
              </w:rPr>
            </w:pPr>
            <w:r>
              <w:rPr>
                <w:rFonts w:hint="eastAsia" w:ascii="宋体" w:hAnsi="宋体" w:cs="宋体"/>
                <w:color w:val="auto"/>
                <w:kern w:val="0"/>
                <w:szCs w:val="21"/>
              </w:rPr>
              <w:t>24、产品底层服务器虚拟化软件需通过国家权威机构的“信息技术 虚拟机管理通用要求”，“信息技术 弹性计算应用接口”测评，提供评测证书及测试报告复印件或扫描件；</w:t>
            </w:r>
          </w:p>
          <w:p w14:paraId="65AC5F85">
            <w:pPr>
              <w:pStyle w:val="14"/>
              <w:rPr>
                <w:rFonts w:ascii="宋体" w:hAnsi="宋体" w:cs="宋体"/>
                <w:color w:val="auto"/>
                <w:kern w:val="0"/>
                <w:szCs w:val="21"/>
              </w:rPr>
            </w:pPr>
            <w:r>
              <w:rPr>
                <w:rFonts w:hint="eastAsia" w:ascii="宋体" w:hAnsi="宋体" w:cs="宋体"/>
                <w:color w:val="auto"/>
                <w:kern w:val="0"/>
                <w:szCs w:val="21"/>
              </w:rPr>
              <w:t>25、提供软件著作权证书复印件，为保证产品稳定性和兼容性，要求数字化教学设备、云端智算系统模块、实验室智慧服务系统、桌面云软件、终端高可用容灾系统、教学实训计算模块须相互兼容，提供模块统一纳管对接承诺书。</w:t>
            </w:r>
          </w:p>
        </w:tc>
        <w:tc>
          <w:tcPr>
            <w:tcW w:w="603" w:type="dxa"/>
            <w:shd w:val="clear" w:color="000000" w:fill="FFFFFF"/>
            <w:vAlign w:val="center"/>
          </w:tcPr>
          <w:p w14:paraId="758364D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123</w:t>
            </w:r>
          </w:p>
        </w:tc>
        <w:tc>
          <w:tcPr>
            <w:tcW w:w="664" w:type="dxa"/>
            <w:shd w:val="clear" w:color="000000" w:fill="FFFFFF"/>
            <w:vAlign w:val="center"/>
          </w:tcPr>
          <w:p w14:paraId="3E09114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点</w:t>
            </w:r>
          </w:p>
        </w:tc>
      </w:tr>
      <w:tr w14:paraId="73D3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0DEE273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8</w:t>
            </w:r>
          </w:p>
        </w:tc>
        <w:tc>
          <w:tcPr>
            <w:tcW w:w="765" w:type="dxa"/>
            <w:shd w:val="clear" w:color="auto" w:fill="auto"/>
            <w:vAlign w:val="center"/>
          </w:tcPr>
          <w:p w14:paraId="4BA85EF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终端高可用容灾系统</w:t>
            </w:r>
          </w:p>
        </w:tc>
        <w:tc>
          <w:tcPr>
            <w:tcW w:w="6151" w:type="dxa"/>
            <w:shd w:val="clear" w:color="000000" w:fill="FFFFFF"/>
            <w:vAlign w:val="center"/>
          </w:tcPr>
          <w:p w14:paraId="2708B1AA">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1、终端可同时支持虚拟桌面和本地系统，两者可使用统一镜像模板进行维护，保障虚拟系统和本地系统的一致性，便于服务器故障下的持续教学；</w:t>
            </w:r>
          </w:p>
          <w:p w14:paraId="7D28512A">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2、因服务器故障导致虚拟桌面不可用时，系统可根据设置的策略自动切换到本地系统；</w:t>
            </w:r>
          </w:p>
          <w:p w14:paraId="2559B79C">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3、终端支持裸机部署模式，本地无操作系统也可连接服务器部署客户端，且局域网内任意安装好VOI底层客户端的终端，都可以给其他终端传底层客户端系统，便于终端和服务器处在跨VLAN环境下的环境部署；</w:t>
            </w:r>
          </w:p>
          <w:p w14:paraId="79C2B7BD">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4、支持端对端数据智能传输，可将已有镜像的终端作为发送端，给同教室内其他终端下发镜像，提升系统下发效率；</w:t>
            </w:r>
          </w:p>
          <w:p w14:paraId="294CADD6">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 xml:space="preserve">5、本地系统下发支持分盘下发，可同时下发系统盘和数据盘数据，也可独立分发系统盘数据，满足系统盘更新同时保留数据盘数据的需求，提升系统下发的灵活性； </w:t>
            </w:r>
          </w:p>
          <w:p w14:paraId="4C1BE4C7">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 xml:space="preserve">6、制作系统模板时支持样机制作方式，可在教室任意选择一台样机，系统和软件安装完成后将样机模板上传到服务器端；同时支持web平台制作方式，无需到教室寻找样机，直接在管理平台上通过虚拟机制作模板然后下发给本地系统，提高样机制作便捷度；  </w:t>
            </w:r>
          </w:p>
          <w:p w14:paraId="3EB8BDB0">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7、支持消息发布功能，管理员可直接通过web管理平台给本地终端发送消息，终端无需进入操作系统，在场景选单页面即可接收消息，消息可在屏幕上方滚动显示；</w:t>
            </w:r>
          </w:p>
          <w:p w14:paraId="4BB5A9E4">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8、为满足考试插位入座需求，使用本地终端资源时，支持本地终端的快速筛选，如在隔位考试的情况下，可通过单双号方式，快速筛选定位所要查看的终端；</w:t>
            </w:r>
          </w:p>
          <w:p w14:paraId="0F5FBE76">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9、为提升部署效率，教室终端支持按需分配交换机，可设定交换机分组匹配部署，并可生成交换机拓扑图；</w:t>
            </w:r>
          </w:p>
          <w:p w14:paraId="4373CF77">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10、使用本地终端资源时，支持本地终端的快速筛选，如在隔位考试的情况下，可通过单双号方式，快速筛选定位所要查看的终端；</w:t>
            </w:r>
          </w:p>
          <w:p w14:paraId="17EE3EC0">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11、支持在一个界面展示终端名称、IP地址、MAC地址，运行状态、磁盘剩余容量、下发状态等信息，可通过管理平台对终端执行唤醒、重启、关机，系统场景切换等操作；</w:t>
            </w:r>
          </w:p>
          <w:p w14:paraId="11E17EAD">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12、支持保留最少一周内的本地系统桌面下发记录，包括下发的终端名称，桌面名称，起止时间，下发状态等信息，便于后期可追溯；</w:t>
            </w:r>
          </w:p>
          <w:p w14:paraId="376C4B54">
            <w:pPr>
              <w:pStyle w:val="14"/>
              <w:rPr>
                <w:rFonts w:ascii="宋体" w:hAnsi="宋体" w:cs="宋体"/>
                <w:color w:val="auto"/>
                <w:kern w:val="0"/>
                <w:szCs w:val="21"/>
              </w:rPr>
            </w:pPr>
            <w:r>
              <w:rPr>
                <w:rFonts w:hint="eastAsia" w:ascii="宋体" w:hAnsi="宋体" w:cs="宋体"/>
                <w:color w:val="auto"/>
                <w:kern w:val="0"/>
                <w:szCs w:val="21"/>
                <w:lang w:bidi="ar"/>
              </w:rPr>
              <w:t>13、信息点布线:包括钢制桥架、六类网线、电源线、国标插座、跳线、光纤、水晶头及布线费用等。</w:t>
            </w:r>
          </w:p>
        </w:tc>
        <w:tc>
          <w:tcPr>
            <w:tcW w:w="603" w:type="dxa"/>
            <w:shd w:val="clear" w:color="000000" w:fill="FFFFFF"/>
            <w:vAlign w:val="center"/>
          </w:tcPr>
          <w:p w14:paraId="76B6A91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122</w:t>
            </w:r>
          </w:p>
        </w:tc>
        <w:tc>
          <w:tcPr>
            <w:tcW w:w="664" w:type="dxa"/>
            <w:shd w:val="clear" w:color="000000" w:fill="FFFFFF"/>
            <w:vAlign w:val="center"/>
          </w:tcPr>
          <w:p w14:paraId="47BA6BF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点</w:t>
            </w:r>
          </w:p>
        </w:tc>
      </w:tr>
      <w:tr w14:paraId="1366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4A0EA00D">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9</w:t>
            </w:r>
          </w:p>
        </w:tc>
        <w:tc>
          <w:tcPr>
            <w:tcW w:w="765" w:type="dxa"/>
            <w:shd w:val="clear" w:color="auto" w:fill="auto"/>
            <w:vAlign w:val="center"/>
          </w:tcPr>
          <w:p w14:paraId="042D101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课堂教学互动管理系统</w:t>
            </w:r>
          </w:p>
        </w:tc>
        <w:tc>
          <w:tcPr>
            <w:tcW w:w="6151" w:type="dxa"/>
            <w:shd w:val="clear" w:color="000000" w:fill="FFFFFF"/>
            <w:vAlign w:val="center"/>
          </w:tcPr>
          <w:p w14:paraId="7C83AD5B">
            <w:pPr>
              <w:pStyle w:val="14"/>
              <w:rPr>
                <w:rFonts w:hint="eastAsia" w:ascii="宋体" w:hAnsi="宋体" w:cs="宋体"/>
                <w:color w:val="auto"/>
                <w:kern w:val="0"/>
                <w:szCs w:val="21"/>
              </w:rPr>
            </w:pPr>
            <w:r>
              <w:rPr>
                <w:rFonts w:hint="eastAsia" w:ascii="宋体" w:hAnsi="宋体" w:cs="宋体"/>
                <w:color w:val="auto"/>
                <w:kern w:val="0"/>
                <w:szCs w:val="21"/>
              </w:rPr>
              <w:t>1、支持IPV4、IPV6网络环境下安装和正常使用，支持windows 7 32位/64位，windows10 64位、windows11 64位操作系统；</w:t>
            </w:r>
          </w:p>
          <w:p w14:paraId="7369EB4B">
            <w:pPr>
              <w:pStyle w:val="14"/>
              <w:rPr>
                <w:rFonts w:hint="eastAsia" w:ascii="宋体" w:hAnsi="宋体" w:cs="宋体"/>
                <w:color w:val="auto"/>
                <w:kern w:val="0"/>
                <w:szCs w:val="21"/>
              </w:rPr>
            </w:pPr>
            <w:r>
              <w:rPr>
                <w:rFonts w:hint="eastAsia" w:ascii="宋体" w:hAnsi="宋体" w:cs="宋体"/>
                <w:color w:val="auto"/>
                <w:kern w:val="0"/>
                <w:szCs w:val="21"/>
              </w:rPr>
              <w:t>2、软件提供班级管理功能，可将频道与特定班级进行关联，进而在不同教室中使用不同的频道来开展教学活动。</w:t>
            </w:r>
          </w:p>
          <w:p w14:paraId="5B61EF64">
            <w:pPr>
              <w:pStyle w:val="14"/>
              <w:rPr>
                <w:rFonts w:hint="eastAsia" w:ascii="宋体" w:hAnsi="宋体" w:cs="宋体"/>
                <w:color w:val="auto"/>
                <w:kern w:val="0"/>
                <w:szCs w:val="21"/>
              </w:rPr>
            </w:pPr>
            <w:r>
              <w:rPr>
                <w:rFonts w:hint="eastAsia" w:ascii="宋体" w:hAnsi="宋体" w:cs="宋体"/>
                <w:color w:val="auto"/>
                <w:kern w:val="0"/>
                <w:szCs w:val="21"/>
              </w:rPr>
              <w:t>3、软件提供屏幕广播功能，可设置为两种接收模式：全屏显示模式和窗口显示模式。在全屏状态下，可将学生的鼠标和键盘锁定，以实现接收教师端屏幕内容。</w:t>
            </w:r>
          </w:p>
          <w:p w14:paraId="48DD23F7">
            <w:pPr>
              <w:pStyle w:val="14"/>
              <w:rPr>
                <w:rFonts w:hint="eastAsia" w:ascii="宋体" w:hAnsi="宋体" w:cs="宋体"/>
                <w:color w:val="auto"/>
                <w:kern w:val="0"/>
                <w:szCs w:val="21"/>
              </w:rPr>
            </w:pPr>
            <w:r>
              <w:rPr>
                <w:rFonts w:hint="eastAsia" w:ascii="宋体" w:hAnsi="宋体" w:cs="宋体"/>
                <w:color w:val="auto"/>
                <w:kern w:val="0"/>
                <w:szCs w:val="21"/>
              </w:rPr>
              <w:t>4、软件能够在未操作终端或桌面状态下实现对所有学生成绩的影音广播。在进行影音广播时，支持视频内容的切换与暂停功能，同时允许用户通过进度条设置任何位置的播放进度。</w:t>
            </w:r>
          </w:p>
          <w:p w14:paraId="03A733EF">
            <w:pPr>
              <w:pStyle w:val="14"/>
              <w:rPr>
                <w:rFonts w:hint="eastAsia" w:ascii="宋体" w:hAnsi="宋体" w:cs="宋体"/>
                <w:color w:val="auto"/>
                <w:kern w:val="0"/>
                <w:szCs w:val="21"/>
              </w:rPr>
            </w:pPr>
            <w:r>
              <w:rPr>
                <w:rFonts w:hint="eastAsia" w:ascii="宋体" w:hAnsi="宋体" w:cs="宋体"/>
                <w:color w:val="auto"/>
                <w:kern w:val="0"/>
                <w:szCs w:val="21"/>
              </w:rPr>
              <w:t>5、教师开启屏幕广播功能后，学生的终端能够实时接收屏幕广播信息。即使学生在终端上关闭掉虚拟桌面，也能继续接收教师端的屏幕和视频流，保证教学过程无中断。（提供国家认可的第三方权威检测机构出具的检测报告复印件）</w:t>
            </w:r>
          </w:p>
          <w:p w14:paraId="4B0FF5A9">
            <w:pPr>
              <w:pStyle w:val="14"/>
              <w:rPr>
                <w:rFonts w:hint="eastAsia" w:ascii="宋体" w:hAnsi="宋体" w:cs="宋体"/>
                <w:color w:val="auto"/>
                <w:kern w:val="0"/>
                <w:szCs w:val="21"/>
              </w:rPr>
            </w:pPr>
            <w:r>
              <w:rPr>
                <w:rFonts w:hint="eastAsia" w:ascii="宋体" w:hAnsi="宋体" w:cs="宋体"/>
                <w:color w:val="auto"/>
                <w:kern w:val="0"/>
                <w:szCs w:val="21"/>
              </w:rPr>
              <w:t>6、老师可以选择让一个学生使用自己的设备或者老师的演示设备进行教学演示，并将该学生的演示画面实时传送给所有学生。接收到广播的学生需要在全屏模式下接收并将操作锁定，确保其他学生无法干扰演示内容的正常运行。</w:t>
            </w:r>
          </w:p>
          <w:p w14:paraId="53B5E880">
            <w:pPr>
              <w:pStyle w:val="14"/>
              <w:rPr>
                <w:rFonts w:hint="eastAsia" w:ascii="宋体" w:hAnsi="宋体" w:cs="宋体"/>
                <w:color w:val="auto"/>
                <w:kern w:val="0"/>
                <w:szCs w:val="21"/>
              </w:rPr>
            </w:pPr>
            <w:r>
              <w:rPr>
                <w:rFonts w:hint="eastAsia" w:ascii="宋体" w:hAnsi="宋体" w:cs="宋体"/>
                <w:color w:val="auto"/>
                <w:kern w:val="0"/>
                <w:szCs w:val="21"/>
              </w:rPr>
              <w:t>7、软件支持遥控监看，允许老师实时查看学生端的桌面，并还能进行学生端桌面的远程操作，同时支持单屏幕模式下的控制以及所有设备的集中管理。</w:t>
            </w:r>
          </w:p>
          <w:p w14:paraId="75AB0991">
            <w:pPr>
              <w:pStyle w:val="14"/>
              <w:rPr>
                <w:rFonts w:hint="eastAsia" w:ascii="宋体" w:hAnsi="宋体" w:cs="宋体"/>
                <w:color w:val="auto"/>
                <w:kern w:val="0"/>
                <w:szCs w:val="21"/>
              </w:rPr>
            </w:pPr>
            <w:r>
              <w:rPr>
                <w:rFonts w:hint="eastAsia" w:ascii="宋体" w:hAnsi="宋体" w:cs="宋体"/>
                <w:color w:val="auto"/>
                <w:kern w:val="0"/>
                <w:szCs w:val="21"/>
              </w:rPr>
              <w:t>8、教师可以在软件中实时观察所选择学生的操作画面，每个监控界面可同时查看多台终端设备，支持设置每组显示的终端数量以及轮流展示的时间间隔。（提供国家认可的第三方权威检测机构出具的检测报告复印件）</w:t>
            </w:r>
          </w:p>
          <w:p w14:paraId="51FDC778">
            <w:pPr>
              <w:pStyle w:val="14"/>
              <w:rPr>
                <w:rFonts w:hint="eastAsia" w:ascii="宋体" w:hAnsi="宋体" w:cs="宋体"/>
                <w:color w:val="auto"/>
                <w:kern w:val="0"/>
                <w:szCs w:val="21"/>
              </w:rPr>
            </w:pPr>
            <w:r>
              <w:rPr>
                <w:rFonts w:hint="eastAsia" w:ascii="宋体" w:hAnsi="宋体" w:cs="宋体"/>
                <w:color w:val="auto"/>
                <w:kern w:val="0"/>
                <w:szCs w:val="21"/>
              </w:rPr>
              <w:t>9、系统提供网络监控功能来实现对学生网络搜索行为的管理与控制，可以对关键字屏蔽。管理员可设定参数来限制关键词搜索，随后学生在使用浏览器访问受限词汇时，系统将自动弹出提示信息或直接终止浏览器访问。</w:t>
            </w:r>
          </w:p>
          <w:p w14:paraId="65F22D4B">
            <w:pPr>
              <w:pStyle w:val="14"/>
              <w:rPr>
                <w:rFonts w:hint="eastAsia" w:ascii="宋体" w:hAnsi="宋体" w:cs="宋体"/>
                <w:color w:val="auto"/>
                <w:kern w:val="0"/>
                <w:szCs w:val="21"/>
              </w:rPr>
            </w:pPr>
            <w:r>
              <w:rPr>
                <w:rFonts w:hint="eastAsia" w:ascii="宋体" w:hAnsi="宋体" w:cs="宋体"/>
                <w:color w:val="auto"/>
                <w:kern w:val="0"/>
                <w:szCs w:val="21"/>
              </w:rPr>
              <w:t>10、提供作业发布支持功能，教师端可通过系统将本地存储的文件内容同步发送至指定学生终端设备，支持批量向多个学生发放作业。此外，教师在教学环境中可以通过本地计算机上传文件到学生端，并选择需要接收作业的目标终端列表进行操作。当目标终端被选定后，可在其中任选一台作为样本机来生成统一的作业发布包，并指定下载目录以存储相关文件。</w:t>
            </w:r>
          </w:p>
          <w:p w14:paraId="39B6A960">
            <w:pPr>
              <w:pStyle w:val="14"/>
              <w:rPr>
                <w:rFonts w:hint="eastAsia" w:ascii="宋体" w:hAnsi="宋体" w:cs="宋体"/>
                <w:color w:val="auto"/>
                <w:kern w:val="0"/>
                <w:szCs w:val="21"/>
              </w:rPr>
            </w:pPr>
            <w:r>
              <w:rPr>
                <w:rFonts w:hint="eastAsia" w:ascii="宋体" w:hAnsi="宋体" w:cs="宋体"/>
                <w:color w:val="auto"/>
                <w:kern w:val="0"/>
                <w:szCs w:val="21"/>
              </w:rPr>
              <w:t>11、教师可以配置自动化接收作业功能，学生在提交作业后会立即被采集，并存储到指定位置，该路径可由用户自定义设置；作业命名方式支持学生自定义，同时教师还可以进行独立的命名设置，可选包含学生姓名、学号、计算机名称或IP地址中的任意一种信息来命名文件。</w:t>
            </w:r>
          </w:p>
          <w:p w14:paraId="19A352D3">
            <w:pPr>
              <w:pStyle w:val="14"/>
              <w:rPr>
                <w:rFonts w:hint="eastAsia" w:ascii="宋体" w:hAnsi="宋体" w:cs="宋体"/>
                <w:color w:val="auto"/>
                <w:kern w:val="0"/>
                <w:szCs w:val="21"/>
              </w:rPr>
            </w:pPr>
            <w:r>
              <w:rPr>
                <w:rFonts w:hint="eastAsia" w:ascii="宋体" w:hAnsi="宋体" w:cs="宋体"/>
                <w:color w:val="auto"/>
                <w:kern w:val="0"/>
                <w:szCs w:val="21"/>
              </w:rPr>
              <w:t>12、支持屏幕录制与回放，教师机器能够生成操作演示及讲解内容，可重放并实现屏幕直播转发给学生。</w:t>
            </w:r>
          </w:p>
          <w:p w14:paraId="5BEC76B7">
            <w:pPr>
              <w:pStyle w:val="14"/>
              <w:rPr>
                <w:rFonts w:hint="eastAsia" w:ascii="宋体" w:hAnsi="宋体" w:cs="宋体"/>
                <w:color w:val="auto"/>
                <w:kern w:val="0"/>
                <w:szCs w:val="21"/>
              </w:rPr>
            </w:pPr>
            <w:r>
              <w:rPr>
                <w:rFonts w:hint="eastAsia" w:ascii="宋体" w:hAnsi="宋体" w:cs="宋体"/>
                <w:color w:val="auto"/>
                <w:kern w:val="0"/>
                <w:szCs w:val="21"/>
              </w:rPr>
              <w:t>13、该设备能够提供电子白板功能，在屏幕展示过程中支持实时的点到答疑和标注说明，以便优化课堂教学效果。</w:t>
            </w:r>
          </w:p>
          <w:p w14:paraId="2CB9CF1F">
            <w:pPr>
              <w:pStyle w:val="14"/>
              <w:rPr>
                <w:rFonts w:hint="eastAsia" w:ascii="宋体" w:hAnsi="宋体" w:cs="宋体"/>
                <w:color w:val="auto"/>
                <w:kern w:val="0"/>
                <w:szCs w:val="21"/>
              </w:rPr>
            </w:pPr>
            <w:r>
              <w:rPr>
                <w:rFonts w:hint="eastAsia" w:ascii="宋体" w:hAnsi="宋体" w:cs="宋体"/>
                <w:color w:val="auto"/>
                <w:kern w:val="0"/>
                <w:szCs w:val="21"/>
              </w:rPr>
              <w:t>14、提供让所有学生全息黑屏静音的教师管理功能，便于让学生更专注的聆听课堂内容，系统支持三种解锁模式：手动解锁、按时自动解锁以及设定锁定持续时间。（提供国家认可的第三方权威检测机构出具的检测报告复印件）</w:t>
            </w:r>
          </w:p>
          <w:p w14:paraId="6DBAB474">
            <w:pPr>
              <w:pStyle w:val="14"/>
              <w:rPr>
                <w:rFonts w:ascii="宋体" w:hAnsi="宋体" w:cs="宋体"/>
                <w:color w:val="auto"/>
                <w:kern w:val="0"/>
                <w:szCs w:val="21"/>
              </w:rPr>
            </w:pPr>
            <w:r>
              <w:rPr>
                <w:rFonts w:hint="eastAsia" w:ascii="宋体" w:hAnsi="宋体" w:cs="宋体"/>
                <w:color w:val="auto"/>
                <w:kern w:val="0"/>
                <w:szCs w:val="21"/>
              </w:rPr>
              <w:t>15、系统支持创建和管理考试功能，包括试题的编辑、发布考试卷以及考试过程的监控和成绩统计。系统还可以创建包含多种类型的问题，如单项选择、小组选择、判断型、填空和问答式问题。此外，可以设定考试总时长，计时结束后将自动终止考试。在阅卷阶段，支持自动评分，并提供考生正确率的统计结果。</w:t>
            </w:r>
          </w:p>
        </w:tc>
        <w:tc>
          <w:tcPr>
            <w:tcW w:w="603" w:type="dxa"/>
            <w:shd w:val="clear" w:color="000000" w:fill="FFFFFF"/>
            <w:vAlign w:val="center"/>
          </w:tcPr>
          <w:p w14:paraId="7F9BD39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w:t>
            </w:r>
          </w:p>
        </w:tc>
        <w:tc>
          <w:tcPr>
            <w:tcW w:w="664" w:type="dxa"/>
            <w:shd w:val="clear" w:color="000000" w:fill="FFFFFF"/>
            <w:vAlign w:val="center"/>
          </w:tcPr>
          <w:p w14:paraId="565DDF0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4A39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0DBD612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10</w:t>
            </w:r>
          </w:p>
        </w:tc>
        <w:tc>
          <w:tcPr>
            <w:tcW w:w="765" w:type="dxa"/>
            <w:shd w:val="clear" w:color="auto" w:fill="auto"/>
            <w:vAlign w:val="center"/>
          </w:tcPr>
          <w:p w14:paraId="1D8E188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服务器硬盘</w:t>
            </w:r>
          </w:p>
        </w:tc>
        <w:tc>
          <w:tcPr>
            <w:tcW w:w="6151" w:type="dxa"/>
            <w:shd w:val="clear" w:color="000000" w:fill="FFFFFF"/>
          </w:tcPr>
          <w:p w14:paraId="12480E82">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1.92TB U.2接口SSD</w:t>
            </w:r>
          </w:p>
        </w:tc>
        <w:tc>
          <w:tcPr>
            <w:tcW w:w="603" w:type="dxa"/>
            <w:shd w:val="clear" w:color="000000" w:fill="FFFFFF"/>
            <w:vAlign w:val="center"/>
          </w:tcPr>
          <w:p w14:paraId="0C4FC00D">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6</w:t>
            </w:r>
          </w:p>
        </w:tc>
        <w:tc>
          <w:tcPr>
            <w:tcW w:w="664" w:type="dxa"/>
            <w:shd w:val="clear" w:color="000000" w:fill="FFFFFF"/>
            <w:vAlign w:val="center"/>
          </w:tcPr>
          <w:p w14:paraId="7DCEC67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块</w:t>
            </w:r>
          </w:p>
        </w:tc>
      </w:tr>
      <w:tr w14:paraId="194E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18A08ED3">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11</w:t>
            </w:r>
          </w:p>
        </w:tc>
        <w:tc>
          <w:tcPr>
            <w:tcW w:w="765" w:type="dxa"/>
            <w:shd w:val="clear" w:color="auto" w:fill="auto"/>
            <w:vAlign w:val="center"/>
          </w:tcPr>
          <w:p w14:paraId="5F1F30A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服务器内存</w:t>
            </w:r>
          </w:p>
        </w:tc>
        <w:tc>
          <w:tcPr>
            <w:tcW w:w="6151" w:type="dxa"/>
            <w:shd w:val="clear" w:color="000000" w:fill="FFFFFF"/>
          </w:tcPr>
          <w:p w14:paraId="49719A5A">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16GB ECC DDR4</w:t>
            </w:r>
          </w:p>
        </w:tc>
        <w:tc>
          <w:tcPr>
            <w:tcW w:w="603" w:type="dxa"/>
            <w:shd w:val="clear" w:color="000000" w:fill="FFFFFF"/>
            <w:vAlign w:val="center"/>
          </w:tcPr>
          <w:p w14:paraId="70A68C8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24</w:t>
            </w:r>
          </w:p>
        </w:tc>
        <w:tc>
          <w:tcPr>
            <w:tcW w:w="664" w:type="dxa"/>
            <w:shd w:val="clear" w:color="000000" w:fill="FFFFFF"/>
            <w:vAlign w:val="center"/>
          </w:tcPr>
          <w:p w14:paraId="5D4F96B5">
            <w:pPr>
              <w:widowControl/>
              <w:jc w:val="center"/>
              <w:textAlignment w:val="center"/>
              <w:rPr>
                <w:rFonts w:ascii="宋体" w:hAnsi="宋体" w:cs="宋体"/>
                <w:color w:val="auto"/>
                <w:kern w:val="0"/>
                <w:szCs w:val="21"/>
              </w:rPr>
            </w:pPr>
            <w:r>
              <w:rPr>
                <w:rFonts w:hint="eastAsia" w:ascii="宋体" w:hAnsi="宋体" w:cs="宋体"/>
                <w:color w:val="auto"/>
                <w:szCs w:val="21"/>
              </w:rPr>
              <w:t>条</w:t>
            </w:r>
          </w:p>
        </w:tc>
      </w:tr>
      <w:tr w14:paraId="03B7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27CDAC9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12</w:t>
            </w:r>
          </w:p>
        </w:tc>
        <w:tc>
          <w:tcPr>
            <w:tcW w:w="765" w:type="dxa"/>
            <w:shd w:val="clear" w:color="auto" w:fill="auto"/>
            <w:vAlign w:val="center"/>
          </w:tcPr>
          <w:p w14:paraId="1D57317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教学实训扩容模块</w:t>
            </w:r>
          </w:p>
        </w:tc>
        <w:tc>
          <w:tcPr>
            <w:tcW w:w="6151" w:type="dxa"/>
            <w:shd w:val="clear" w:color="000000" w:fill="FFFFFF"/>
            <w:vAlign w:val="center"/>
          </w:tcPr>
          <w:p w14:paraId="2AE98FCA">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一、使用功能要求：</w:t>
            </w:r>
          </w:p>
          <w:p w14:paraId="6C7BC2E0">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1.为云系统提供计算存储资源硬件支撑；</w:t>
            </w:r>
          </w:p>
          <w:p w14:paraId="72A02AB4">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2.设备能够实现对资源的统一管理以及对教育智慧接收器的统一控制，保障资源和计算能力的灵活调度；</w:t>
            </w:r>
          </w:p>
          <w:p w14:paraId="7151D9E2">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3.内置虚拟化管理系统，能够实现对设备计算能力及存储空间的虚拟化；</w:t>
            </w:r>
          </w:p>
          <w:p w14:paraId="07213F44">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4.内置资源监测功能，能够实时监测设备的资源占用情况，并且可用Web管理平台进行图像化显示，可以灵活监控每一台资源群节点的运行进程；</w:t>
            </w:r>
          </w:p>
          <w:p w14:paraId="76513128">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5.可进行场景化定制开放使用，场景使用完毕可弹性回收，清除本地资源占用用于其余研管环境；</w:t>
            </w:r>
          </w:p>
          <w:p w14:paraId="6C95F8F8">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6.当资源节点出现故障，不会对用户本地化任何操作造成影响，支持软件数据的导入功能，可将资源节点上的数据全部同步到接收器上，保障数据的统一性；</w:t>
            </w:r>
          </w:p>
          <w:p w14:paraId="324BA14B">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二、平台支撑要求：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1.提供标准2U机架设备；</w:t>
            </w:r>
          </w:p>
          <w:p w14:paraId="2EA86FCB">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 支持终端无线连接，可在管理平台批量设置终端无线网络，支持“WEP”，“WPA”、“WPA2”、“WPA/WPA2”等多种认证模式；</w:t>
            </w:r>
          </w:p>
          <w:p w14:paraId="2B93D157">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3.可以通过管理平台进行文件上传，包括软件程序以及更新补丁等内容，并支持对上传内容进行分类管理，便于在web平台进行更新时随时调用本地文件；</w:t>
            </w:r>
          </w:p>
          <w:p w14:paraId="682E3C2F">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 提供报警功能，可以在指定监控范围内设置报警指标，其中包括计算资源使用率、存储空间占用情况、运行时间和授权时间等参数。用户还可设定触发阈值和持续时间，并将报警信息发送至指定管理员的电子邮件地址中；</w:t>
            </w:r>
          </w:p>
          <w:p w14:paraId="36BBFE59">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5.可被软件和编译器更改一同使用，以确保在编译器时间使用的内存参考在运行时不会因缓存溢出或不足而变得不安全；</w:t>
            </w:r>
          </w:p>
          <w:p w14:paraId="22F8A6FC">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6.具有虚拟化技术：使单个平台生成多个“虚拟”平台。可将计算活动隔离到多个独立分区保持工作效率；</w:t>
            </w:r>
          </w:p>
          <w:p w14:paraId="04CD3CB5">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7.实配两个中央计算单元，每个中央计算单元物理内核不低于四十八，每个物理内核可模拟出两个逻辑内核，基础数字脉冲信号震荡速度不低于两千六百兆赫兹；</w:t>
            </w:r>
          </w:p>
          <w:p w14:paraId="65AE5E4E">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8.数据缓存容量需不低于五百一十二吉字节，数据存储容量需不低于一块具备非易失性内存主机控制器接口规范的一千九百二十吉字节的固态驱动器，同时具备三块八太字节的串口数据存储器；</w:t>
            </w:r>
          </w:p>
          <w:p w14:paraId="71642830">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9.网络要求：为了减少网络延迟，须支持I/O AT、负载均衡、链路汇聚、绑定冗余等特性；提供不少于2个万兆比特及2个千兆比特每秒速率的网络传输接口。</w:t>
            </w:r>
          </w:p>
          <w:p w14:paraId="2765835B">
            <w:pPr>
              <w:pStyle w:val="14"/>
              <w:rPr>
                <w:rFonts w:ascii="宋体" w:hAnsi="宋体" w:cs="宋体"/>
                <w:color w:val="auto"/>
                <w:kern w:val="0"/>
                <w:szCs w:val="21"/>
              </w:rPr>
            </w:pPr>
            <w:r>
              <w:rPr>
                <w:rFonts w:hint="eastAsia" w:ascii="宋体" w:hAnsi="宋体" w:cs="宋体"/>
                <w:color w:val="auto"/>
                <w:kern w:val="0"/>
                <w:szCs w:val="21"/>
                <w:lang w:bidi="ar"/>
              </w:rPr>
              <w:t>10.支持IPMI2.0，对外提供≥1个管理网口，支持远程管理；</w:t>
            </w:r>
          </w:p>
        </w:tc>
        <w:tc>
          <w:tcPr>
            <w:tcW w:w="603" w:type="dxa"/>
            <w:shd w:val="clear" w:color="000000" w:fill="FFFFFF"/>
            <w:vAlign w:val="center"/>
          </w:tcPr>
          <w:p w14:paraId="790E539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w:t>
            </w:r>
          </w:p>
        </w:tc>
        <w:tc>
          <w:tcPr>
            <w:tcW w:w="664" w:type="dxa"/>
            <w:shd w:val="clear" w:color="000000" w:fill="FFFFFF"/>
            <w:vAlign w:val="center"/>
          </w:tcPr>
          <w:p w14:paraId="199031F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3755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77FD36E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13</w:t>
            </w:r>
          </w:p>
        </w:tc>
        <w:tc>
          <w:tcPr>
            <w:tcW w:w="765" w:type="dxa"/>
            <w:shd w:val="clear" w:color="auto" w:fill="auto"/>
            <w:vAlign w:val="center"/>
          </w:tcPr>
          <w:p w14:paraId="71DB426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服务器汇聚交换机</w:t>
            </w:r>
          </w:p>
        </w:tc>
        <w:tc>
          <w:tcPr>
            <w:tcW w:w="6151" w:type="dxa"/>
            <w:shd w:val="clear" w:color="000000" w:fill="FFFFFF"/>
            <w:vAlign w:val="center"/>
          </w:tcPr>
          <w:p w14:paraId="21C8093F">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1、≥24×10GE SFP+端口，≥2×40GE QSFP+端口；</w:t>
            </w:r>
          </w:p>
          <w:p w14:paraId="7E982DEC">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2、交换容量：≥2.56 Tbps；</w:t>
            </w:r>
          </w:p>
          <w:p w14:paraId="49B0AD5E">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3、包转发率：≥720 Mpps；</w:t>
            </w:r>
          </w:p>
          <w:p w14:paraId="5F41ED38">
            <w:pPr>
              <w:widowControl/>
              <w:jc w:val="left"/>
              <w:textAlignment w:val="center"/>
              <w:rPr>
                <w:rFonts w:ascii="宋体" w:hAnsi="宋体" w:cs="宋体"/>
                <w:color w:val="auto"/>
                <w:kern w:val="0"/>
                <w:szCs w:val="21"/>
              </w:rPr>
            </w:pPr>
            <w:r>
              <w:rPr>
                <w:rFonts w:hint="eastAsia" w:ascii="宋体" w:hAnsi="宋体" w:cs="宋体"/>
                <w:color w:val="auto"/>
                <w:kern w:val="0"/>
                <w:szCs w:val="21"/>
                <w:lang w:bidi="ar"/>
              </w:rPr>
              <w:t>4、电源：单电源，交流供电。</w:t>
            </w:r>
          </w:p>
        </w:tc>
        <w:tc>
          <w:tcPr>
            <w:tcW w:w="603" w:type="dxa"/>
            <w:shd w:val="clear" w:color="000000" w:fill="FFFFFF"/>
            <w:vAlign w:val="center"/>
          </w:tcPr>
          <w:p w14:paraId="60BA332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64" w:type="dxa"/>
            <w:shd w:val="clear" w:color="000000" w:fill="FFFFFF"/>
            <w:vAlign w:val="center"/>
          </w:tcPr>
          <w:p w14:paraId="482B99F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r w14:paraId="5B92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3556E87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14</w:t>
            </w:r>
          </w:p>
        </w:tc>
        <w:tc>
          <w:tcPr>
            <w:tcW w:w="765" w:type="dxa"/>
            <w:shd w:val="clear" w:color="auto" w:fill="auto"/>
            <w:vAlign w:val="center"/>
          </w:tcPr>
          <w:p w14:paraId="2081BD3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教学机房接入上行交换机</w:t>
            </w:r>
          </w:p>
        </w:tc>
        <w:tc>
          <w:tcPr>
            <w:tcW w:w="6151" w:type="dxa"/>
            <w:shd w:val="clear" w:color="000000" w:fill="FFFFFF"/>
            <w:vAlign w:val="center"/>
          </w:tcPr>
          <w:p w14:paraId="0D9C90FA">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1、≥24个10/100/1000Base-T以太网电接口，≥4个万兆SFP+光口；</w:t>
            </w:r>
          </w:p>
          <w:p w14:paraId="1565FAC3">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2、交换容量：≥336Gbps；</w:t>
            </w:r>
          </w:p>
          <w:p w14:paraId="0A2D71A9">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3、包转发率：≥126Mpps；</w:t>
            </w:r>
          </w:p>
          <w:p w14:paraId="46B42CFB">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4、电源：单电源，交流供电；</w:t>
            </w:r>
          </w:p>
          <w:p w14:paraId="7735AEE6">
            <w:pPr>
              <w:widowControl/>
              <w:jc w:val="left"/>
              <w:textAlignment w:val="center"/>
              <w:rPr>
                <w:rFonts w:ascii="宋体" w:hAnsi="宋体" w:cs="宋体"/>
                <w:color w:val="auto"/>
                <w:kern w:val="0"/>
                <w:szCs w:val="21"/>
              </w:rPr>
            </w:pPr>
            <w:r>
              <w:rPr>
                <w:rFonts w:hint="eastAsia" w:ascii="宋体" w:hAnsi="宋体" w:cs="宋体"/>
                <w:color w:val="auto"/>
                <w:kern w:val="0"/>
                <w:szCs w:val="21"/>
                <w:lang w:bidi="ar"/>
              </w:rPr>
              <w:t>5、每台配≥2个万兆光模块。</w:t>
            </w:r>
          </w:p>
        </w:tc>
        <w:tc>
          <w:tcPr>
            <w:tcW w:w="603" w:type="dxa"/>
            <w:shd w:val="clear" w:color="000000" w:fill="FFFFFF"/>
            <w:vAlign w:val="center"/>
          </w:tcPr>
          <w:p w14:paraId="6E20C10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11</w:t>
            </w:r>
          </w:p>
        </w:tc>
        <w:tc>
          <w:tcPr>
            <w:tcW w:w="664" w:type="dxa"/>
            <w:shd w:val="clear" w:color="000000" w:fill="FFFFFF"/>
            <w:vAlign w:val="center"/>
          </w:tcPr>
          <w:p w14:paraId="735AB6C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r w14:paraId="7140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2EB776FB">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15</w:t>
            </w:r>
          </w:p>
        </w:tc>
        <w:tc>
          <w:tcPr>
            <w:tcW w:w="765" w:type="dxa"/>
            <w:shd w:val="clear" w:color="auto" w:fill="auto"/>
            <w:vAlign w:val="center"/>
          </w:tcPr>
          <w:p w14:paraId="6544B48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教学机房接入交换机</w:t>
            </w:r>
          </w:p>
        </w:tc>
        <w:tc>
          <w:tcPr>
            <w:tcW w:w="6151" w:type="dxa"/>
            <w:shd w:val="clear" w:color="000000" w:fill="FFFFFF"/>
            <w:vAlign w:val="center"/>
          </w:tcPr>
          <w:p w14:paraId="5618A0CE">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1、≥48个10/100/1000Base-T以太网电接口，≥4个千兆SFP光口；</w:t>
            </w:r>
          </w:p>
          <w:p w14:paraId="0D055DE4">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2、交换容量：≥336Gbps；</w:t>
            </w:r>
          </w:p>
          <w:p w14:paraId="51718184">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3、包转发率：≥166Mpps</w:t>
            </w:r>
          </w:p>
          <w:p w14:paraId="361715F3">
            <w:pPr>
              <w:widowControl/>
              <w:jc w:val="left"/>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4、电源：单电源，交流供电；</w:t>
            </w:r>
          </w:p>
          <w:p w14:paraId="1A9D834C">
            <w:pPr>
              <w:widowControl/>
              <w:jc w:val="left"/>
              <w:textAlignment w:val="center"/>
              <w:rPr>
                <w:rFonts w:ascii="宋体" w:hAnsi="宋体" w:cs="宋体"/>
                <w:color w:val="auto"/>
                <w:kern w:val="0"/>
                <w:szCs w:val="21"/>
              </w:rPr>
            </w:pPr>
            <w:r>
              <w:rPr>
                <w:rFonts w:hint="eastAsia" w:ascii="宋体" w:hAnsi="宋体" w:cs="宋体"/>
                <w:color w:val="auto"/>
                <w:kern w:val="0"/>
                <w:szCs w:val="21"/>
                <w:lang w:bidi="ar"/>
              </w:rPr>
              <w:t>5、每台配≥2个万兆光模块。</w:t>
            </w:r>
          </w:p>
        </w:tc>
        <w:tc>
          <w:tcPr>
            <w:tcW w:w="603" w:type="dxa"/>
            <w:shd w:val="clear" w:color="000000" w:fill="FFFFFF"/>
            <w:vAlign w:val="center"/>
          </w:tcPr>
          <w:p w14:paraId="360BCAE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2</w:t>
            </w:r>
          </w:p>
        </w:tc>
        <w:tc>
          <w:tcPr>
            <w:tcW w:w="664" w:type="dxa"/>
            <w:shd w:val="clear" w:color="000000" w:fill="FFFFFF"/>
            <w:vAlign w:val="center"/>
          </w:tcPr>
          <w:p w14:paraId="27D9641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r w14:paraId="06AB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3034B10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16</w:t>
            </w:r>
          </w:p>
        </w:tc>
        <w:tc>
          <w:tcPr>
            <w:tcW w:w="765" w:type="dxa"/>
            <w:shd w:val="clear" w:color="auto" w:fill="auto"/>
            <w:vAlign w:val="center"/>
          </w:tcPr>
          <w:p w14:paraId="0E96350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智能显示协同终端</w:t>
            </w:r>
          </w:p>
        </w:tc>
        <w:tc>
          <w:tcPr>
            <w:tcW w:w="6151" w:type="dxa"/>
            <w:shd w:val="clear" w:color="000000" w:fill="FFFFFF"/>
            <w:vAlign w:val="center"/>
          </w:tcPr>
          <w:p w14:paraId="3B19D9AD">
            <w:pPr>
              <w:pStyle w:val="14"/>
              <w:rPr>
                <w:rFonts w:hint="eastAsia" w:ascii="宋体" w:hAnsi="宋体" w:cs="宋体"/>
                <w:color w:val="auto"/>
                <w:kern w:val="0"/>
                <w:szCs w:val="21"/>
              </w:rPr>
            </w:pPr>
            <w:r>
              <w:rPr>
                <w:rFonts w:hint="eastAsia" w:ascii="宋体" w:hAnsi="宋体" w:cs="宋体"/>
                <w:color w:val="auto"/>
                <w:kern w:val="0"/>
                <w:szCs w:val="21"/>
              </w:rPr>
              <w:t>一、配套硬件部分</w:t>
            </w:r>
          </w:p>
          <w:p w14:paraId="1571ABD3">
            <w:pPr>
              <w:pStyle w:val="14"/>
              <w:rPr>
                <w:rFonts w:hint="eastAsia" w:ascii="宋体" w:hAnsi="宋体" w:cs="宋体"/>
                <w:color w:val="auto"/>
                <w:kern w:val="0"/>
                <w:szCs w:val="21"/>
              </w:rPr>
            </w:pPr>
            <w:r>
              <w:rPr>
                <w:rFonts w:hint="eastAsia" w:ascii="宋体" w:hAnsi="宋体" w:cs="宋体"/>
                <w:color w:val="auto"/>
                <w:kern w:val="0"/>
                <w:szCs w:val="21"/>
              </w:rPr>
              <w:t>1、整机采用一体设计，外部无任何可见内部功能模块连接线；</w:t>
            </w:r>
          </w:p>
          <w:p w14:paraId="2ADE814E">
            <w:pPr>
              <w:pStyle w:val="14"/>
              <w:rPr>
                <w:rFonts w:hint="eastAsia" w:ascii="宋体" w:hAnsi="宋体" w:cs="宋体"/>
                <w:color w:val="auto"/>
                <w:kern w:val="0"/>
                <w:szCs w:val="21"/>
              </w:rPr>
            </w:pPr>
            <w:r>
              <w:rPr>
                <w:rFonts w:hint="eastAsia" w:ascii="宋体" w:hAnsi="宋体" w:cs="宋体"/>
                <w:color w:val="auto"/>
                <w:kern w:val="0"/>
                <w:szCs w:val="21"/>
              </w:rPr>
              <w:t>2、屏幕采用≥98英寸液晶显示器，超高清液晶A规屏，显示比例16:9，分辨率≥3840×2160；</w:t>
            </w:r>
          </w:p>
          <w:p w14:paraId="4DCE7632">
            <w:pPr>
              <w:pStyle w:val="14"/>
              <w:rPr>
                <w:rFonts w:hint="eastAsia" w:ascii="宋体" w:hAnsi="宋体" w:cs="宋体"/>
                <w:color w:val="auto"/>
                <w:kern w:val="0"/>
                <w:szCs w:val="21"/>
              </w:rPr>
            </w:pPr>
            <w:r>
              <w:rPr>
                <w:rFonts w:hint="eastAsia" w:ascii="宋体" w:hAnsi="宋体" w:cs="宋体"/>
                <w:color w:val="auto"/>
                <w:kern w:val="0"/>
                <w:szCs w:val="21"/>
              </w:rPr>
              <w:t>3、整机支持全通道支持4K UI界面显示，包括安卓通道、PC通道、HDMI通道、Type-C通道；</w:t>
            </w:r>
          </w:p>
          <w:p w14:paraId="17C7AAA9">
            <w:pPr>
              <w:pStyle w:val="14"/>
              <w:rPr>
                <w:rFonts w:hint="eastAsia" w:ascii="宋体" w:hAnsi="宋体" w:cs="宋体"/>
                <w:color w:val="auto"/>
                <w:kern w:val="0"/>
                <w:szCs w:val="21"/>
              </w:rPr>
            </w:pPr>
            <w:r>
              <w:rPr>
                <w:rFonts w:hint="eastAsia" w:ascii="宋体" w:hAnsi="宋体" w:cs="宋体"/>
                <w:color w:val="auto"/>
                <w:kern w:val="0"/>
                <w:szCs w:val="21"/>
              </w:rPr>
              <w:t>4、采用高色准技术，在sRGB模式下可做到高色准△E≤1.0；</w:t>
            </w:r>
          </w:p>
          <w:p w14:paraId="4C9D7ADE">
            <w:pPr>
              <w:pStyle w:val="14"/>
              <w:rPr>
                <w:rFonts w:hint="eastAsia" w:ascii="宋体" w:hAnsi="宋体" w:cs="宋体"/>
                <w:color w:val="auto"/>
                <w:kern w:val="0"/>
                <w:szCs w:val="21"/>
              </w:rPr>
            </w:pPr>
            <w:r>
              <w:rPr>
                <w:rFonts w:hint="eastAsia" w:ascii="宋体" w:hAnsi="宋体" w:cs="宋体"/>
                <w:color w:val="auto"/>
                <w:kern w:val="0"/>
                <w:szCs w:val="21"/>
              </w:rPr>
              <w:t>5、整机系统支持手势上滑调出人工智能画质调节模式（AI-PQ），在安卓通道下可根据屏幕内容自动调节画质参数，当屏幕出现人物、建筑、夜景等元素时，自动调整对比度、饱和度、锐利度、色调色相值、高光/阴影；</w:t>
            </w:r>
          </w:p>
          <w:p w14:paraId="667F9E3A">
            <w:pPr>
              <w:pStyle w:val="14"/>
              <w:rPr>
                <w:rFonts w:hint="eastAsia" w:ascii="宋体" w:hAnsi="宋体" w:cs="宋体"/>
                <w:color w:val="auto"/>
                <w:kern w:val="0"/>
                <w:szCs w:val="21"/>
              </w:rPr>
            </w:pPr>
            <w:r>
              <w:rPr>
                <w:rFonts w:hint="eastAsia" w:ascii="宋体" w:hAnsi="宋体" w:cs="宋体"/>
                <w:color w:val="auto"/>
                <w:kern w:val="0"/>
                <w:szCs w:val="21"/>
              </w:rPr>
              <w:t>6、整机色域覆盖率（NTSC）≥90%，灰度等级≥256级；</w:t>
            </w:r>
          </w:p>
          <w:p w14:paraId="2BAF1031">
            <w:pPr>
              <w:pStyle w:val="14"/>
              <w:rPr>
                <w:rFonts w:hint="eastAsia" w:ascii="宋体" w:hAnsi="宋体" w:cs="宋体"/>
                <w:color w:val="auto"/>
                <w:kern w:val="0"/>
                <w:szCs w:val="21"/>
              </w:rPr>
            </w:pPr>
            <w:r>
              <w:rPr>
                <w:rFonts w:hint="eastAsia" w:ascii="宋体" w:hAnsi="宋体" w:cs="宋体"/>
                <w:color w:val="auto"/>
                <w:kern w:val="0"/>
                <w:szCs w:val="21"/>
              </w:rPr>
              <w:t>7、内置2.2声道扬声器，为保证音质，具备低音扬声器，总功率不低于60W；</w:t>
            </w:r>
          </w:p>
          <w:p w14:paraId="308E84FF">
            <w:pPr>
              <w:pStyle w:val="14"/>
              <w:rPr>
                <w:rFonts w:hint="eastAsia" w:ascii="宋体" w:hAnsi="宋体" w:cs="宋体"/>
                <w:color w:val="auto"/>
                <w:kern w:val="0"/>
                <w:szCs w:val="21"/>
              </w:rPr>
            </w:pPr>
            <w:r>
              <w:rPr>
                <w:rFonts w:hint="eastAsia" w:ascii="宋体" w:hAnsi="宋体" w:cs="宋体"/>
                <w:color w:val="auto"/>
                <w:kern w:val="0"/>
                <w:szCs w:val="21"/>
              </w:rPr>
              <w:t>8、AI空间感知音效模式可通过内置麦克风采集教室物理环境声音，自动生成符合当前教室物理环境的频段、音量、音效；</w:t>
            </w:r>
          </w:p>
          <w:p w14:paraId="139DC01E">
            <w:pPr>
              <w:pStyle w:val="14"/>
              <w:rPr>
                <w:rFonts w:hint="eastAsia" w:ascii="宋体" w:hAnsi="宋体" w:cs="宋体"/>
                <w:color w:val="auto"/>
                <w:kern w:val="0"/>
                <w:szCs w:val="21"/>
              </w:rPr>
            </w:pPr>
            <w:r>
              <w:rPr>
                <w:rFonts w:hint="eastAsia" w:ascii="宋体" w:hAnsi="宋体" w:cs="宋体"/>
                <w:color w:val="auto"/>
                <w:kern w:val="0"/>
                <w:szCs w:val="21"/>
              </w:rPr>
              <w:t>9、整机内置4核音频CPU处理器，最多可支持8路麦克风数据处理，采样率支持192K，同时不占用整机系统的CPU能力；</w:t>
            </w:r>
          </w:p>
          <w:p w14:paraId="1605A9FE">
            <w:pPr>
              <w:pStyle w:val="14"/>
              <w:rPr>
                <w:rFonts w:hint="eastAsia" w:ascii="宋体" w:hAnsi="宋体" w:cs="宋体"/>
                <w:color w:val="auto"/>
                <w:kern w:val="0"/>
                <w:szCs w:val="21"/>
              </w:rPr>
            </w:pPr>
            <w:r>
              <w:rPr>
                <w:rFonts w:hint="eastAsia" w:ascii="宋体" w:hAnsi="宋体" w:cs="宋体"/>
                <w:color w:val="auto"/>
                <w:kern w:val="0"/>
                <w:szCs w:val="21"/>
              </w:rPr>
              <w:t>10、采用红外触控方式，为保证触控流畅性及智能平板的交互性，支持Windows系统中进行50点或以上触控，支持在Android系统中进行40点或以上触控；</w:t>
            </w:r>
          </w:p>
          <w:p w14:paraId="253C2D66">
            <w:pPr>
              <w:pStyle w:val="14"/>
              <w:rPr>
                <w:rFonts w:hint="eastAsia" w:ascii="宋体" w:hAnsi="宋体" w:cs="宋体"/>
                <w:color w:val="auto"/>
                <w:kern w:val="0"/>
                <w:szCs w:val="21"/>
              </w:rPr>
            </w:pPr>
            <w:r>
              <w:rPr>
                <w:rFonts w:hint="eastAsia" w:ascii="宋体" w:hAnsi="宋体" w:cs="宋体"/>
                <w:color w:val="auto"/>
                <w:kern w:val="0"/>
                <w:szCs w:val="21"/>
              </w:rPr>
              <w:t>11、整机触控书写功能集成预测算法，在书写速度≥50cm/s，支持笔迹距离笔的距离小于20mm；</w:t>
            </w:r>
          </w:p>
          <w:p w14:paraId="45E91627">
            <w:pPr>
              <w:pStyle w:val="14"/>
              <w:rPr>
                <w:rFonts w:hint="eastAsia" w:ascii="宋体" w:hAnsi="宋体" w:cs="宋体"/>
                <w:color w:val="auto"/>
                <w:kern w:val="0"/>
                <w:szCs w:val="21"/>
              </w:rPr>
            </w:pPr>
            <w:r>
              <w:rPr>
                <w:rFonts w:hint="eastAsia" w:ascii="宋体" w:hAnsi="宋体" w:cs="宋体"/>
                <w:color w:val="auto"/>
                <w:kern w:val="0"/>
                <w:szCs w:val="21"/>
              </w:rPr>
              <w:t>12、整机支持提笔书写，在Windows系统下可实现无需点击任意功能入口，当检测到红外笔笔尖接触屏幕时，自动进入书写模式；</w:t>
            </w:r>
          </w:p>
          <w:p w14:paraId="27C02303">
            <w:pPr>
              <w:pStyle w:val="14"/>
              <w:rPr>
                <w:rFonts w:hint="eastAsia" w:ascii="宋体" w:hAnsi="宋体" w:cs="宋体"/>
                <w:color w:val="auto"/>
                <w:kern w:val="0"/>
                <w:szCs w:val="21"/>
              </w:rPr>
            </w:pPr>
            <w:r>
              <w:rPr>
                <w:rFonts w:hint="eastAsia" w:ascii="宋体" w:hAnsi="宋体" w:cs="宋体"/>
                <w:color w:val="auto"/>
                <w:kern w:val="0"/>
                <w:szCs w:val="21"/>
              </w:rPr>
              <w:t>13、整机触摸支持动态压力感应，支持无任何电子功能的普通书写笔在整机上书写或点压时，整机能感应压力变化，书写或点压过程笔迹呈现不同粗细；</w:t>
            </w:r>
          </w:p>
          <w:p w14:paraId="6DFC7EA2">
            <w:pPr>
              <w:pStyle w:val="14"/>
              <w:rPr>
                <w:rFonts w:hint="eastAsia" w:ascii="宋体" w:hAnsi="宋体" w:cs="宋体"/>
                <w:color w:val="auto"/>
                <w:kern w:val="0"/>
                <w:szCs w:val="21"/>
              </w:rPr>
            </w:pPr>
            <w:r>
              <w:rPr>
                <w:rFonts w:hint="eastAsia" w:ascii="宋体" w:hAnsi="宋体" w:cs="宋体"/>
                <w:color w:val="auto"/>
                <w:kern w:val="0"/>
                <w:szCs w:val="21"/>
              </w:rPr>
              <w:t>14、整机上边框内置非独立式摄像头，采用一体化集成设计，摄像头数量≥4个，支持画面畸变矫正功能，支持人脸识别，支持环境色温扫描；</w:t>
            </w:r>
          </w:p>
          <w:p w14:paraId="32E76E6B">
            <w:pPr>
              <w:pStyle w:val="14"/>
              <w:rPr>
                <w:rFonts w:hint="eastAsia" w:ascii="宋体" w:hAnsi="宋体" w:cs="宋体"/>
                <w:color w:val="auto"/>
                <w:kern w:val="0"/>
                <w:szCs w:val="21"/>
              </w:rPr>
            </w:pPr>
            <w:r>
              <w:rPr>
                <w:rFonts w:hint="eastAsia" w:ascii="宋体" w:hAnsi="宋体" w:cs="宋体"/>
                <w:color w:val="auto"/>
                <w:kern w:val="0"/>
                <w:szCs w:val="21"/>
              </w:rPr>
              <w:t>15、摄像头支持3D降噪算法和数字宽动态范围成像WDR技术，支持输出MJPG、H.264视频格式；</w:t>
            </w:r>
          </w:p>
          <w:p w14:paraId="728DD2CB">
            <w:pPr>
              <w:pStyle w:val="14"/>
              <w:rPr>
                <w:rFonts w:hint="eastAsia" w:ascii="宋体" w:hAnsi="宋体" w:cs="宋体"/>
                <w:color w:val="auto"/>
                <w:kern w:val="0"/>
                <w:szCs w:val="21"/>
              </w:rPr>
            </w:pPr>
            <w:r>
              <w:rPr>
                <w:rFonts w:hint="eastAsia" w:ascii="宋体" w:hAnsi="宋体" w:cs="宋体"/>
                <w:color w:val="auto"/>
                <w:kern w:val="0"/>
                <w:szCs w:val="21"/>
              </w:rPr>
              <w:t>16、支持整机支持蓝牙Bluetooth 5.4标准，固件版本号HCI13.0/LMP13.0；</w:t>
            </w:r>
          </w:p>
          <w:p w14:paraId="41349C86">
            <w:pPr>
              <w:pStyle w:val="14"/>
              <w:rPr>
                <w:rFonts w:hint="eastAsia" w:ascii="宋体" w:hAnsi="宋体" w:cs="宋体"/>
                <w:color w:val="auto"/>
                <w:kern w:val="0"/>
                <w:szCs w:val="21"/>
              </w:rPr>
            </w:pPr>
            <w:r>
              <w:rPr>
                <w:rFonts w:hint="eastAsia" w:ascii="宋体" w:hAnsi="宋体" w:cs="宋体"/>
                <w:color w:val="auto"/>
                <w:kern w:val="0"/>
                <w:szCs w:val="21"/>
              </w:rPr>
              <w:t>17、整机内置双WiFi6无线网卡（不接受外接），在Android下支持无线设备同时连接数量≥32个，在Windows系统下支持无线设备同时连接≥8个；</w:t>
            </w:r>
          </w:p>
          <w:p w14:paraId="51B6EEB4">
            <w:pPr>
              <w:pStyle w:val="14"/>
              <w:rPr>
                <w:rFonts w:hint="eastAsia" w:ascii="宋体" w:hAnsi="宋体" w:cs="宋体"/>
                <w:color w:val="auto"/>
                <w:kern w:val="0"/>
                <w:szCs w:val="21"/>
              </w:rPr>
            </w:pPr>
            <w:r>
              <w:rPr>
                <w:rFonts w:hint="eastAsia" w:ascii="宋体" w:hAnsi="宋体" w:cs="宋体"/>
                <w:color w:val="auto"/>
                <w:kern w:val="0"/>
                <w:szCs w:val="21"/>
              </w:rPr>
              <w:t>18、前置输入接口≥3路USB接口,至少包含1路Type-C、2路USB；</w:t>
            </w:r>
          </w:p>
          <w:p w14:paraId="300CF60F">
            <w:pPr>
              <w:pStyle w:val="14"/>
              <w:rPr>
                <w:rFonts w:hint="eastAsia" w:ascii="宋体" w:hAnsi="宋体" w:cs="宋体"/>
                <w:color w:val="auto"/>
                <w:kern w:val="0"/>
                <w:szCs w:val="21"/>
              </w:rPr>
            </w:pPr>
            <w:r>
              <w:rPr>
                <w:rFonts w:hint="eastAsia" w:ascii="宋体" w:hAnsi="宋体" w:cs="宋体"/>
                <w:color w:val="auto"/>
                <w:kern w:val="0"/>
                <w:szCs w:val="21"/>
              </w:rPr>
              <w:t>19、整机具备≥5个前置按键，可实现开关机、调出中控菜单、音量+/-、护眼、录屏操作；</w:t>
            </w:r>
          </w:p>
          <w:p w14:paraId="068D50E1">
            <w:pPr>
              <w:pStyle w:val="14"/>
              <w:rPr>
                <w:rFonts w:hint="eastAsia" w:ascii="宋体" w:hAnsi="宋体" w:cs="宋体"/>
                <w:color w:val="auto"/>
                <w:kern w:val="0"/>
                <w:szCs w:val="21"/>
              </w:rPr>
            </w:pPr>
            <w:r>
              <w:rPr>
                <w:rFonts w:hint="eastAsia" w:ascii="宋体" w:hAnsi="宋体" w:cs="宋体"/>
                <w:color w:val="auto"/>
                <w:kern w:val="0"/>
                <w:szCs w:val="21"/>
              </w:rPr>
              <w:t>20、内置安卓系统版本不低于Android 13.0，内存≥4GB，存储空间≥32GB；</w:t>
            </w:r>
          </w:p>
          <w:p w14:paraId="438F7D6C">
            <w:pPr>
              <w:pStyle w:val="14"/>
              <w:rPr>
                <w:rFonts w:hint="eastAsia" w:ascii="宋体" w:hAnsi="宋体" w:cs="宋体"/>
                <w:color w:val="auto"/>
                <w:kern w:val="0"/>
                <w:szCs w:val="21"/>
              </w:rPr>
            </w:pPr>
            <w:r>
              <w:rPr>
                <w:rFonts w:hint="eastAsia" w:ascii="宋体" w:hAnsi="宋体" w:cs="宋体"/>
                <w:color w:val="auto"/>
                <w:kern w:val="0"/>
                <w:szCs w:val="21"/>
              </w:rPr>
              <w:t>21、整机内置NFC读卡模块，可配合应用实现刷卡解锁，刷卡登录账号功能；</w:t>
            </w:r>
          </w:p>
          <w:p w14:paraId="40297973">
            <w:pPr>
              <w:pStyle w:val="14"/>
              <w:rPr>
                <w:rFonts w:hint="eastAsia" w:ascii="宋体" w:hAnsi="宋体" w:cs="宋体"/>
                <w:color w:val="auto"/>
                <w:kern w:val="0"/>
                <w:szCs w:val="21"/>
              </w:rPr>
            </w:pPr>
            <w:r>
              <w:rPr>
                <w:rFonts w:hint="eastAsia" w:ascii="宋体" w:hAnsi="宋体" w:cs="宋体"/>
                <w:color w:val="auto"/>
                <w:kern w:val="0"/>
                <w:szCs w:val="21"/>
              </w:rPr>
              <w:t>22、整机内置触摸中控菜单，可查看当前正在运行的应用，支持应用切换，在全屏应用下无需退出全屏应用即可进行切换；支持应用关闭，以及关闭所有应用；</w:t>
            </w:r>
          </w:p>
          <w:p w14:paraId="7DD3E98A">
            <w:pPr>
              <w:pStyle w:val="14"/>
              <w:rPr>
                <w:rFonts w:hint="eastAsia" w:ascii="宋体" w:hAnsi="宋体" w:cs="宋体"/>
                <w:color w:val="auto"/>
                <w:kern w:val="0"/>
                <w:szCs w:val="21"/>
              </w:rPr>
            </w:pPr>
            <w:r>
              <w:rPr>
                <w:rFonts w:hint="eastAsia" w:ascii="宋体" w:hAnsi="宋体" w:cs="宋体"/>
                <w:color w:val="auto"/>
                <w:kern w:val="0"/>
                <w:szCs w:val="21"/>
              </w:rPr>
              <w:t>23、整机Windows通道支持文件传输应用，支持多人同时将手机文件传输到整机上；</w:t>
            </w:r>
          </w:p>
          <w:p w14:paraId="279DB93B">
            <w:pPr>
              <w:pStyle w:val="14"/>
              <w:rPr>
                <w:rFonts w:hint="eastAsia" w:ascii="宋体" w:hAnsi="宋体" w:cs="宋体"/>
                <w:color w:val="auto"/>
                <w:kern w:val="0"/>
                <w:szCs w:val="21"/>
              </w:rPr>
            </w:pPr>
            <w:r>
              <w:rPr>
                <w:rFonts w:hint="eastAsia" w:ascii="宋体" w:hAnsi="宋体" w:cs="宋体"/>
                <w:color w:val="auto"/>
                <w:kern w:val="0"/>
                <w:szCs w:val="21"/>
              </w:rPr>
              <w:t>▲24、整机支持通过扬声器发出频率为18kHz-22kHz超声波信号，智能手机通过麦克风接收后，实现智能手机与整机配对，投屏设备实现一键投屏，用户无需手动输入投屏码或扫码获取投屏码；（提供国家认可的第三方权威检测机构出具的检测报告复印件）</w:t>
            </w:r>
          </w:p>
          <w:p w14:paraId="36236731">
            <w:pPr>
              <w:pStyle w:val="14"/>
              <w:rPr>
                <w:rFonts w:hint="eastAsia" w:ascii="宋体" w:hAnsi="宋体" w:cs="宋体"/>
                <w:color w:val="auto"/>
                <w:kern w:val="0"/>
                <w:szCs w:val="21"/>
              </w:rPr>
            </w:pPr>
            <w:r>
              <w:rPr>
                <w:rFonts w:hint="eastAsia" w:ascii="宋体" w:hAnsi="宋体" w:cs="宋体"/>
                <w:color w:val="auto"/>
                <w:kern w:val="0"/>
                <w:szCs w:val="21"/>
              </w:rPr>
              <w:t>25、PC模块参数不低于以下配置：（1）采用Intel酷睿系列≥i7十二代CPU（2）16GB DDR4笔记本内存或以上配置，256GB或以上SSD固态硬盘；（3）和整机的连接接口针脚数≤60pin；（4）整机具备供电保护模块，能够检测内置电脑是否插好在位，在内置电脑未在位的情况下，内置电脑无法上电工作；（5）支持双路可插拔模块，一个槽位支持OPS模块插拔，另一个槽位支持AI模块插拔；（提供国家认可的第三方权威检测机构出具的检测报告复印件）</w:t>
            </w:r>
          </w:p>
          <w:p w14:paraId="79D8826E">
            <w:pPr>
              <w:pStyle w:val="14"/>
              <w:rPr>
                <w:rFonts w:hint="eastAsia" w:ascii="宋体" w:hAnsi="宋体" w:cs="宋体"/>
                <w:color w:val="auto"/>
                <w:kern w:val="0"/>
                <w:szCs w:val="21"/>
              </w:rPr>
            </w:pPr>
            <w:r>
              <w:rPr>
                <w:rFonts w:hint="eastAsia" w:ascii="宋体" w:hAnsi="宋体" w:cs="宋体"/>
                <w:color w:val="auto"/>
                <w:kern w:val="0"/>
                <w:szCs w:val="21"/>
              </w:rPr>
              <w:t>二、核心互动教学系统</w:t>
            </w:r>
          </w:p>
          <w:p w14:paraId="6A69C8E0">
            <w:pPr>
              <w:pStyle w:val="14"/>
              <w:rPr>
                <w:rFonts w:hint="eastAsia" w:ascii="宋体" w:hAnsi="宋体" w:cs="宋体"/>
                <w:color w:val="auto"/>
                <w:kern w:val="0"/>
                <w:szCs w:val="21"/>
              </w:rPr>
            </w:pPr>
            <w:r>
              <w:rPr>
                <w:rFonts w:hint="eastAsia" w:ascii="宋体" w:hAnsi="宋体" w:cs="宋体"/>
                <w:color w:val="auto"/>
                <w:kern w:val="0"/>
                <w:szCs w:val="21"/>
              </w:rPr>
              <w:t>1.系统基于 SaaS 布局，应用界面采用B/S和C/S架构设计，支持用户在显示设备、PC上使用；</w:t>
            </w:r>
          </w:p>
          <w:p w14:paraId="181813B1">
            <w:pPr>
              <w:pStyle w:val="14"/>
              <w:rPr>
                <w:rFonts w:hint="eastAsia" w:ascii="宋体" w:hAnsi="宋体" w:cs="宋体"/>
                <w:color w:val="auto"/>
                <w:kern w:val="0"/>
                <w:szCs w:val="21"/>
              </w:rPr>
            </w:pPr>
            <w:r>
              <w:rPr>
                <w:rFonts w:hint="eastAsia" w:ascii="宋体" w:hAnsi="宋体" w:cs="宋体"/>
                <w:color w:val="auto"/>
                <w:kern w:val="0"/>
                <w:szCs w:val="21"/>
              </w:rPr>
              <w:t>2.支持自由授课和登录授课模式；自由授课模式支持教师为未登录状态下快速点击应用开始授课，进行板书演示、课件讲演；登录授课模式支持教师在设备上扫描二维码，系统会自动获取教师的课程信息，多课程时支持手动选择，无课程时支持创建新课程，选中课程后会自动生成课堂码，支持教师复制课堂码分享给学生；</w:t>
            </w:r>
          </w:p>
          <w:p w14:paraId="1C92AF0F">
            <w:pPr>
              <w:pStyle w:val="14"/>
              <w:rPr>
                <w:rFonts w:hint="eastAsia" w:ascii="宋体" w:hAnsi="宋体" w:cs="宋体"/>
                <w:color w:val="auto"/>
                <w:kern w:val="0"/>
                <w:szCs w:val="21"/>
              </w:rPr>
            </w:pPr>
            <w:r>
              <w:rPr>
                <w:rFonts w:hint="eastAsia" w:ascii="宋体" w:hAnsi="宋体" w:cs="宋体"/>
                <w:color w:val="auto"/>
                <w:kern w:val="0"/>
                <w:szCs w:val="21"/>
              </w:rPr>
              <w:t>3.支持学生在个人PC上接收到课堂加入邀请，点击课程信息后快速加入课堂；支持学生端在个人PC、移动端上登录平台后输入课堂码，快速加入课堂；开始授课前，支持教师实时查看加入本课堂的学生列表；学生加入课堂后，会自动跟随教师端授课演示画面；授课过程中，支持自动转写教师的授课声音为文字；</w:t>
            </w:r>
          </w:p>
          <w:p w14:paraId="399B3A6D">
            <w:pPr>
              <w:pStyle w:val="14"/>
              <w:rPr>
                <w:rFonts w:hint="eastAsia" w:ascii="宋体" w:hAnsi="宋体" w:cs="宋体"/>
                <w:color w:val="auto"/>
                <w:kern w:val="0"/>
                <w:szCs w:val="21"/>
              </w:rPr>
            </w:pPr>
            <w:r>
              <w:rPr>
                <w:rFonts w:hint="eastAsia" w:ascii="宋体" w:hAnsi="宋体" w:cs="宋体"/>
                <w:color w:val="auto"/>
                <w:kern w:val="0"/>
                <w:szCs w:val="21"/>
              </w:rPr>
              <w:t>4.支持导入系统本地文件、WPS云盘文件、自有云盘文件、手机文件；支持导入PDF、Word、Excel、PPT类型文件；支持多文件同时导入；（提供国家认可的第三方检测机构出具的检测报告复印件）</w:t>
            </w:r>
          </w:p>
          <w:p w14:paraId="73325ABE">
            <w:pPr>
              <w:pStyle w:val="14"/>
              <w:rPr>
                <w:rFonts w:hint="eastAsia" w:ascii="宋体" w:hAnsi="宋体" w:cs="宋体"/>
                <w:color w:val="auto"/>
                <w:kern w:val="0"/>
                <w:szCs w:val="21"/>
              </w:rPr>
            </w:pPr>
            <w:r>
              <w:rPr>
                <w:rFonts w:hint="eastAsia" w:ascii="宋体" w:hAnsi="宋体" w:cs="宋体"/>
                <w:color w:val="auto"/>
                <w:kern w:val="0"/>
                <w:szCs w:val="21"/>
              </w:rPr>
              <w:t>5.支持保留WPS课件的原生动画效果，并支持实时批注讲演；课件演示时支持上下翻页，支持查看本页页码及总页码；支持预览本课件所有页码；支持快速切换至其他课件或文件；支持在演示环境下导入其他文件进行演示；支持将课件内容发送到白板中进行书写讲解。</w:t>
            </w:r>
          </w:p>
          <w:p w14:paraId="65EDE2C8">
            <w:pPr>
              <w:pStyle w:val="14"/>
              <w:rPr>
                <w:rFonts w:hint="eastAsia" w:ascii="宋体" w:hAnsi="宋体" w:cs="宋体"/>
                <w:color w:val="auto"/>
                <w:kern w:val="0"/>
                <w:szCs w:val="21"/>
              </w:rPr>
            </w:pPr>
            <w:r>
              <w:rPr>
                <w:rFonts w:hint="eastAsia" w:ascii="宋体" w:hAnsi="宋体" w:cs="宋体"/>
                <w:color w:val="auto"/>
                <w:kern w:val="0"/>
                <w:szCs w:val="21"/>
              </w:rPr>
              <w:t>6.支持自由模式、纵向模式的书写方式；自由模式支持在画板上任意拖动书写，不限制画板的横向和纵向书写范围，并支持定位板书内容；纵向模式支持锁定白板横向书写范围，通过滑动翻页的形式书写板书内容；板书书写时支持自由调整笔迹颜色及笔触粗细；支持双指滑动板书、长按圈选后移动区域，书写笔迹支持用手背擦除；书写内容各端实时同步更新；（提供国家认可的第三方权威检测机构出具的检测报告复印件）</w:t>
            </w:r>
          </w:p>
          <w:p w14:paraId="77BADF87">
            <w:pPr>
              <w:pStyle w:val="14"/>
              <w:rPr>
                <w:rFonts w:hint="eastAsia" w:ascii="宋体" w:hAnsi="宋体" w:cs="宋体"/>
                <w:color w:val="auto"/>
                <w:kern w:val="0"/>
                <w:szCs w:val="21"/>
              </w:rPr>
            </w:pPr>
            <w:r>
              <w:rPr>
                <w:rFonts w:hint="eastAsia" w:ascii="宋体" w:hAnsi="宋体" w:cs="宋体"/>
                <w:color w:val="auto"/>
                <w:kern w:val="0"/>
                <w:szCs w:val="21"/>
              </w:rPr>
              <w:t>7.支持对在线学生发起抽选，系统将随机抽选一名学生，用于老师点名；</w:t>
            </w:r>
          </w:p>
          <w:p w14:paraId="1DA1E7F9">
            <w:pPr>
              <w:pStyle w:val="14"/>
              <w:rPr>
                <w:rFonts w:hint="eastAsia" w:ascii="宋体" w:hAnsi="宋体" w:cs="宋体"/>
                <w:color w:val="auto"/>
                <w:kern w:val="0"/>
                <w:szCs w:val="21"/>
              </w:rPr>
            </w:pPr>
            <w:r>
              <w:rPr>
                <w:rFonts w:hint="eastAsia" w:ascii="宋体" w:hAnsi="宋体" w:cs="宋体"/>
                <w:color w:val="auto"/>
                <w:kern w:val="0"/>
                <w:szCs w:val="21"/>
              </w:rPr>
              <w:t>8.支持对在线学生发起抢答，发起后学生可点击抢答；</w:t>
            </w:r>
          </w:p>
          <w:p w14:paraId="313A65BD">
            <w:pPr>
              <w:pStyle w:val="14"/>
              <w:rPr>
                <w:rFonts w:hint="eastAsia" w:ascii="宋体" w:hAnsi="宋体" w:cs="宋体"/>
                <w:color w:val="auto"/>
                <w:kern w:val="0"/>
                <w:szCs w:val="21"/>
              </w:rPr>
            </w:pPr>
            <w:r>
              <w:rPr>
                <w:rFonts w:hint="eastAsia" w:ascii="宋体" w:hAnsi="宋体" w:cs="宋体"/>
                <w:color w:val="auto"/>
                <w:kern w:val="0"/>
                <w:szCs w:val="21"/>
              </w:rPr>
              <w:t>9.支持教师访问后台，将个人笔记本电脑的画面投送到教师授课端设备，学生端自动跟随演示画面；支持教师将授课端设备的系统桌面画面直接共享到学生端，方便演示更多类型的课程资源；共享过程中教师端可随时结束投屏共享；授课过程中，支持学生随时申请投屏，经老师同意后开始共享至其他学生端，学生自动跟随投屏人屏幕画面；</w:t>
            </w:r>
          </w:p>
          <w:p w14:paraId="7A70F196">
            <w:pPr>
              <w:pStyle w:val="14"/>
              <w:rPr>
                <w:rFonts w:hint="eastAsia" w:ascii="宋体" w:hAnsi="宋体" w:cs="宋体"/>
                <w:color w:val="auto"/>
                <w:kern w:val="0"/>
                <w:szCs w:val="21"/>
              </w:rPr>
            </w:pPr>
            <w:r>
              <w:rPr>
                <w:rFonts w:hint="eastAsia" w:ascii="宋体" w:hAnsi="宋体" w:cs="宋体"/>
                <w:color w:val="auto"/>
                <w:kern w:val="0"/>
                <w:szCs w:val="21"/>
              </w:rPr>
              <w:t>10.支持教师发起通话，发起时支持选择适合的设备麦克风及摄像头；支持学生加入本次通话，教师可查看当前实时通话参与人列表；支持学生主动发起通话申请，经老师同意后开始进入通话模式；通话过程中，支持切换摄像头画面、启用和关闭摄像头、麦克风；（提供国家认可的第三方检测机构出具的检测报告复印件）</w:t>
            </w:r>
          </w:p>
          <w:p w14:paraId="5477F2AF">
            <w:pPr>
              <w:pStyle w:val="14"/>
              <w:rPr>
                <w:rFonts w:ascii="宋体" w:hAnsi="宋体" w:cs="宋体"/>
                <w:color w:val="auto"/>
                <w:kern w:val="0"/>
                <w:szCs w:val="21"/>
              </w:rPr>
            </w:pPr>
            <w:r>
              <w:rPr>
                <w:rFonts w:hint="eastAsia" w:ascii="宋体" w:hAnsi="宋体" w:cs="宋体"/>
                <w:color w:val="auto"/>
                <w:kern w:val="0"/>
                <w:szCs w:val="21"/>
              </w:rPr>
              <w:t>11.教师端在连接状态下可实时接收到来自学生的提问；支持点击放大提问内容，进行进一步回答；支持实时讨论入口开启或关闭禁言，支持弹幕显示的开关控制。</w:t>
            </w:r>
          </w:p>
        </w:tc>
        <w:tc>
          <w:tcPr>
            <w:tcW w:w="603" w:type="dxa"/>
            <w:shd w:val="clear" w:color="000000" w:fill="FFFFFF"/>
            <w:vAlign w:val="center"/>
          </w:tcPr>
          <w:p w14:paraId="7E1BF9E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7</w:t>
            </w:r>
          </w:p>
        </w:tc>
        <w:tc>
          <w:tcPr>
            <w:tcW w:w="664" w:type="dxa"/>
            <w:shd w:val="clear" w:color="000000" w:fill="FFFFFF"/>
            <w:vAlign w:val="center"/>
          </w:tcPr>
          <w:p w14:paraId="7115A4E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0E28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17421A0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17</w:t>
            </w:r>
          </w:p>
        </w:tc>
        <w:tc>
          <w:tcPr>
            <w:tcW w:w="765" w:type="dxa"/>
            <w:shd w:val="clear" w:color="auto" w:fill="auto"/>
            <w:vAlign w:val="center"/>
          </w:tcPr>
          <w:p w14:paraId="577C58D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光能黑板</w:t>
            </w:r>
          </w:p>
        </w:tc>
        <w:tc>
          <w:tcPr>
            <w:tcW w:w="6151" w:type="dxa"/>
            <w:shd w:val="clear" w:color="000000" w:fill="FFFFFF"/>
          </w:tcPr>
          <w:p w14:paraId="5AAD1404">
            <w:pPr>
              <w:widowControl/>
              <w:jc w:val="left"/>
              <w:textAlignment w:val="top"/>
              <w:rPr>
                <w:rFonts w:hint="eastAsia" w:ascii="宋体" w:hAnsi="宋体" w:eastAsia="宋体" w:cs="宋体"/>
                <w:color w:val="auto"/>
                <w:kern w:val="0"/>
                <w:szCs w:val="21"/>
                <w:lang w:eastAsia="zh-CN" w:bidi="ar"/>
              </w:rPr>
            </w:pPr>
            <w:r>
              <w:rPr>
                <w:rFonts w:hint="eastAsia"/>
                <w:color w:val="auto"/>
              </w:rPr>
              <w:t>一</w:t>
            </w:r>
            <w:r>
              <w:rPr>
                <w:rFonts w:hint="eastAsia" w:ascii="宋体" w:hAnsi="宋体" w:cs="宋体"/>
                <w:color w:val="auto"/>
                <w:kern w:val="0"/>
                <w:szCs w:val="21"/>
                <w:lang w:bidi="ar"/>
              </w:rPr>
              <w:t>、硬件要求</w:t>
            </w:r>
          </w:p>
          <w:p w14:paraId="38009A8A">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1、整体结构上采取一侧光能黑板，另一侧</w:t>
            </w:r>
            <w:r>
              <w:rPr>
                <w:rFonts w:hint="eastAsia"/>
                <w:color w:val="auto"/>
              </w:rPr>
              <w:t>一体设备</w:t>
            </w:r>
            <w:r>
              <w:rPr>
                <w:rFonts w:hint="eastAsia" w:ascii="宋体" w:hAnsi="宋体" w:cs="宋体"/>
                <w:color w:val="auto"/>
                <w:kern w:val="0"/>
                <w:szCs w:val="21"/>
                <w:lang w:bidi="ar"/>
              </w:rPr>
              <w:t>的组合方式（AB放置样式）。光能黑板产品尺寸≥2062（长）*1158（高）mm。下边框具有可调节平台，可根据一体设备高度进行调整，兼具置物功能；</w:t>
            </w:r>
          </w:p>
          <w:p w14:paraId="51742AC3">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2、采用任何硬度适中的工具均可在板面进行书写，无需专用耗材，消除了粉笔粉尘对师生构成的健康隐患。单点书写、可擦次数达10万次；</w:t>
            </w:r>
          </w:p>
          <w:p w14:paraId="0F0E3531">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3、光能黑板应无频闪、无背光，上膜不应产生眩光。板书笔迹可视距离40米，可视角度≥150°，对比度≥150:1；</w:t>
            </w:r>
          </w:p>
          <w:p w14:paraId="491B4F15">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4、光能黑板的光泽度不高于30光泽单位；</w:t>
            </w:r>
          </w:p>
          <w:p w14:paraId="1A111EAB">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5、书写膜的透光率不低于87%，雾度不高于40%；</w:t>
            </w:r>
          </w:p>
          <w:p w14:paraId="391CFE42">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6、一键擦除：按下一键擦除按键，可实现板书的全部擦除，擦除后无明显残留痕迹；</w:t>
            </w:r>
          </w:p>
          <w:p w14:paraId="77516F49">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7、局部擦除：可使用板擦和手势对板书进行局部擦除。擦除精度小于10mm*10mm，擦除延时＜60ms。光能板具有独立供电装置，可在液晶屏关机的情况下独立使用，不影响局部擦除功能；</w:t>
            </w:r>
          </w:p>
          <w:p w14:paraId="1C7DC659">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8、板内设有电压补偿机制，可以通过手势按压书写板板面的特定位置，控制书写板内部电压高低，以调节擦除灵敏度；</w:t>
            </w:r>
          </w:p>
          <w:p w14:paraId="485CA46E">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9、设备内提供的电池组保护电路，符合标准要求，并通过带二次锂电池的设备的充电安全防护。黑板通过恒定力和冲击试验，机械强度符合标准要求；</w:t>
            </w:r>
          </w:p>
          <w:p w14:paraId="33A253D6">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10、黑板表面具有暗格，用以提供给师生在书写板书时的直线参照，可避免板书歪斜。黑板表面可吸附磁贴、磁扣等教学工具，便于老师教学使用；</w:t>
            </w:r>
          </w:p>
          <w:p w14:paraId="3DAC8039">
            <w:pPr>
              <w:widowControl/>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11、光能黑板通过低温-30℃，高温80℃，恒定湿热40℃、95%RH测试，产品外观无变形、损坏等现象，通电运行正常；</w:t>
            </w:r>
          </w:p>
          <w:p w14:paraId="259AAE47">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12、边框采用铝合金材质，坚固耐用，具有较好的耐腐蚀特性；</w:t>
            </w:r>
          </w:p>
          <w:p w14:paraId="4432EDCE">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13、采用一体式按键指示灯，可通过不同颜色、闪烁等方式表示擦除、电量不足等工作状态。每块光能黑板具备DC接口</w:t>
            </w:r>
            <w:r>
              <w:rPr>
                <w:rFonts w:hint="eastAsia"/>
                <w:color w:val="auto"/>
              </w:rPr>
              <w:t>≥</w:t>
            </w:r>
            <w:r>
              <w:rPr>
                <w:rFonts w:hint="eastAsia" w:ascii="宋体" w:hAnsi="宋体" w:cs="宋体"/>
                <w:color w:val="auto"/>
                <w:kern w:val="0"/>
                <w:szCs w:val="21"/>
                <w:lang w:bidi="ar"/>
              </w:rPr>
              <w:t>2和USB接口</w:t>
            </w:r>
            <w:r>
              <w:rPr>
                <w:rFonts w:hint="eastAsia"/>
                <w:color w:val="auto"/>
              </w:rPr>
              <w:t>≥</w:t>
            </w:r>
            <w:r>
              <w:rPr>
                <w:rFonts w:hint="eastAsia" w:ascii="宋体" w:hAnsi="宋体" w:cs="宋体"/>
                <w:color w:val="auto"/>
                <w:kern w:val="0"/>
                <w:szCs w:val="21"/>
                <w:lang w:bidi="ar"/>
              </w:rPr>
              <w:t>2，方便用户使用；</w:t>
            </w:r>
          </w:p>
          <w:p w14:paraId="7D2CB856">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14、光能黑板通过抗电强度1500V试验，无击穿现象，符合GB4943的安全要求；</w:t>
            </w:r>
          </w:p>
          <w:p w14:paraId="1EABCEFA">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15、产品的最大工作电流（瞬间电流）≤1000mA；</w:t>
            </w:r>
          </w:p>
          <w:p w14:paraId="1C8FB261">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16、为让老师能够快速调取交互软件，方便使用功能，光能黑板上应具有实用快捷键。</w:t>
            </w:r>
          </w:p>
          <w:p w14:paraId="59A7DE58">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二、软件要求</w:t>
            </w:r>
          </w:p>
          <w:p w14:paraId="5685EFF3">
            <w:pPr>
              <w:widowControl/>
              <w:jc w:val="left"/>
              <w:textAlignment w:val="top"/>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1、光能黑板可与一体设备进行互动，将光能黑板的内容与一体设备无缝连接，教师在光能黑板上的书写内容可同步显示在一体设备；</w:t>
            </w:r>
          </w:p>
          <w:p w14:paraId="6D5CB360">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2、为便于老师记忆和操作，板书界面与电脑桌面/PPT课件之间，采用同一个按键来回切换，方便快捷；</w:t>
            </w:r>
          </w:p>
          <w:p w14:paraId="3E15AF28">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3、当不需要板书传输到软件显示界面时，可以使用分屏功能，断开黑板与大屏的传输，使其成为互不影响的多块黑板；</w:t>
            </w:r>
          </w:p>
          <w:p w14:paraId="35E2F905">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4、设置不同的软件端笔迹颜色，可实现老师对于教学重点的标识及批注；</w:t>
            </w:r>
          </w:p>
          <w:p w14:paraId="7325C618">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5、在保存的板书当中进行翻页，查找已经存储的板书内容；</w:t>
            </w:r>
          </w:p>
          <w:p w14:paraId="1A962D6B">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6、能直接预览所有存储的板书；</w:t>
            </w:r>
          </w:p>
          <w:p w14:paraId="6AED84D0">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7、黑板的板书即时保存到软件当中，通过翻页可找回并显示，保存时不清除黑板的板书内容；</w:t>
            </w:r>
          </w:p>
          <w:p w14:paraId="6CEE2387">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8、对板书的电子文档进行分享，可以存储在本地PC端，同时生产二维码，便于师生扫码获取；</w:t>
            </w:r>
          </w:p>
          <w:p w14:paraId="2006B7DE">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9、可以对课堂的板书和讲解进行录制，生成视频文档，利于学生课后复习回放。</w:t>
            </w:r>
          </w:p>
        </w:tc>
        <w:tc>
          <w:tcPr>
            <w:tcW w:w="603" w:type="dxa"/>
            <w:shd w:val="clear" w:color="000000" w:fill="FFFFFF"/>
            <w:vAlign w:val="center"/>
          </w:tcPr>
          <w:p w14:paraId="0790FC8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7</w:t>
            </w:r>
          </w:p>
        </w:tc>
        <w:tc>
          <w:tcPr>
            <w:tcW w:w="664" w:type="dxa"/>
            <w:shd w:val="clear" w:color="000000" w:fill="FFFFFF"/>
            <w:vAlign w:val="center"/>
          </w:tcPr>
          <w:p w14:paraId="4D3A64C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块</w:t>
            </w:r>
          </w:p>
        </w:tc>
      </w:tr>
      <w:tr w14:paraId="48A3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35D5FBA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18</w:t>
            </w:r>
          </w:p>
        </w:tc>
        <w:tc>
          <w:tcPr>
            <w:tcW w:w="765" w:type="dxa"/>
            <w:shd w:val="clear" w:color="auto" w:fill="auto"/>
            <w:vAlign w:val="center"/>
          </w:tcPr>
          <w:p w14:paraId="64713AF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一体化多媒体设备柜</w:t>
            </w:r>
          </w:p>
        </w:tc>
        <w:tc>
          <w:tcPr>
            <w:tcW w:w="6151" w:type="dxa"/>
            <w:shd w:val="clear" w:color="000000" w:fill="FFFFFF"/>
          </w:tcPr>
          <w:p w14:paraId="1B3F27CE">
            <w:pPr>
              <w:widowControl/>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1、专业设备机柜需根据教学场景定制，可根据教室布局、教学设备需求及现场环境进行个性化设计；</w:t>
            </w:r>
          </w:p>
          <w:p w14:paraId="5779BE2C">
            <w:pPr>
              <w:widowControl/>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2、尺寸规格：</w:t>
            </w:r>
          </w:p>
          <w:p w14:paraId="57777AA6">
            <w:pPr>
              <w:widowControl/>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专业设备机柜参考尺寸（长×宽×高）为≥1600mm×700 mm×850 mm；</w:t>
            </w:r>
          </w:p>
          <w:p w14:paraId="09BC1F63">
            <w:pPr>
              <w:widowControl/>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3、材料与结构：专业设备机柜采用复合材料结构设计，主体框架选用1.2 mm～1.5 mm厚高强度金属材质；</w:t>
            </w:r>
          </w:p>
          <w:p w14:paraId="26AFA876">
            <w:pPr>
              <w:widowControl/>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4、显示器支架：配备专业显示器万向支架，支持24英寸液晶宽屏显示器的安装，可实现多角度调节，满足教师使用不同视角的教学需求；</w:t>
            </w:r>
          </w:p>
          <w:p w14:paraId="23AA3B86">
            <w:pPr>
              <w:widowControl/>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翻转式接线盒：采用翻转式设计的接线盒，方便教师快速连接和管理各类教学设备的线缆，提升操作效率</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下层内部采用隐藏式设计，内置可调节层板和专用走线盒，可整齐固定多媒体设备、计算机主机、音响设备等线路，确保内部布局整洁有序，便于设备管理和维护；</w:t>
            </w:r>
          </w:p>
          <w:p w14:paraId="021F7484">
            <w:pPr>
              <w:widowControl/>
              <w:jc w:val="left"/>
              <w:textAlignment w:val="top"/>
              <w:rPr>
                <w:rFonts w:ascii="宋体" w:hAnsi="宋体" w:cs="宋体"/>
                <w:color w:val="auto"/>
                <w:kern w:val="0"/>
                <w:szCs w:val="21"/>
                <w:highlight w:val="yellow"/>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扩展性与兼容性：专业设备机柜可按需搭配19英寸标准设备柜，用于安装更多教学辅助设备，如网络交换机、投影仪接口模块、视频矩阵等，提升整体系统的扩展性和兼容性，满足未来教学技术升级的需求。</w:t>
            </w:r>
          </w:p>
        </w:tc>
        <w:tc>
          <w:tcPr>
            <w:tcW w:w="603" w:type="dxa"/>
            <w:shd w:val="clear" w:color="000000" w:fill="FFFFFF"/>
            <w:vAlign w:val="center"/>
          </w:tcPr>
          <w:p w14:paraId="0C5BA38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64" w:type="dxa"/>
            <w:shd w:val="clear" w:color="000000" w:fill="FFFFFF"/>
            <w:vAlign w:val="center"/>
          </w:tcPr>
          <w:p w14:paraId="21614C5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7AFD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18AE5E3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19</w:t>
            </w:r>
          </w:p>
        </w:tc>
        <w:tc>
          <w:tcPr>
            <w:tcW w:w="765" w:type="dxa"/>
            <w:shd w:val="clear" w:color="auto" w:fill="auto"/>
            <w:vAlign w:val="center"/>
          </w:tcPr>
          <w:p w14:paraId="3BC3FA8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拾音扩声主机</w:t>
            </w:r>
          </w:p>
        </w:tc>
        <w:tc>
          <w:tcPr>
            <w:tcW w:w="6151" w:type="dxa"/>
            <w:shd w:val="clear" w:color="000000" w:fill="FFFFFF"/>
          </w:tcPr>
          <w:p w14:paraId="2063AEB8">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1、数字红外技术，不受高频驱动光源干扰，可正常工作于阳光下的环境；</w:t>
            </w:r>
          </w:p>
          <w:p w14:paraId="6E9066B8">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2、红外主机内置数字红外处理芯片，可实现dirATC--数字红外音频传输及控制技术；</w:t>
            </w:r>
          </w:p>
          <w:p w14:paraId="410BF0C7">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3、具有≥3路RJ45信号网口，其中红外信号传输接口≥2路RJ45信号网口，可以拓展8只接收器；（提供实物连接图进行佐证）</w:t>
            </w:r>
          </w:p>
          <w:p w14:paraId="79697766">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4.主机具有≥3路RS-232连接串口（RS232波特率可调程序,具备电子锁信息读取及反馈功能），用于连接中控系统，可实现集中控制，搭配平台可反馈接入麦克风使用信号；</w:t>
            </w:r>
          </w:p>
          <w:p w14:paraId="549D2E76">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5、≥1路I/0继电接口含12V供电，主机≥3路3PIN座子带音量调节旋钮，用于扩展连接吊麦和全向麦克风，具备≥2路3.5mm输入接口，≥1路凤凰头输入，≥2路凤凰头输出接口，≥2个录音输出接口（Ø 3.5 mm，均独立可调），用于常态化录播，≥1路remote输出接口（独立可调），≥1路remote输入接口，进行音频远端传输；具有供电及音频传输双通道USB接口，可兼容连接电子锁以及鹅颈麦克风；</w:t>
            </w:r>
          </w:p>
          <w:p w14:paraId="71F70E49">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6、内置高性能数字信号处理器（DSP）与拾音扩声主机于一体，总功率≥400W，具有反馈抑制（AFC）、回声消除（AEC）和主动降噪（ANC）、自动电平控制（ALC）和自动均衡（AEQ）等功能，频率响应：50HZ-20KHZ，信噪比：＞97dBA，总谐波失真：≤0.03%，增益差：≤0.2dB；</w:t>
            </w:r>
          </w:p>
          <w:p w14:paraId="11F26997">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7、主机内置幻象供电功能，适配有线鹅颈话筒，具有鹅颈麦静默模式，为防止误触发，可通过软件调试界面进行调整；</w:t>
            </w:r>
          </w:p>
          <w:p w14:paraId="59AFE8A5">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8、1个C型USB接口：可连接PC，配合麦克风实现飞鼠功能并可用于固件升级；（提供飞鼠功能软件界面截图进行佐证）</w:t>
            </w:r>
          </w:p>
          <w:p w14:paraId="24139584">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9、主机具有OLED显示屏，可现实主机使用状态及系统设置界面，具有四组频点设置，且每一组包含两个频点可供选择，主机具有童锁开关，可防止误触发；</w:t>
            </w:r>
          </w:p>
          <w:p w14:paraId="242596B0">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10、主机具备网络管理接口，可搭配专用服务器进行统一管理；</w:t>
            </w:r>
          </w:p>
          <w:p w14:paraId="586964B2">
            <w:pPr>
              <w:widowControl/>
              <w:jc w:val="left"/>
              <w:textAlignment w:val="top"/>
              <w:rPr>
                <w:rFonts w:ascii="宋体" w:hAnsi="宋体" w:cs="宋体"/>
                <w:color w:val="auto"/>
                <w:kern w:val="0"/>
                <w:szCs w:val="21"/>
              </w:rPr>
            </w:pPr>
            <w:r>
              <w:rPr>
                <w:rFonts w:hint="eastAsia" w:ascii="宋体" w:hAnsi="宋体" w:cs="宋体"/>
                <w:color w:val="auto"/>
                <w:kern w:val="0"/>
                <w:szCs w:val="21"/>
              </w:rPr>
              <w:t>11、主机内置智能校准芯片及音频测试软件,可对不同教室格局进行智能声场校准(提供智能校准图截图进行佐证)，具备红外遥控功能,红外灵敏度±3db-±9DB可调，内置数字光标速率可调,可调范围-2-+2之间。</w:t>
            </w:r>
          </w:p>
        </w:tc>
        <w:tc>
          <w:tcPr>
            <w:tcW w:w="603" w:type="dxa"/>
            <w:shd w:val="clear" w:color="000000" w:fill="FFFFFF"/>
            <w:vAlign w:val="center"/>
          </w:tcPr>
          <w:p w14:paraId="55C879A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64" w:type="dxa"/>
            <w:shd w:val="clear" w:color="000000" w:fill="FFFFFF"/>
            <w:vAlign w:val="center"/>
          </w:tcPr>
          <w:p w14:paraId="578537A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r w14:paraId="6D82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6C92193F">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20</w:t>
            </w:r>
          </w:p>
        </w:tc>
        <w:tc>
          <w:tcPr>
            <w:tcW w:w="765" w:type="dxa"/>
            <w:shd w:val="clear" w:color="auto" w:fill="auto"/>
            <w:vAlign w:val="center"/>
          </w:tcPr>
          <w:p w14:paraId="55A7928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音柱</w:t>
            </w:r>
          </w:p>
        </w:tc>
        <w:tc>
          <w:tcPr>
            <w:tcW w:w="6151" w:type="dxa"/>
            <w:shd w:val="clear" w:color="000000" w:fill="FFFFFF"/>
          </w:tcPr>
          <w:p w14:paraId="3B1E9563">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1、≥4个2.5英寸全频扬声器单元；</w:t>
            </w:r>
          </w:p>
          <w:p w14:paraId="7B272426">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2、频率响应：80Hz ~ 20 kHz，覆盖角度：水平方向≥150°，垂直方向≥30°，功率：6 Ω，60 W，灵敏度：≥90 dB，最大声压级：≥107 dB；</w:t>
            </w:r>
          </w:p>
          <w:p w14:paraId="5F8CEEB9">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3、安装方式：壁挂式（可旋转壁挂托架）。</w:t>
            </w:r>
          </w:p>
        </w:tc>
        <w:tc>
          <w:tcPr>
            <w:tcW w:w="603" w:type="dxa"/>
            <w:shd w:val="clear" w:color="000000" w:fill="FFFFFF"/>
            <w:vAlign w:val="center"/>
          </w:tcPr>
          <w:p w14:paraId="0B4177B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12</w:t>
            </w:r>
          </w:p>
        </w:tc>
        <w:tc>
          <w:tcPr>
            <w:tcW w:w="664" w:type="dxa"/>
            <w:shd w:val="clear" w:color="000000" w:fill="FFFFFF"/>
            <w:vAlign w:val="center"/>
          </w:tcPr>
          <w:p w14:paraId="7C3A38C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只</w:t>
            </w:r>
          </w:p>
        </w:tc>
      </w:tr>
      <w:tr w14:paraId="0548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139C5DD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21</w:t>
            </w:r>
          </w:p>
        </w:tc>
        <w:tc>
          <w:tcPr>
            <w:tcW w:w="765" w:type="dxa"/>
            <w:shd w:val="clear" w:color="auto" w:fill="auto"/>
            <w:vAlign w:val="center"/>
          </w:tcPr>
          <w:p w14:paraId="3FF22E5B">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充电底座</w:t>
            </w:r>
          </w:p>
        </w:tc>
        <w:tc>
          <w:tcPr>
            <w:tcW w:w="6151" w:type="dxa"/>
            <w:shd w:val="clear" w:color="000000" w:fill="FFFFFF"/>
          </w:tcPr>
          <w:p w14:paraId="0A4D99A2">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1、每一位充电座上都有特定的二维码，可通过微信小程序或APP进行扫码解锁管理；</w:t>
            </w:r>
          </w:p>
          <w:p w14:paraId="5F09B569">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2、具有一路电子锁，实现无线麦克风充放电管理；</w:t>
            </w:r>
          </w:p>
          <w:p w14:paraId="47B40695">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3、具有一路RS232端口，可与中控对接开锁功能；</w:t>
            </w:r>
          </w:p>
          <w:p w14:paraId="1025EB71">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4、标配APP驱动设置软件，软件具备权限设定功能；</w:t>
            </w:r>
          </w:p>
          <w:p w14:paraId="57AA7724">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5、APP软件具备生成公有秘钥功能，可实现电子锁与服务器桥接互联；</w:t>
            </w:r>
          </w:p>
          <w:p w14:paraId="1C2C7D5A">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6、APP与电子锁具备互读功能，进行本地化固件升级；</w:t>
            </w:r>
          </w:p>
          <w:p w14:paraId="5DE41FFF">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7、具备无线解锁管理和有线解锁管理功能；</w:t>
            </w:r>
          </w:p>
          <w:p w14:paraId="3B42CBCB">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8、充电槽均具备过热，过载，过流保护；</w:t>
            </w:r>
          </w:p>
          <w:p w14:paraId="4E50A66F">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9、提供不少于5年原厂整机质保服务。</w:t>
            </w:r>
          </w:p>
        </w:tc>
        <w:tc>
          <w:tcPr>
            <w:tcW w:w="603" w:type="dxa"/>
            <w:shd w:val="clear" w:color="000000" w:fill="FFFFFF"/>
            <w:vAlign w:val="center"/>
          </w:tcPr>
          <w:p w14:paraId="2F363D9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64" w:type="dxa"/>
            <w:shd w:val="clear" w:color="000000" w:fill="FFFFFF"/>
            <w:vAlign w:val="center"/>
          </w:tcPr>
          <w:p w14:paraId="027C56A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r w14:paraId="6152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00EB650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22</w:t>
            </w:r>
          </w:p>
        </w:tc>
        <w:tc>
          <w:tcPr>
            <w:tcW w:w="765" w:type="dxa"/>
            <w:shd w:val="clear" w:color="auto" w:fill="auto"/>
            <w:vAlign w:val="center"/>
          </w:tcPr>
          <w:p w14:paraId="72C8370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吊装式麦克风</w:t>
            </w:r>
          </w:p>
        </w:tc>
        <w:tc>
          <w:tcPr>
            <w:tcW w:w="6151" w:type="dxa"/>
            <w:shd w:val="clear" w:color="000000" w:fill="FFFFFF"/>
          </w:tcPr>
          <w:p w14:paraId="0DED5693">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1、±15°或360°波束成形（Beam forming）；</w:t>
            </w:r>
          </w:p>
          <w:p w14:paraId="2846FF47">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2、频率响应：100 Hz ~ 10 kHz；</w:t>
            </w:r>
          </w:p>
          <w:p w14:paraId="7F0D9E36">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3、信噪比：≥65.5 dBA；</w:t>
            </w:r>
          </w:p>
          <w:p w14:paraId="7737573F">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4、总谐波失真：≤0.1%；</w:t>
            </w:r>
          </w:p>
          <w:p w14:paraId="08EBBCC9">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5、拾音范围：半径 5 m（中等环境噪声下），半径 8 m（安静环境下）；</w:t>
            </w:r>
          </w:p>
          <w:p w14:paraId="0EB6CAF7">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6、内置高性能数字信号处理器（DSP），对拾取的音频进行噪声消除（ANC）和自动增益控制（AGC）；</w:t>
            </w:r>
          </w:p>
          <w:p w14:paraId="5F44669A">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7、1个3P凤凰接口用于模拟音频输出（带幻象电源）及供电；</w:t>
            </w:r>
          </w:p>
          <w:p w14:paraId="2A10BA47">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8、具有自动声场校准（AEQ）功能，AI算法实现自适应反馈抑制功能，AI算法自适应噪音消除（AINC），突发短促噪声限幅（ALC控制）；</w:t>
            </w:r>
          </w:p>
          <w:p w14:paraId="5E1CF53F">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9、提供不少于5年原厂整机质保服务。</w:t>
            </w:r>
          </w:p>
        </w:tc>
        <w:tc>
          <w:tcPr>
            <w:tcW w:w="603" w:type="dxa"/>
            <w:shd w:val="clear" w:color="000000" w:fill="FFFFFF"/>
            <w:vAlign w:val="center"/>
          </w:tcPr>
          <w:p w14:paraId="6A58D65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6</w:t>
            </w:r>
          </w:p>
        </w:tc>
        <w:tc>
          <w:tcPr>
            <w:tcW w:w="664" w:type="dxa"/>
            <w:shd w:val="clear" w:color="000000" w:fill="FFFFFF"/>
            <w:vAlign w:val="center"/>
          </w:tcPr>
          <w:p w14:paraId="7E79B37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支</w:t>
            </w:r>
          </w:p>
        </w:tc>
      </w:tr>
      <w:tr w14:paraId="0CDC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4F71EBC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23</w:t>
            </w:r>
          </w:p>
        </w:tc>
        <w:tc>
          <w:tcPr>
            <w:tcW w:w="765" w:type="dxa"/>
            <w:shd w:val="clear" w:color="auto" w:fill="auto"/>
            <w:vAlign w:val="center"/>
          </w:tcPr>
          <w:p w14:paraId="0F11A6D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无线麦克风</w:t>
            </w:r>
          </w:p>
        </w:tc>
        <w:tc>
          <w:tcPr>
            <w:tcW w:w="6151" w:type="dxa"/>
            <w:shd w:val="clear" w:color="000000" w:fill="FFFFFF"/>
          </w:tcPr>
          <w:p w14:paraId="07F279AF">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1、红外麦克风采用五通道设计，红外线发射管≥8颗，麦克风接发射红外线波长≥870nm；</w:t>
            </w:r>
          </w:p>
          <w:p w14:paraId="3EFA7C33">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2、为防止话筒丢失，无线麦克风具备不限于电子锁锁扣等方式的防盗功能；</w:t>
            </w:r>
          </w:p>
          <w:p w14:paraId="01A6EFC6">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3、麦克风采用按键式音量加减键，根据老师使用习惯按键调整音量，也可共用音量键实现PPT翻页功能，高效简洁；</w:t>
            </w:r>
          </w:p>
          <w:p w14:paraId="0678E7A2">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4、无线麦克风咪头外置凸显设计，拾音咪头长度≥1.3cm，拾音距离更佳，咪头适配外置防风罩，方便更换，高效卫生；</w:t>
            </w:r>
          </w:p>
          <w:p w14:paraId="020B8804">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5、无线麦克风支持PTT功能，实现N+1互动交流功能，具有PPT翻页，MIC，L/M指示灯，可根据教师使用习惯进行切换；</w:t>
            </w:r>
          </w:p>
          <w:p w14:paraId="792DDECA">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6、无线麦克风可颈挂和手持同时使用，整体长度≥14.5cm，可配置磁吸颈挂绳和磁吸领夹扣，方便拆卸清洗；</w:t>
            </w:r>
          </w:p>
          <w:p w14:paraId="12D2A5F9">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7、无线麦克风对节能灯光有良好的抗干扰性， 频率响应 100 Hz ~ 20 kHz，信噪比 ＞98 dBA，总谐波失真 ≤0.04%；</w:t>
            </w:r>
          </w:p>
          <w:p w14:paraId="642E15D8">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8、内置可充锂电池（不可拆卸，预防被盗），锂电池容量≥2300mAh，发言时间不低于7小时；</w:t>
            </w:r>
          </w:p>
          <w:p w14:paraId="4E9ADF09">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9、无线麦克风咪头与激光笔对立排列，老师可一边讲话同时使用激光笔。</w:t>
            </w:r>
          </w:p>
        </w:tc>
        <w:tc>
          <w:tcPr>
            <w:tcW w:w="603" w:type="dxa"/>
            <w:shd w:val="clear" w:color="000000" w:fill="FFFFFF"/>
            <w:vAlign w:val="center"/>
          </w:tcPr>
          <w:p w14:paraId="3026C65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64" w:type="dxa"/>
            <w:shd w:val="clear" w:color="000000" w:fill="FFFFFF"/>
            <w:vAlign w:val="center"/>
          </w:tcPr>
          <w:p w14:paraId="1DF1C64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支</w:t>
            </w:r>
          </w:p>
        </w:tc>
      </w:tr>
      <w:tr w14:paraId="2257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6AD8DEF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24</w:t>
            </w:r>
          </w:p>
        </w:tc>
        <w:tc>
          <w:tcPr>
            <w:tcW w:w="765" w:type="dxa"/>
            <w:shd w:val="clear" w:color="auto" w:fill="auto"/>
            <w:vAlign w:val="center"/>
          </w:tcPr>
          <w:p w14:paraId="7795901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数字红外接收器</w:t>
            </w:r>
          </w:p>
        </w:tc>
        <w:tc>
          <w:tcPr>
            <w:tcW w:w="6151" w:type="dxa"/>
            <w:shd w:val="clear" w:color="000000" w:fill="FFFFFF"/>
          </w:tcPr>
          <w:p w14:paraId="7BAD5996">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1、与拾音扩声主机连接；</w:t>
            </w:r>
          </w:p>
          <w:p w14:paraId="70F2A95C">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2、接收面积：80㎡，接收角度：垂直：150° (±75°)，水平：360°，无线辐射距离：≥25m；</w:t>
            </w:r>
          </w:p>
          <w:p w14:paraId="76E7EB55">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3、带频点选择拨扭，接收器具有两组频点选择，可与主机搭配调谐，稳固信号传输；</w:t>
            </w:r>
          </w:p>
          <w:p w14:paraId="7E1FE03D">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4. 红外线波长≥870nm。</w:t>
            </w:r>
          </w:p>
        </w:tc>
        <w:tc>
          <w:tcPr>
            <w:tcW w:w="603" w:type="dxa"/>
            <w:shd w:val="clear" w:color="000000" w:fill="FFFFFF"/>
            <w:vAlign w:val="center"/>
          </w:tcPr>
          <w:p w14:paraId="60EDD09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6</w:t>
            </w:r>
          </w:p>
        </w:tc>
        <w:tc>
          <w:tcPr>
            <w:tcW w:w="664" w:type="dxa"/>
            <w:shd w:val="clear" w:color="000000" w:fill="FFFFFF"/>
            <w:vAlign w:val="center"/>
          </w:tcPr>
          <w:p w14:paraId="04DD221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个</w:t>
            </w:r>
          </w:p>
        </w:tc>
      </w:tr>
      <w:tr w14:paraId="36BE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2836922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25</w:t>
            </w:r>
          </w:p>
        </w:tc>
        <w:tc>
          <w:tcPr>
            <w:tcW w:w="765" w:type="dxa"/>
            <w:shd w:val="clear" w:color="auto" w:fill="auto"/>
            <w:vAlign w:val="center"/>
          </w:tcPr>
          <w:p w14:paraId="76CAA1DD">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智慧管理主机</w:t>
            </w:r>
          </w:p>
        </w:tc>
        <w:tc>
          <w:tcPr>
            <w:tcW w:w="6151" w:type="dxa"/>
            <w:shd w:val="clear" w:color="000000" w:fill="FFFFFF"/>
          </w:tcPr>
          <w:p w14:paraId="123C5DEF">
            <w:pPr>
              <w:widowControl/>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1</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机柜式终端，机架式设计，高度≤1U，采用超静音无风扇设计，支持7*24 小时运行；LINUX操作系统；处理器采用≥Cortex A55四核 64位，主频≥1.8G，NPU算力≥1T，内存≥4GB，存储≥32GB；</w:t>
            </w:r>
          </w:p>
          <w:p w14:paraId="7160223D">
            <w:pPr>
              <w:widowControl/>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2</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本机集成（非外接）HDMI输入接口≥4路，TYPE-C接口≥1路；HDMI输出接口≥4路；支持≥4路显示终端设备同屏显示；支持≥4路显示终端设备异屏显示；支持输出画面冻结功能；支持≥HDMI4*4全交叉无缝矩阵切换，可采集外接便携式笔记本信号到平台显示无需安装软件，输入和输出接口均支持4K高清分辨率；输入和输出HDMI接口均支持自定义属性，可与显示设备自定义绑定；HDMI支持分辨率预置和音频传输选择；干接点接口≥1路，GPIO接口≥2路，IO接口支持外设设备高低电平检测，实现多媒体设备的联动控制；（提供国家认可的第三方权威检测机构出具的检测报告复印件）</w:t>
            </w:r>
          </w:p>
          <w:p w14:paraId="77239EFE">
            <w:pPr>
              <w:widowControl/>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3</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本机集成（非外接）≥6口千兆交换机；支持≥4口POE；内置强电智能管理，≥3路独立可编程电源输出，采用国标电源插口</w:t>
            </w:r>
            <w:r>
              <w:rPr>
                <w:rFonts w:hint="eastAsia" w:ascii="宋体" w:hAnsi="宋体" w:cs="宋体"/>
                <w:color w:val="auto"/>
                <w:kern w:val="0"/>
                <w:szCs w:val="21"/>
                <w:lang w:eastAsia="zh-CN" w:bidi="ar"/>
              </w:rPr>
              <w:t>；</w:t>
            </w:r>
          </w:p>
          <w:p w14:paraId="3C8E98AB">
            <w:pPr>
              <w:widowControl/>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4</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本机需集成（非外接）USB矩阵接口≥8路，需具备≥4进4出USB KVM切换能力；支持≥1进4出，以及≥4*4混切；需满足RS232通讯接口≥6路，RS485通讯接口≥2路，RS232接口支持软件自定义选择，可以与串口设备进行自定义组合控制，状态指示灯≥3路，可显示电源、串口、连接状态；复位按钮≥1路，可一键复位到出厂参数；（需提供</w:t>
            </w:r>
            <w:r>
              <w:rPr>
                <w:rFonts w:hint="eastAsia" w:ascii="宋体" w:hAnsi="宋体" w:cs="宋体"/>
                <w:color w:val="auto"/>
                <w:kern w:val="0"/>
                <w:szCs w:val="21"/>
                <w:lang w:val="en-US" w:eastAsia="zh-CN" w:bidi="ar"/>
              </w:rPr>
              <w:t>主机</w:t>
            </w:r>
            <w:r>
              <w:rPr>
                <w:rFonts w:hint="eastAsia" w:ascii="宋体" w:hAnsi="宋体" w:cs="宋体"/>
                <w:color w:val="auto"/>
                <w:kern w:val="0"/>
                <w:szCs w:val="21"/>
                <w:lang w:bidi="ar"/>
              </w:rPr>
              <w:t>实物照片）</w:t>
            </w:r>
          </w:p>
          <w:p w14:paraId="1B39B856">
            <w:pPr>
              <w:widowControl/>
              <w:jc w:val="left"/>
              <w:textAlignment w:val="top"/>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5、</w:t>
            </w:r>
            <w:r>
              <w:rPr>
                <w:rFonts w:hint="eastAsia" w:ascii="宋体" w:hAnsi="宋体" w:cs="宋体"/>
                <w:color w:val="auto"/>
                <w:kern w:val="0"/>
                <w:szCs w:val="21"/>
                <w:lang w:bidi="ar"/>
              </w:rPr>
              <w:t>支持数字广播，可通过平台设置广播任务的优先级、执行时间等，优先级支持0—100级调整，支持离线广播功能，终端在线时自动同步平台端铃声任务到本地，终端离线后根据铃声任务表可自动执行铃声任务，无需额外部署模拟广播系统支持教室内实时语音的广播，支持考试同步指令系统广播，通过校园网同时播放统一指令，如“考务人员报到”、“考生进场”等指令；</w:t>
            </w:r>
          </w:p>
          <w:p w14:paraId="58D47BD2">
            <w:pPr>
              <w:widowControl/>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6</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支持多设备关联控制，每类设备可添加≥60个，每个设备可进行异步控制；支持设备自定义关联添加或删除，触控面板同步更新；支持投影机模型库、大屏模型库、录播模型库、无线麦克风模型库、物联模型库、小组屏模型库、电脑模型库、互动教学软件模型库； 设备电源具有短路、过载、过压和过温保护；电源输入口有电流熔断保险丝，可不拆开设备更换保险丝；</w:t>
            </w:r>
          </w:p>
          <w:p w14:paraId="7244CF73">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7</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具备可编程设计能力，支持物联网关接入，可设置多路物联通道，支持教室之间项目联动控制，终端软件为自主研发，具备设置程序备份功能，更换中控时可直接下发设置程序</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（提供国家认可的第三方权威检测机构出具的检测报告复印件）</w:t>
            </w:r>
          </w:p>
        </w:tc>
        <w:tc>
          <w:tcPr>
            <w:tcW w:w="603" w:type="dxa"/>
            <w:shd w:val="clear" w:color="000000" w:fill="FFFFFF"/>
            <w:vAlign w:val="center"/>
          </w:tcPr>
          <w:p w14:paraId="5A3C24A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64" w:type="dxa"/>
            <w:shd w:val="clear" w:color="000000" w:fill="FFFFFF"/>
            <w:vAlign w:val="center"/>
          </w:tcPr>
          <w:p w14:paraId="22E4341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r w14:paraId="2779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67BD5A1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26</w:t>
            </w:r>
          </w:p>
        </w:tc>
        <w:tc>
          <w:tcPr>
            <w:tcW w:w="765" w:type="dxa"/>
            <w:shd w:val="clear" w:color="auto" w:fill="auto"/>
            <w:vAlign w:val="center"/>
          </w:tcPr>
          <w:p w14:paraId="49F647F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触摸控制面板</w:t>
            </w:r>
          </w:p>
        </w:tc>
        <w:tc>
          <w:tcPr>
            <w:tcW w:w="6151" w:type="dxa"/>
            <w:shd w:val="clear" w:color="000000" w:fill="FFFFFF"/>
          </w:tcPr>
          <w:p w14:paraId="23569966">
            <w:pPr>
              <w:widowControl/>
              <w:jc w:val="left"/>
              <w:textAlignment w:val="top"/>
              <w:rPr>
                <w:rFonts w:hint="eastAsia" w:ascii="宋体" w:hAnsi="宋体" w:cs="宋体"/>
                <w:color w:val="auto"/>
                <w:szCs w:val="21"/>
              </w:rPr>
            </w:pPr>
            <w:r>
              <w:rPr>
                <w:rFonts w:hint="eastAsia" w:ascii="宋体" w:hAnsi="宋体" w:cs="宋体"/>
                <w:color w:val="auto"/>
                <w:szCs w:val="21"/>
              </w:rPr>
              <w:t>1、采用Android 11.0操作系统，≥10英寸电容触摸显示屏，CPU采用四核处理器，分辨率≥1280×800，对比度≥1000:1，主频≥1.8GH；内存≥4G；存储硬盘≥16GB；</w:t>
            </w:r>
          </w:p>
          <w:p w14:paraId="075EB29B">
            <w:pPr>
              <w:widowControl/>
              <w:jc w:val="left"/>
              <w:textAlignment w:val="top"/>
              <w:rPr>
                <w:rFonts w:hint="eastAsia" w:ascii="宋体" w:hAnsi="宋体" w:cs="宋体"/>
                <w:color w:val="auto"/>
                <w:szCs w:val="21"/>
              </w:rPr>
            </w:pPr>
            <w:r>
              <w:rPr>
                <w:rFonts w:hint="eastAsia" w:ascii="宋体" w:hAnsi="宋体" w:cs="宋体"/>
                <w:color w:val="auto"/>
                <w:szCs w:val="21"/>
              </w:rPr>
              <w:t>2、需具备≥1个Type-C接口，≥1个USB Host 2.0接口；≥1路HMI(RS232)通讯接口，连接控制主机通讯与供电，RJ45接口类型；≥1路DC12V供电输入；≥1个RS485通讯端口；≥1个RJ45网络接口；≥1个3.5mm立体声耳机输出接口；具备高灵敏度降噪拾音头和喇叭，用于IP语音对讲；（需提供国家认可的第三方权威检测机构出具的检测报告复印件及实物照片）</w:t>
            </w:r>
          </w:p>
          <w:p w14:paraId="14FB4B57">
            <w:pPr>
              <w:widowControl/>
              <w:jc w:val="left"/>
              <w:textAlignment w:val="top"/>
              <w:rPr>
                <w:rFonts w:hint="eastAsia" w:ascii="宋体" w:hAnsi="宋体" w:cs="宋体"/>
                <w:color w:val="auto"/>
                <w:szCs w:val="21"/>
              </w:rPr>
            </w:pPr>
            <w:r>
              <w:rPr>
                <w:rFonts w:hint="eastAsia" w:ascii="宋体" w:hAnsi="宋体" w:cs="宋体"/>
                <w:color w:val="auto"/>
                <w:szCs w:val="21"/>
              </w:rPr>
              <w:t>3、显示背景、操作界面和功能按键可根据用户需求自定义编程配置，支持联动控制编程，支持个性化图片、图标配置，支持锁屏背景图设置；</w:t>
            </w:r>
          </w:p>
          <w:p w14:paraId="2CF877FB">
            <w:pPr>
              <w:widowControl/>
              <w:jc w:val="left"/>
              <w:textAlignment w:val="top"/>
              <w:rPr>
                <w:rFonts w:hint="eastAsia" w:ascii="宋体" w:hAnsi="宋体" w:cs="宋体"/>
                <w:color w:val="auto"/>
                <w:szCs w:val="21"/>
              </w:rPr>
            </w:pPr>
            <w:r>
              <w:rPr>
                <w:rFonts w:hint="eastAsia" w:ascii="宋体" w:hAnsi="宋体" w:cs="宋体"/>
                <w:color w:val="auto"/>
                <w:szCs w:val="21"/>
              </w:rPr>
              <w:t>4、支持动态二维码显示，和老师统一身份数据对接后，二维码可用于手机扫码身份权限验证，实现扫码上课；内置</w:t>
            </w:r>
            <w:r>
              <w:rPr>
                <w:rFonts w:hint="eastAsia" w:ascii="宋体" w:hAnsi="宋体" w:cs="宋体"/>
                <w:color w:val="auto"/>
                <w:szCs w:val="21"/>
                <w:lang w:val="en-US" w:eastAsia="zh-CN"/>
              </w:rPr>
              <w:t>≥</w:t>
            </w:r>
            <w:r>
              <w:rPr>
                <w:rFonts w:hint="eastAsia" w:ascii="宋体" w:hAnsi="宋体" w:cs="宋体"/>
                <w:color w:val="auto"/>
                <w:szCs w:val="21"/>
              </w:rPr>
              <w:t>200万像素摄像头，可用于人脸识别，实现人脸识别验证老师权限开启系统，支持本地人脸数据存储，支持断网数据本地验证；支持自动与学校人脸库数据进行周期性同步；支持密码配置，密码解锁验证开启系统；</w:t>
            </w:r>
          </w:p>
          <w:p w14:paraId="6232AA93">
            <w:pPr>
              <w:widowControl/>
              <w:jc w:val="left"/>
              <w:textAlignment w:val="top"/>
              <w:rPr>
                <w:rFonts w:hint="eastAsia" w:ascii="宋体" w:hAnsi="宋体" w:cs="宋体"/>
                <w:color w:val="auto"/>
                <w:szCs w:val="21"/>
              </w:rPr>
            </w:pPr>
            <w:r>
              <w:rPr>
                <w:rFonts w:hint="eastAsia" w:ascii="宋体" w:hAnsi="宋体" w:cs="宋体"/>
                <w:color w:val="auto"/>
                <w:szCs w:val="21"/>
              </w:rPr>
              <w:t>5、支持IP语音对讲功能，支持分机号码配置，接入IP语音服务器后可实现各教室与控制室IP语音通话功能；</w:t>
            </w:r>
          </w:p>
          <w:p w14:paraId="5E8A1D74">
            <w:pPr>
              <w:widowControl/>
              <w:jc w:val="left"/>
              <w:textAlignment w:val="top"/>
              <w:rPr>
                <w:rFonts w:ascii="宋体" w:hAnsi="宋体" w:cs="宋体"/>
                <w:color w:val="auto"/>
                <w:kern w:val="0"/>
                <w:szCs w:val="21"/>
              </w:rPr>
            </w:pPr>
            <w:r>
              <w:rPr>
                <w:rFonts w:hint="eastAsia" w:ascii="宋体" w:hAnsi="宋体" w:cs="宋体"/>
                <w:color w:val="auto"/>
                <w:szCs w:val="21"/>
              </w:rPr>
              <w:t>6、支持通过设置平台网络远程配置，支持IP地址、MAC地址扫描，支持IP地址设置，支持远程固件升级，支持配置程序云端备份，支持系统相关参数设置。</w:t>
            </w:r>
          </w:p>
        </w:tc>
        <w:tc>
          <w:tcPr>
            <w:tcW w:w="603" w:type="dxa"/>
            <w:shd w:val="clear" w:color="000000" w:fill="FFFFFF"/>
            <w:vAlign w:val="center"/>
          </w:tcPr>
          <w:p w14:paraId="07FCAA3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64" w:type="dxa"/>
            <w:shd w:val="clear" w:color="000000" w:fill="FFFFFF"/>
            <w:vAlign w:val="center"/>
          </w:tcPr>
          <w:p w14:paraId="2FD63A0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r w14:paraId="5910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6572195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27</w:t>
            </w:r>
          </w:p>
        </w:tc>
        <w:tc>
          <w:tcPr>
            <w:tcW w:w="765" w:type="dxa"/>
            <w:shd w:val="clear" w:color="auto" w:fill="auto"/>
            <w:vAlign w:val="center"/>
          </w:tcPr>
          <w:p w14:paraId="17FC8D8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电源时序控制器</w:t>
            </w:r>
          </w:p>
        </w:tc>
        <w:tc>
          <w:tcPr>
            <w:tcW w:w="6151" w:type="dxa"/>
            <w:shd w:val="clear" w:color="000000" w:fill="FFFFFF"/>
          </w:tcPr>
          <w:p w14:paraId="0D8D9B52">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1.8路可控通道；</w:t>
            </w:r>
          </w:p>
          <w:p w14:paraId="467CDDE6">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2.额定总电流40A，且单路输出电流16A；</w:t>
            </w:r>
          </w:p>
          <w:p w14:paraId="6261C91B">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3.1000级延时可调；</w:t>
            </w:r>
          </w:p>
          <w:p w14:paraId="10483124">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4.自带≥2寸彩色液晶显示屏，显示电压、时间及通道状态等信息；</w:t>
            </w:r>
          </w:p>
          <w:p w14:paraId="58A1C9FE">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5.具备欠压、过压等保护功能，支持定时功能；</w:t>
            </w:r>
          </w:p>
          <w:p w14:paraId="18B56546">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6.可实现远程集中控制及级联控制。</w:t>
            </w:r>
          </w:p>
        </w:tc>
        <w:tc>
          <w:tcPr>
            <w:tcW w:w="603" w:type="dxa"/>
            <w:shd w:val="clear" w:color="000000" w:fill="FFFFFF"/>
            <w:vAlign w:val="center"/>
          </w:tcPr>
          <w:p w14:paraId="7FC499D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64" w:type="dxa"/>
            <w:shd w:val="clear" w:color="000000" w:fill="FFFFFF"/>
            <w:vAlign w:val="center"/>
          </w:tcPr>
          <w:p w14:paraId="764DFA5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r w14:paraId="6DCB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7658742D">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28</w:t>
            </w:r>
          </w:p>
        </w:tc>
        <w:tc>
          <w:tcPr>
            <w:tcW w:w="765" w:type="dxa"/>
            <w:shd w:val="clear" w:color="auto" w:fill="auto"/>
            <w:vAlign w:val="center"/>
          </w:tcPr>
          <w:p w14:paraId="7084080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高清录播系统</w:t>
            </w:r>
          </w:p>
        </w:tc>
        <w:tc>
          <w:tcPr>
            <w:tcW w:w="6151" w:type="dxa"/>
            <w:shd w:val="clear" w:color="000000" w:fill="FFFFFF"/>
          </w:tcPr>
          <w:p w14:paraId="7DE344A7">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一、主机</w:t>
            </w:r>
          </w:p>
          <w:p w14:paraId="293D588B">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1、主机架构：整体采用嵌入式设计、非PC与服务器工作站等架构，以保障系统运行稳定、安全。且为方便设备布线实施，主机需为标准1U机架式设计，支持外接不同尺寸控制屏满足不同环境的操作需要；</w:t>
            </w:r>
          </w:p>
          <w:p w14:paraId="37A91180">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2、高度集成：主机需同时具备录制、直播、导播、自动跟踪、音频编码、视频编码、音频处理、视频处理、存储、点播、互动多功能于一体；</w:t>
            </w:r>
          </w:p>
          <w:p w14:paraId="0EDF767D">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3、优质性能：主机采用嵌入式架构处理器同时内置GPU与NPU协处理器，CPU核心数≥8核心主频≥2.4GHz；（提供国家认可的第三方检测机构出具的检测报告复印件）</w:t>
            </w:r>
          </w:p>
          <w:p w14:paraId="5A781F4F">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4、工作噪声：主机在正常工作状态下的生产噪声不高于20dB(A)；</w:t>
            </w:r>
          </w:p>
          <w:p w14:paraId="5FAE1DB4">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5、工作功率：要求整机正常工作状态下功耗不超过50W；</w:t>
            </w:r>
          </w:p>
          <w:p w14:paraId="2C5E921E">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6、视频接口：数字视频接口D-Video（RJ45）≥5，HDMI 输入≥2，HDMI 输出≥2路；</w:t>
            </w:r>
          </w:p>
          <w:p w14:paraId="47EBD118">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7、音频接口：要求主机支持线性音频输入与数字音频输入，要求Line in接口≥2，Line out接口≥2，数字音频接口D-Mic（RJ45）≥6；</w:t>
            </w:r>
          </w:p>
          <w:p w14:paraId="04C1951C">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8、网络接口：RJ45≥1，支持100/1000M网络自适应及IPv4、IPv6双协议栈；</w:t>
            </w:r>
          </w:p>
          <w:p w14:paraId="4EE54AF2">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9、控制接口：RJ45≥2，支持RS232串行通信协议进行外接控制；</w:t>
            </w:r>
          </w:p>
          <w:p w14:paraId="49751E15">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10、外设接口：USB2.0≥2，可用于连接U盘等外设；</w:t>
            </w:r>
          </w:p>
          <w:p w14:paraId="4F1DBFF5">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11、系统存储≥2T，保障设备的正常运行与录制视频文件的本地存储；</w:t>
            </w:r>
          </w:p>
          <w:p w14:paraId="589C9264">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12、视频一线通：支持摄像机与主机之间仅通过一根双绞线即可同时实现供电、控制和视频信号的同步传输，不接受使用转接器的方式；</w:t>
            </w:r>
          </w:p>
          <w:p w14:paraId="07167687">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13、视频录制：兼容标准H.264视频编解码能力，要求支持4K@30fps、1080P@30fps、720P@30fps，以及AAC音频编解码协议标准且内置音频处理功能；</w:t>
            </w:r>
          </w:p>
          <w:p w14:paraId="05EDA969">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14、数字视频传输：支持对同品牌高清摄像机实现基于RJ45双绞线的视频裸数据传输技术，支持摄像机到录播主机端的视频采集和传输过程无需编解码、无画质损耗并实现≤100ms的声画同步，保障录制视频效果；（提供国家认可的第三方检测机构出具的检测报告复印件）</w:t>
            </w:r>
          </w:p>
          <w:p w14:paraId="1A95C304">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15、AI板书分析：基于AI技术、深度学习算法和图像处理能力，支持对教师在黑板上的板书内容实时识别并进行电子化处理，实现板书内容浮现在拍摄对象身前的效果并可实时环出至大屏进行观看；</w:t>
            </w:r>
          </w:p>
          <w:p w14:paraId="18522ADC">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16、智能板书拍摄：要求板书AI分析能力兼容各类传统教学黑板与智慧互联黑板，并可实现人物半透明化处理，使笔迹浮现在实景画面上方，摄像机无惧人物遮挡正向拍摄安装不受限；</w:t>
            </w:r>
          </w:p>
          <w:p w14:paraId="24974741">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17、智能色彩增强：要求实现基于AI技术的板书笔迹智能色彩增强处理，满足黄色、蓝色、红色、绿色等不同颜色的彩色笔迹色彩还原与笔迹增强；（提供国家认可的第三方检测机构出具的检测报告复印件）</w:t>
            </w:r>
          </w:p>
          <w:p w14:paraId="1F1B2F88">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二、录播流媒体处理软件</w:t>
            </w:r>
          </w:p>
          <w:p w14:paraId="557F1DE8">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1、录制模式支持电影模式、资源模式、画中画模式，其中资源模式录播时至少可有2画面、3画面、4画面等三种组合方式可选。</w:t>
            </w:r>
          </w:p>
          <w:p w14:paraId="6F4F53C0">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 xml:space="preserve">2、对于在记录过程中出现的系统死机或意外故障，支持对设备异常断电、宕机造成的损坏视频文件进行修复。 </w:t>
            </w:r>
          </w:p>
          <w:p w14:paraId="7B5B1229">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3、设备支持导播功能，具有自动、半自动、手动两种导播模式，可设置导播策略（是否学生全景过渡、是否师生双画面等），支持课件检测。</w:t>
            </w:r>
          </w:p>
          <w:p w14:paraId="4842EFC1">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4、支持RTMP、RTSP直播功能，支持TS组播流，支持4路RTMP同步推流功能；（提供国家认可的第三方检测机构出具的检测报告复印件）</w:t>
            </w:r>
          </w:p>
          <w:p w14:paraId="17B7B5CC">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5、支持片头片尾添加功能。</w:t>
            </w:r>
          </w:p>
          <w:p w14:paraId="64500C94">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6、支持叠加字幕。</w:t>
            </w:r>
          </w:p>
          <w:p w14:paraId="3B156140">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7、支持课件信息设置，可以设置课件的相关信息，如教师信息、课程内容等。</w:t>
            </w:r>
          </w:p>
          <w:p w14:paraId="1AF6FD6D">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8、支持配置FTP，并将课程上传到FTP服务器。</w:t>
            </w:r>
          </w:p>
          <w:p w14:paraId="62DACD36">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9、支持至少4路高清视音频信号输入、≥1路VGA输入（或HDMI输入），具备高清≥6路视音频通道的预监和控制功能；</w:t>
            </w:r>
          </w:p>
          <w:p w14:paraId="59B876B5">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10、自动导播：录像时，支持自动导播模式（需录播主机支持）。在自动导播模式下，能根据教师书写板书、教师走下讲台、学生起立回答等教学场景，自动对教师近景、教师全景、学生近景、学生全景、板书特写等多视频信号进行智能导播，形成合乎观看者逻辑的实况录像。</w:t>
            </w:r>
          </w:p>
          <w:p w14:paraId="450CA0E7">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11、手动导播：录像时，支持手动导播，即对教师近景、教师全景、学生近景、学生全景、板书特写、VGA信号等多视频信号的进行手动云台控制和画面切换，形成实况录像。</w:t>
            </w:r>
          </w:p>
          <w:p w14:paraId="71B5FA6C">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12、录像起止：录像起止时间，以现场操控的实际时间为准。如通过录播客户端、一体机上的录播助手、触摸键盘、物理键盘等方式进行现场操控。</w:t>
            </w:r>
          </w:p>
          <w:p w14:paraId="5CED8C10">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13、支持通过通讯录选择互动录播并“一键式”呼叫创建互动房间，支持通过会议号和会议密码直接加入已创建的互动房间。</w:t>
            </w:r>
          </w:p>
          <w:p w14:paraId="6287E43E">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14、支持查询互动云系统的通讯录数据，查询内容包括所有已在互动云系统注册的录播账号、录播昵称。支持分级筛选查询互动录播设备。支持“关键字”检索功能，通过录播账号、昵称快速查找到互动录播设备。</w:t>
            </w:r>
          </w:p>
          <w:p w14:paraId="7DEC8DF8">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15、录制文件支持分割技术，可按照用户设定的文件时长自动分割录制成多个视频文件，提供不分段、30分钟分段、60分钟分段三种方式可选。</w:t>
            </w:r>
          </w:p>
          <w:p w14:paraId="3BE69080">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16、支持标准MP4视频封装格式，支持录像文件下载，删除等操作；</w:t>
            </w:r>
          </w:p>
          <w:p w14:paraId="34ACB5EF">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17、需提供嵌入式录播管理软件著作权证书的复印件。</w:t>
            </w:r>
          </w:p>
          <w:p w14:paraId="77C536EF">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三、跟踪定位系统</w:t>
            </w:r>
          </w:p>
          <w:p w14:paraId="0F4FAC3D">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1、摄像机跟踪逻辑分配：支持智能识别接入摄像机的使用定位，无需额外独立配置。</w:t>
            </w:r>
          </w:p>
          <w:p w14:paraId="093F4F41">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2、检测区域设置：支持对接入摄像机的AI跟踪检测区域设置，可根据实景拍摄画面中框选跟踪区域，框选后只在区域中方能触发跟踪。</w:t>
            </w:r>
          </w:p>
          <w:p w14:paraId="3279079A">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3、交叉校验锁定：支持基于AI人脸与肢体识别跟踪技术，当有多个人物进入拍摄画面，会经过人脸与肢体交叉校验后锁定正确的跟拍对象。</w:t>
            </w:r>
          </w:p>
          <w:p w14:paraId="6052C1CF">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4、AI全场景跟拍：支持对课堂教学的全场景进行电影模式的视频录制，无需任何辅助设备也可实现教师识别、教师移动跟拍、教师轨迹识别以及学生上台识别、板书行为识别、单人与多人起立识别等教学焦点进行AI的自动捕捉与切换。</w:t>
            </w:r>
          </w:p>
          <w:p w14:paraId="0CEABEBB">
            <w:pPr>
              <w:widowControl/>
              <w:jc w:val="left"/>
              <w:textAlignment w:val="top"/>
              <w:rPr>
                <w:rFonts w:hint="eastAsia" w:ascii="宋体" w:hAnsi="宋体" w:cs="宋体"/>
                <w:color w:val="auto"/>
                <w:kern w:val="0"/>
                <w:szCs w:val="21"/>
              </w:rPr>
            </w:pPr>
            <w:r>
              <w:rPr>
                <w:rFonts w:hint="eastAsia" w:ascii="宋体" w:hAnsi="宋体" w:cs="宋体"/>
                <w:color w:val="auto"/>
                <w:kern w:val="0"/>
                <w:szCs w:val="21"/>
              </w:rPr>
              <w:t>5、支持划分自动跟踪区域，当锁定跟踪人物走出自动跟踪区域时即停止跟踪，直到重新回到区域出现在画面中为止。</w:t>
            </w:r>
          </w:p>
          <w:p w14:paraId="15EB8EE4">
            <w:pPr>
              <w:widowControl/>
              <w:jc w:val="left"/>
              <w:textAlignment w:val="top"/>
              <w:rPr>
                <w:rFonts w:ascii="宋体" w:hAnsi="宋体" w:cs="宋体"/>
                <w:color w:val="auto"/>
                <w:kern w:val="0"/>
                <w:szCs w:val="21"/>
              </w:rPr>
            </w:pPr>
            <w:r>
              <w:rPr>
                <w:rFonts w:hint="eastAsia" w:ascii="宋体" w:hAnsi="宋体" w:cs="宋体"/>
                <w:color w:val="auto"/>
                <w:kern w:val="0"/>
                <w:szCs w:val="21"/>
              </w:rPr>
              <w:t>6、支持五分像、七分像、全身像等多种教师图像跟踪画面模式，根据实际需要设置选用教师跟踪画面的大小。</w:t>
            </w:r>
          </w:p>
        </w:tc>
        <w:tc>
          <w:tcPr>
            <w:tcW w:w="603" w:type="dxa"/>
            <w:shd w:val="clear" w:color="000000" w:fill="FFFFFF"/>
            <w:vAlign w:val="center"/>
          </w:tcPr>
          <w:p w14:paraId="1B52E1B4">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64" w:type="dxa"/>
            <w:shd w:val="clear" w:color="000000" w:fill="FFFFFF"/>
            <w:vAlign w:val="center"/>
          </w:tcPr>
          <w:p w14:paraId="559E8E8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4A45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2BEEFE9D">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29</w:t>
            </w:r>
          </w:p>
        </w:tc>
        <w:tc>
          <w:tcPr>
            <w:tcW w:w="765" w:type="dxa"/>
            <w:shd w:val="clear" w:color="auto" w:fill="auto"/>
            <w:vAlign w:val="center"/>
          </w:tcPr>
          <w:p w14:paraId="0F212A2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高清云台摄像机</w:t>
            </w:r>
          </w:p>
        </w:tc>
        <w:tc>
          <w:tcPr>
            <w:tcW w:w="6151" w:type="dxa"/>
            <w:shd w:val="clear" w:color="000000" w:fill="FFFFFF"/>
          </w:tcPr>
          <w:p w14:paraId="3CFE0FB2">
            <w:pPr>
              <w:widowControl/>
              <w:jc w:val="left"/>
              <w:textAlignment w:val="top"/>
              <w:rPr>
                <w:rFonts w:hint="eastAsia" w:ascii="宋体" w:hAnsi="宋体" w:cs="宋体"/>
                <w:color w:val="auto"/>
                <w:szCs w:val="21"/>
              </w:rPr>
            </w:pPr>
            <w:r>
              <w:rPr>
                <w:rFonts w:hint="eastAsia" w:ascii="宋体" w:hAnsi="宋体" w:cs="宋体"/>
                <w:color w:val="auto"/>
                <w:szCs w:val="21"/>
              </w:rPr>
              <w:t>1、传感器：要求采用CMOS类型图像传感器，尺寸≥1/2.5英寸；</w:t>
            </w:r>
          </w:p>
          <w:p w14:paraId="44802456">
            <w:pPr>
              <w:widowControl/>
              <w:jc w:val="left"/>
              <w:textAlignment w:val="top"/>
              <w:rPr>
                <w:rFonts w:hint="eastAsia" w:ascii="宋体" w:hAnsi="宋体" w:cs="宋体"/>
                <w:color w:val="auto"/>
                <w:szCs w:val="21"/>
              </w:rPr>
            </w:pPr>
            <w:r>
              <w:rPr>
                <w:rFonts w:hint="eastAsia" w:ascii="宋体" w:hAnsi="宋体" w:cs="宋体"/>
                <w:color w:val="auto"/>
                <w:szCs w:val="21"/>
              </w:rPr>
              <w:t>2、像素：有效像素≥800万；</w:t>
            </w:r>
          </w:p>
          <w:p w14:paraId="426BE177">
            <w:pPr>
              <w:widowControl/>
              <w:jc w:val="left"/>
              <w:textAlignment w:val="top"/>
              <w:rPr>
                <w:rFonts w:hint="eastAsia" w:ascii="宋体" w:hAnsi="宋体" w:cs="宋体"/>
                <w:color w:val="auto"/>
                <w:szCs w:val="21"/>
              </w:rPr>
            </w:pPr>
            <w:r>
              <w:rPr>
                <w:rFonts w:hint="eastAsia" w:ascii="宋体" w:hAnsi="宋体" w:cs="宋体"/>
                <w:color w:val="auto"/>
                <w:szCs w:val="21"/>
              </w:rPr>
              <w:t>3、视频分辨率：最大可支持3840×2160并向下兼容；</w:t>
            </w:r>
          </w:p>
          <w:p w14:paraId="6CDF9474">
            <w:pPr>
              <w:widowControl/>
              <w:jc w:val="left"/>
              <w:textAlignment w:val="top"/>
              <w:rPr>
                <w:rFonts w:hint="eastAsia" w:ascii="宋体" w:hAnsi="宋体" w:cs="宋体"/>
                <w:color w:val="auto"/>
                <w:szCs w:val="21"/>
              </w:rPr>
            </w:pPr>
            <w:r>
              <w:rPr>
                <w:rFonts w:hint="eastAsia" w:ascii="宋体" w:hAnsi="宋体" w:cs="宋体"/>
                <w:color w:val="auto"/>
                <w:szCs w:val="21"/>
              </w:rPr>
              <w:t>4、变焦：要求支持自动和手动变焦，综合变焦倍数≥22倍；</w:t>
            </w:r>
          </w:p>
          <w:p w14:paraId="2FF78389">
            <w:pPr>
              <w:widowControl/>
              <w:jc w:val="left"/>
              <w:textAlignment w:val="top"/>
              <w:rPr>
                <w:rFonts w:hint="eastAsia" w:ascii="宋体" w:hAnsi="宋体" w:cs="宋体"/>
                <w:color w:val="auto"/>
                <w:szCs w:val="21"/>
              </w:rPr>
            </w:pPr>
            <w:r>
              <w:rPr>
                <w:rFonts w:hint="eastAsia" w:ascii="宋体" w:hAnsi="宋体" w:cs="宋体"/>
                <w:color w:val="auto"/>
                <w:szCs w:val="21"/>
              </w:rPr>
              <w:t>5、云台转动：要求具备机械云台可进行转动跟踪。水平转动速度最大不少于90°/s，垂直转动速度最大不少70°/s；</w:t>
            </w:r>
          </w:p>
          <w:p w14:paraId="5FCFCF74">
            <w:pPr>
              <w:widowControl/>
              <w:jc w:val="left"/>
              <w:textAlignment w:val="top"/>
              <w:rPr>
                <w:rFonts w:hint="eastAsia" w:ascii="宋体" w:hAnsi="宋体" w:cs="宋体"/>
                <w:color w:val="auto"/>
                <w:szCs w:val="21"/>
              </w:rPr>
            </w:pPr>
            <w:r>
              <w:rPr>
                <w:rFonts w:hint="eastAsia" w:ascii="宋体" w:hAnsi="宋体" w:cs="宋体"/>
                <w:color w:val="auto"/>
                <w:szCs w:val="21"/>
              </w:rPr>
              <w:t>6、快门速度：要求支持高速与慢速快门速度，最快不小于1/10000s，最慢不小于1/25s；</w:t>
            </w:r>
          </w:p>
          <w:p w14:paraId="4E40A348">
            <w:pPr>
              <w:widowControl/>
              <w:jc w:val="left"/>
              <w:textAlignment w:val="top"/>
              <w:rPr>
                <w:rFonts w:hint="eastAsia" w:ascii="宋体" w:hAnsi="宋体" w:cs="宋体"/>
                <w:color w:val="auto"/>
                <w:szCs w:val="21"/>
              </w:rPr>
            </w:pPr>
            <w:r>
              <w:rPr>
                <w:rFonts w:hint="eastAsia" w:ascii="宋体" w:hAnsi="宋体" w:cs="宋体"/>
                <w:color w:val="auto"/>
                <w:szCs w:val="21"/>
              </w:rPr>
              <w:t>7、视场角大小：支持水平视场角≥70°，垂直视场角≥43°；</w:t>
            </w:r>
          </w:p>
          <w:p w14:paraId="263234FA">
            <w:pPr>
              <w:widowControl/>
              <w:jc w:val="left"/>
              <w:textAlignment w:val="top"/>
              <w:rPr>
                <w:rFonts w:hint="eastAsia" w:ascii="宋体" w:hAnsi="宋体" w:cs="宋体"/>
                <w:color w:val="auto"/>
                <w:szCs w:val="21"/>
              </w:rPr>
            </w:pPr>
            <w:r>
              <w:rPr>
                <w:rFonts w:hint="eastAsia" w:ascii="宋体" w:hAnsi="宋体" w:cs="宋体"/>
                <w:color w:val="auto"/>
                <w:szCs w:val="21"/>
              </w:rPr>
              <w:t>8、视频编码：要求支持H.265、H.264高清视频编码协议；</w:t>
            </w:r>
          </w:p>
          <w:p w14:paraId="7B628B98">
            <w:pPr>
              <w:widowControl/>
              <w:jc w:val="left"/>
              <w:textAlignment w:val="top"/>
              <w:rPr>
                <w:rFonts w:hint="eastAsia" w:ascii="宋体" w:hAnsi="宋体" w:cs="宋体"/>
                <w:color w:val="auto"/>
                <w:szCs w:val="21"/>
              </w:rPr>
            </w:pPr>
            <w:r>
              <w:rPr>
                <w:rFonts w:hint="eastAsia" w:ascii="宋体" w:hAnsi="宋体" w:cs="宋体"/>
                <w:color w:val="auto"/>
                <w:szCs w:val="21"/>
              </w:rPr>
              <w:t>9、视频输出：要求具备数字视频输出口（RJ45）≥1，HDMI视频输出口≥1；</w:t>
            </w:r>
          </w:p>
          <w:p w14:paraId="453C03FE">
            <w:pPr>
              <w:widowControl/>
              <w:jc w:val="left"/>
              <w:textAlignment w:val="top"/>
              <w:rPr>
                <w:rFonts w:hint="eastAsia" w:ascii="宋体" w:hAnsi="宋体" w:cs="宋体"/>
                <w:color w:val="auto"/>
                <w:szCs w:val="21"/>
              </w:rPr>
            </w:pPr>
            <w:r>
              <w:rPr>
                <w:rFonts w:hint="eastAsia" w:ascii="宋体" w:hAnsi="宋体" w:cs="宋体"/>
                <w:color w:val="auto"/>
                <w:szCs w:val="21"/>
              </w:rPr>
              <w:t>10、通讯接口：要求具备RS232/RS422≥1；</w:t>
            </w:r>
          </w:p>
          <w:p w14:paraId="27D7286A">
            <w:pPr>
              <w:widowControl/>
              <w:jc w:val="left"/>
              <w:textAlignment w:val="top"/>
              <w:rPr>
                <w:rFonts w:hint="eastAsia" w:ascii="宋体" w:hAnsi="宋体" w:cs="宋体"/>
                <w:color w:val="auto"/>
                <w:szCs w:val="21"/>
              </w:rPr>
            </w:pPr>
            <w:r>
              <w:rPr>
                <w:rFonts w:hint="eastAsia" w:ascii="宋体" w:hAnsi="宋体" w:cs="宋体"/>
                <w:color w:val="auto"/>
                <w:szCs w:val="21"/>
              </w:rPr>
              <w:t>11、网络接入：RJ45网络接口≥1，并支持100M/1000M自适应以太网接入与RTSP协议网络视频输出；</w:t>
            </w:r>
          </w:p>
          <w:p w14:paraId="7C8F5C65">
            <w:pPr>
              <w:widowControl/>
              <w:jc w:val="left"/>
              <w:textAlignment w:val="top"/>
              <w:rPr>
                <w:rFonts w:hint="eastAsia" w:ascii="宋体" w:hAnsi="宋体" w:cs="宋体"/>
                <w:color w:val="auto"/>
                <w:szCs w:val="21"/>
              </w:rPr>
            </w:pPr>
            <w:r>
              <w:rPr>
                <w:rFonts w:hint="eastAsia" w:ascii="宋体" w:hAnsi="宋体" w:cs="宋体"/>
                <w:color w:val="auto"/>
                <w:szCs w:val="21"/>
              </w:rPr>
              <w:t>12、音频接口：Line in输入口≥1；</w:t>
            </w:r>
          </w:p>
          <w:p w14:paraId="38BAB982">
            <w:pPr>
              <w:widowControl/>
              <w:jc w:val="left"/>
              <w:textAlignment w:val="top"/>
              <w:rPr>
                <w:rFonts w:hint="eastAsia" w:ascii="宋体" w:hAnsi="宋体" w:cs="宋体"/>
                <w:color w:val="auto"/>
                <w:szCs w:val="21"/>
              </w:rPr>
            </w:pPr>
            <w:r>
              <w:rPr>
                <w:rFonts w:hint="eastAsia" w:ascii="宋体" w:hAnsi="宋体" w:cs="宋体"/>
                <w:color w:val="auto"/>
                <w:szCs w:val="21"/>
              </w:rPr>
              <w:t>13、音频编码：要求支持OPUS、G.711A、AAC等常用音频编码协议；</w:t>
            </w:r>
          </w:p>
          <w:p w14:paraId="0675AF1B">
            <w:pPr>
              <w:widowControl/>
              <w:jc w:val="left"/>
              <w:textAlignment w:val="top"/>
              <w:rPr>
                <w:rFonts w:hint="eastAsia" w:ascii="宋体" w:hAnsi="宋体" w:cs="宋体"/>
                <w:color w:val="auto"/>
                <w:szCs w:val="21"/>
              </w:rPr>
            </w:pPr>
            <w:r>
              <w:rPr>
                <w:rFonts w:hint="eastAsia" w:ascii="宋体" w:hAnsi="宋体" w:cs="宋体"/>
                <w:color w:val="auto"/>
                <w:szCs w:val="21"/>
              </w:rPr>
              <w:t>14、USB接口：要求具备USB Type-A≥1；</w:t>
            </w:r>
          </w:p>
          <w:p w14:paraId="5C893A6A">
            <w:pPr>
              <w:widowControl/>
              <w:jc w:val="left"/>
              <w:textAlignment w:val="top"/>
              <w:rPr>
                <w:rFonts w:hint="eastAsia" w:ascii="宋体" w:hAnsi="宋体" w:cs="宋体"/>
                <w:color w:val="auto"/>
                <w:szCs w:val="21"/>
              </w:rPr>
            </w:pPr>
            <w:r>
              <w:rPr>
                <w:rFonts w:hint="eastAsia" w:ascii="宋体" w:hAnsi="宋体" w:cs="宋体"/>
                <w:color w:val="auto"/>
                <w:szCs w:val="21"/>
              </w:rPr>
              <w:t>15、协议支持：要求支持VISCA/ONVIF协议满足多种场景控制要求；</w:t>
            </w:r>
          </w:p>
          <w:p w14:paraId="5C51D7FD">
            <w:pPr>
              <w:widowControl/>
              <w:jc w:val="left"/>
              <w:textAlignment w:val="top"/>
              <w:rPr>
                <w:rFonts w:hint="eastAsia" w:ascii="宋体" w:hAnsi="宋体" w:cs="宋体"/>
                <w:color w:val="auto"/>
                <w:szCs w:val="21"/>
              </w:rPr>
            </w:pPr>
            <w:r>
              <w:rPr>
                <w:rFonts w:hint="eastAsia" w:ascii="宋体" w:hAnsi="宋体" w:cs="宋体"/>
                <w:color w:val="auto"/>
                <w:szCs w:val="21"/>
              </w:rPr>
              <w:t>16、背光补偿：要求具备背光补偿功能；</w:t>
            </w:r>
          </w:p>
          <w:p w14:paraId="6A71D641">
            <w:pPr>
              <w:widowControl/>
              <w:jc w:val="left"/>
              <w:textAlignment w:val="top"/>
              <w:rPr>
                <w:rFonts w:hint="eastAsia" w:ascii="宋体" w:hAnsi="宋体" w:cs="宋体"/>
                <w:color w:val="auto"/>
                <w:szCs w:val="21"/>
              </w:rPr>
            </w:pPr>
            <w:r>
              <w:rPr>
                <w:rFonts w:hint="eastAsia" w:ascii="宋体" w:hAnsi="宋体" w:cs="宋体"/>
                <w:color w:val="auto"/>
                <w:szCs w:val="21"/>
              </w:rPr>
              <w:t>17、数字降噪：支持2D/3D数字降噪，信噪比≥55dB；</w:t>
            </w:r>
          </w:p>
          <w:p w14:paraId="3788E4CD">
            <w:pPr>
              <w:widowControl/>
              <w:jc w:val="left"/>
              <w:textAlignment w:val="top"/>
              <w:rPr>
                <w:rFonts w:hint="eastAsia" w:ascii="宋体" w:hAnsi="宋体" w:cs="宋体"/>
                <w:color w:val="auto"/>
                <w:szCs w:val="21"/>
              </w:rPr>
            </w:pPr>
            <w:r>
              <w:rPr>
                <w:rFonts w:hint="eastAsia" w:ascii="宋体" w:hAnsi="宋体" w:cs="宋体"/>
                <w:color w:val="auto"/>
                <w:szCs w:val="21"/>
              </w:rPr>
              <w:t>18、一线通：要求与搭配的录播主机实现基于RJ45双绞线的一线通连接，完成摄像机供电、控制以及视频信号传输；</w:t>
            </w:r>
          </w:p>
          <w:p w14:paraId="4399A1A9">
            <w:pPr>
              <w:widowControl/>
              <w:jc w:val="left"/>
              <w:textAlignment w:val="top"/>
              <w:rPr>
                <w:rFonts w:hint="eastAsia" w:ascii="宋体" w:hAnsi="宋体" w:cs="宋体"/>
                <w:color w:val="auto"/>
                <w:szCs w:val="21"/>
              </w:rPr>
            </w:pPr>
            <w:r>
              <w:rPr>
                <w:rFonts w:hint="eastAsia" w:ascii="宋体" w:hAnsi="宋体" w:cs="宋体"/>
                <w:color w:val="auto"/>
                <w:szCs w:val="21"/>
              </w:rPr>
              <w:t>19、要求内置AI自动跟踪/跟踪逻辑自选/AI板书内容分析模型/AI板书增强拍摄板书时具备提取板书笔迹、识别板书文本、分析板书规范度的能力，对教学黑板上的板书进行电子化班笔迹、画图等B颜色的饮对性效果增强,理，可实现板生内容不被摄像机拍摄实景遮挡；</w:t>
            </w:r>
          </w:p>
          <w:p w14:paraId="307AD459">
            <w:pPr>
              <w:widowControl/>
              <w:jc w:val="left"/>
              <w:textAlignment w:val="top"/>
              <w:rPr>
                <w:rFonts w:hint="eastAsia" w:ascii="宋体" w:hAnsi="宋体" w:cs="宋体"/>
                <w:color w:val="auto"/>
                <w:szCs w:val="21"/>
              </w:rPr>
            </w:pPr>
            <w:r>
              <w:rPr>
                <w:rFonts w:hint="eastAsia" w:ascii="宋体" w:hAnsi="宋体" w:cs="宋体"/>
                <w:color w:val="auto"/>
                <w:szCs w:val="21"/>
              </w:rPr>
              <w:t>20、基于 AI 人物识别的自动跟踪技术,仅摄像机自身可实现人物移动的自动画面跟踪拍摄，包括水平运动、俯仰运动、变焦、聚焦四维实时跟踪；可智能切换教师、学生 AI跟踪模式:自动识别切换并适配教师及学生的跟踪逻辑；</w:t>
            </w:r>
          </w:p>
          <w:p w14:paraId="7F90DCBA">
            <w:pPr>
              <w:pStyle w:val="14"/>
              <w:widowControl/>
              <w:jc w:val="left"/>
              <w:textAlignment w:val="top"/>
              <w:rPr>
                <w:rFonts w:ascii="宋体" w:hAnsi="宋体" w:cs="宋体"/>
                <w:color w:val="auto"/>
                <w:kern w:val="0"/>
                <w:szCs w:val="21"/>
              </w:rPr>
            </w:pPr>
            <w:r>
              <w:rPr>
                <w:rFonts w:hint="eastAsia" w:ascii="宋体" w:hAnsi="宋体" w:cs="宋体"/>
                <w:color w:val="auto"/>
                <w:szCs w:val="21"/>
              </w:rPr>
              <w:t>21、交叉识别：需支持对锁定跟拍对象进行人脸特征与肢体双重认证识别，在多人同时进入拍摄画面的情况下，持续锁定跟踪对象，不出现跟丢和误跟的情况；</w:t>
            </w:r>
          </w:p>
        </w:tc>
        <w:tc>
          <w:tcPr>
            <w:tcW w:w="603" w:type="dxa"/>
            <w:shd w:val="clear" w:color="000000" w:fill="FFFFFF"/>
            <w:vAlign w:val="center"/>
          </w:tcPr>
          <w:p w14:paraId="20B1D8F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5</w:t>
            </w:r>
          </w:p>
        </w:tc>
        <w:tc>
          <w:tcPr>
            <w:tcW w:w="664" w:type="dxa"/>
            <w:shd w:val="clear" w:color="000000" w:fill="FFFFFF"/>
            <w:vAlign w:val="center"/>
          </w:tcPr>
          <w:p w14:paraId="0963D55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r w14:paraId="3074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43C591EF">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30</w:t>
            </w:r>
          </w:p>
        </w:tc>
        <w:tc>
          <w:tcPr>
            <w:tcW w:w="765" w:type="dxa"/>
            <w:shd w:val="clear" w:color="auto" w:fill="auto"/>
            <w:vAlign w:val="center"/>
          </w:tcPr>
          <w:p w14:paraId="19FF1A2B">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录播教室声学材料</w:t>
            </w:r>
          </w:p>
        </w:tc>
        <w:tc>
          <w:tcPr>
            <w:tcW w:w="6151" w:type="dxa"/>
            <w:shd w:val="clear" w:color="000000" w:fill="FFFFFF"/>
          </w:tcPr>
          <w:p w14:paraId="54C58595">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一、声学模块:≥200㎡</w:t>
            </w:r>
          </w:p>
          <w:p w14:paraId="0F71EB4F">
            <w:pPr>
              <w:widowControl/>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1、声学参数：降噪系数NRC中高频声波250-2000Hz， NRC≥0.6 （125Hz）：0.1-0.4中频（500-2000Hz）：0.5-0.9，高频（4000Hz）：0.8-1.0 - 低频噪音≥0.3）声学阻抗率 413 瑞利。</w:t>
            </w:r>
          </w:p>
          <w:p w14:paraId="64B98FDF">
            <w:pPr>
              <w:widowControl/>
              <w:jc w:val="left"/>
              <w:textAlignment w:val="top"/>
              <w:rPr>
                <w:rFonts w:hint="eastAsia" w:ascii="宋体" w:hAnsi="宋体" w:eastAsia="宋体" w:cs="宋体"/>
                <w:color w:val="auto"/>
                <w:kern w:val="0"/>
                <w:sz w:val="21"/>
                <w:szCs w:val="21"/>
                <w:lang w:eastAsia="zh-CN" w:bidi="ar"/>
              </w:rPr>
            </w:pPr>
            <w:r>
              <w:rPr>
                <w:rFonts w:hint="eastAsia" w:ascii="宋体" w:hAnsi="宋体" w:cs="宋体"/>
                <w:color w:val="auto"/>
                <w:kern w:val="0"/>
                <w:szCs w:val="21"/>
                <w:lang w:bidi="ar"/>
              </w:rPr>
              <w:t>2、物理力学参数：密度：单位体积的重量（kg/m³200-300kg/m³含水率 ≤12%，搭配防水涂层。厚度偏差≤±0.5mm。抗压强度板材在压力下不破损的最大强度（kPa），≥15kPa抗折强度 ≥0.5MPa 。粘结强度≥0.3MPa（国标 GB/T 25181 ）</w:t>
            </w:r>
          </w:p>
          <w:p w14:paraId="24FE1F4F">
            <w:pPr>
              <w:widowControl/>
              <w:jc w:val="left"/>
              <w:textAlignment w:val="top"/>
              <w:rPr>
                <w:rFonts w:hint="eastAsia" w:ascii="宋体" w:hAnsi="宋体" w:cs="宋体"/>
                <w:color w:val="auto"/>
                <w:kern w:val="0"/>
                <w:szCs w:val="21"/>
                <w:lang w:bidi="ar"/>
              </w:rPr>
            </w:pPr>
            <w:r>
              <w:rPr>
                <w:rFonts w:hint="eastAsia" w:ascii="宋体" w:hAnsi="宋体" w:cs="宋体"/>
                <w:color w:val="auto"/>
                <w:kern w:val="0"/>
                <w:szCs w:val="21"/>
                <w:lang w:bidi="ar"/>
              </w:rPr>
              <w:t>3. 防火等级： GB 8624《建筑材料及制品燃烧性能分级》， B1 级（难燃）；</w:t>
            </w:r>
          </w:p>
          <w:p w14:paraId="6023B11A">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4、环保参数：声学模块环保参数需符合国标 GB 18583-2008《室内装饰装修材料 胶粘剂中有害物质限量》， 甲醛释放量 ≤0.124mg/m³（气候箱法），或≤1.5mg/L（干燥器法），挥发性有机物（VOC） ≤100g/L（板材本身），室内空气≤0.6mg/m³ 重金属含量铅（Pb）≤90mg/kg，镉（Cd）≤75mg/kg；</w:t>
            </w:r>
          </w:p>
          <w:p w14:paraId="166435DE">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二、塑胶地板：≥110㎡</w:t>
            </w:r>
          </w:p>
          <w:p w14:paraId="634C6199">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 耐磨性：≥4000转；</w:t>
            </w:r>
          </w:p>
          <w:p w14:paraId="0930D5AB">
            <w:pPr>
              <w:widowControl/>
              <w:jc w:val="left"/>
              <w:textAlignment w:val="top"/>
              <w:rPr>
                <w:rFonts w:hint="eastAsia" w:ascii="宋体" w:hAnsi="宋体" w:eastAsia="宋体" w:cs="宋体"/>
                <w:color w:val="auto"/>
                <w:kern w:val="0"/>
                <w:szCs w:val="21"/>
                <w:lang w:val="en-US" w:eastAsia="zh-CN" w:bidi="ar"/>
              </w:rPr>
            </w:pPr>
            <w:r>
              <w:rPr>
                <w:rFonts w:hint="eastAsia" w:ascii="宋体" w:hAnsi="宋体" w:cs="宋体"/>
                <w:color w:val="auto"/>
                <w:kern w:val="0"/>
                <w:szCs w:val="21"/>
                <w:lang w:bidi="ar"/>
              </w:rPr>
              <w:t>2. 防滑性：摩擦系数（COF） 干态（干燥地面）、湿态（沾水地面）的滑动阻力，国标 GB 50763-2012 要求：干态≥0.6，湿态≥0.5；热收缩率（70℃，2h）：高温下长度收缩比例；湿膨胀率（23℃，24h）：潮湿下膨胀比例 热收缩率≤0.5%（卷材）/≤0.3%（片材）；湿膨胀率≤0.3% 地暖场景：热收缩率≤0.3%（避免受热起翘）；地下室：湿膨胀率≤0.2%（防受潮变形）；抗压强度（MPa），国标要求≥15MPa 卷材：15-20MPa； 抗折强度 ≥10MPa 卷材： 耐污性 ≥4 级 耐候性 抗紫外线、高低温老化能力，测试后无褪色、开裂 -20℃-60℃下无明显变化 阳台（露天）：选 “抗 UV 涂层”，避免褪色；北方低温：-30℃下无脆裂</w:t>
            </w:r>
            <w:r>
              <w:rPr>
                <w:rFonts w:hint="eastAsia" w:ascii="宋体" w:hAnsi="宋体" w:cs="宋体"/>
                <w:color w:val="auto"/>
                <w:kern w:val="0"/>
                <w:szCs w:val="21"/>
                <w:lang w:eastAsia="zh-CN" w:bidi="ar"/>
              </w:rPr>
              <w:t>；</w:t>
            </w:r>
          </w:p>
          <w:p w14:paraId="09EE0B1F">
            <w:pPr>
              <w:widowControl/>
              <w:jc w:val="left"/>
              <w:textAlignment w:val="top"/>
              <w:rPr>
                <w:rFonts w:hint="eastAsia" w:eastAsia="宋体"/>
                <w:color w:val="auto"/>
                <w:lang w:eastAsia="zh-CN"/>
              </w:rPr>
            </w:pPr>
            <w:r>
              <w:rPr>
                <w:rFonts w:hint="eastAsia" w:ascii="宋体" w:hAnsi="宋体" w:cs="宋体"/>
                <w:color w:val="auto"/>
                <w:kern w:val="0"/>
                <w:szCs w:val="21"/>
                <w:lang w:bidi="ar"/>
              </w:rPr>
              <w:t>3、环保安全参数：甲醛释放量：≤0.124mg/m³（气候箱法）；VOC（挥发性有机物） 国标 GB/T 18583-2008：≤100g/L VOC≤0.5mg/m</w:t>
            </w:r>
          </w:p>
          <w:p w14:paraId="2B0C7AA6">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三、录播教室专用灯具</w:t>
            </w:r>
            <w:r>
              <w:rPr>
                <w:rFonts w:hint="eastAsia" w:ascii="宋体" w:hAnsi="宋体" w:cs="宋体"/>
                <w:color w:val="auto"/>
                <w:kern w:val="0"/>
                <w:szCs w:val="21"/>
                <w:lang w:eastAsia="zh-CN" w:bidi="ar"/>
              </w:rPr>
              <w:t>：采用高显色性LED平板灯或三基色柔光灯，显色指数≥90，色温范围：5500K～6500K，教师区域平均照度≥1000 lx，学生区域平均照度≥500 lx</w:t>
            </w:r>
            <w:r>
              <w:rPr>
                <w:rFonts w:hint="eastAsia" w:ascii="宋体" w:hAnsi="宋体" w:cs="宋体"/>
                <w:color w:val="auto"/>
                <w:kern w:val="0"/>
                <w:szCs w:val="21"/>
                <w:lang w:bidi="ar"/>
              </w:rPr>
              <w:t>，满足录播教室对照明的需求，配套2*1.5电缆，</w:t>
            </w:r>
            <w:r>
              <w:rPr>
                <w:rFonts w:hint="eastAsia"/>
                <w:color w:val="auto"/>
              </w:rPr>
              <w:t>长度须满足灯具的安装要求</w:t>
            </w:r>
            <w:r>
              <w:rPr>
                <w:rFonts w:hint="eastAsia" w:ascii="宋体" w:hAnsi="宋体" w:cs="宋体"/>
                <w:color w:val="auto"/>
                <w:kern w:val="0"/>
                <w:szCs w:val="21"/>
                <w:lang w:bidi="ar"/>
              </w:rPr>
              <w:t>；</w:t>
            </w:r>
          </w:p>
          <w:p w14:paraId="47F6B248">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四、窗帘</w:t>
            </w:r>
            <w:r>
              <w:rPr>
                <w:rFonts w:hint="eastAsia" w:ascii="宋体" w:hAnsi="宋体" w:cs="宋体"/>
                <w:color w:val="auto"/>
                <w:kern w:val="0"/>
                <w:szCs w:val="21"/>
                <w:lang w:eastAsia="zh-CN" w:bidi="ar"/>
              </w:rPr>
              <w:t>（</w:t>
            </w:r>
            <w:r>
              <w:rPr>
                <w:rFonts w:hint="eastAsia" w:ascii="宋体" w:hAnsi="宋体" w:cs="宋体"/>
                <w:color w:val="auto"/>
                <w:kern w:val="0"/>
                <w:szCs w:val="21"/>
                <w:lang w:val="en-US" w:eastAsia="zh-CN" w:bidi="ar"/>
              </w:rPr>
              <w:t>高3.8m*长15m，约为57个</w:t>
            </w:r>
            <w:r>
              <w:rPr>
                <w:rFonts w:hint="eastAsia" w:ascii="宋体" w:hAnsi="宋体" w:cs="宋体"/>
                <w:color w:val="auto"/>
                <w:kern w:val="0"/>
                <w:szCs w:val="21"/>
                <w:lang w:bidi="ar"/>
              </w:rPr>
              <w:t>平米</w:t>
            </w:r>
            <w:r>
              <w:rPr>
                <w:rFonts w:hint="eastAsia" w:ascii="宋体" w:hAnsi="宋体" w:cs="宋体"/>
                <w:color w:val="auto"/>
                <w:kern w:val="0"/>
                <w:szCs w:val="21"/>
                <w:lang w:eastAsia="zh-CN" w:bidi="ar"/>
              </w:rPr>
              <w:t>）</w:t>
            </w:r>
            <w:r>
              <w:rPr>
                <w:rFonts w:hint="eastAsia"/>
                <w:color w:val="auto"/>
                <w:lang w:eastAsia="zh-CN"/>
              </w:rPr>
              <w:t>；</w:t>
            </w:r>
            <w:r>
              <w:rPr>
                <w:rFonts w:hint="eastAsia"/>
                <w:color w:val="auto"/>
                <w:lang w:val="en-US" w:eastAsia="zh-CN"/>
              </w:rPr>
              <w:t>指标要求：</w:t>
            </w:r>
            <w:r>
              <w:rPr>
                <w:rFonts w:hint="eastAsia" w:ascii="宋体" w:hAnsi="宋体" w:cs="宋体"/>
                <w:color w:val="auto"/>
                <w:kern w:val="0"/>
                <w:szCs w:val="21"/>
                <w:lang w:eastAsia="zh-CN" w:bidi="ar"/>
              </w:rPr>
              <w:t>吸音系数（NRC）≥0.5，频率范围在低频段吸音系数≥0.3，中频段吸音系数≥0.5，高频段吸音系数≥0.6，降噪量（dB）≥10dB，遮光率≥95%</w:t>
            </w:r>
            <w:r>
              <w:rPr>
                <w:rFonts w:hint="eastAsia" w:ascii="宋体" w:hAnsi="宋体" w:cs="宋体"/>
                <w:color w:val="auto"/>
                <w:kern w:val="0"/>
                <w:szCs w:val="21"/>
                <w:lang w:bidi="ar"/>
              </w:rPr>
              <w:t>。</w:t>
            </w:r>
          </w:p>
        </w:tc>
        <w:tc>
          <w:tcPr>
            <w:tcW w:w="603" w:type="dxa"/>
            <w:shd w:val="clear" w:color="000000" w:fill="FFFFFF"/>
            <w:vAlign w:val="center"/>
          </w:tcPr>
          <w:p w14:paraId="048099E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64" w:type="dxa"/>
            <w:shd w:val="clear" w:color="000000" w:fill="FFFFFF"/>
            <w:vAlign w:val="center"/>
          </w:tcPr>
          <w:p w14:paraId="72808E45">
            <w:pPr>
              <w:widowControl/>
              <w:jc w:val="center"/>
              <w:textAlignment w:val="center"/>
              <w:rPr>
                <w:rFonts w:ascii="宋体" w:hAnsi="宋体" w:cs="宋体"/>
                <w:color w:val="auto"/>
                <w:kern w:val="0"/>
                <w:szCs w:val="21"/>
              </w:rPr>
            </w:pPr>
            <w:r>
              <w:rPr>
                <w:rFonts w:hint="eastAsia" w:ascii="宋体" w:hAnsi="宋体" w:cs="宋体"/>
                <w:color w:val="auto"/>
                <w:szCs w:val="21"/>
              </w:rPr>
              <w:t>批</w:t>
            </w:r>
          </w:p>
        </w:tc>
      </w:tr>
      <w:tr w14:paraId="298D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21B1ED9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31</w:t>
            </w:r>
          </w:p>
        </w:tc>
        <w:tc>
          <w:tcPr>
            <w:tcW w:w="765" w:type="dxa"/>
            <w:shd w:val="clear" w:color="auto" w:fill="auto"/>
            <w:vAlign w:val="center"/>
          </w:tcPr>
          <w:p w14:paraId="33D69747">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网络摄像机</w:t>
            </w:r>
          </w:p>
        </w:tc>
        <w:tc>
          <w:tcPr>
            <w:tcW w:w="6151" w:type="dxa"/>
            <w:shd w:val="clear" w:color="000000" w:fill="FFFFFF"/>
          </w:tcPr>
          <w:p w14:paraId="04E98152">
            <w:pPr>
              <w:widowControl/>
              <w:numPr>
                <w:ilvl w:val="0"/>
                <w:numId w:val="0"/>
              </w:numPr>
              <w:jc w:val="left"/>
              <w:textAlignment w:val="top"/>
              <w:rPr>
                <w:rFonts w:hint="eastAsia" w:ascii="宋体" w:hAnsi="宋体" w:cs="宋体"/>
                <w:color w:val="auto"/>
                <w:kern w:val="0"/>
                <w:szCs w:val="21"/>
                <w:lang w:bidi="ar"/>
              </w:rPr>
            </w:pPr>
            <w:r>
              <w:rPr>
                <w:rFonts w:hint="eastAsia" w:ascii="宋体" w:hAnsi="宋体" w:eastAsia="宋体" w:cs="宋体"/>
                <w:color w:val="auto"/>
                <w:kern w:val="0"/>
                <w:sz w:val="21"/>
                <w:szCs w:val="21"/>
                <w:lang w:val="en-US" w:eastAsia="zh-CN" w:bidi="ar"/>
              </w:rPr>
              <w:t>1、</w:t>
            </w:r>
            <w:r>
              <w:rPr>
                <w:rFonts w:hint="eastAsia" w:ascii="宋体" w:hAnsi="宋体" w:cs="宋体"/>
                <w:color w:val="auto"/>
                <w:kern w:val="0"/>
                <w:szCs w:val="21"/>
                <w:lang w:bidi="ar"/>
              </w:rPr>
              <w:t>主码流支持2688x1520@25fps，子码流支持640x480@25fps，第三码流支持1280x720。最低照度彩色</w:t>
            </w:r>
            <w:r>
              <w:rPr>
                <w:rFonts w:hint="eastAsia"/>
                <w:color w:val="auto"/>
              </w:rPr>
              <w:t>≤</w:t>
            </w:r>
            <w:r>
              <w:rPr>
                <w:rFonts w:hint="eastAsia" w:ascii="宋体" w:hAnsi="宋体" w:cs="宋体"/>
                <w:color w:val="auto"/>
                <w:kern w:val="0"/>
                <w:szCs w:val="21"/>
                <w:lang w:bidi="ar"/>
              </w:rPr>
              <w:t>0.005lx；</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2、内置GPU芯片，麦克风，扬声器；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3、支持不小于4倍光学变焦，变焦过程中不会完全虚焦；</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4、支持红外补光距离不小于30米；</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5、同一静止场景相同图像质量下，设备在H.264或H.265编码方式时，开启智能编码功能和不开启智能编码相比，码率节约</w:t>
            </w:r>
            <w:r>
              <w:rPr>
                <w:rFonts w:hint="eastAsia"/>
                <w:color w:val="auto"/>
              </w:rPr>
              <w:t>≥</w:t>
            </w:r>
            <w:r>
              <w:rPr>
                <w:rFonts w:hint="eastAsia" w:ascii="宋体" w:hAnsi="宋体" w:cs="宋体"/>
                <w:color w:val="auto"/>
                <w:kern w:val="0"/>
                <w:szCs w:val="21"/>
                <w:lang w:bidi="ar"/>
              </w:rPr>
              <w:t>80%；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6、支持智能报警防干扰功能，智能分析行为类型为区域入侵、越界入侵、进入区域、离开区域时，报警检测目标设置为人体或车辆时，光线明暗变化，篮球滚动，狗行走，树摇晃，不触发报警；</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7、支持声音报警功能，报警声音类型不低于12种，并支持导入自定义语音，报警音量和重复次数可设置；</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8、可手动对镜头进行水平满足0°-355°，垂直满足0°-75°，旋转满足0°-355°调节；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9、支持1路报警输入，1路报警输出，1路音频输入，1路音频输出，1个SD卡槽，1个DC12V电压输出接口，支持DC12V或POE供电；</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10、机械碰撞防护等级≥IK10；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11、可对出现在监控场景内的两眼瞳距不小于19像素的人脸进行检验，并叠加目标提示框；</w:t>
            </w:r>
          </w:p>
          <w:p w14:paraId="4A0EF38D">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12、可对检测区域内不低于10个行人进行检测、框选跟踪,、抓拍，可筛选和抓拍最佳人脸图片存储及上报中心，抓拍数量及图片大小可设，可上传全景照。（提供国家认可的第三方权威检测机构出具的检测报告复印件）</w:t>
            </w:r>
          </w:p>
        </w:tc>
        <w:tc>
          <w:tcPr>
            <w:tcW w:w="603" w:type="dxa"/>
            <w:shd w:val="clear" w:color="000000" w:fill="FFFFFF"/>
            <w:vAlign w:val="center"/>
          </w:tcPr>
          <w:p w14:paraId="7AD4D0F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16</w:t>
            </w:r>
          </w:p>
        </w:tc>
        <w:tc>
          <w:tcPr>
            <w:tcW w:w="664" w:type="dxa"/>
            <w:shd w:val="clear" w:color="000000" w:fill="FFFFFF"/>
            <w:vAlign w:val="center"/>
          </w:tcPr>
          <w:p w14:paraId="66BAFCEA">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r w14:paraId="0909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1F0D922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32</w:t>
            </w:r>
          </w:p>
        </w:tc>
        <w:tc>
          <w:tcPr>
            <w:tcW w:w="765" w:type="dxa"/>
            <w:shd w:val="clear" w:color="auto" w:fill="auto"/>
            <w:vAlign w:val="center"/>
          </w:tcPr>
          <w:p w14:paraId="456102B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网络硬盘录像机</w:t>
            </w:r>
          </w:p>
        </w:tc>
        <w:tc>
          <w:tcPr>
            <w:tcW w:w="6151" w:type="dxa"/>
            <w:shd w:val="clear" w:color="000000" w:fill="FFFFFF"/>
          </w:tcPr>
          <w:p w14:paraId="0015D873">
            <w:pPr>
              <w:widowControl/>
              <w:numPr>
                <w:ilvl w:val="0"/>
                <w:numId w:val="0"/>
              </w:numPr>
              <w:jc w:val="left"/>
              <w:textAlignment w:val="top"/>
              <w:rPr>
                <w:rFonts w:ascii="宋体" w:hAnsi="宋体" w:cs="宋体"/>
                <w:color w:val="auto"/>
                <w:kern w:val="0"/>
                <w:szCs w:val="21"/>
              </w:rPr>
            </w:pPr>
            <w:r>
              <w:rPr>
                <w:rFonts w:hint="eastAsia" w:ascii="宋体" w:hAnsi="宋体" w:cs="宋体"/>
                <w:color w:val="auto"/>
                <w:kern w:val="0"/>
                <w:szCs w:val="21"/>
                <w:lang w:bidi="ar"/>
              </w:rPr>
              <w:t>1、具有≥2个HDMI接口、≥2个VGA接口、≥2个RJ45 千兆网络接口；≥2个USB2.0接口、≥2个USB3.0接口、≥1个RS232接口、≥1个RS485接口（可接入RS485键盘）、≥1个eSata接口；具有≥1路音频输入接口、≥2路音频输出接口、≥16路报警输入接口、≥9路报警输出接口（其中第9路支持受控直流12V输出）、具有≥1路直流12V输出接口（12V 1A）、≥9块SATA接口硬盘，配置≥8块8TB硬盘；</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2、HDMI1和HDMI2支持最大单路8K（7680×4320）和1080P（1920×1080）异源输出；</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设备支持文搜功能，可通过文字语义描述，快速检索目标对象或内容；支持对人体、车辆、非机动车、物品、动物、基础事件等类型的检索；并可基于文搜快速检索的结果，对目标进行图搜的二次精准检索定位；（提供国家认可的第三方权威检测机构出具的检测报告复印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4、支持将搜索内容添加到历史记录，历史检索词条保持最近10条，通过直接点击该高频热词或历史记录可直接进行重复检索；</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5、支持独立的文搜应用展示界面，默认支持全通道录像检索，且通道和时间范围可设；支持自定义选择时间范围，可快速选择1天、3天、7天；</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6、设备支持独立的智能文搜应用模块，应用内置文搜高频热词，如：人的上衣颜色、下装颜色、随身物品、性别；车的颜色、类型、品牌；其他的抽烟、打电话、玩手机等；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7、支持录像目标检索功能，目标检索支持单帧模式调整目标画面，可通过鼠标滚轮调整录像画面帧序列；事件中心，切片回放、回放支持目标检索快速入口；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8、支持预览时对实时视频流进行手动打标签，通过标签检索可以检索到相关的录像片段；</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9、支持预览的单窗口轮巡，设备支持在多画面的固定窗口上进行轮巡预览，其他预览窗口不轮巡；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10、支持查看在线用户信息，包括用户名、用户类型、IP地址和用户最后操作时间等维护信息；</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11、支持最大接入带宽≥384Mbps，最大存储带宽≥384Mbps，最大转发带宽≥256Mbps。</w:t>
            </w:r>
          </w:p>
        </w:tc>
        <w:tc>
          <w:tcPr>
            <w:tcW w:w="603" w:type="dxa"/>
            <w:shd w:val="clear" w:color="000000" w:fill="FFFFFF"/>
            <w:vAlign w:val="center"/>
          </w:tcPr>
          <w:p w14:paraId="1E34518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64" w:type="dxa"/>
            <w:shd w:val="clear" w:color="000000" w:fill="FFFFFF"/>
            <w:vAlign w:val="center"/>
          </w:tcPr>
          <w:p w14:paraId="050FCCE9">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49F7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696C30A9">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33</w:t>
            </w:r>
          </w:p>
        </w:tc>
        <w:tc>
          <w:tcPr>
            <w:tcW w:w="765" w:type="dxa"/>
            <w:shd w:val="clear" w:color="auto" w:fill="auto"/>
            <w:vAlign w:val="center"/>
          </w:tcPr>
          <w:p w14:paraId="40ECD09C">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POE交换机</w:t>
            </w:r>
          </w:p>
        </w:tc>
        <w:tc>
          <w:tcPr>
            <w:tcW w:w="6151" w:type="dxa"/>
            <w:shd w:val="clear" w:color="000000" w:fill="FFFFFF"/>
          </w:tcPr>
          <w:p w14:paraId="5394BE0B">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1、千兆PoE电口数量≥24，千兆光口数量≥2；</w:t>
            </w:r>
          </w:p>
          <w:p w14:paraId="11602431">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2、交换容量≥52Gbps；转发性能≥36.888Mpps；</w:t>
            </w:r>
          </w:p>
          <w:p w14:paraId="4AB5B4C7">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支持通过管理平台和手机对交换机进行远程控制和状态查看；展示并管理交换机的拓扑交换机支持不同拓扑连接方式，包括网线连接、光纤连接、无线连接；在网络拓扑中展示交换机详情，包括基本信息、交换机性能使用信息、交换机面板状态、端口信息；</w:t>
            </w:r>
          </w:p>
          <w:p w14:paraId="29130FEA">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4、支持对交换机的VLAN功能进行配置、准入配置，识别接入终端并进行终端准入管控，阻止异常终端接入、POE功率管理，包括监控整机/端口功率，开启/关闭POE功能；</w:t>
            </w:r>
          </w:p>
          <w:p w14:paraId="0816CFC1">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5、支持自适应802.3af/at供电标准，支持POE 过载保护/过压保护功能，支持POE上电/下电功率管理功能，支持SNMP管理、LLDP功能。</w:t>
            </w:r>
          </w:p>
        </w:tc>
        <w:tc>
          <w:tcPr>
            <w:tcW w:w="603" w:type="dxa"/>
            <w:shd w:val="clear" w:color="000000" w:fill="FFFFFF"/>
            <w:vAlign w:val="center"/>
          </w:tcPr>
          <w:p w14:paraId="3BA5CA8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64" w:type="dxa"/>
            <w:shd w:val="clear" w:color="000000" w:fill="FFFFFF"/>
            <w:vAlign w:val="center"/>
          </w:tcPr>
          <w:p w14:paraId="0C4DA53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r w14:paraId="61E5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51CC13FA">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34</w:t>
            </w:r>
          </w:p>
        </w:tc>
        <w:tc>
          <w:tcPr>
            <w:tcW w:w="765" w:type="dxa"/>
            <w:shd w:val="clear" w:color="auto" w:fill="auto"/>
            <w:vAlign w:val="center"/>
          </w:tcPr>
          <w:p w14:paraId="2C1CAD61">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智能指纹门禁一体机</w:t>
            </w:r>
          </w:p>
        </w:tc>
        <w:tc>
          <w:tcPr>
            <w:tcW w:w="6151" w:type="dxa"/>
            <w:shd w:val="clear" w:color="000000" w:fill="FFFFFF"/>
          </w:tcPr>
          <w:p w14:paraId="70870713">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1、设备配有指示灯，具有设备运行状态和认证结果提醒；</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2、外壳防护等级≥IP66，结构后壳防破坏能力≥IK07的要求；屏幕防破坏能力≥IK04的要求；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3、硬件接口</w:t>
            </w:r>
            <w:r>
              <w:rPr>
                <w:rFonts w:hint="eastAsia" w:ascii="宋体" w:hAnsi="宋体" w:cs="宋体"/>
                <w:color w:val="auto"/>
                <w:kern w:val="0"/>
                <w:szCs w:val="21"/>
                <w:lang w:eastAsia="zh-CN" w:bidi="ar"/>
              </w:rPr>
              <w:t>（</w:t>
            </w:r>
            <w:r>
              <w:rPr>
                <w:rFonts w:hint="eastAsia"/>
                <w:color w:val="auto"/>
              </w:rPr>
              <w:t>接口数不少于以下</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1.LAN接口、2.RS485接口×1、3.韦根接口×1、4.TYPE-A接口×1、5.门锁I/O输出×1、6.门磁I/O输入×1、7.开门按钮I/O输入×1、8.报警I/O输出（常开、常闭各1路）×1、9.报警I/O输入×2、10.机械防拆开关×1、11.SD卡插槽；（提供国家认可的第三方检测机构出具的检测报告复印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4、设备配备≥7英寸LCD触摸显示屏，分辨率≥1024*600，屏幕最大亮度应≥300cd/m2；</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5、设备支持识读模块的扩展功能，形成一体化识别终端；</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6、扩展识读模块应支持身份证识读；</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7、身份证识读扩展模块应支持人证比对；</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8、扩展识读模块应支持热插拔连接。</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9、设备支持广告节目编排播放，播放时间应能自定义；设备支持图片、文字、视频广告节目播放；</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10、设备支持口罩检测模式并提示未佩戴口罩，可配置提醒模式、强制模式，并支持提示音自定义；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11、支持通过WEB进行设备各项功能参数配置。</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12、设备支持防假体攻击功能，对视频、电子照片、打印照片、头模、3D模型攻击应能防伪；（提供国家认可的第三方检测机构出具的检测报告复印件）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13、支持人脸在画面内持续动态监测；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14、支持人脸验证功能，现场抓拍人脸照片与本地人脸库照片进行比对，进行人员身份核验；</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15、支持联网与后端平台对接，实现人脸比对功能；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16、支持在0.001lux低照度无补光环境下正常实现人脸验证，适应强光、逆光、暗光等条件的人脸验证；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17、支持侧脸，遮挡，模糊，表情，戴眼镜及帽子等实际场景识别；</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18、支持用户人脸数据下发及人脸验证双线程同步工作；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19、设备垂直及水平区域人脸验证范围应能设置；</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20、人脸在各角度偏转±45°，应能进行人脸验证，并且该识别角度应能支持设置；</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21、人脸验证应支持多阈值设置；</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22、人脸比对时间应＜120ms，最大人脸验证距离应＞4m、最小人脸验证距离应＜0.2m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23、设备能在管理中心远程视频预览；</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24、设备能与管理平台或客户端中心、室内机、管理机、APP进行可视对讲功能；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25、设备能配置一键呼叫管理机或室内机进行对讲功能；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26、设备本地的比对结果、身份信息及抓拍人脸照片应采用非明文存储方式；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27、上传比对结果、身份信息及抓拍人脸照片等至管理中心时应采用非明文方式；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28、设备支持断网续传离线非明文记录功能；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29、包含门禁电源、磁力锁、开门按钮等。</w:t>
            </w:r>
          </w:p>
        </w:tc>
        <w:tc>
          <w:tcPr>
            <w:tcW w:w="603" w:type="dxa"/>
            <w:shd w:val="clear" w:color="000000" w:fill="FFFFFF"/>
            <w:vAlign w:val="center"/>
          </w:tcPr>
          <w:p w14:paraId="11990F9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9</w:t>
            </w:r>
          </w:p>
        </w:tc>
        <w:tc>
          <w:tcPr>
            <w:tcW w:w="664" w:type="dxa"/>
            <w:shd w:val="clear" w:color="000000" w:fill="FFFFFF"/>
            <w:vAlign w:val="center"/>
          </w:tcPr>
          <w:p w14:paraId="40E9D28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2453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55EEA37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35</w:t>
            </w:r>
          </w:p>
        </w:tc>
        <w:tc>
          <w:tcPr>
            <w:tcW w:w="765" w:type="dxa"/>
            <w:shd w:val="clear" w:color="auto" w:fill="auto"/>
            <w:vAlign w:val="center"/>
          </w:tcPr>
          <w:p w14:paraId="37304F52">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矿棉吸音板</w:t>
            </w:r>
          </w:p>
        </w:tc>
        <w:tc>
          <w:tcPr>
            <w:tcW w:w="6151" w:type="dxa"/>
            <w:shd w:val="clear" w:color="000000" w:fill="FFFFFF"/>
          </w:tcPr>
          <w:p w14:paraId="763496E5">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1、吸声系数：0.4-0.6，平均吸音率≥0.5；</w:t>
            </w:r>
          </w:p>
          <w:p w14:paraId="0A823C21">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2、弯曲强度：≥250N；</w:t>
            </w:r>
          </w:p>
          <w:p w14:paraId="4D8DAE0B">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3、导热系数：0.065W/m・k；</w:t>
            </w:r>
          </w:p>
          <w:p w14:paraId="7394BFEF">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4、防火等级：≥A级；</w:t>
            </w:r>
          </w:p>
          <w:p w14:paraId="64A6BD11">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5、密度：≥350-420kg/m³ ；</w:t>
            </w:r>
          </w:p>
          <w:p w14:paraId="31ED835F">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6、不含石棉和甲醛，对人体无害；</w:t>
            </w:r>
          </w:p>
          <w:p w14:paraId="610C974A">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7、具有抗霉性；</w:t>
            </w:r>
          </w:p>
          <w:p w14:paraId="20B7BC09">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8、反光率：≥85%。</w:t>
            </w:r>
          </w:p>
        </w:tc>
        <w:tc>
          <w:tcPr>
            <w:tcW w:w="603" w:type="dxa"/>
            <w:shd w:val="clear" w:color="000000" w:fill="FFFFFF"/>
            <w:vAlign w:val="center"/>
          </w:tcPr>
          <w:p w14:paraId="429548C6">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600</w:t>
            </w:r>
          </w:p>
        </w:tc>
        <w:tc>
          <w:tcPr>
            <w:tcW w:w="664" w:type="dxa"/>
            <w:shd w:val="clear" w:color="000000" w:fill="FFFFFF"/>
            <w:vAlign w:val="center"/>
          </w:tcPr>
          <w:p w14:paraId="5DCA398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w:t>
            </w:r>
          </w:p>
        </w:tc>
      </w:tr>
      <w:tr w14:paraId="2B4C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0B0887FA">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36</w:t>
            </w:r>
          </w:p>
        </w:tc>
        <w:tc>
          <w:tcPr>
            <w:tcW w:w="765" w:type="dxa"/>
            <w:shd w:val="clear" w:color="auto" w:fill="auto"/>
            <w:vAlign w:val="center"/>
          </w:tcPr>
          <w:p w14:paraId="0BBCB99E">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全钢防静电地板</w:t>
            </w:r>
          </w:p>
        </w:tc>
        <w:tc>
          <w:tcPr>
            <w:tcW w:w="6151" w:type="dxa"/>
            <w:shd w:val="clear" w:color="000000" w:fill="FFFFFF"/>
          </w:tcPr>
          <w:p w14:paraId="5781B4AA">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根据用户需求及现场环境定制安装，每间教室约为100平米；</w:t>
            </w:r>
          </w:p>
          <w:p w14:paraId="375A1FE2">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1、规格：全钢无边陶瓷防静电地板600×600×40mm；</w:t>
            </w:r>
          </w:p>
          <w:p w14:paraId="4E93EFF2">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2、防静电、高强度、抗压、防水、防潮、防尘、防腐；</w:t>
            </w:r>
          </w:p>
          <w:p w14:paraId="7C0EB26D">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3、底板采用深级拉伸钢板，面板采用硬质SPCC钢板，上下钢板冲压、点焊成形，中间空壳填充发泡水泥；</w:t>
            </w:r>
          </w:p>
          <w:p w14:paraId="48D5A5D8">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4、钢板厚度：0.6*0.7mm,产品载荷：均布载重力：≥1400kg/m2，CQ=10120，集中载重力：</w:t>
            </w:r>
            <w:r>
              <w:rPr>
                <w:rFonts w:hint="eastAsia"/>
                <w:color w:val="auto"/>
              </w:rPr>
              <w:t>≥</w:t>
            </w:r>
            <w:r>
              <w:rPr>
                <w:rFonts w:hint="eastAsia" w:ascii="宋体" w:hAnsi="宋体" w:cs="宋体"/>
                <w:color w:val="auto"/>
                <w:kern w:val="0"/>
                <w:szCs w:val="21"/>
                <w:lang w:bidi="ar"/>
              </w:rPr>
              <w:t>380kg，系统电阻：10的6次方-10的10次方，板幅板限偏差：≤-0.10mm，板厚极限偏差：≤-0.10mm，相邻边垂直度：≤0.3mm，表面平面度：≤0.60mm，阻燃性能：板基和贴面 不燃A1级，1.2HPL贴面；</w:t>
            </w:r>
          </w:p>
          <w:p w14:paraId="4356DBDE">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5、支架高度：普通型/支架高度范围30cm,上托75*75*2mm，壁厚1.2mm，特点：垂直度高，受力大。横梁长度：570mm，尺寸21*27mm，</w:t>
            </w:r>
          </w:p>
          <w:p w14:paraId="6495832A">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6、支架配比：≥3.3个/平米，横梁配比：≥5.2根/平米，重量（单位：片/KG）（不含配件）：≥12.5</w:t>
            </w:r>
          </w:p>
          <w:p w14:paraId="7BF45079">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7、安装高度：30CM以内；</w:t>
            </w:r>
          </w:p>
          <w:p w14:paraId="2C353BBA">
            <w:pPr>
              <w:widowControl/>
              <w:jc w:val="left"/>
              <w:textAlignment w:val="top"/>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8、采用600*600LED平板灯，数量需满足教室基本照明的需求；</w:t>
            </w:r>
          </w:p>
          <w:p w14:paraId="530523DA">
            <w:pPr>
              <w:widowControl/>
              <w:jc w:val="left"/>
              <w:textAlignment w:val="top"/>
              <w:rPr>
                <w:rFonts w:ascii="宋体" w:hAnsi="宋体" w:cs="宋体"/>
                <w:color w:val="auto"/>
                <w:kern w:val="0"/>
                <w:szCs w:val="21"/>
              </w:rPr>
            </w:pPr>
            <w:r>
              <w:rPr>
                <w:rFonts w:hint="eastAsia" w:ascii="宋体" w:hAnsi="宋体" w:cs="宋体"/>
                <w:color w:val="auto"/>
                <w:kern w:val="0"/>
                <w:szCs w:val="21"/>
                <w:lang w:bidi="ar"/>
              </w:rPr>
              <w:t>9、包括旧地板拆除及清运、墙面翻新、新地板安装及运费等。</w:t>
            </w:r>
          </w:p>
        </w:tc>
        <w:tc>
          <w:tcPr>
            <w:tcW w:w="603" w:type="dxa"/>
            <w:shd w:val="clear" w:color="000000" w:fill="FFFFFF"/>
            <w:vAlign w:val="center"/>
          </w:tcPr>
          <w:p w14:paraId="27D17EF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6</w:t>
            </w:r>
          </w:p>
        </w:tc>
        <w:tc>
          <w:tcPr>
            <w:tcW w:w="664" w:type="dxa"/>
            <w:shd w:val="clear" w:color="000000" w:fill="FFFFFF"/>
            <w:vAlign w:val="center"/>
          </w:tcPr>
          <w:p w14:paraId="14831AE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间</w:t>
            </w:r>
          </w:p>
        </w:tc>
      </w:tr>
      <w:tr w14:paraId="6820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3D5C158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37</w:t>
            </w:r>
          </w:p>
        </w:tc>
        <w:tc>
          <w:tcPr>
            <w:tcW w:w="765" w:type="dxa"/>
            <w:shd w:val="clear" w:color="auto" w:fill="auto"/>
            <w:vAlign w:val="center"/>
          </w:tcPr>
          <w:p w14:paraId="37BBE73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机房运维管控系统</w:t>
            </w:r>
          </w:p>
        </w:tc>
        <w:tc>
          <w:tcPr>
            <w:tcW w:w="6151" w:type="dxa"/>
            <w:shd w:val="clear" w:color="000000" w:fill="FFFFFF"/>
            <w:vAlign w:val="center"/>
          </w:tcPr>
          <w:p w14:paraId="331C4E56">
            <w:pPr>
              <w:widowControl/>
              <w:jc w:val="left"/>
              <w:textAlignment w:val="center"/>
              <w:rPr>
                <w:rFonts w:ascii="宋体" w:hAnsi="宋体" w:cs="宋体"/>
                <w:color w:val="auto"/>
                <w:szCs w:val="21"/>
              </w:rPr>
            </w:pPr>
            <w:r>
              <w:rPr>
                <w:rFonts w:hint="eastAsia" w:ascii="宋体" w:hAnsi="宋体" w:cs="宋体"/>
                <w:color w:val="auto"/>
                <w:szCs w:val="21"/>
              </w:rPr>
              <w:t>一、配置机房环境监控系统：</w:t>
            </w:r>
          </w:p>
          <w:p w14:paraId="4F31C021">
            <w:pPr>
              <w:widowControl/>
              <w:jc w:val="left"/>
              <w:textAlignment w:val="center"/>
              <w:rPr>
                <w:rFonts w:ascii="宋体" w:hAnsi="宋体" w:cs="宋体"/>
                <w:color w:val="auto"/>
                <w:szCs w:val="21"/>
              </w:rPr>
            </w:pPr>
            <w:r>
              <w:rPr>
                <w:rFonts w:hint="eastAsia" w:ascii="宋体" w:hAnsi="宋体" w:cs="宋体"/>
                <w:color w:val="auto"/>
                <w:szCs w:val="21"/>
              </w:rPr>
              <w:t>1、平台软件可支持C/S+B/S和B/S两种架构，软件界面采用3D视图效果。系统支持统一界面，不得外挂单一视频窗口、门禁管理窗口和报表窗口；</w:t>
            </w:r>
          </w:p>
          <w:p w14:paraId="73130E52">
            <w:pPr>
              <w:widowControl/>
              <w:jc w:val="left"/>
              <w:textAlignment w:val="center"/>
              <w:rPr>
                <w:rFonts w:ascii="宋体" w:hAnsi="宋体" w:cs="宋体"/>
                <w:color w:val="auto"/>
                <w:szCs w:val="21"/>
              </w:rPr>
            </w:pPr>
            <w:r>
              <w:rPr>
                <w:rFonts w:hint="eastAsia" w:ascii="宋体" w:hAnsi="宋体" w:cs="宋体"/>
                <w:color w:val="auto"/>
                <w:szCs w:val="21"/>
              </w:rPr>
              <w:t>2、系统支持双向的RPC和Rest 额外程序，推送指定内容到对方平台，对方平台也可以查询该系统。机房环境监控系统系统需支持RS232、RS485、RS422、TCP/IP、SNMP、OPC、DDE、MODBUS、ASCII、LONKWORKS、BACNET等各种标准化协议和接口，以用于快速方便的将各监控对象集成到系统中。机房环境监控系统支持SNMP Agent接口协议，可将所有监控数据自动生成SNMP MIB库，便于第三方软件集成和接入；</w:t>
            </w:r>
          </w:p>
          <w:p w14:paraId="44B07267">
            <w:pPr>
              <w:widowControl/>
              <w:jc w:val="left"/>
              <w:textAlignment w:val="center"/>
              <w:rPr>
                <w:rFonts w:ascii="宋体" w:hAnsi="宋体" w:cs="宋体"/>
                <w:color w:val="auto"/>
                <w:szCs w:val="21"/>
              </w:rPr>
            </w:pPr>
            <w:r>
              <w:rPr>
                <w:rFonts w:hint="eastAsia" w:ascii="宋体" w:hAnsi="宋体" w:cs="宋体"/>
                <w:color w:val="auto"/>
                <w:szCs w:val="21"/>
              </w:rPr>
              <w:t>3、系统能够通过消抖的算法减少误报，如按时间、按值进行消抖；能够有滞回算法减少误报，报警恢复时必须按滞回值或滞回时间进行恢复；</w:t>
            </w:r>
          </w:p>
          <w:p w14:paraId="74B67CC0">
            <w:pPr>
              <w:widowControl/>
              <w:jc w:val="left"/>
              <w:textAlignment w:val="center"/>
              <w:rPr>
                <w:rFonts w:ascii="宋体" w:hAnsi="宋体" w:cs="宋体"/>
                <w:color w:val="auto"/>
                <w:szCs w:val="21"/>
              </w:rPr>
            </w:pPr>
            <w:r>
              <w:rPr>
                <w:rFonts w:hint="eastAsia" w:ascii="宋体" w:hAnsi="宋体" w:cs="宋体"/>
                <w:color w:val="auto"/>
                <w:szCs w:val="21"/>
              </w:rPr>
              <w:t>4、平台软件监控界面展示可支持实时数据智能统计、数据智能分析，可将配电、温湿度等机房监控数据的实时变化通过实时曲线的方式形象地展示出来，并非传统的数字展示。监控平台软件的数据查询系统可同时支持对多个数据量的查询和比较，并通过数据表格、曲线、柱状图、饼状图等多种方式展示出来；</w:t>
            </w:r>
          </w:p>
          <w:p w14:paraId="18C3E62C">
            <w:pPr>
              <w:widowControl/>
              <w:jc w:val="left"/>
              <w:textAlignment w:val="center"/>
              <w:rPr>
                <w:rFonts w:ascii="宋体" w:hAnsi="宋体" w:cs="宋体"/>
                <w:color w:val="auto"/>
                <w:szCs w:val="21"/>
              </w:rPr>
            </w:pPr>
            <w:r>
              <w:rPr>
                <w:rFonts w:hint="eastAsia" w:ascii="宋体" w:hAnsi="宋体" w:cs="宋体"/>
                <w:color w:val="auto"/>
                <w:szCs w:val="21"/>
              </w:rPr>
              <w:t>5、平台软件具有报警级别管理功能和报警弹窗功能。可根据不同监控对象报警事件划分不同的报警方式，包括划分报警等级、时间优先、次数频率等，可根据不同颜色和声音对报警事件进行区分。具备电话、短信报警发送记录查询功能。具备发送短信报警和拨打电话报警功能。可以通过各设备的监控界面的监控值直接进行报警阀值修改，历史数据查询、告警查询。可以分设备报警信息统计、分日期统计报警信息、统计日期报警记录、报警记录列表展示、分等级以图标直观展示报警信息并导出报警信息、客户端和WEB端独立报警功能模块统计；</w:t>
            </w:r>
          </w:p>
          <w:p w14:paraId="3CD5144D">
            <w:pPr>
              <w:widowControl/>
              <w:jc w:val="left"/>
              <w:textAlignment w:val="center"/>
              <w:rPr>
                <w:rFonts w:ascii="宋体" w:hAnsi="宋体" w:cs="宋体"/>
                <w:color w:val="auto"/>
                <w:szCs w:val="21"/>
              </w:rPr>
            </w:pPr>
            <w:r>
              <w:rPr>
                <w:rFonts w:hint="eastAsia" w:ascii="宋体" w:hAnsi="宋体" w:cs="宋体"/>
                <w:color w:val="auto"/>
                <w:szCs w:val="21"/>
              </w:rPr>
              <w:t>6、系统须对登录账户设置安全策略，须查询用户操作记录。平台软件可根据不同的操作者划分了多级操作权限，最低级操作权限只能查看监控数据；具有控制权限的操作者可以进行对监控对象发送控制指令，例如：开、关空调；具有系统修改权限的操作者可以对系统所有控件进行属性、参数的修改；最高级的操作权限可以修改系统的所有参数，包括系统的运行参数；系统具有非常完善的权限分级管理功能，亦可根据用户实际需求，可对操作者划分不同的操作权限，不同的用户只能在自己的操作权限内进行系统的操作。也可为不同用户指定可访问的监控数据界面及相关操作；</w:t>
            </w:r>
          </w:p>
          <w:p w14:paraId="08F66671">
            <w:pPr>
              <w:widowControl/>
              <w:jc w:val="left"/>
              <w:textAlignment w:val="center"/>
              <w:rPr>
                <w:rFonts w:ascii="宋体" w:hAnsi="宋体" w:cs="宋体"/>
                <w:color w:val="auto"/>
                <w:szCs w:val="21"/>
              </w:rPr>
            </w:pPr>
            <w:r>
              <w:rPr>
                <w:rFonts w:hint="eastAsia" w:ascii="宋体" w:hAnsi="宋体" w:cs="宋体"/>
                <w:color w:val="auto"/>
                <w:szCs w:val="21"/>
              </w:rPr>
              <w:t>7、安全性：系统应采用高安全设计，对操作系统、数据库、管理软件进行加固，管理软件与采集器之间传输道必须采用加密传输，对于敏感数据和密码等应加密保护，可有效防御窃听、伪造、篡改、越权访问、病毒、网络入侵等危害动作，避免管理系统安全成为用户网络中的安全短板；</w:t>
            </w:r>
          </w:p>
          <w:p w14:paraId="2EDDFCCC">
            <w:pPr>
              <w:widowControl/>
              <w:jc w:val="left"/>
              <w:textAlignment w:val="center"/>
              <w:rPr>
                <w:rFonts w:ascii="宋体" w:hAnsi="宋体" w:cs="宋体"/>
                <w:color w:val="auto"/>
                <w:szCs w:val="21"/>
              </w:rPr>
            </w:pPr>
            <w:r>
              <w:rPr>
                <w:rFonts w:hint="eastAsia" w:ascii="宋体" w:hAnsi="宋体" w:cs="宋体"/>
                <w:color w:val="auto"/>
                <w:szCs w:val="21"/>
              </w:rPr>
              <w:t>8、短信报警系统须支持平安信息推送功能。须支持短信布防、短信控制须支持短信猫通讯提示功能、主备短信猫通讯失败联动功能、备份短信猫通讯失败联动功能；</w:t>
            </w:r>
          </w:p>
          <w:p w14:paraId="5483E0F7">
            <w:pPr>
              <w:widowControl/>
              <w:jc w:val="left"/>
              <w:textAlignment w:val="center"/>
              <w:rPr>
                <w:rFonts w:ascii="宋体" w:hAnsi="宋体" w:cs="宋体"/>
                <w:color w:val="auto"/>
                <w:szCs w:val="21"/>
              </w:rPr>
            </w:pPr>
            <w:r>
              <w:rPr>
                <w:rFonts w:hint="eastAsia" w:ascii="宋体" w:hAnsi="宋体" w:cs="宋体"/>
                <w:color w:val="auto"/>
                <w:szCs w:val="21"/>
              </w:rPr>
              <w:t>9、配套软件：机房综合管理监测系统平台软件、供配电监测软件、UPS监测软件、消防监测软件、视频监测软件和门禁监测软件；</w:t>
            </w:r>
          </w:p>
          <w:p w14:paraId="2080203A">
            <w:pPr>
              <w:widowControl/>
              <w:jc w:val="left"/>
              <w:textAlignment w:val="center"/>
              <w:rPr>
                <w:rFonts w:ascii="宋体" w:hAnsi="宋体" w:cs="宋体"/>
                <w:color w:val="auto"/>
                <w:szCs w:val="21"/>
              </w:rPr>
            </w:pPr>
            <w:r>
              <w:rPr>
                <w:rFonts w:hint="eastAsia" w:ascii="宋体" w:hAnsi="宋体" w:cs="宋体"/>
                <w:color w:val="auto"/>
                <w:szCs w:val="21"/>
              </w:rPr>
              <w:t>10、配套智能综合监控主机1台：CPU：≥双核四线程，内存：≥8G，硬盘≥480G ，≥1个 10/100/1000M 以太网口;≥8 个 RS485 串口;≥6个DI ， ≥2个DO（扩展可增加 12 路开关量采集+4 路开关量控制插卡 1 个）;≥4个 USB 口;支持WINDOWS/Centos/Ubuntu；配置声光警号1个；</w:t>
            </w:r>
          </w:p>
          <w:p w14:paraId="254D9CFE">
            <w:pPr>
              <w:widowControl/>
              <w:jc w:val="left"/>
              <w:textAlignment w:val="center"/>
              <w:rPr>
                <w:rFonts w:ascii="宋体" w:hAnsi="宋体" w:cs="宋体"/>
                <w:color w:val="auto"/>
                <w:szCs w:val="21"/>
              </w:rPr>
            </w:pPr>
            <w:r>
              <w:rPr>
                <w:rFonts w:hint="eastAsia" w:ascii="宋体" w:hAnsi="宋体" w:cs="宋体"/>
                <w:color w:val="auto"/>
                <w:szCs w:val="21"/>
              </w:rPr>
              <w:t>11、配置消防监控子系统：利用消防控制箱给出的报警信号，通过开关量数据采集模块，将消防控制器上的干接点变化信号送到监控主机，实时监测机房内的火灾情况和及时告警。</w:t>
            </w:r>
          </w:p>
          <w:p w14:paraId="01BCE523">
            <w:pPr>
              <w:widowControl/>
              <w:jc w:val="left"/>
              <w:textAlignment w:val="center"/>
              <w:rPr>
                <w:rFonts w:ascii="宋体" w:hAnsi="宋体" w:cs="宋体"/>
                <w:color w:val="auto"/>
                <w:szCs w:val="21"/>
              </w:rPr>
            </w:pPr>
            <w:r>
              <w:rPr>
                <w:rFonts w:hint="eastAsia" w:ascii="宋体" w:hAnsi="宋体" w:cs="宋体"/>
                <w:color w:val="auto"/>
                <w:szCs w:val="21"/>
              </w:rPr>
              <w:t>12.配置全网通短信语音告警软件：短信报警系统须支持平安信息推送功能。须支持短信布防、短信控制须支持短信猫通讯提示功能、主备短信猫通讯失败联动功能、备份短信猫通讯失败联动功能；</w:t>
            </w:r>
          </w:p>
          <w:p w14:paraId="3E208B97">
            <w:pPr>
              <w:widowControl/>
              <w:jc w:val="left"/>
              <w:textAlignment w:val="center"/>
              <w:rPr>
                <w:rFonts w:ascii="宋体" w:hAnsi="宋体" w:cs="宋体"/>
                <w:color w:val="auto"/>
                <w:szCs w:val="21"/>
              </w:rPr>
            </w:pPr>
            <w:r>
              <w:rPr>
                <w:rFonts w:hint="eastAsia" w:ascii="宋体" w:hAnsi="宋体" w:cs="宋体"/>
                <w:color w:val="auto"/>
                <w:szCs w:val="21"/>
              </w:rPr>
              <w:t>13、（1）配置主机容量≥20kVA的备用电源，三进单出在线式产品，380/400/415VAC，50/ 60Hz电网体系；输入电压范围:190～499Vac(线电压)；电源制式支持：三进单出、单进单出设置模式；输出电压可设置 200VAC/208VAC/ 220VAC/230VAC/240VAC；（2）蓄电池≥16只（12V100AH）；（3）≥1个电池柜；</w:t>
            </w:r>
          </w:p>
          <w:p w14:paraId="0A539BBE">
            <w:pPr>
              <w:widowControl/>
              <w:jc w:val="left"/>
              <w:textAlignment w:val="center"/>
              <w:rPr>
                <w:rFonts w:ascii="宋体" w:hAnsi="宋体" w:cs="宋体"/>
                <w:color w:val="auto"/>
                <w:szCs w:val="21"/>
              </w:rPr>
            </w:pPr>
            <w:r>
              <w:rPr>
                <w:rFonts w:hint="eastAsia" w:ascii="宋体" w:hAnsi="宋体" w:cs="宋体"/>
                <w:color w:val="auto"/>
                <w:szCs w:val="21"/>
              </w:rPr>
              <w:t>二、配套设施：</w:t>
            </w:r>
          </w:p>
          <w:p w14:paraId="370D72B3">
            <w:pPr>
              <w:widowControl/>
              <w:jc w:val="left"/>
              <w:textAlignment w:val="center"/>
              <w:rPr>
                <w:rFonts w:ascii="宋体" w:hAnsi="宋体" w:cs="宋体"/>
                <w:color w:val="auto"/>
                <w:szCs w:val="21"/>
              </w:rPr>
            </w:pPr>
            <w:r>
              <w:rPr>
                <w:rFonts w:hint="eastAsia" w:ascii="宋体" w:hAnsi="宋体" w:cs="宋体"/>
                <w:color w:val="auto"/>
                <w:szCs w:val="21"/>
              </w:rPr>
              <w:t>1、45平方米抗静电地活动地板安装，配套提供优质无边静电地板、不锈钢墙面踢脚线；45平方米微孔铝天花吊顶，配置32W LED平板灯12盏；等电位、二级防雷器及接地装置各1套；单开、900mm×2000mm甲级防火门一套；</w:t>
            </w:r>
          </w:p>
          <w:p w14:paraId="578F219B">
            <w:pPr>
              <w:widowControl/>
              <w:jc w:val="left"/>
              <w:textAlignment w:val="center"/>
              <w:rPr>
                <w:rFonts w:ascii="宋体" w:hAnsi="宋体" w:cs="宋体"/>
                <w:color w:val="auto"/>
                <w:kern w:val="0"/>
                <w:szCs w:val="21"/>
              </w:rPr>
            </w:pPr>
            <w:r>
              <w:rPr>
                <w:rFonts w:hint="eastAsia" w:ascii="宋体" w:hAnsi="宋体" w:cs="宋体"/>
                <w:color w:val="auto"/>
                <w:szCs w:val="21"/>
              </w:rPr>
              <w:t>2、配套提供消防报警主机、气体灭火控制器各1台；灭火剂储存压力：2.5Mp，灭火喷射时间：≤10s，最大工作压力：4.2Mp，灭火剂最大充装密度：≤1120Kg/m³，启动电磁阀工作电流/电压：DC24V/1.5A；配套提供自动泄压口、温度感应器、烟雾感应器、放气警示牌、声光报警器、紧急启停按钮等配件；配套提供36Kg  HFC-227气体灭火药剂。</w:t>
            </w:r>
          </w:p>
        </w:tc>
        <w:tc>
          <w:tcPr>
            <w:tcW w:w="603" w:type="dxa"/>
            <w:shd w:val="clear" w:color="000000" w:fill="FFFFFF"/>
            <w:vAlign w:val="center"/>
          </w:tcPr>
          <w:p w14:paraId="1F9D7F6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1</w:t>
            </w:r>
          </w:p>
        </w:tc>
        <w:tc>
          <w:tcPr>
            <w:tcW w:w="664" w:type="dxa"/>
            <w:shd w:val="clear" w:color="000000" w:fill="FFFFFF"/>
            <w:vAlign w:val="center"/>
          </w:tcPr>
          <w:p w14:paraId="0B410280">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6296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4DE7373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38</w:t>
            </w:r>
          </w:p>
        </w:tc>
        <w:tc>
          <w:tcPr>
            <w:tcW w:w="765" w:type="dxa"/>
            <w:shd w:val="clear" w:color="auto" w:fill="auto"/>
            <w:vAlign w:val="center"/>
          </w:tcPr>
          <w:p w14:paraId="19D967F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精密空调</w:t>
            </w:r>
          </w:p>
        </w:tc>
        <w:tc>
          <w:tcPr>
            <w:tcW w:w="6151" w:type="dxa"/>
            <w:shd w:val="clear" w:color="000000" w:fill="FFFFFF"/>
          </w:tcPr>
          <w:p w14:paraId="4A9BF93E">
            <w:pPr>
              <w:widowControl/>
              <w:jc w:val="left"/>
              <w:textAlignment w:val="top"/>
              <w:rPr>
                <w:rFonts w:ascii="宋体" w:hAnsi="宋体" w:cs="宋体"/>
                <w:color w:val="auto"/>
                <w:szCs w:val="21"/>
              </w:rPr>
            </w:pPr>
            <w:r>
              <w:rPr>
                <w:rFonts w:hint="eastAsia" w:ascii="宋体" w:hAnsi="宋体" w:cs="宋体"/>
                <w:color w:val="auto"/>
                <w:szCs w:val="21"/>
              </w:rPr>
              <w:t xml:space="preserve">1、精密空调总冷量≥7.6 kW，显冷量≥6.9 kW，风量≥ 2270m³/h， 应采用R410A环保制冷剂； </w:t>
            </w:r>
          </w:p>
          <w:p w14:paraId="27725754">
            <w:pPr>
              <w:widowControl/>
              <w:jc w:val="left"/>
              <w:textAlignment w:val="top"/>
              <w:rPr>
                <w:rFonts w:ascii="宋体" w:hAnsi="宋体" w:cs="宋体"/>
                <w:color w:val="auto"/>
                <w:szCs w:val="21"/>
              </w:rPr>
            </w:pPr>
            <w:r>
              <w:rPr>
                <w:rFonts w:hint="eastAsia" w:ascii="宋体" w:hAnsi="宋体" w:cs="宋体"/>
                <w:color w:val="auto"/>
                <w:szCs w:val="21"/>
              </w:rPr>
              <w:t xml:space="preserve">2、蒸发器应为“/”型设计，且采用内螺纹紫铜管亲水开窗铝箔结构，增强蒸发换热效率和亲水性，不接受微通道结构； </w:t>
            </w:r>
          </w:p>
          <w:p w14:paraId="07905548">
            <w:pPr>
              <w:widowControl/>
              <w:jc w:val="left"/>
              <w:textAlignment w:val="top"/>
              <w:rPr>
                <w:rFonts w:ascii="宋体" w:hAnsi="宋体" w:cs="宋体"/>
                <w:color w:val="auto"/>
                <w:szCs w:val="21"/>
              </w:rPr>
            </w:pPr>
            <w:r>
              <w:rPr>
                <w:rFonts w:hint="eastAsia" w:ascii="宋体" w:hAnsi="宋体" w:cs="宋体"/>
                <w:color w:val="auto"/>
                <w:szCs w:val="21"/>
              </w:rPr>
              <w:t xml:space="preserve">3、为快速响应制冷需求变化，精准确保制冷剂流量，必须配置节能高效电子膨胀阀，不接受热力膨胀阀； </w:t>
            </w:r>
          </w:p>
          <w:p w14:paraId="69267D2C">
            <w:pPr>
              <w:widowControl/>
              <w:jc w:val="left"/>
              <w:textAlignment w:val="top"/>
              <w:rPr>
                <w:rFonts w:ascii="宋体" w:hAnsi="宋体" w:cs="宋体"/>
                <w:color w:val="auto"/>
                <w:szCs w:val="21"/>
              </w:rPr>
            </w:pPr>
            <w:r>
              <w:rPr>
                <w:rFonts w:hint="eastAsia" w:ascii="宋体" w:hAnsi="宋体" w:cs="宋体"/>
                <w:color w:val="auto"/>
                <w:szCs w:val="21"/>
              </w:rPr>
              <w:t xml:space="preserve">4、为方便查询精密空调运行状态，空调必须具有存储不少于30天的温度、湿度曲线数据； </w:t>
            </w:r>
          </w:p>
          <w:p w14:paraId="2F95A495">
            <w:pPr>
              <w:widowControl/>
              <w:jc w:val="left"/>
              <w:textAlignment w:val="top"/>
              <w:rPr>
                <w:rFonts w:ascii="宋体" w:hAnsi="宋体" w:cs="宋体"/>
                <w:color w:val="auto"/>
                <w:szCs w:val="21"/>
              </w:rPr>
            </w:pPr>
            <w:r>
              <w:rPr>
                <w:rFonts w:hint="eastAsia" w:ascii="宋体" w:hAnsi="宋体" w:cs="宋体"/>
                <w:color w:val="auto"/>
                <w:szCs w:val="21"/>
              </w:rPr>
              <w:t>5、为防止触电风险，电控盒不允许直接裸露，应具备防护盖设计，以确保安全；</w:t>
            </w:r>
          </w:p>
          <w:p w14:paraId="246B7280">
            <w:pPr>
              <w:widowControl/>
              <w:jc w:val="left"/>
              <w:textAlignment w:val="top"/>
              <w:rPr>
                <w:rFonts w:ascii="宋体" w:hAnsi="宋体" w:cs="宋体"/>
                <w:color w:val="auto"/>
                <w:szCs w:val="21"/>
              </w:rPr>
            </w:pPr>
            <w:r>
              <w:rPr>
                <w:rFonts w:hint="eastAsia" w:ascii="宋体" w:hAnsi="宋体" w:cs="宋体"/>
                <w:color w:val="auto"/>
                <w:szCs w:val="21"/>
              </w:rPr>
              <w:t>6、为保证空调电源线的可靠连接，防止接触不良轻易脱落等危险，空调电控盒开关下方应采用线缆防脱落压线夹设计；</w:t>
            </w:r>
          </w:p>
          <w:p w14:paraId="5106D9C4">
            <w:pPr>
              <w:widowControl/>
              <w:jc w:val="left"/>
              <w:textAlignment w:val="top"/>
              <w:rPr>
                <w:rFonts w:ascii="宋体" w:hAnsi="宋体" w:cs="宋体"/>
                <w:color w:val="auto"/>
                <w:szCs w:val="21"/>
              </w:rPr>
            </w:pPr>
            <w:r>
              <w:rPr>
                <w:rFonts w:hint="eastAsia" w:ascii="宋体" w:hAnsi="宋体" w:cs="宋体"/>
                <w:color w:val="auto"/>
                <w:szCs w:val="21"/>
              </w:rPr>
              <w:t>7、为方便判定空调故障追溯查看历史信息，空调必须具有本地存储不少于1000条历史记录；</w:t>
            </w:r>
          </w:p>
          <w:p w14:paraId="73380E26">
            <w:pPr>
              <w:widowControl/>
              <w:jc w:val="left"/>
              <w:textAlignment w:val="top"/>
              <w:rPr>
                <w:rFonts w:hint="eastAsia" w:ascii="宋体" w:hAnsi="宋体" w:cs="宋体"/>
                <w:color w:val="auto"/>
                <w:szCs w:val="21"/>
              </w:rPr>
            </w:pPr>
            <w:r>
              <w:rPr>
                <w:rFonts w:hint="eastAsia" w:ascii="宋体" w:hAnsi="宋体" w:cs="宋体"/>
                <w:color w:val="auto"/>
                <w:szCs w:val="21"/>
              </w:rPr>
              <w:t>8、为提高空调可靠性，防止电网波动导致空调故障，空调应能检测电源电压、频率、相序等参数，同时对超过其允许范围有报警提醒，以保障机房空调用电的安全可靠，该功能支持现场验证；</w:t>
            </w:r>
          </w:p>
          <w:p w14:paraId="25260C53">
            <w:pPr>
              <w:widowControl/>
              <w:jc w:val="left"/>
              <w:textAlignment w:val="top"/>
              <w:rPr>
                <w:rFonts w:ascii="宋体" w:hAnsi="宋体" w:cs="宋体"/>
                <w:color w:val="auto"/>
                <w:szCs w:val="21"/>
              </w:rPr>
            </w:pPr>
            <w:r>
              <w:rPr>
                <w:rFonts w:hint="eastAsia" w:ascii="宋体" w:hAnsi="宋体" w:cs="宋体"/>
                <w:color w:val="auto"/>
                <w:szCs w:val="21"/>
              </w:rPr>
              <w:t>9、精密空调显示屏可显示系统实时高低压压力，并能根据冷凝器管道内部压力变化自动调节冷凝风机的运转速度，保障系统正常运行；</w:t>
            </w:r>
          </w:p>
          <w:p w14:paraId="3629AECD">
            <w:pPr>
              <w:widowControl/>
              <w:jc w:val="left"/>
              <w:textAlignment w:val="top"/>
              <w:rPr>
                <w:rFonts w:ascii="宋体" w:hAnsi="宋体" w:cs="宋体"/>
                <w:color w:val="auto"/>
                <w:szCs w:val="21"/>
              </w:rPr>
            </w:pPr>
            <w:r>
              <w:rPr>
                <w:rFonts w:hint="eastAsia" w:ascii="宋体" w:hAnsi="宋体" w:cs="宋体"/>
                <w:color w:val="auto"/>
                <w:szCs w:val="21"/>
              </w:rPr>
              <w:t>10、机房精密空调工作电源制式应支持：220VAC±10%，50Hz±2Hz，电网适应能力更强。</w:t>
            </w:r>
          </w:p>
          <w:p w14:paraId="7AAE6501">
            <w:pPr>
              <w:widowControl/>
              <w:jc w:val="left"/>
              <w:textAlignment w:val="top"/>
              <w:rPr>
                <w:rFonts w:ascii="宋体" w:hAnsi="宋体" w:cs="宋体"/>
                <w:color w:val="auto"/>
                <w:szCs w:val="21"/>
              </w:rPr>
            </w:pPr>
            <w:r>
              <w:rPr>
                <w:rFonts w:hint="eastAsia" w:ascii="宋体" w:hAnsi="宋体" w:cs="宋体"/>
                <w:color w:val="auto"/>
                <w:szCs w:val="21"/>
              </w:rPr>
              <w:t>11、机房精密空调出厂预充制冷剂，配置5米内外机连接管路，7米内外机连接线缆，现场安装可免焊接、免充注；</w:t>
            </w:r>
          </w:p>
          <w:p w14:paraId="58F054F3">
            <w:pPr>
              <w:widowControl/>
              <w:jc w:val="left"/>
              <w:textAlignment w:val="top"/>
              <w:rPr>
                <w:rFonts w:ascii="宋体" w:hAnsi="宋体" w:cs="宋体"/>
                <w:color w:val="auto"/>
                <w:szCs w:val="21"/>
              </w:rPr>
            </w:pPr>
            <w:r>
              <w:rPr>
                <w:rFonts w:hint="eastAsia" w:ascii="宋体" w:hAnsi="宋体" w:cs="宋体"/>
                <w:color w:val="auto"/>
                <w:szCs w:val="21"/>
              </w:rPr>
              <w:t>12、机房精密空调机组应采用上前送风的型式，并采用独立风机系统，风机的电机和风扇数量一致，不接受一台电机带多台风扇的设计；</w:t>
            </w:r>
          </w:p>
          <w:p w14:paraId="230E20DD">
            <w:pPr>
              <w:widowControl/>
              <w:jc w:val="left"/>
              <w:textAlignment w:val="top"/>
              <w:rPr>
                <w:rFonts w:ascii="宋体" w:hAnsi="宋体" w:cs="宋体"/>
                <w:color w:val="auto"/>
                <w:szCs w:val="21"/>
              </w:rPr>
            </w:pPr>
            <w:r>
              <w:rPr>
                <w:rFonts w:hint="eastAsia" w:ascii="宋体" w:hAnsi="宋体" w:cs="宋体"/>
                <w:color w:val="auto"/>
                <w:szCs w:val="21"/>
              </w:rPr>
              <w:t>13、机房精密空调过滤网应采用免工具维护设计，拆装无需额外借助螺丝刀等工具，有效节省现场安装维护时间；</w:t>
            </w:r>
          </w:p>
          <w:p w14:paraId="72D29431">
            <w:pPr>
              <w:widowControl/>
              <w:jc w:val="left"/>
              <w:textAlignment w:val="top"/>
              <w:rPr>
                <w:rFonts w:ascii="宋体" w:hAnsi="宋体" w:cs="宋体"/>
                <w:color w:val="auto"/>
                <w:szCs w:val="21"/>
              </w:rPr>
            </w:pPr>
            <w:r>
              <w:rPr>
                <w:rFonts w:hint="eastAsia" w:ascii="宋体" w:hAnsi="宋体" w:cs="宋体"/>
                <w:color w:val="auto"/>
                <w:szCs w:val="21"/>
              </w:rPr>
              <w:t>14、为提高风机效率及可靠性，应采用AC后倾离心风机。风机应支持从机组正面取出进行现场维修,提高系统的可维护性；</w:t>
            </w:r>
          </w:p>
          <w:p w14:paraId="27EDAB2C">
            <w:pPr>
              <w:widowControl/>
              <w:jc w:val="left"/>
              <w:textAlignment w:val="top"/>
              <w:rPr>
                <w:rFonts w:ascii="宋体" w:hAnsi="宋体" w:cs="宋体"/>
                <w:color w:val="auto"/>
                <w:szCs w:val="21"/>
              </w:rPr>
            </w:pPr>
            <w:r>
              <w:rPr>
                <w:rFonts w:hint="eastAsia" w:ascii="宋体" w:hAnsi="宋体" w:cs="宋体"/>
                <w:color w:val="auto"/>
                <w:szCs w:val="21"/>
              </w:rPr>
              <w:t xml:space="preserve">15、精密空调应采用不小于4.3英寸触控屏幕设计，可显示空调实时工作制冷量、风量等关键性能指标参数； </w:t>
            </w:r>
          </w:p>
          <w:p w14:paraId="345FA9C1">
            <w:pPr>
              <w:widowControl/>
              <w:jc w:val="left"/>
              <w:textAlignment w:val="top"/>
              <w:rPr>
                <w:rFonts w:ascii="宋体" w:hAnsi="宋体" w:cs="宋体"/>
                <w:color w:val="auto"/>
                <w:szCs w:val="21"/>
              </w:rPr>
            </w:pPr>
            <w:r>
              <w:rPr>
                <w:rFonts w:hint="eastAsia" w:ascii="宋体" w:hAnsi="宋体" w:cs="宋体"/>
                <w:color w:val="auto"/>
                <w:szCs w:val="21"/>
              </w:rPr>
              <w:t>16、机房精密空调应具备计算压缩机、风机、室外机等主要部件累计运行时间的功能，且能显示工作状况及实时数值，允许对主要部件手动控制等功能；</w:t>
            </w:r>
          </w:p>
          <w:p w14:paraId="7E1E0F31">
            <w:pPr>
              <w:widowControl/>
              <w:jc w:val="left"/>
              <w:textAlignment w:val="top"/>
              <w:rPr>
                <w:rFonts w:ascii="宋体" w:hAnsi="宋体" w:cs="宋体"/>
                <w:color w:val="auto"/>
                <w:szCs w:val="21"/>
              </w:rPr>
            </w:pPr>
            <w:r>
              <w:rPr>
                <w:rFonts w:hint="eastAsia" w:ascii="宋体" w:hAnsi="宋体" w:cs="宋体"/>
                <w:color w:val="auto"/>
                <w:szCs w:val="21"/>
              </w:rPr>
              <w:t>17、机房精密空调应具有三级密码权限管理，对空调运行状态保护；</w:t>
            </w:r>
          </w:p>
          <w:p w14:paraId="6D9E345E">
            <w:pPr>
              <w:widowControl/>
              <w:jc w:val="left"/>
              <w:textAlignment w:val="top"/>
              <w:rPr>
                <w:rFonts w:ascii="宋体" w:hAnsi="宋体" w:cs="宋体"/>
                <w:color w:val="auto"/>
                <w:szCs w:val="21"/>
              </w:rPr>
            </w:pPr>
            <w:r>
              <w:rPr>
                <w:rFonts w:hint="eastAsia" w:ascii="宋体" w:hAnsi="宋体" w:cs="宋体"/>
                <w:color w:val="auto"/>
                <w:szCs w:val="21"/>
              </w:rPr>
              <w:t>18、为方便对空调进行管理，空调应当具有定时开关机功能，可设置在一周内的任何一天开机时间，关机时间或者全天开、全天关闭等功能；</w:t>
            </w:r>
          </w:p>
          <w:p w14:paraId="13B4601B">
            <w:pPr>
              <w:widowControl/>
              <w:jc w:val="left"/>
              <w:textAlignment w:val="top"/>
              <w:rPr>
                <w:rFonts w:ascii="宋体" w:hAnsi="宋体" w:cs="宋体"/>
                <w:color w:val="auto"/>
                <w:kern w:val="0"/>
                <w:szCs w:val="21"/>
              </w:rPr>
            </w:pPr>
            <w:r>
              <w:rPr>
                <w:rFonts w:hint="eastAsia" w:ascii="宋体" w:hAnsi="宋体" w:cs="宋体"/>
                <w:color w:val="auto"/>
                <w:szCs w:val="21"/>
              </w:rPr>
              <w:t>19、空调应配置标准RS485通讯接口，支持监控信息上传动环监控，故障自诊断及故障告警，支持来电自启动。</w:t>
            </w:r>
          </w:p>
        </w:tc>
        <w:tc>
          <w:tcPr>
            <w:tcW w:w="603" w:type="dxa"/>
            <w:shd w:val="clear" w:color="000000" w:fill="FFFFFF"/>
            <w:vAlign w:val="center"/>
          </w:tcPr>
          <w:p w14:paraId="769E2D90">
            <w:pPr>
              <w:widowControl/>
              <w:jc w:val="center"/>
              <w:textAlignment w:val="center"/>
              <w:rPr>
                <w:rFonts w:ascii="宋体" w:hAnsi="宋体" w:cs="宋体"/>
                <w:color w:val="auto"/>
                <w:kern w:val="0"/>
                <w:szCs w:val="21"/>
              </w:rPr>
            </w:pPr>
            <w:r>
              <w:rPr>
                <w:rFonts w:hint="eastAsia" w:ascii="宋体" w:hAnsi="宋体" w:cs="宋体"/>
                <w:color w:val="auto"/>
                <w:szCs w:val="21"/>
              </w:rPr>
              <w:t>2</w:t>
            </w:r>
          </w:p>
        </w:tc>
        <w:tc>
          <w:tcPr>
            <w:tcW w:w="664" w:type="dxa"/>
            <w:shd w:val="clear" w:color="000000" w:fill="FFFFFF"/>
            <w:vAlign w:val="center"/>
          </w:tcPr>
          <w:p w14:paraId="1D8334E5">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套</w:t>
            </w:r>
          </w:p>
        </w:tc>
      </w:tr>
      <w:tr w14:paraId="022A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shd w:val="clear" w:color="auto" w:fill="auto"/>
            <w:vAlign w:val="center"/>
          </w:tcPr>
          <w:p w14:paraId="16E566C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39</w:t>
            </w:r>
          </w:p>
        </w:tc>
        <w:tc>
          <w:tcPr>
            <w:tcW w:w="765" w:type="dxa"/>
            <w:shd w:val="clear" w:color="auto" w:fill="auto"/>
            <w:vAlign w:val="center"/>
          </w:tcPr>
          <w:p w14:paraId="576BA54F">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42U机柜</w:t>
            </w:r>
          </w:p>
        </w:tc>
        <w:tc>
          <w:tcPr>
            <w:tcW w:w="6151" w:type="dxa"/>
            <w:shd w:val="clear" w:color="000000" w:fill="FFFFFF"/>
            <w:vAlign w:val="center"/>
          </w:tcPr>
          <w:p w14:paraId="20B278D9">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1、42U，宽800mm×深1200mm；</w:t>
            </w:r>
          </w:p>
          <w:p w14:paraId="2B2AF001">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2、前单开、后双开，前后网孔门；</w:t>
            </w:r>
          </w:p>
          <w:p w14:paraId="531BA187">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3、配置3层抬板、2风扇、装配螺钉；</w:t>
            </w:r>
          </w:p>
          <w:p w14:paraId="72D9C0F6">
            <w:pPr>
              <w:pStyle w:val="14"/>
              <w:rPr>
                <w:rFonts w:hint="eastAsia" w:ascii="宋体" w:hAnsi="宋体" w:eastAsia="宋体" w:cs="宋体"/>
                <w:color w:val="auto"/>
                <w:kern w:val="0"/>
                <w:szCs w:val="21"/>
                <w:lang w:eastAsia="zh-CN" w:bidi="ar"/>
              </w:rPr>
            </w:pPr>
            <w:r>
              <w:rPr>
                <w:rFonts w:hint="eastAsia" w:ascii="宋体" w:hAnsi="宋体" w:cs="宋体"/>
                <w:color w:val="auto"/>
                <w:kern w:val="0"/>
                <w:szCs w:val="21"/>
                <w:lang w:bidi="ar"/>
              </w:rPr>
              <w:t>4、配置8位10A PDU 2个；</w:t>
            </w:r>
          </w:p>
          <w:p w14:paraId="66E0D7F6">
            <w:pPr>
              <w:pStyle w:val="14"/>
              <w:rPr>
                <w:rFonts w:ascii="宋体" w:hAnsi="宋体" w:cs="宋体"/>
                <w:color w:val="auto"/>
                <w:kern w:val="0"/>
                <w:szCs w:val="21"/>
              </w:rPr>
            </w:pPr>
            <w:r>
              <w:rPr>
                <w:rFonts w:hint="eastAsia" w:ascii="宋体" w:hAnsi="宋体" w:cs="宋体"/>
                <w:color w:val="auto"/>
                <w:kern w:val="0"/>
                <w:szCs w:val="21"/>
                <w:lang w:bidi="ar"/>
              </w:rPr>
              <w:t>5、配套提供定制机柜承重底座（满足静电地板环境平齐）</w:t>
            </w:r>
          </w:p>
        </w:tc>
        <w:tc>
          <w:tcPr>
            <w:tcW w:w="603" w:type="dxa"/>
            <w:shd w:val="clear" w:color="000000" w:fill="FFFFFF"/>
            <w:vAlign w:val="center"/>
          </w:tcPr>
          <w:p w14:paraId="49113198">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3</w:t>
            </w:r>
          </w:p>
        </w:tc>
        <w:tc>
          <w:tcPr>
            <w:tcW w:w="664" w:type="dxa"/>
            <w:shd w:val="clear" w:color="000000" w:fill="FFFFFF"/>
            <w:vAlign w:val="center"/>
          </w:tcPr>
          <w:p w14:paraId="2313C733">
            <w:pPr>
              <w:widowControl/>
              <w:jc w:val="center"/>
              <w:textAlignment w:val="center"/>
              <w:rPr>
                <w:rFonts w:ascii="宋体" w:hAnsi="宋体" w:cs="宋体"/>
                <w:color w:val="auto"/>
                <w:kern w:val="0"/>
                <w:szCs w:val="21"/>
              </w:rPr>
            </w:pPr>
            <w:r>
              <w:rPr>
                <w:rFonts w:hint="eastAsia" w:ascii="宋体" w:hAnsi="宋体" w:cs="宋体"/>
                <w:color w:val="auto"/>
                <w:kern w:val="0"/>
                <w:szCs w:val="21"/>
                <w:lang w:bidi="ar"/>
              </w:rPr>
              <w:t>台</w:t>
            </w:r>
          </w:p>
        </w:tc>
      </w:tr>
    </w:tbl>
    <w:p w14:paraId="094F674F">
      <w:pPr>
        <w:widowControl/>
        <w:tabs>
          <w:tab w:val="left" w:pos="426"/>
          <w:tab w:val="left" w:pos="851"/>
        </w:tabs>
        <w:spacing w:before="120" w:beforeLines="50"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（四）采购标的的数量、采购项目交付或者实施的时间和地点</w:t>
      </w:r>
    </w:p>
    <w:p w14:paraId="6D96A775">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1.采购标的的数量：</w:t>
      </w:r>
    </w:p>
    <w:tbl>
      <w:tblPr>
        <w:tblStyle w:val="41"/>
        <w:tblW w:w="86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817"/>
        <w:gridCol w:w="850"/>
        <w:gridCol w:w="1134"/>
        <w:gridCol w:w="1134"/>
        <w:gridCol w:w="1701"/>
        <w:gridCol w:w="850"/>
        <w:gridCol w:w="850"/>
        <w:gridCol w:w="1310"/>
      </w:tblGrid>
      <w:tr w14:paraId="214FCA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27"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0FF0B150">
            <w:pPr>
              <w:pStyle w:val="37"/>
              <w:adjustRightInd w:val="0"/>
              <w:snapToGrid w:val="0"/>
              <w:spacing w:before="0" w:beforeAutospacing="0" w:after="0" w:afterAutospacing="0" w:line="360"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850" w:type="dxa"/>
            <w:tcBorders>
              <w:tl2br w:val="nil"/>
              <w:tr2bl w:val="nil"/>
            </w:tcBorders>
            <w:tcMar>
              <w:top w:w="0" w:type="dxa"/>
              <w:left w:w="108" w:type="dxa"/>
              <w:bottom w:w="0" w:type="dxa"/>
              <w:right w:w="108" w:type="dxa"/>
            </w:tcMar>
            <w:vAlign w:val="center"/>
          </w:tcPr>
          <w:p w14:paraId="109EDAD6">
            <w:pPr>
              <w:pStyle w:val="37"/>
              <w:adjustRightInd w:val="0"/>
              <w:snapToGrid w:val="0"/>
              <w:spacing w:before="0" w:beforeAutospacing="0" w:after="0" w:afterAutospacing="0" w:line="360"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是否接受进口产品</w:t>
            </w:r>
          </w:p>
        </w:tc>
        <w:tc>
          <w:tcPr>
            <w:tcW w:w="1134" w:type="dxa"/>
            <w:tcBorders>
              <w:tl2br w:val="nil"/>
              <w:tr2bl w:val="nil"/>
            </w:tcBorders>
            <w:tcMar>
              <w:top w:w="0" w:type="dxa"/>
              <w:left w:w="108" w:type="dxa"/>
              <w:bottom w:w="0" w:type="dxa"/>
              <w:right w:w="108" w:type="dxa"/>
            </w:tcMar>
            <w:vAlign w:val="center"/>
          </w:tcPr>
          <w:p w14:paraId="6D0FD647">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是否为核心产品</w:t>
            </w:r>
          </w:p>
        </w:tc>
        <w:tc>
          <w:tcPr>
            <w:tcW w:w="1134" w:type="dxa"/>
            <w:tcBorders>
              <w:tl2br w:val="nil"/>
              <w:tr2bl w:val="nil"/>
            </w:tcBorders>
            <w:tcMar>
              <w:top w:w="0" w:type="dxa"/>
              <w:left w:w="108" w:type="dxa"/>
              <w:bottom w:w="0" w:type="dxa"/>
              <w:right w:w="108" w:type="dxa"/>
            </w:tcMar>
            <w:vAlign w:val="center"/>
          </w:tcPr>
          <w:p w14:paraId="7DB8B5C6">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是否为节能产品政府采购品目清单政府强制采购产品</w:t>
            </w:r>
          </w:p>
        </w:tc>
        <w:tc>
          <w:tcPr>
            <w:tcW w:w="1701" w:type="dxa"/>
            <w:tcBorders>
              <w:tl2br w:val="nil"/>
              <w:tr2bl w:val="nil"/>
            </w:tcBorders>
            <w:tcMar>
              <w:top w:w="0" w:type="dxa"/>
              <w:left w:w="108" w:type="dxa"/>
              <w:bottom w:w="0" w:type="dxa"/>
              <w:right w:w="108" w:type="dxa"/>
            </w:tcMar>
            <w:vAlign w:val="center"/>
          </w:tcPr>
          <w:p w14:paraId="76EA5BBD">
            <w:pPr>
              <w:pStyle w:val="37"/>
              <w:adjustRightInd w:val="0"/>
              <w:snapToGrid w:val="0"/>
              <w:spacing w:before="0" w:beforeAutospacing="0" w:after="0" w:afterAutospacing="0" w:line="360"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项目（标的）名称</w:t>
            </w:r>
          </w:p>
        </w:tc>
        <w:tc>
          <w:tcPr>
            <w:tcW w:w="850" w:type="dxa"/>
            <w:tcBorders>
              <w:tl2br w:val="nil"/>
              <w:tr2bl w:val="nil"/>
            </w:tcBorders>
            <w:tcMar>
              <w:top w:w="0" w:type="dxa"/>
              <w:left w:w="108" w:type="dxa"/>
              <w:bottom w:w="0" w:type="dxa"/>
              <w:right w:w="108" w:type="dxa"/>
            </w:tcMar>
            <w:vAlign w:val="center"/>
          </w:tcPr>
          <w:p w14:paraId="1FA53069">
            <w:pPr>
              <w:pStyle w:val="37"/>
              <w:adjustRightInd w:val="0"/>
              <w:snapToGrid w:val="0"/>
              <w:spacing w:before="0" w:beforeAutospacing="0" w:after="0" w:afterAutospacing="0" w:line="360" w:lineRule="auto"/>
              <w:jc w:val="center"/>
              <w:rPr>
                <w:rFonts w:asciiTheme="minorEastAsia" w:hAnsiTheme="minorEastAsia" w:eastAsiaTheme="minorEastAsia" w:cstheme="minorEastAsia"/>
                <w:color w:val="auto"/>
                <w:sz w:val="21"/>
                <w:szCs w:val="21"/>
              </w:rPr>
            </w:pPr>
            <w:r>
              <w:rPr>
                <w:rStyle w:val="44"/>
                <w:rFonts w:hint="eastAsia" w:asciiTheme="minorEastAsia" w:hAnsiTheme="minorEastAsia" w:eastAsiaTheme="minorEastAsia" w:cstheme="minorEastAsia"/>
                <w:color w:val="auto"/>
                <w:sz w:val="21"/>
                <w:szCs w:val="21"/>
              </w:rPr>
              <w:t>数量</w:t>
            </w:r>
          </w:p>
        </w:tc>
        <w:tc>
          <w:tcPr>
            <w:tcW w:w="850" w:type="dxa"/>
            <w:tcBorders>
              <w:tl2br w:val="nil"/>
              <w:tr2bl w:val="nil"/>
            </w:tcBorders>
            <w:tcMar>
              <w:top w:w="0" w:type="dxa"/>
              <w:left w:w="108" w:type="dxa"/>
              <w:bottom w:w="0" w:type="dxa"/>
              <w:right w:w="108" w:type="dxa"/>
            </w:tcMar>
            <w:vAlign w:val="center"/>
          </w:tcPr>
          <w:p w14:paraId="01B685DC">
            <w:pPr>
              <w:pStyle w:val="37"/>
              <w:adjustRightInd w:val="0"/>
              <w:snapToGrid w:val="0"/>
              <w:spacing w:before="0" w:beforeAutospacing="0" w:after="0" w:afterAutospacing="0" w:line="360" w:lineRule="auto"/>
              <w:jc w:val="center"/>
              <w:rPr>
                <w:rFonts w:asciiTheme="minorEastAsia" w:hAnsiTheme="minorEastAsia" w:eastAsiaTheme="minorEastAsia" w:cstheme="minorEastAsia"/>
                <w:color w:val="auto"/>
                <w:sz w:val="21"/>
                <w:szCs w:val="21"/>
              </w:rPr>
            </w:pPr>
            <w:r>
              <w:rPr>
                <w:rStyle w:val="44"/>
                <w:rFonts w:hint="eastAsia" w:asciiTheme="minorEastAsia" w:hAnsiTheme="minorEastAsia" w:eastAsiaTheme="minorEastAsia" w:cstheme="minorEastAsia"/>
                <w:color w:val="auto"/>
                <w:sz w:val="21"/>
                <w:szCs w:val="21"/>
              </w:rPr>
              <w:t>计量单位</w:t>
            </w:r>
          </w:p>
        </w:tc>
        <w:tc>
          <w:tcPr>
            <w:tcW w:w="1310" w:type="dxa"/>
            <w:tcBorders>
              <w:tl2br w:val="nil"/>
              <w:tr2bl w:val="nil"/>
            </w:tcBorders>
            <w:tcMar>
              <w:top w:w="0" w:type="dxa"/>
              <w:left w:w="108" w:type="dxa"/>
              <w:bottom w:w="0" w:type="dxa"/>
              <w:right w:w="108" w:type="dxa"/>
            </w:tcMar>
            <w:vAlign w:val="center"/>
          </w:tcPr>
          <w:p w14:paraId="3E5070BE">
            <w:pPr>
              <w:pStyle w:val="37"/>
              <w:adjustRightInd w:val="0"/>
              <w:snapToGrid w:val="0"/>
              <w:spacing w:before="0" w:beforeAutospacing="0" w:after="0" w:afterAutospacing="0" w:line="360" w:lineRule="auto"/>
              <w:jc w:val="center"/>
              <w:rPr>
                <w:rStyle w:val="44"/>
                <w:rFonts w:asciiTheme="minorEastAsia" w:hAnsiTheme="minorEastAsia" w:cstheme="minorEastAsia"/>
                <w:color w:val="auto"/>
                <w:sz w:val="21"/>
                <w:szCs w:val="21"/>
              </w:rPr>
            </w:pPr>
            <w:r>
              <w:rPr>
                <w:rStyle w:val="44"/>
                <w:rFonts w:hint="eastAsia" w:asciiTheme="minorEastAsia" w:hAnsiTheme="minorEastAsia" w:eastAsiaTheme="minorEastAsia" w:cstheme="minorEastAsia"/>
                <w:color w:val="auto"/>
                <w:sz w:val="21"/>
                <w:szCs w:val="21"/>
              </w:rPr>
              <w:t>预算单价</w:t>
            </w:r>
            <w:r>
              <w:rPr>
                <w:rFonts w:hint="eastAsia"/>
                <w:b/>
                <w:bCs/>
                <w:color w:val="auto"/>
              </w:rPr>
              <w:t>（元）</w:t>
            </w:r>
          </w:p>
        </w:tc>
      </w:tr>
      <w:tr w14:paraId="6AA9C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4787142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1</w:t>
            </w:r>
          </w:p>
        </w:tc>
        <w:tc>
          <w:tcPr>
            <w:tcW w:w="850" w:type="dxa"/>
            <w:tcBorders>
              <w:tl2br w:val="nil"/>
              <w:tr2bl w:val="nil"/>
            </w:tcBorders>
            <w:tcMar>
              <w:top w:w="0" w:type="dxa"/>
              <w:left w:w="108" w:type="dxa"/>
              <w:bottom w:w="0" w:type="dxa"/>
              <w:right w:w="108" w:type="dxa"/>
            </w:tcMar>
            <w:vAlign w:val="center"/>
          </w:tcPr>
          <w:p w14:paraId="68E4EDCC">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1BD8A4A2">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53EF78A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52A5FE6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孪生教研教学空间系统</w:t>
            </w:r>
          </w:p>
        </w:tc>
        <w:tc>
          <w:tcPr>
            <w:tcW w:w="850" w:type="dxa"/>
            <w:tcBorders>
              <w:tl2br w:val="nil"/>
              <w:tr2bl w:val="nil"/>
            </w:tcBorders>
            <w:shd w:val="clear" w:color="auto" w:fill="auto"/>
            <w:tcMar>
              <w:top w:w="0" w:type="dxa"/>
              <w:left w:w="108" w:type="dxa"/>
              <w:bottom w:w="0" w:type="dxa"/>
              <w:right w:w="108" w:type="dxa"/>
            </w:tcMar>
            <w:vAlign w:val="center"/>
          </w:tcPr>
          <w:p w14:paraId="3D52CA7B">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w:t>
            </w:r>
          </w:p>
        </w:tc>
        <w:tc>
          <w:tcPr>
            <w:tcW w:w="850" w:type="dxa"/>
            <w:tcBorders>
              <w:tl2br w:val="nil"/>
              <w:tr2bl w:val="nil"/>
            </w:tcBorders>
            <w:shd w:val="clear" w:color="auto" w:fill="auto"/>
            <w:tcMar>
              <w:top w:w="0" w:type="dxa"/>
              <w:left w:w="108" w:type="dxa"/>
              <w:bottom w:w="0" w:type="dxa"/>
              <w:right w:w="108" w:type="dxa"/>
            </w:tcMar>
            <w:vAlign w:val="center"/>
          </w:tcPr>
          <w:p w14:paraId="492AA02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szCs w:val="21"/>
              </w:rPr>
              <w:t>套</w:t>
            </w:r>
          </w:p>
        </w:tc>
        <w:tc>
          <w:tcPr>
            <w:tcW w:w="1310" w:type="dxa"/>
            <w:tcBorders>
              <w:tl2br w:val="nil"/>
              <w:tr2bl w:val="nil"/>
            </w:tcBorders>
            <w:shd w:val="clear" w:color="auto" w:fill="auto"/>
            <w:tcMar>
              <w:top w:w="0" w:type="dxa"/>
              <w:left w:w="108" w:type="dxa"/>
              <w:bottom w:w="0" w:type="dxa"/>
              <w:right w:w="108" w:type="dxa"/>
            </w:tcMar>
            <w:vAlign w:val="center"/>
          </w:tcPr>
          <w:p w14:paraId="0D9985D7">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98000.00</w:t>
            </w:r>
          </w:p>
        </w:tc>
      </w:tr>
      <w:tr w14:paraId="33E895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14ECF26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2</w:t>
            </w:r>
          </w:p>
        </w:tc>
        <w:tc>
          <w:tcPr>
            <w:tcW w:w="850" w:type="dxa"/>
            <w:tcBorders>
              <w:tl2br w:val="nil"/>
              <w:tr2bl w:val="nil"/>
            </w:tcBorders>
            <w:tcMar>
              <w:top w:w="0" w:type="dxa"/>
              <w:left w:w="108" w:type="dxa"/>
              <w:bottom w:w="0" w:type="dxa"/>
              <w:right w:w="108" w:type="dxa"/>
            </w:tcMar>
            <w:vAlign w:val="center"/>
          </w:tcPr>
          <w:p w14:paraId="51404FD2">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130E2261">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370B6D8C">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756EE6FE">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孪生教研接入系统</w:t>
            </w:r>
          </w:p>
        </w:tc>
        <w:tc>
          <w:tcPr>
            <w:tcW w:w="850" w:type="dxa"/>
            <w:tcBorders>
              <w:tl2br w:val="nil"/>
              <w:tr2bl w:val="nil"/>
            </w:tcBorders>
            <w:shd w:val="clear" w:color="auto" w:fill="auto"/>
            <w:tcMar>
              <w:top w:w="0" w:type="dxa"/>
              <w:left w:w="108" w:type="dxa"/>
              <w:bottom w:w="0" w:type="dxa"/>
              <w:right w:w="108" w:type="dxa"/>
            </w:tcMar>
            <w:vAlign w:val="center"/>
          </w:tcPr>
          <w:p w14:paraId="67E97F4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40</w:t>
            </w:r>
          </w:p>
        </w:tc>
        <w:tc>
          <w:tcPr>
            <w:tcW w:w="850" w:type="dxa"/>
            <w:tcBorders>
              <w:tl2br w:val="nil"/>
              <w:tr2bl w:val="nil"/>
            </w:tcBorders>
            <w:shd w:val="clear" w:color="auto" w:fill="auto"/>
            <w:tcMar>
              <w:top w:w="0" w:type="dxa"/>
              <w:left w:w="108" w:type="dxa"/>
              <w:bottom w:w="0" w:type="dxa"/>
              <w:right w:w="108" w:type="dxa"/>
            </w:tcMar>
            <w:vAlign w:val="center"/>
          </w:tcPr>
          <w:p w14:paraId="487FC43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点</w:t>
            </w:r>
          </w:p>
        </w:tc>
        <w:tc>
          <w:tcPr>
            <w:tcW w:w="1310" w:type="dxa"/>
            <w:tcBorders>
              <w:tl2br w:val="nil"/>
              <w:tr2bl w:val="nil"/>
            </w:tcBorders>
            <w:shd w:val="clear" w:color="auto" w:fill="auto"/>
            <w:tcMar>
              <w:top w:w="0" w:type="dxa"/>
              <w:left w:w="108" w:type="dxa"/>
              <w:bottom w:w="0" w:type="dxa"/>
              <w:right w:w="108" w:type="dxa"/>
            </w:tcMar>
            <w:vAlign w:val="center"/>
          </w:tcPr>
          <w:p w14:paraId="414F81B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1850.00</w:t>
            </w:r>
          </w:p>
        </w:tc>
      </w:tr>
      <w:tr w14:paraId="207D8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1CA7E1AD">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3</w:t>
            </w:r>
          </w:p>
        </w:tc>
        <w:tc>
          <w:tcPr>
            <w:tcW w:w="850" w:type="dxa"/>
            <w:tcBorders>
              <w:tl2br w:val="nil"/>
              <w:tr2bl w:val="nil"/>
            </w:tcBorders>
            <w:tcMar>
              <w:top w:w="0" w:type="dxa"/>
              <w:left w:w="108" w:type="dxa"/>
              <w:bottom w:w="0" w:type="dxa"/>
              <w:right w:w="108" w:type="dxa"/>
            </w:tcMar>
            <w:vAlign w:val="center"/>
          </w:tcPr>
          <w:p w14:paraId="631C54C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0E4A5DDF">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41EDB1F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568DAEF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教研实训交互系统</w:t>
            </w:r>
          </w:p>
        </w:tc>
        <w:tc>
          <w:tcPr>
            <w:tcW w:w="850" w:type="dxa"/>
            <w:tcBorders>
              <w:tl2br w:val="nil"/>
              <w:tr2bl w:val="nil"/>
            </w:tcBorders>
            <w:shd w:val="clear" w:color="auto" w:fill="auto"/>
            <w:tcMar>
              <w:top w:w="0" w:type="dxa"/>
              <w:left w:w="108" w:type="dxa"/>
              <w:bottom w:w="0" w:type="dxa"/>
              <w:right w:w="108" w:type="dxa"/>
            </w:tcMar>
            <w:vAlign w:val="center"/>
          </w:tcPr>
          <w:p w14:paraId="0760D16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40</w:t>
            </w:r>
          </w:p>
        </w:tc>
        <w:tc>
          <w:tcPr>
            <w:tcW w:w="850" w:type="dxa"/>
            <w:tcBorders>
              <w:tl2br w:val="nil"/>
              <w:tr2bl w:val="nil"/>
            </w:tcBorders>
            <w:shd w:val="clear" w:color="auto" w:fill="auto"/>
            <w:tcMar>
              <w:top w:w="0" w:type="dxa"/>
              <w:left w:w="108" w:type="dxa"/>
              <w:bottom w:w="0" w:type="dxa"/>
              <w:right w:w="108" w:type="dxa"/>
            </w:tcMar>
            <w:vAlign w:val="center"/>
          </w:tcPr>
          <w:p w14:paraId="73186D3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38A956AF">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2690.00</w:t>
            </w:r>
          </w:p>
        </w:tc>
      </w:tr>
      <w:tr w14:paraId="3E5FFA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1F8A8CFD">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4</w:t>
            </w:r>
          </w:p>
        </w:tc>
        <w:tc>
          <w:tcPr>
            <w:tcW w:w="850" w:type="dxa"/>
            <w:tcBorders>
              <w:tl2br w:val="nil"/>
              <w:tr2bl w:val="nil"/>
            </w:tcBorders>
            <w:tcMar>
              <w:top w:w="0" w:type="dxa"/>
              <w:left w:w="108" w:type="dxa"/>
              <w:bottom w:w="0" w:type="dxa"/>
              <w:right w:w="108" w:type="dxa"/>
            </w:tcMar>
            <w:vAlign w:val="center"/>
          </w:tcPr>
          <w:p w14:paraId="5C62AC79">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7842A82D">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4CA61822">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73C28286">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教研智算分析系统模块</w:t>
            </w:r>
          </w:p>
        </w:tc>
        <w:tc>
          <w:tcPr>
            <w:tcW w:w="850" w:type="dxa"/>
            <w:tcBorders>
              <w:tl2br w:val="nil"/>
              <w:tr2bl w:val="nil"/>
            </w:tcBorders>
            <w:shd w:val="clear" w:color="auto" w:fill="auto"/>
            <w:tcMar>
              <w:top w:w="0" w:type="dxa"/>
              <w:left w:w="108" w:type="dxa"/>
              <w:bottom w:w="0" w:type="dxa"/>
              <w:right w:w="108" w:type="dxa"/>
            </w:tcMar>
            <w:vAlign w:val="center"/>
          </w:tcPr>
          <w:p w14:paraId="69F2801A">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2</w:t>
            </w:r>
          </w:p>
        </w:tc>
        <w:tc>
          <w:tcPr>
            <w:tcW w:w="850" w:type="dxa"/>
            <w:tcBorders>
              <w:tl2br w:val="nil"/>
              <w:tr2bl w:val="nil"/>
            </w:tcBorders>
            <w:shd w:val="clear" w:color="auto" w:fill="auto"/>
            <w:tcMar>
              <w:top w:w="0" w:type="dxa"/>
              <w:left w:w="108" w:type="dxa"/>
              <w:bottom w:w="0" w:type="dxa"/>
              <w:right w:w="108" w:type="dxa"/>
            </w:tcMar>
            <w:vAlign w:val="center"/>
          </w:tcPr>
          <w:p w14:paraId="6B5A341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648A56C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138000.00</w:t>
            </w:r>
          </w:p>
        </w:tc>
      </w:tr>
      <w:tr w14:paraId="232F55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55B0B7F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5</w:t>
            </w:r>
          </w:p>
        </w:tc>
        <w:tc>
          <w:tcPr>
            <w:tcW w:w="850" w:type="dxa"/>
            <w:tcBorders>
              <w:tl2br w:val="nil"/>
              <w:tr2bl w:val="nil"/>
            </w:tcBorders>
            <w:tcMar>
              <w:top w:w="0" w:type="dxa"/>
              <w:left w:w="108" w:type="dxa"/>
              <w:bottom w:w="0" w:type="dxa"/>
              <w:right w:w="108" w:type="dxa"/>
            </w:tcMar>
            <w:vAlign w:val="center"/>
          </w:tcPr>
          <w:p w14:paraId="390D919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773A7984">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28E353C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7AD0EB7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数字化教学设备</w:t>
            </w:r>
          </w:p>
        </w:tc>
        <w:tc>
          <w:tcPr>
            <w:tcW w:w="850" w:type="dxa"/>
            <w:tcBorders>
              <w:tl2br w:val="nil"/>
              <w:tr2bl w:val="nil"/>
            </w:tcBorders>
            <w:shd w:val="clear" w:color="auto" w:fill="auto"/>
            <w:tcMar>
              <w:top w:w="0" w:type="dxa"/>
              <w:left w:w="108" w:type="dxa"/>
              <w:bottom w:w="0" w:type="dxa"/>
              <w:right w:w="108" w:type="dxa"/>
            </w:tcMar>
            <w:vAlign w:val="center"/>
          </w:tcPr>
          <w:p w14:paraId="3191B67D">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2</w:t>
            </w:r>
          </w:p>
        </w:tc>
        <w:tc>
          <w:tcPr>
            <w:tcW w:w="850" w:type="dxa"/>
            <w:tcBorders>
              <w:tl2br w:val="nil"/>
              <w:tr2bl w:val="nil"/>
            </w:tcBorders>
            <w:shd w:val="clear" w:color="auto" w:fill="auto"/>
            <w:tcMar>
              <w:top w:w="0" w:type="dxa"/>
              <w:left w:w="108" w:type="dxa"/>
              <w:bottom w:w="0" w:type="dxa"/>
              <w:right w:w="108" w:type="dxa"/>
            </w:tcMar>
            <w:vAlign w:val="center"/>
          </w:tcPr>
          <w:p w14:paraId="1BB33FA6">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49CFC60D">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6000.00</w:t>
            </w:r>
          </w:p>
        </w:tc>
      </w:tr>
      <w:tr w14:paraId="52A386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4575913D">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6</w:t>
            </w:r>
          </w:p>
        </w:tc>
        <w:tc>
          <w:tcPr>
            <w:tcW w:w="850" w:type="dxa"/>
            <w:tcBorders>
              <w:tl2br w:val="nil"/>
              <w:tr2bl w:val="nil"/>
            </w:tcBorders>
            <w:tcMar>
              <w:top w:w="0" w:type="dxa"/>
              <w:left w:w="108" w:type="dxa"/>
              <w:bottom w:w="0" w:type="dxa"/>
              <w:right w:w="108" w:type="dxa"/>
            </w:tcMar>
            <w:vAlign w:val="center"/>
          </w:tcPr>
          <w:p w14:paraId="10990099">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5653C24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bCs/>
                <w:color w:val="auto"/>
                <w:kern w:val="0"/>
                <w:szCs w:val="21"/>
              </w:rPr>
              <w:t>是</w:t>
            </w:r>
          </w:p>
        </w:tc>
        <w:tc>
          <w:tcPr>
            <w:tcW w:w="1134" w:type="dxa"/>
            <w:tcBorders>
              <w:tl2br w:val="nil"/>
              <w:tr2bl w:val="nil"/>
            </w:tcBorders>
            <w:shd w:val="clear" w:color="auto" w:fill="auto"/>
            <w:tcMar>
              <w:top w:w="0" w:type="dxa"/>
              <w:left w:w="108" w:type="dxa"/>
              <w:bottom w:w="0" w:type="dxa"/>
              <w:right w:w="108" w:type="dxa"/>
            </w:tcMar>
          </w:tcPr>
          <w:p w14:paraId="0B629F78">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039E9AD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云端智算系统模块</w:t>
            </w:r>
          </w:p>
        </w:tc>
        <w:tc>
          <w:tcPr>
            <w:tcW w:w="850" w:type="dxa"/>
            <w:tcBorders>
              <w:tl2br w:val="nil"/>
              <w:tr2bl w:val="nil"/>
            </w:tcBorders>
            <w:shd w:val="clear" w:color="auto" w:fill="auto"/>
            <w:tcMar>
              <w:top w:w="0" w:type="dxa"/>
              <w:left w:w="108" w:type="dxa"/>
              <w:bottom w:w="0" w:type="dxa"/>
              <w:right w:w="108" w:type="dxa"/>
            </w:tcMar>
            <w:vAlign w:val="center"/>
          </w:tcPr>
          <w:p w14:paraId="0AE90146">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120</w:t>
            </w:r>
          </w:p>
        </w:tc>
        <w:tc>
          <w:tcPr>
            <w:tcW w:w="850" w:type="dxa"/>
            <w:tcBorders>
              <w:tl2br w:val="nil"/>
              <w:tr2bl w:val="nil"/>
            </w:tcBorders>
            <w:shd w:val="clear" w:color="auto" w:fill="auto"/>
            <w:tcMar>
              <w:top w:w="0" w:type="dxa"/>
              <w:left w:w="108" w:type="dxa"/>
              <w:bottom w:w="0" w:type="dxa"/>
              <w:right w:w="108" w:type="dxa"/>
            </w:tcMar>
            <w:vAlign w:val="center"/>
          </w:tcPr>
          <w:p w14:paraId="544CC08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6C7B560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2690.00</w:t>
            </w:r>
          </w:p>
        </w:tc>
      </w:tr>
      <w:tr w14:paraId="516A7B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117F2F79">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7</w:t>
            </w:r>
          </w:p>
        </w:tc>
        <w:tc>
          <w:tcPr>
            <w:tcW w:w="850" w:type="dxa"/>
            <w:tcBorders>
              <w:tl2br w:val="nil"/>
              <w:tr2bl w:val="nil"/>
            </w:tcBorders>
            <w:tcMar>
              <w:top w:w="0" w:type="dxa"/>
              <w:left w:w="108" w:type="dxa"/>
              <w:bottom w:w="0" w:type="dxa"/>
              <w:right w:w="108" w:type="dxa"/>
            </w:tcMar>
            <w:vAlign w:val="center"/>
          </w:tcPr>
          <w:p w14:paraId="74C69D41">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5BCD3C97">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665F58C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7846D10D">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桌面云软件</w:t>
            </w:r>
          </w:p>
        </w:tc>
        <w:tc>
          <w:tcPr>
            <w:tcW w:w="850" w:type="dxa"/>
            <w:tcBorders>
              <w:tl2br w:val="nil"/>
              <w:tr2bl w:val="nil"/>
            </w:tcBorders>
            <w:shd w:val="clear" w:color="auto" w:fill="auto"/>
            <w:tcMar>
              <w:top w:w="0" w:type="dxa"/>
              <w:left w:w="108" w:type="dxa"/>
              <w:bottom w:w="0" w:type="dxa"/>
              <w:right w:w="108" w:type="dxa"/>
            </w:tcMar>
            <w:vAlign w:val="center"/>
          </w:tcPr>
          <w:p w14:paraId="576191E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123</w:t>
            </w:r>
          </w:p>
        </w:tc>
        <w:tc>
          <w:tcPr>
            <w:tcW w:w="850" w:type="dxa"/>
            <w:tcBorders>
              <w:tl2br w:val="nil"/>
              <w:tr2bl w:val="nil"/>
            </w:tcBorders>
            <w:shd w:val="clear" w:color="auto" w:fill="auto"/>
            <w:tcMar>
              <w:top w:w="0" w:type="dxa"/>
              <w:left w:w="108" w:type="dxa"/>
              <w:bottom w:w="0" w:type="dxa"/>
              <w:right w:w="108" w:type="dxa"/>
            </w:tcMar>
            <w:vAlign w:val="center"/>
          </w:tcPr>
          <w:p w14:paraId="23A7102D">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点</w:t>
            </w:r>
          </w:p>
        </w:tc>
        <w:tc>
          <w:tcPr>
            <w:tcW w:w="1310" w:type="dxa"/>
            <w:tcBorders>
              <w:tl2br w:val="nil"/>
              <w:tr2bl w:val="nil"/>
            </w:tcBorders>
            <w:shd w:val="clear" w:color="auto" w:fill="auto"/>
            <w:tcMar>
              <w:top w:w="0" w:type="dxa"/>
              <w:left w:w="108" w:type="dxa"/>
              <w:bottom w:w="0" w:type="dxa"/>
              <w:right w:w="108" w:type="dxa"/>
            </w:tcMar>
            <w:vAlign w:val="center"/>
          </w:tcPr>
          <w:p w14:paraId="4E4772A6">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1400.00</w:t>
            </w:r>
          </w:p>
        </w:tc>
      </w:tr>
      <w:tr w14:paraId="10B173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762155E7">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8</w:t>
            </w:r>
          </w:p>
        </w:tc>
        <w:tc>
          <w:tcPr>
            <w:tcW w:w="850" w:type="dxa"/>
            <w:tcBorders>
              <w:tl2br w:val="nil"/>
              <w:tr2bl w:val="nil"/>
            </w:tcBorders>
            <w:tcMar>
              <w:top w:w="0" w:type="dxa"/>
              <w:left w:w="108" w:type="dxa"/>
              <w:bottom w:w="0" w:type="dxa"/>
              <w:right w:w="108" w:type="dxa"/>
            </w:tcMar>
            <w:vAlign w:val="center"/>
          </w:tcPr>
          <w:p w14:paraId="3F7853A5">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5B4FF8C2">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2565EFF6">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43CD472A">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终端高可用容灾系统</w:t>
            </w:r>
          </w:p>
        </w:tc>
        <w:tc>
          <w:tcPr>
            <w:tcW w:w="850" w:type="dxa"/>
            <w:tcBorders>
              <w:tl2br w:val="nil"/>
              <w:tr2bl w:val="nil"/>
            </w:tcBorders>
            <w:shd w:val="clear" w:color="auto" w:fill="auto"/>
            <w:tcMar>
              <w:top w:w="0" w:type="dxa"/>
              <w:left w:w="108" w:type="dxa"/>
              <w:bottom w:w="0" w:type="dxa"/>
              <w:right w:w="108" w:type="dxa"/>
            </w:tcMar>
            <w:vAlign w:val="center"/>
          </w:tcPr>
          <w:p w14:paraId="5E88338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122</w:t>
            </w:r>
          </w:p>
        </w:tc>
        <w:tc>
          <w:tcPr>
            <w:tcW w:w="850" w:type="dxa"/>
            <w:tcBorders>
              <w:tl2br w:val="nil"/>
              <w:tr2bl w:val="nil"/>
            </w:tcBorders>
            <w:shd w:val="clear" w:color="auto" w:fill="auto"/>
            <w:tcMar>
              <w:top w:w="0" w:type="dxa"/>
              <w:left w:w="108" w:type="dxa"/>
              <w:bottom w:w="0" w:type="dxa"/>
              <w:right w:w="108" w:type="dxa"/>
            </w:tcMar>
            <w:vAlign w:val="center"/>
          </w:tcPr>
          <w:p w14:paraId="19E5575E">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点</w:t>
            </w:r>
          </w:p>
        </w:tc>
        <w:tc>
          <w:tcPr>
            <w:tcW w:w="1310" w:type="dxa"/>
            <w:tcBorders>
              <w:tl2br w:val="nil"/>
              <w:tr2bl w:val="nil"/>
            </w:tcBorders>
            <w:shd w:val="clear" w:color="auto" w:fill="auto"/>
            <w:tcMar>
              <w:top w:w="0" w:type="dxa"/>
              <w:left w:w="108" w:type="dxa"/>
              <w:bottom w:w="0" w:type="dxa"/>
              <w:right w:w="108" w:type="dxa"/>
            </w:tcMar>
            <w:vAlign w:val="center"/>
          </w:tcPr>
          <w:p w14:paraId="11D2D891">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640.00</w:t>
            </w:r>
          </w:p>
        </w:tc>
      </w:tr>
      <w:tr w14:paraId="348D05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6465C8B5">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9</w:t>
            </w:r>
          </w:p>
        </w:tc>
        <w:tc>
          <w:tcPr>
            <w:tcW w:w="850" w:type="dxa"/>
            <w:tcBorders>
              <w:tl2br w:val="nil"/>
              <w:tr2bl w:val="nil"/>
            </w:tcBorders>
            <w:tcMar>
              <w:top w:w="0" w:type="dxa"/>
              <w:left w:w="108" w:type="dxa"/>
              <w:bottom w:w="0" w:type="dxa"/>
              <w:right w:w="108" w:type="dxa"/>
            </w:tcMar>
            <w:vAlign w:val="center"/>
          </w:tcPr>
          <w:p w14:paraId="734DB7E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36FB75E7">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21B0A9B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11D867F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课堂教学互动管理系统</w:t>
            </w:r>
          </w:p>
        </w:tc>
        <w:tc>
          <w:tcPr>
            <w:tcW w:w="850" w:type="dxa"/>
            <w:tcBorders>
              <w:tl2br w:val="nil"/>
              <w:tr2bl w:val="nil"/>
            </w:tcBorders>
            <w:shd w:val="clear" w:color="auto" w:fill="auto"/>
            <w:tcMar>
              <w:top w:w="0" w:type="dxa"/>
              <w:left w:w="108" w:type="dxa"/>
              <w:bottom w:w="0" w:type="dxa"/>
              <w:right w:w="108" w:type="dxa"/>
            </w:tcMar>
            <w:vAlign w:val="center"/>
          </w:tcPr>
          <w:p w14:paraId="461CB9D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2</w:t>
            </w:r>
          </w:p>
        </w:tc>
        <w:tc>
          <w:tcPr>
            <w:tcW w:w="850" w:type="dxa"/>
            <w:tcBorders>
              <w:tl2br w:val="nil"/>
              <w:tr2bl w:val="nil"/>
            </w:tcBorders>
            <w:shd w:val="clear" w:color="auto" w:fill="auto"/>
            <w:tcMar>
              <w:top w:w="0" w:type="dxa"/>
              <w:left w:w="108" w:type="dxa"/>
              <w:bottom w:w="0" w:type="dxa"/>
              <w:right w:w="108" w:type="dxa"/>
            </w:tcMar>
            <w:vAlign w:val="center"/>
          </w:tcPr>
          <w:p w14:paraId="2550D14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18BD31C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3800.00</w:t>
            </w:r>
          </w:p>
        </w:tc>
      </w:tr>
      <w:tr w14:paraId="5D88F3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4C16079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10</w:t>
            </w:r>
          </w:p>
        </w:tc>
        <w:tc>
          <w:tcPr>
            <w:tcW w:w="850" w:type="dxa"/>
            <w:tcBorders>
              <w:tl2br w:val="nil"/>
              <w:tr2bl w:val="nil"/>
            </w:tcBorders>
            <w:tcMar>
              <w:top w:w="0" w:type="dxa"/>
              <w:left w:w="108" w:type="dxa"/>
              <w:bottom w:w="0" w:type="dxa"/>
              <w:right w:w="108" w:type="dxa"/>
            </w:tcMar>
            <w:vAlign w:val="center"/>
          </w:tcPr>
          <w:p w14:paraId="509BA67F">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116D3317">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7752BA3C">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7FD9387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服务器硬盘</w:t>
            </w:r>
          </w:p>
        </w:tc>
        <w:tc>
          <w:tcPr>
            <w:tcW w:w="850" w:type="dxa"/>
            <w:tcBorders>
              <w:tl2br w:val="nil"/>
              <w:tr2bl w:val="nil"/>
            </w:tcBorders>
            <w:shd w:val="clear" w:color="auto" w:fill="auto"/>
            <w:tcMar>
              <w:top w:w="0" w:type="dxa"/>
              <w:left w:w="108" w:type="dxa"/>
              <w:bottom w:w="0" w:type="dxa"/>
              <w:right w:w="108" w:type="dxa"/>
            </w:tcMar>
            <w:vAlign w:val="center"/>
          </w:tcPr>
          <w:p w14:paraId="5461443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6</w:t>
            </w:r>
          </w:p>
        </w:tc>
        <w:tc>
          <w:tcPr>
            <w:tcW w:w="850" w:type="dxa"/>
            <w:tcBorders>
              <w:tl2br w:val="nil"/>
              <w:tr2bl w:val="nil"/>
            </w:tcBorders>
            <w:shd w:val="clear" w:color="auto" w:fill="auto"/>
            <w:tcMar>
              <w:top w:w="0" w:type="dxa"/>
              <w:left w:w="108" w:type="dxa"/>
              <w:bottom w:w="0" w:type="dxa"/>
              <w:right w:w="108" w:type="dxa"/>
            </w:tcMar>
            <w:vAlign w:val="center"/>
          </w:tcPr>
          <w:p w14:paraId="1EF9BA66">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块</w:t>
            </w:r>
          </w:p>
        </w:tc>
        <w:tc>
          <w:tcPr>
            <w:tcW w:w="1310" w:type="dxa"/>
            <w:tcBorders>
              <w:tl2br w:val="nil"/>
              <w:tr2bl w:val="nil"/>
            </w:tcBorders>
            <w:shd w:val="clear" w:color="auto" w:fill="auto"/>
            <w:tcMar>
              <w:top w:w="0" w:type="dxa"/>
              <w:left w:w="108" w:type="dxa"/>
              <w:bottom w:w="0" w:type="dxa"/>
              <w:right w:w="108" w:type="dxa"/>
            </w:tcMar>
            <w:vAlign w:val="center"/>
          </w:tcPr>
          <w:p w14:paraId="4628347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3000.00</w:t>
            </w:r>
          </w:p>
        </w:tc>
      </w:tr>
      <w:tr w14:paraId="52719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21F665C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11</w:t>
            </w:r>
          </w:p>
        </w:tc>
        <w:tc>
          <w:tcPr>
            <w:tcW w:w="850" w:type="dxa"/>
            <w:tcBorders>
              <w:tl2br w:val="nil"/>
              <w:tr2bl w:val="nil"/>
            </w:tcBorders>
            <w:tcMar>
              <w:top w:w="0" w:type="dxa"/>
              <w:left w:w="108" w:type="dxa"/>
              <w:bottom w:w="0" w:type="dxa"/>
              <w:right w:w="108" w:type="dxa"/>
            </w:tcMar>
            <w:vAlign w:val="center"/>
          </w:tcPr>
          <w:p w14:paraId="01407A7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569799A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5686457C">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7867C97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服务器内存</w:t>
            </w:r>
          </w:p>
        </w:tc>
        <w:tc>
          <w:tcPr>
            <w:tcW w:w="850" w:type="dxa"/>
            <w:tcBorders>
              <w:tl2br w:val="nil"/>
              <w:tr2bl w:val="nil"/>
            </w:tcBorders>
            <w:shd w:val="clear" w:color="auto" w:fill="auto"/>
            <w:tcMar>
              <w:top w:w="0" w:type="dxa"/>
              <w:left w:w="108" w:type="dxa"/>
              <w:bottom w:w="0" w:type="dxa"/>
              <w:right w:w="108" w:type="dxa"/>
            </w:tcMar>
            <w:vAlign w:val="center"/>
          </w:tcPr>
          <w:p w14:paraId="3360E19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24</w:t>
            </w:r>
          </w:p>
        </w:tc>
        <w:tc>
          <w:tcPr>
            <w:tcW w:w="850" w:type="dxa"/>
            <w:tcBorders>
              <w:tl2br w:val="nil"/>
              <w:tr2bl w:val="nil"/>
            </w:tcBorders>
            <w:shd w:val="clear" w:color="auto" w:fill="auto"/>
            <w:tcMar>
              <w:top w:w="0" w:type="dxa"/>
              <w:left w:w="108" w:type="dxa"/>
              <w:bottom w:w="0" w:type="dxa"/>
              <w:right w:w="108" w:type="dxa"/>
            </w:tcMar>
            <w:vAlign w:val="center"/>
          </w:tcPr>
          <w:p w14:paraId="740B6BE7">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szCs w:val="21"/>
              </w:rPr>
              <w:t>条</w:t>
            </w:r>
          </w:p>
        </w:tc>
        <w:tc>
          <w:tcPr>
            <w:tcW w:w="1310" w:type="dxa"/>
            <w:tcBorders>
              <w:tl2br w:val="nil"/>
              <w:tr2bl w:val="nil"/>
            </w:tcBorders>
            <w:shd w:val="clear" w:color="auto" w:fill="auto"/>
            <w:tcMar>
              <w:top w:w="0" w:type="dxa"/>
              <w:left w:w="108" w:type="dxa"/>
              <w:bottom w:w="0" w:type="dxa"/>
              <w:right w:w="108" w:type="dxa"/>
            </w:tcMar>
            <w:vAlign w:val="center"/>
          </w:tcPr>
          <w:p w14:paraId="144EE8B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600.00</w:t>
            </w:r>
          </w:p>
        </w:tc>
      </w:tr>
      <w:tr w14:paraId="21982A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0D0B912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12</w:t>
            </w:r>
          </w:p>
        </w:tc>
        <w:tc>
          <w:tcPr>
            <w:tcW w:w="850" w:type="dxa"/>
            <w:tcBorders>
              <w:tl2br w:val="nil"/>
              <w:tr2bl w:val="nil"/>
            </w:tcBorders>
            <w:tcMar>
              <w:top w:w="0" w:type="dxa"/>
              <w:left w:w="108" w:type="dxa"/>
              <w:bottom w:w="0" w:type="dxa"/>
              <w:right w:w="108" w:type="dxa"/>
            </w:tcMar>
            <w:vAlign w:val="center"/>
          </w:tcPr>
          <w:p w14:paraId="6639096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2A96C741">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7ED2F062">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21F4971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教学实训扩容模块</w:t>
            </w:r>
          </w:p>
        </w:tc>
        <w:tc>
          <w:tcPr>
            <w:tcW w:w="850" w:type="dxa"/>
            <w:tcBorders>
              <w:tl2br w:val="nil"/>
              <w:tr2bl w:val="nil"/>
            </w:tcBorders>
            <w:shd w:val="clear" w:color="auto" w:fill="auto"/>
            <w:tcMar>
              <w:top w:w="0" w:type="dxa"/>
              <w:left w:w="108" w:type="dxa"/>
              <w:bottom w:w="0" w:type="dxa"/>
              <w:right w:w="108" w:type="dxa"/>
            </w:tcMar>
            <w:vAlign w:val="center"/>
          </w:tcPr>
          <w:p w14:paraId="3AF78869">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2</w:t>
            </w:r>
          </w:p>
        </w:tc>
        <w:tc>
          <w:tcPr>
            <w:tcW w:w="850" w:type="dxa"/>
            <w:tcBorders>
              <w:tl2br w:val="nil"/>
              <w:tr2bl w:val="nil"/>
            </w:tcBorders>
            <w:shd w:val="clear" w:color="auto" w:fill="auto"/>
            <w:tcMar>
              <w:top w:w="0" w:type="dxa"/>
              <w:left w:w="108" w:type="dxa"/>
              <w:bottom w:w="0" w:type="dxa"/>
              <w:right w:w="108" w:type="dxa"/>
            </w:tcMar>
            <w:vAlign w:val="center"/>
          </w:tcPr>
          <w:p w14:paraId="60BA2D3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4AD7AF69">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82000.00</w:t>
            </w:r>
          </w:p>
        </w:tc>
      </w:tr>
      <w:tr w14:paraId="0436A6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4E0925B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13</w:t>
            </w:r>
          </w:p>
        </w:tc>
        <w:tc>
          <w:tcPr>
            <w:tcW w:w="850" w:type="dxa"/>
            <w:tcBorders>
              <w:tl2br w:val="nil"/>
              <w:tr2bl w:val="nil"/>
            </w:tcBorders>
            <w:tcMar>
              <w:top w:w="0" w:type="dxa"/>
              <w:left w:w="108" w:type="dxa"/>
              <w:bottom w:w="0" w:type="dxa"/>
              <w:right w:w="108" w:type="dxa"/>
            </w:tcMar>
            <w:vAlign w:val="center"/>
          </w:tcPr>
          <w:p w14:paraId="71D2A0D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311FB5D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2920A4A4">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3497925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服务器汇聚交换机</w:t>
            </w:r>
          </w:p>
        </w:tc>
        <w:tc>
          <w:tcPr>
            <w:tcW w:w="850" w:type="dxa"/>
            <w:tcBorders>
              <w:tl2br w:val="nil"/>
              <w:tr2bl w:val="nil"/>
            </w:tcBorders>
            <w:shd w:val="clear" w:color="auto" w:fill="auto"/>
            <w:tcMar>
              <w:top w:w="0" w:type="dxa"/>
              <w:left w:w="108" w:type="dxa"/>
              <w:bottom w:w="0" w:type="dxa"/>
              <w:right w:w="108" w:type="dxa"/>
            </w:tcMar>
            <w:vAlign w:val="center"/>
          </w:tcPr>
          <w:p w14:paraId="2C78F8F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w:t>
            </w:r>
          </w:p>
        </w:tc>
        <w:tc>
          <w:tcPr>
            <w:tcW w:w="850" w:type="dxa"/>
            <w:tcBorders>
              <w:tl2br w:val="nil"/>
              <w:tr2bl w:val="nil"/>
            </w:tcBorders>
            <w:shd w:val="clear" w:color="auto" w:fill="auto"/>
            <w:tcMar>
              <w:top w:w="0" w:type="dxa"/>
              <w:left w:w="108" w:type="dxa"/>
              <w:bottom w:w="0" w:type="dxa"/>
              <w:right w:w="108" w:type="dxa"/>
            </w:tcMar>
            <w:vAlign w:val="center"/>
          </w:tcPr>
          <w:p w14:paraId="78C7001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4A05B887">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12800.00</w:t>
            </w:r>
          </w:p>
        </w:tc>
      </w:tr>
      <w:tr w14:paraId="392730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14B05ECA">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14</w:t>
            </w:r>
          </w:p>
        </w:tc>
        <w:tc>
          <w:tcPr>
            <w:tcW w:w="850" w:type="dxa"/>
            <w:tcBorders>
              <w:tl2br w:val="nil"/>
              <w:tr2bl w:val="nil"/>
            </w:tcBorders>
            <w:tcMar>
              <w:top w:w="0" w:type="dxa"/>
              <w:left w:w="108" w:type="dxa"/>
              <w:bottom w:w="0" w:type="dxa"/>
              <w:right w:w="108" w:type="dxa"/>
            </w:tcMar>
            <w:vAlign w:val="center"/>
          </w:tcPr>
          <w:p w14:paraId="361FB1B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1BF5B75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1479AAF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7572FB6E">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教学机房接入上行交换机</w:t>
            </w:r>
          </w:p>
        </w:tc>
        <w:tc>
          <w:tcPr>
            <w:tcW w:w="850" w:type="dxa"/>
            <w:tcBorders>
              <w:tl2br w:val="nil"/>
              <w:tr2bl w:val="nil"/>
            </w:tcBorders>
            <w:shd w:val="clear" w:color="auto" w:fill="auto"/>
            <w:tcMar>
              <w:top w:w="0" w:type="dxa"/>
              <w:left w:w="108" w:type="dxa"/>
              <w:bottom w:w="0" w:type="dxa"/>
              <w:right w:w="108" w:type="dxa"/>
            </w:tcMar>
            <w:vAlign w:val="center"/>
          </w:tcPr>
          <w:p w14:paraId="0E37272B">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11</w:t>
            </w:r>
          </w:p>
        </w:tc>
        <w:tc>
          <w:tcPr>
            <w:tcW w:w="850" w:type="dxa"/>
            <w:tcBorders>
              <w:tl2br w:val="nil"/>
              <w:tr2bl w:val="nil"/>
            </w:tcBorders>
            <w:shd w:val="clear" w:color="auto" w:fill="auto"/>
            <w:tcMar>
              <w:top w:w="0" w:type="dxa"/>
              <w:left w:w="108" w:type="dxa"/>
              <w:bottom w:w="0" w:type="dxa"/>
              <w:right w:w="108" w:type="dxa"/>
            </w:tcMar>
            <w:vAlign w:val="center"/>
          </w:tcPr>
          <w:p w14:paraId="12709AA4">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2D63151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3000.00</w:t>
            </w:r>
          </w:p>
        </w:tc>
      </w:tr>
      <w:tr w14:paraId="35FF5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00541279">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15</w:t>
            </w:r>
          </w:p>
        </w:tc>
        <w:tc>
          <w:tcPr>
            <w:tcW w:w="850" w:type="dxa"/>
            <w:tcBorders>
              <w:tl2br w:val="nil"/>
              <w:tr2bl w:val="nil"/>
            </w:tcBorders>
            <w:tcMar>
              <w:top w:w="0" w:type="dxa"/>
              <w:left w:w="108" w:type="dxa"/>
              <w:bottom w:w="0" w:type="dxa"/>
              <w:right w:w="108" w:type="dxa"/>
            </w:tcMar>
            <w:vAlign w:val="center"/>
          </w:tcPr>
          <w:p w14:paraId="0B5AA271">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0959C25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5E8555B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3385900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教学机房接入交换机</w:t>
            </w:r>
          </w:p>
        </w:tc>
        <w:tc>
          <w:tcPr>
            <w:tcW w:w="850" w:type="dxa"/>
            <w:tcBorders>
              <w:tl2br w:val="nil"/>
              <w:tr2bl w:val="nil"/>
            </w:tcBorders>
            <w:shd w:val="clear" w:color="auto" w:fill="auto"/>
            <w:tcMar>
              <w:top w:w="0" w:type="dxa"/>
              <w:left w:w="108" w:type="dxa"/>
              <w:bottom w:w="0" w:type="dxa"/>
              <w:right w:w="108" w:type="dxa"/>
            </w:tcMar>
            <w:vAlign w:val="center"/>
          </w:tcPr>
          <w:p w14:paraId="6D294E97">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2</w:t>
            </w:r>
          </w:p>
        </w:tc>
        <w:tc>
          <w:tcPr>
            <w:tcW w:w="850" w:type="dxa"/>
            <w:tcBorders>
              <w:tl2br w:val="nil"/>
              <w:tr2bl w:val="nil"/>
            </w:tcBorders>
            <w:shd w:val="clear" w:color="auto" w:fill="auto"/>
            <w:tcMar>
              <w:top w:w="0" w:type="dxa"/>
              <w:left w:w="108" w:type="dxa"/>
              <w:bottom w:w="0" w:type="dxa"/>
              <w:right w:w="108" w:type="dxa"/>
            </w:tcMar>
            <w:vAlign w:val="center"/>
          </w:tcPr>
          <w:p w14:paraId="0DCF1969">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40FF0E8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3500.00</w:t>
            </w:r>
          </w:p>
        </w:tc>
      </w:tr>
      <w:tr w14:paraId="5EAFB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00BE4A3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16</w:t>
            </w:r>
          </w:p>
        </w:tc>
        <w:tc>
          <w:tcPr>
            <w:tcW w:w="850" w:type="dxa"/>
            <w:tcBorders>
              <w:tl2br w:val="nil"/>
              <w:tr2bl w:val="nil"/>
            </w:tcBorders>
            <w:tcMar>
              <w:top w:w="0" w:type="dxa"/>
              <w:left w:w="108" w:type="dxa"/>
              <w:bottom w:w="0" w:type="dxa"/>
              <w:right w:w="108" w:type="dxa"/>
            </w:tcMar>
            <w:vAlign w:val="center"/>
          </w:tcPr>
          <w:p w14:paraId="390D138F">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0F0E9232">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7549989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481AA98B">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智能显示协同终端</w:t>
            </w:r>
          </w:p>
        </w:tc>
        <w:tc>
          <w:tcPr>
            <w:tcW w:w="850" w:type="dxa"/>
            <w:tcBorders>
              <w:tl2br w:val="nil"/>
              <w:tr2bl w:val="nil"/>
            </w:tcBorders>
            <w:shd w:val="clear" w:color="auto" w:fill="auto"/>
            <w:tcMar>
              <w:top w:w="0" w:type="dxa"/>
              <w:left w:w="108" w:type="dxa"/>
              <w:bottom w:w="0" w:type="dxa"/>
              <w:right w:w="108" w:type="dxa"/>
            </w:tcMar>
            <w:vAlign w:val="center"/>
          </w:tcPr>
          <w:p w14:paraId="5191A52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7</w:t>
            </w:r>
          </w:p>
        </w:tc>
        <w:tc>
          <w:tcPr>
            <w:tcW w:w="850" w:type="dxa"/>
            <w:tcBorders>
              <w:tl2br w:val="nil"/>
              <w:tr2bl w:val="nil"/>
            </w:tcBorders>
            <w:shd w:val="clear" w:color="auto" w:fill="auto"/>
            <w:tcMar>
              <w:top w:w="0" w:type="dxa"/>
              <w:left w:w="108" w:type="dxa"/>
              <w:bottom w:w="0" w:type="dxa"/>
              <w:right w:w="108" w:type="dxa"/>
            </w:tcMar>
            <w:vAlign w:val="center"/>
          </w:tcPr>
          <w:p w14:paraId="2C56433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57A4A13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ascii="宋体" w:hAnsi="宋体" w:cs="宋体"/>
                <w:color w:val="auto"/>
                <w:kern w:val="0"/>
                <w:sz w:val="20"/>
                <w:lang w:bidi="ar"/>
              </w:rPr>
              <w:t>32</w:t>
            </w:r>
            <w:r>
              <w:rPr>
                <w:rFonts w:hint="eastAsia" w:ascii="宋体" w:hAnsi="宋体" w:cs="宋体"/>
                <w:color w:val="auto"/>
                <w:kern w:val="0"/>
                <w:sz w:val="20"/>
                <w:lang w:bidi="ar"/>
              </w:rPr>
              <w:t>000.00</w:t>
            </w:r>
          </w:p>
        </w:tc>
      </w:tr>
      <w:tr w14:paraId="2FB850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072E366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17</w:t>
            </w:r>
          </w:p>
        </w:tc>
        <w:tc>
          <w:tcPr>
            <w:tcW w:w="850" w:type="dxa"/>
            <w:tcBorders>
              <w:tl2br w:val="nil"/>
              <w:tr2bl w:val="nil"/>
            </w:tcBorders>
            <w:tcMar>
              <w:top w:w="0" w:type="dxa"/>
              <w:left w:w="108" w:type="dxa"/>
              <w:bottom w:w="0" w:type="dxa"/>
              <w:right w:w="108" w:type="dxa"/>
            </w:tcMar>
            <w:vAlign w:val="center"/>
          </w:tcPr>
          <w:p w14:paraId="25E03DF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21A9313C">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2A406407">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10E65D6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光能黑板</w:t>
            </w:r>
          </w:p>
        </w:tc>
        <w:tc>
          <w:tcPr>
            <w:tcW w:w="850" w:type="dxa"/>
            <w:tcBorders>
              <w:tl2br w:val="nil"/>
              <w:tr2bl w:val="nil"/>
            </w:tcBorders>
            <w:shd w:val="clear" w:color="auto" w:fill="auto"/>
            <w:tcMar>
              <w:top w:w="0" w:type="dxa"/>
              <w:left w:w="108" w:type="dxa"/>
              <w:bottom w:w="0" w:type="dxa"/>
              <w:right w:w="108" w:type="dxa"/>
            </w:tcMar>
            <w:vAlign w:val="center"/>
          </w:tcPr>
          <w:p w14:paraId="14C98DAF">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7</w:t>
            </w:r>
          </w:p>
        </w:tc>
        <w:tc>
          <w:tcPr>
            <w:tcW w:w="850" w:type="dxa"/>
            <w:tcBorders>
              <w:tl2br w:val="nil"/>
              <w:tr2bl w:val="nil"/>
            </w:tcBorders>
            <w:shd w:val="clear" w:color="auto" w:fill="auto"/>
            <w:tcMar>
              <w:top w:w="0" w:type="dxa"/>
              <w:left w:w="108" w:type="dxa"/>
              <w:bottom w:w="0" w:type="dxa"/>
              <w:right w:w="108" w:type="dxa"/>
            </w:tcMar>
            <w:vAlign w:val="center"/>
          </w:tcPr>
          <w:p w14:paraId="42D9BFA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块</w:t>
            </w:r>
          </w:p>
        </w:tc>
        <w:tc>
          <w:tcPr>
            <w:tcW w:w="1310" w:type="dxa"/>
            <w:tcBorders>
              <w:tl2br w:val="nil"/>
              <w:tr2bl w:val="nil"/>
            </w:tcBorders>
            <w:shd w:val="clear" w:color="auto" w:fill="auto"/>
            <w:tcMar>
              <w:top w:w="0" w:type="dxa"/>
              <w:left w:w="108" w:type="dxa"/>
              <w:bottom w:w="0" w:type="dxa"/>
              <w:right w:w="108" w:type="dxa"/>
            </w:tcMar>
            <w:vAlign w:val="center"/>
          </w:tcPr>
          <w:p w14:paraId="6ADFE6D8">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ascii="宋体" w:hAnsi="宋体" w:cs="宋体"/>
                <w:color w:val="auto"/>
                <w:kern w:val="0"/>
                <w:szCs w:val="21"/>
              </w:rPr>
              <w:t>8000.00</w:t>
            </w:r>
          </w:p>
        </w:tc>
      </w:tr>
      <w:tr w14:paraId="469770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6A7B309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18</w:t>
            </w:r>
          </w:p>
        </w:tc>
        <w:tc>
          <w:tcPr>
            <w:tcW w:w="850" w:type="dxa"/>
            <w:tcBorders>
              <w:tl2br w:val="nil"/>
              <w:tr2bl w:val="nil"/>
            </w:tcBorders>
            <w:tcMar>
              <w:top w:w="0" w:type="dxa"/>
              <w:left w:w="108" w:type="dxa"/>
              <w:bottom w:w="0" w:type="dxa"/>
              <w:right w:w="108" w:type="dxa"/>
            </w:tcMar>
            <w:vAlign w:val="center"/>
          </w:tcPr>
          <w:p w14:paraId="5EF2EB3F">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5E639737">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4100B7AC">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647E8F2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一体化多媒体设备柜</w:t>
            </w:r>
          </w:p>
        </w:tc>
        <w:tc>
          <w:tcPr>
            <w:tcW w:w="850" w:type="dxa"/>
            <w:tcBorders>
              <w:tl2br w:val="nil"/>
              <w:tr2bl w:val="nil"/>
            </w:tcBorders>
            <w:shd w:val="clear" w:color="auto" w:fill="auto"/>
            <w:tcMar>
              <w:top w:w="0" w:type="dxa"/>
              <w:left w:w="108" w:type="dxa"/>
              <w:bottom w:w="0" w:type="dxa"/>
              <w:right w:w="108" w:type="dxa"/>
            </w:tcMar>
            <w:vAlign w:val="center"/>
          </w:tcPr>
          <w:p w14:paraId="5EB6C89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3</w:t>
            </w:r>
          </w:p>
        </w:tc>
        <w:tc>
          <w:tcPr>
            <w:tcW w:w="850" w:type="dxa"/>
            <w:tcBorders>
              <w:tl2br w:val="nil"/>
              <w:tr2bl w:val="nil"/>
            </w:tcBorders>
            <w:shd w:val="clear" w:color="auto" w:fill="auto"/>
            <w:tcMar>
              <w:top w:w="0" w:type="dxa"/>
              <w:left w:w="108" w:type="dxa"/>
              <w:bottom w:w="0" w:type="dxa"/>
              <w:right w:w="108" w:type="dxa"/>
            </w:tcMar>
            <w:vAlign w:val="center"/>
          </w:tcPr>
          <w:p w14:paraId="4415DFF9">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645B6175">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2760.00</w:t>
            </w:r>
          </w:p>
        </w:tc>
      </w:tr>
      <w:tr w14:paraId="29BEAD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1A09A6CA">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19</w:t>
            </w:r>
          </w:p>
        </w:tc>
        <w:tc>
          <w:tcPr>
            <w:tcW w:w="850" w:type="dxa"/>
            <w:tcBorders>
              <w:tl2br w:val="nil"/>
              <w:tr2bl w:val="nil"/>
            </w:tcBorders>
            <w:tcMar>
              <w:top w:w="0" w:type="dxa"/>
              <w:left w:w="108" w:type="dxa"/>
              <w:bottom w:w="0" w:type="dxa"/>
              <w:right w:w="108" w:type="dxa"/>
            </w:tcMar>
            <w:vAlign w:val="center"/>
          </w:tcPr>
          <w:p w14:paraId="368FC259">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07ED748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0BE0A179">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495CDF2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拾音扩声主机</w:t>
            </w:r>
          </w:p>
        </w:tc>
        <w:tc>
          <w:tcPr>
            <w:tcW w:w="850" w:type="dxa"/>
            <w:tcBorders>
              <w:tl2br w:val="nil"/>
              <w:tr2bl w:val="nil"/>
            </w:tcBorders>
            <w:shd w:val="clear" w:color="auto" w:fill="auto"/>
            <w:tcMar>
              <w:top w:w="0" w:type="dxa"/>
              <w:left w:w="108" w:type="dxa"/>
              <w:bottom w:w="0" w:type="dxa"/>
              <w:right w:w="108" w:type="dxa"/>
            </w:tcMar>
            <w:vAlign w:val="center"/>
          </w:tcPr>
          <w:p w14:paraId="574889B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3</w:t>
            </w:r>
          </w:p>
        </w:tc>
        <w:tc>
          <w:tcPr>
            <w:tcW w:w="850" w:type="dxa"/>
            <w:tcBorders>
              <w:tl2br w:val="nil"/>
              <w:tr2bl w:val="nil"/>
            </w:tcBorders>
            <w:shd w:val="clear" w:color="auto" w:fill="auto"/>
            <w:tcMar>
              <w:top w:w="0" w:type="dxa"/>
              <w:left w:w="108" w:type="dxa"/>
              <w:bottom w:w="0" w:type="dxa"/>
              <w:right w:w="108" w:type="dxa"/>
            </w:tcMar>
            <w:vAlign w:val="center"/>
          </w:tcPr>
          <w:p w14:paraId="720ED3B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7BB3A55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5850.00</w:t>
            </w:r>
          </w:p>
        </w:tc>
      </w:tr>
      <w:tr w14:paraId="61A6EE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5ED426A9">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20</w:t>
            </w:r>
          </w:p>
        </w:tc>
        <w:tc>
          <w:tcPr>
            <w:tcW w:w="850" w:type="dxa"/>
            <w:tcBorders>
              <w:tl2br w:val="nil"/>
              <w:tr2bl w:val="nil"/>
            </w:tcBorders>
            <w:tcMar>
              <w:top w:w="0" w:type="dxa"/>
              <w:left w:w="108" w:type="dxa"/>
              <w:bottom w:w="0" w:type="dxa"/>
              <w:right w:w="108" w:type="dxa"/>
            </w:tcMar>
            <w:vAlign w:val="center"/>
          </w:tcPr>
          <w:p w14:paraId="2697006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08ECDDA8">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75A7DFA2">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39882F19">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音柱</w:t>
            </w:r>
          </w:p>
        </w:tc>
        <w:tc>
          <w:tcPr>
            <w:tcW w:w="850" w:type="dxa"/>
            <w:tcBorders>
              <w:tl2br w:val="nil"/>
              <w:tr2bl w:val="nil"/>
            </w:tcBorders>
            <w:shd w:val="clear" w:color="auto" w:fill="auto"/>
            <w:tcMar>
              <w:top w:w="0" w:type="dxa"/>
              <w:left w:w="108" w:type="dxa"/>
              <w:bottom w:w="0" w:type="dxa"/>
              <w:right w:w="108" w:type="dxa"/>
            </w:tcMar>
            <w:vAlign w:val="center"/>
          </w:tcPr>
          <w:p w14:paraId="3D92A4A9">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12</w:t>
            </w:r>
          </w:p>
        </w:tc>
        <w:tc>
          <w:tcPr>
            <w:tcW w:w="850" w:type="dxa"/>
            <w:tcBorders>
              <w:tl2br w:val="nil"/>
              <w:tr2bl w:val="nil"/>
            </w:tcBorders>
            <w:shd w:val="clear" w:color="auto" w:fill="auto"/>
            <w:tcMar>
              <w:top w:w="0" w:type="dxa"/>
              <w:left w:w="108" w:type="dxa"/>
              <w:bottom w:w="0" w:type="dxa"/>
              <w:right w:w="108" w:type="dxa"/>
            </w:tcMar>
            <w:vAlign w:val="center"/>
          </w:tcPr>
          <w:p w14:paraId="69868D69">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只</w:t>
            </w:r>
          </w:p>
        </w:tc>
        <w:tc>
          <w:tcPr>
            <w:tcW w:w="1310" w:type="dxa"/>
            <w:tcBorders>
              <w:tl2br w:val="nil"/>
              <w:tr2bl w:val="nil"/>
            </w:tcBorders>
            <w:shd w:val="clear" w:color="auto" w:fill="auto"/>
            <w:tcMar>
              <w:top w:w="0" w:type="dxa"/>
              <w:left w:w="108" w:type="dxa"/>
              <w:bottom w:w="0" w:type="dxa"/>
              <w:right w:w="108" w:type="dxa"/>
            </w:tcMar>
            <w:vAlign w:val="center"/>
          </w:tcPr>
          <w:p w14:paraId="26D093C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1200.00</w:t>
            </w:r>
          </w:p>
        </w:tc>
      </w:tr>
      <w:tr w14:paraId="718D8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5AC92B3E">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21</w:t>
            </w:r>
          </w:p>
        </w:tc>
        <w:tc>
          <w:tcPr>
            <w:tcW w:w="850" w:type="dxa"/>
            <w:tcBorders>
              <w:tl2br w:val="nil"/>
              <w:tr2bl w:val="nil"/>
            </w:tcBorders>
            <w:tcMar>
              <w:top w:w="0" w:type="dxa"/>
              <w:left w:w="108" w:type="dxa"/>
              <w:bottom w:w="0" w:type="dxa"/>
              <w:right w:w="108" w:type="dxa"/>
            </w:tcMar>
            <w:vAlign w:val="center"/>
          </w:tcPr>
          <w:p w14:paraId="6BA934E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04FB13E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2ECCA74F">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3463EA1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充电底座</w:t>
            </w:r>
          </w:p>
        </w:tc>
        <w:tc>
          <w:tcPr>
            <w:tcW w:w="850" w:type="dxa"/>
            <w:tcBorders>
              <w:tl2br w:val="nil"/>
              <w:tr2bl w:val="nil"/>
            </w:tcBorders>
            <w:shd w:val="clear" w:color="auto" w:fill="auto"/>
            <w:tcMar>
              <w:top w:w="0" w:type="dxa"/>
              <w:left w:w="108" w:type="dxa"/>
              <w:bottom w:w="0" w:type="dxa"/>
              <w:right w:w="108" w:type="dxa"/>
            </w:tcMar>
            <w:vAlign w:val="center"/>
          </w:tcPr>
          <w:p w14:paraId="3D237D2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3</w:t>
            </w:r>
          </w:p>
        </w:tc>
        <w:tc>
          <w:tcPr>
            <w:tcW w:w="850" w:type="dxa"/>
            <w:tcBorders>
              <w:tl2br w:val="nil"/>
              <w:tr2bl w:val="nil"/>
            </w:tcBorders>
            <w:shd w:val="clear" w:color="auto" w:fill="auto"/>
            <w:tcMar>
              <w:top w:w="0" w:type="dxa"/>
              <w:left w:w="108" w:type="dxa"/>
              <w:bottom w:w="0" w:type="dxa"/>
              <w:right w:w="108" w:type="dxa"/>
            </w:tcMar>
            <w:vAlign w:val="center"/>
          </w:tcPr>
          <w:p w14:paraId="05A0297F">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53E452ED">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550.00</w:t>
            </w:r>
          </w:p>
        </w:tc>
      </w:tr>
      <w:tr w14:paraId="53B08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51B558CF">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22</w:t>
            </w:r>
          </w:p>
        </w:tc>
        <w:tc>
          <w:tcPr>
            <w:tcW w:w="850" w:type="dxa"/>
            <w:tcBorders>
              <w:tl2br w:val="nil"/>
              <w:tr2bl w:val="nil"/>
            </w:tcBorders>
            <w:tcMar>
              <w:top w:w="0" w:type="dxa"/>
              <w:left w:w="108" w:type="dxa"/>
              <w:bottom w:w="0" w:type="dxa"/>
              <w:right w:w="108" w:type="dxa"/>
            </w:tcMar>
            <w:vAlign w:val="center"/>
          </w:tcPr>
          <w:p w14:paraId="48474F01">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1D25F7A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2106671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30132306">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吊装式麦克风</w:t>
            </w:r>
          </w:p>
        </w:tc>
        <w:tc>
          <w:tcPr>
            <w:tcW w:w="850" w:type="dxa"/>
            <w:tcBorders>
              <w:tl2br w:val="nil"/>
              <w:tr2bl w:val="nil"/>
            </w:tcBorders>
            <w:shd w:val="clear" w:color="auto" w:fill="auto"/>
            <w:tcMar>
              <w:top w:w="0" w:type="dxa"/>
              <w:left w:w="108" w:type="dxa"/>
              <w:bottom w:w="0" w:type="dxa"/>
              <w:right w:w="108" w:type="dxa"/>
            </w:tcMar>
            <w:vAlign w:val="center"/>
          </w:tcPr>
          <w:p w14:paraId="7FBE51A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6</w:t>
            </w:r>
          </w:p>
        </w:tc>
        <w:tc>
          <w:tcPr>
            <w:tcW w:w="850" w:type="dxa"/>
            <w:tcBorders>
              <w:tl2br w:val="nil"/>
              <w:tr2bl w:val="nil"/>
            </w:tcBorders>
            <w:shd w:val="clear" w:color="auto" w:fill="auto"/>
            <w:tcMar>
              <w:top w:w="0" w:type="dxa"/>
              <w:left w:w="108" w:type="dxa"/>
              <w:bottom w:w="0" w:type="dxa"/>
              <w:right w:w="108" w:type="dxa"/>
            </w:tcMar>
            <w:vAlign w:val="center"/>
          </w:tcPr>
          <w:p w14:paraId="0E54B26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支</w:t>
            </w:r>
          </w:p>
        </w:tc>
        <w:tc>
          <w:tcPr>
            <w:tcW w:w="1310" w:type="dxa"/>
            <w:tcBorders>
              <w:tl2br w:val="nil"/>
              <w:tr2bl w:val="nil"/>
            </w:tcBorders>
            <w:shd w:val="clear" w:color="auto" w:fill="auto"/>
            <w:tcMar>
              <w:top w:w="0" w:type="dxa"/>
              <w:left w:w="108" w:type="dxa"/>
              <w:bottom w:w="0" w:type="dxa"/>
              <w:right w:w="108" w:type="dxa"/>
            </w:tcMar>
            <w:vAlign w:val="center"/>
          </w:tcPr>
          <w:p w14:paraId="570FBA87">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850.00</w:t>
            </w:r>
          </w:p>
        </w:tc>
      </w:tr>
      <w:tr w14:paraId="1BE203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18905687">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23</w:t>
            </w:r>
          </w:p>
        </w:tc>
        <w:tc>
          <w:tcPr>
            <w:tcW w:w="850" w:type="dxa"/>
            <w:tcBorders>
              <w:tl2br w:val="nil"/>
              <w:tr2bl w:val="nil"/>
            </w:tcBorders>
            <w:tcMar>
              <w:top w:w="0" w:type="dxa"/>
              <w:left w:w="108" w:type="dxa"/>
              <w:bottom w:w="0" w:type="dxa"/>
              <w:right w:w="108" w:type="dxa"/>
            </w:tcMar>
            <w:vAlign w:val="center"/>
          </w:tcPr>
          <w:p w14:paraId="382A749F">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42BD069C">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19CB1847">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7C29F94D">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无线麦克风</w:t>
            </w:r>
          </w:p>
        </w:tc>
        <w:tc>
          <w:tcPr>
            <w:tcW w:w="850" w:type="dxa"/>
            <w:tcBorders>
              <w:tl2br w:val="nil"/>
              <w:tr2bl w:val="nil"/>
            </w:tcBorders>
            <w:shd w:val="clear" w:color="auto" w:fill="auto"/>
            <w:tcMar>
              <w:top w:w="0" w:type="dxa"/>
              <w:left w:w="108" w:type="dxa"/>
              <w:bottom w:w="0" w:type="dxa"/>
              <w:right w:w="108" w:type="dxa"/>
            </w:tcMar>
            <w:vAlign w:val="center"/>
          </w:tcPr>
          <w:p w14:paraId="17BEF927">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3</w:t>
            </w:r>
          </w:p>
        </w:tc>
        <w:tc>
          <w:tcPr>
            <w:tcW w:w="850" w:type="dxa"/>
            <w:tcBorders>
              <w:tl2br w:val="nil"/>
              <w:tr2bl w:val="nil"/>
            </w:tcBorders>
            <w:shd w:val="clear" w:color="auto" w:fill="auto"/>
            <w:tcMar>
              <w:top w:w="0" w:type="dxa"/>
              <w:left w:w="108" w:type="dxa"/>
              <w:bottom w:w="0" w:type="dxa"/>
              <w:right w:w="108" w:type="dxa"/>
            </w:tcMar>
            <w:vAlign w:val="center"/>
          </w:tcPr>
          <w:p w14:paraId="500582FB">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支</w:t>
            </w:r>
          </w:p>
        </w:tc>
        <w:tc>
          <w:tcPr>
            <w:tcW w:w="1310" w:type="dxa"/>
            <w:tcBorders>
              <w:tl2br w:val="nil"/>
              <w:tr2bl w:val="nil"/>
            </w:tcBorders>
            <w:shd w:val="clear" w:color="auto" w:fill="auto"/>
            <w:tcMar>
              <w:top w:w="0" w:type="dxa"/>
              <w:left w:w="108" w:type="dxa"/>
              <w:bottom w:w="0" w:type="dxa"/>
              <w:right w:w="108" w:type="dxa"/>
            </w:tcMar>
            <w:vAlign w:val="center"/>
          </w:tcPr>
          <w:p w14:paraId="0F96FD55">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900.00</w:t>
            </w:r>
          </w:p>
        </w:tc>
      </w:tr>
      <w:tr w14:paraId="17EF1C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363CEBED">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24</w:t>
            </w:r>
          </w:p>
        </w:tc>
        <w:tc>
          <w:tcPr>
            <w:tcW w:w="850" w:type="dxa"/>
            <w:tcBorders>
              <w:tl2br w:val="nil"/>
              <w:tr2bl w:val="nil"/>
            </w:tcBorders>
            <w:tcMar>
              <w:top w:w="0" w:type="dxa"/>
              <w:left w:w="108" w:type="dxa"/>
              <w:bottom w:w="0" w:type="dxa"/>
              <w:right w:w="108" w:type="dxa"/>
            </w:tcMar>
            <w:vAlign w:val="center"/>
          </w:tcPr>
          <w:p w14:paraId="7268AF4D">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44EEA46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30319AF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67E78A64">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数字红外接收器</w:t>
            </w:r>
          </w:p>
        </w:tc>
        <w:tc>
          <w:tcPr>
            <w:tcW w:w="850" w:type="dxa"/>
            <w:tcBorders>
              <w:tl2br w:val="nil"/>
              <w:tr2bl w:val="nil"/>
            </w:tcBorders>
            <w:shd w:val="clear" w:color="auto" w:fill="auto"/>
            <w:tcMar>
              <w:top w:w="0" w:type="dxa"/>
              <w:left w:w="108" w:type="dxa"/>
              <w:bottom w:w="0" w:type="dxa"/>
              <w:right w:w="108" w:type="dxa"/>
            </w:tcMar>
            <w:vAlign w:val="center"/>
          </w:tcPr>
          <w:p w14:paraId="72F2C71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6</w:t>
            </w:r>
          </w:p>
        </w:tc>
        <w:tc>
          <w:tcPr>
            <w:tcW w:w="850" w:type="dxa"/>
            <w:tcBorders>
              <w:tl2br w:val="nil"/>
              <w:tr2bl w:val="nil"/>
            </w:tcBorders>
            <w:shd w:val="clear" w:color="auto" w:fill="auto"/>
            <w:tcMar>
              <w:top w:w="0" w:type="dxa"/>
              <w:left w:w="108" w:type="dxa"/>
              <w:bottom w:w="0" w:type="dxa"/>
              <w:right w:w="108" w:type="dxa"/>
            </w:tcMar>
            <w:vAlign w:val="center"/>
          </w:tcPr>
          <w:p w14:paraId="224F532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个</w:t>
            </w:r>
          </w:p>
        </w:tc>
        <w:tc>
          <w:tcPr>
            <w:tcW w:w="1310" w:type="dxa"/>
            <w:tcBorders>
              <w:tl2br w:val="nil"/>
              <w:tr2bl w:val="nil"/>
            </w:tcBorders>
            <w:shd w:val="clear" w:color="auto" w:fill="auto"/>
            <w:tcMar>
              <w:top w:w="0" w:type="dxa"/>
              <w:left w:w="108" w:type="dxa"/>
              <w:bottom w:w="0" w:type="dxa"/>
              <w:right w:w="108" w:type="dxa"/>
            </w:tcMar>
            <w:vAlign w:val="center"/>
          </w:tcPr>
          <w:p w14:paraId="15EA6A0D">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440.00</w:t>
            </w:r>
          </w:p>
        </w:tc>
      </w:tr>
      <w:tr w14:paraId="12F4C3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3FC47CE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25</w:t>
            </w:r>
          </w:p>
        </w:tc>
        <w:tc>
          <w:tcPr>
            <w:tcW w:w="850" w:type="dxa"/>
            <w:tcBorders>
              <w:tl2br w:val="nil"/>
              <w:tr2bl w:val="nil"/>
            </w:tcBorders>
            <w:tcMar>
              <w:top w:w="0" w:type="dxa"/>
              <w:left w:w="108" w:type="dxa"/>
              <w:bottom w:w="0" w:type="dxa"/>
              <w:right w:w="108" w:type="dxa"/>
            </w:tcMar>
            <w:vAlign w:val="center"/>
          </w:tcPr>
          <w:p w14:paraId="2E86930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11D9F4C9">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4179E036">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01EC43A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智慧管理主机</w:t>
            </w:r>
          </w:p>
        </w:tc>
        <w:tc>
          <w:tcPr>
            <w:tcW w:w="850" w:type="dxa"/>
            <w:tcBorders>
              <w:tl2br w:val="nil"/>
              <w:tr2bl w:val="nil"/>
            </w:tcBorders>
            <w:shd w:val="clear" w:color="auto" w:fill="auto"/>
            <w:tcMar>
              <w:top w:w="0" w:type="dxa"/>
              <w:left w:w="108" w:type="dxa"/>
              <w:bottom w:w="0" w:type="dxa"/>
              <w:right w:w="108" w:type="dxa"/>
            </w:tcMar>
            <w:vAlign w:val="center"/>
          </w:tcPr>
          <w:p w14:paraId="7C4E00A6">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3</w:t>
            </w:r>
          </w:p>
        </w:tc>
        <w:tc>
          <w:tcPr>
            <w:tcW w:w="850" w:type="dxa"/>
            <w:tcBorders>
              <w:tl2br w:val="nil"/>
              <w:tr2bl w:val="nil"/>
            </w:tcBorders>
            <w:shd w:val="clear" w:color="auto" w:fill="auto"/>
            <w:tcMar>
              <w:top w:w="0" w:type="dxa"/>
              <w:left w:w="108" w:type="dxa"/>
              <w:bottom w:w="0" w:type="dxa"/>
              <w:right w:w="108" w:type="dxa"/>
            </w:tcMar>
            <w:vAlign w:val="center"/>
          </w:tcPr>
          <w:p w14:paraId="3A83FCB7">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6C832E1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8400.00</w:t>
            </w:r>
          </w:p>
        </w:tc>
      </w:tr>
      <w:tr w14:paraId="6AD15F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0F2870B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26</w:t>
            </w:r>
          </w:p>
        </w:tc>
        <w:tc>
          <w:tcPr>
            <w:tcW w:w="850" w:type="dxa"/>
            <w:tcBorders>
              <w:tl2br w:val="nil"/>
              <w:tr2bl w:val="nil"/>
            </w:tcBorders>
            <w:tcMar>
              <w:top w:w="0" w:type="dxa"/>
              <w:left w:w="108" w:type="dxa"/>
              <w:bottom w:w="0" w:type="dxa"/>
              <w:right w:w="108" w:type="dxa"/>
            </w:tcMar>
            <w:vAlign w:val="center"/>
          </w:tcPr>
          <w:p w14:paraId="246F2297">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4C2A2D3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31819115">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314EB6A4">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触摸控制面板</w:t>
            </w:r>
          </w:p>
        </w:tc>
        <w:tc>
          <w:tcPr>
            <w:tcW w:w="850" w:type="dxa"/>
            <w:tcBorders>
              <w:tl2br w:val="nil"/>
              <w:tr2bl w:val="nil"/>
            </w:tcBorders>
            <w:shd w:val="clear" w:color="auto" w:fill="auto"/>
            <w:tcMar>
              <w:top w:w="0" w:type="dxa"/>
              <w:left w:w="108" w:type="dxa"/>
              <w:bottom w:w="0" w:type="dxa"/>
              <w:right w:w="108" w:type="dxa"/>
            </w:tcMar>
            <w:vAlign w:val="center"/>
          </w:tcPr>
          <w:p w14:paraId="43C855C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3</w:t>
            </w:r>
          </w:p>
        </w:tc>
        <w:tc>
          <w:tcPr>
            <w:tcW w:w="850" w:type="dxa"/>
            <w:tcBorders>
              <w:tl2br w:val="nil"/>
              <w:tr2bl w:val="nil"/>
            </w:tcBorders>
            <w:shd w:val="clear" w:color="auto" w:fill="auto"/>
            <w:tcMar>
              <w:top w:w="0" w:type="dxa"/>
              <w:left w:w="108" w:type="dxa"/>
              <w:bottom w:w="0" w:type="dxa"/>
              <w:right w:w="108" w:type="dxa"/>
            </w:tcMar>
            <w:vAlign w:val="center"/>
          </w:tcPr>
          <w:p w14:paraId="56FA00DE">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638F5A92">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1500.00</w:t>
            </w:r>
          </w:p>
        </w:tc>
      </w:tr>
      <w:tr w14:paraId="055CD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25E9BD6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27</w:t>
            </w:r>
          </w:p>
        </w:tc>
        <w:tc>
          <w:tcPr>
            <w:tcW w:w="850" w:type="dxa"/>
            <w:tcBorders>
              <w:tl2br w:val="nil"/>
              <w:tr2bl w:val="nil"/>
            </w:tcBorders>
            <w:tcMar>
              <w:top w:w="0" w:type="dxa"/>
              <w:left w:w="108" w:type="dxa"/>
              <w:bottom w:w="0" w:type="dxa"/>
              <w:right w:w="108" w:type="dxa"/>
            </w:tcMar>
            <w:vAlign w:val="center"/>
          </w:tcPr>
          <w:p w14:paraId="4C88DBC9">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440F330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07CD1505">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0DDEE96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电源时序控制器</w:t>
            </w:r>
          </w:p>
        </w:tc>
        <w:tc>
          <w:tcPr>
            <w:tcW w:w="850" w:type="dxa"/>
            <w:tcBorders>
              <w:tl2br w:val="nil"/>
              <w:tr2bl w:val="nil"/>
            </w:tcBorders>
            <w:shd w:val="clear" w:color="auto" w:fill="auto"/>
            <w:tcMar>
              <w:top w:w="0" w:type="dxa"/>
              <w:left w:w="108" w:type="dxa"/>
              <w:bottom w:w="0" w:type="dxa"/>
              <w:right w:w="108" w:type="dxa"/>
            </w:tcMar>
            <w:vAlign w:val="center"/>
          </w:tcPr>
          <w:p w14:paraId="748D1136">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3</w:t>
            </w:r>
          </w:p>
        </w:tc>
        <w:tc>
          <w:tcPr>
            <w:tcW w:w="850" w:type="dxa"/>
            <w:tcBorders>
              <w:tl2br w:val="nil"/>
              <w:tr2bl w:val="nil"/>
            </w:tcBorders>
            <w:shd w:val="clear" w:color="auto" w:fill="auto"/>
            <w:tcMar>
              <w:top w:w="0" w:type="dxa"/>
              <w:left w:w="108" w:type="dxa"/>
              <w:bottom w:w="0" w:type="dxa"/>
              <w:right w:w="108" w:type="dxa"/>
            </w:tcMar>
            <w:vAlign w:val="center"/>
          </w:tcPr>
          <w:p w14:paraId="2FBF840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208C8A16">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800.00</w:t>
            </w:r>
          </w:p>
        </w:tc>
      </w:tr>
      <w:tr w14:paraId="6CE077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0F8F4EB9">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28</w:t>
            </w:r>
          </w:p>
        </w:tc>
        <w:tc>
          <w:tcPr>
            <w:tcW w:w="850" w:type="dxa"/>
            <w:tcBorders>
              <w:tl2br w:val="nil"/>
              <w:tr2bl w:val="nil"/>
            </w:tcBorders>
            <w:tcMar>
              <w:top w:w="0" w:type="dxa"/>
              <w:left w:w="108" w:type="dxa"/>
              <w:bottom w:w="0" w:type="dxa"/>
              <w:right w:w="108" w:type="dxa"/>
            </w:tcMar>
            <w:vAlign w:val="center"/>
          </w:tcPr>
          <w:p w14:paraId="1B29E0C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581EB27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7F63F192">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50F2C6FB">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高清录播系统</w:t>
            </w:r>
          </w:p>
        </w:tc>
        <w:tc>
          <w:tcPr>
            <w:tcW w:w="850" w:type="dxa"/>
            <w:tcBorders>
              <w:tl2br w:val="nil"/>
              <w:tr2bl w:val="nil"/>
            </w:tcBorders>
            <w:shd w:val="clear" w:color="auto" w:fill="auto"/>
            <w:tcMar>
              <w:top w:w="0" w:type="dxa"/>
              <w:left w:w="108" w:type="dxa"/>
              <w:bottom w:w="0" w:type="dxa"/>
              <w:right w:w="108" w:type="dxa"/>
            </w:tcMar>
            <w:vAlign w:val="center"/>
          </w:tcPr>
          <w:p w14:paraId="6D6C295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w:t>
            </w:r>
          </w:p>
        </w:tc>
        <w:tc>
          <w:tcPr>
            <w:tcW w:w="850" w:type="dxa"/>
            <w:tcBorders>
              <w:tl2br w:val="nil"/>
              <w:tr2bl w:val="nil"/>
            </w:tcBorders>
            <w:shd w:val="clear" w:color="auto" w:fill="auto"/>
            <w:tcMar>
              <w:top w:w="0" w:type="dxa"/>
              <w:left w:w="108" w:type="dxa"/>
              <w:bottom w:w="0" w:type="dxa"/>
              <w:right w:w="108" w:type="dxa"/>
            </w:tcMar>
            <w:vAlign w:val="center"/>
          </w:tcPr>
          <w:p w14:paraId="6B10BC14">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0C7BDBB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59800.00</w:t>
            </w:r>
          </w:p>
        </w:tc>
      </w:tr>
      <w:tr w14:paraId="47735D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74304D9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29</w:t>
            </w:r>
          </w:p>
        </w:tc>
        <w:tc>
          <w:tcPr>
            <w:tcW w:w="850" w:type="dxa"/>
            <w:tcBorders>
              <w:tl2br w:val="nil"/>
              <w:tr2bl w:val="nil"/>
            </w:tcBorders>
            <w:tcMar>
              <w:top w:w="0" w:type="dxa"/>
              <w:left w:w="108" w:type="dxa"/>
              <w:bottom w:w="0" w:type="dxa"/>
              <w:right w:w="108" w:type="dxa"/>
            </w:tcMar>
            <w:vAlign w:val="center"/>
          </w:tcPr>
          <w:p w14:paraId="2C0C221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18EF3B24">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10020F56">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0E7B147B">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高清云台摄像机</w:t>
            </w:r>
          </w:p>
        </w:tc>
        <w:tc>
          <w:tcPr>
            <w:tcW w:w="850" w:type="dxa"/>
            <w:tcBorders>
              <w:tl2br w:val="nil"/>
              <w:tr2bl w:val="nil"/>
            </w:tcBorders>
            <w:shd w:val="clear" w:color="auto" w:fill="auto"/>
            <w:tcMar>
              <w:top w:w="0" w:type="dxa"/>
              <w:left w:w="108" w:type="dxa"/>
              <w:bottom w:w="0" w:type="dxa"/>
              <w:right w:w="108" w:type="dxa"/>
            </w:tcMar>
            <w:vAlign w:val="center"/>
          </w:tcPr>
          <w:p w14:paraId="1739C62A">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5</w:t>
            </w:r>
          </w:p>
        </w:tc>
        <w:tc>
          <w:tcPr>
            <w:tcW w:w="850" w:type="dxa"/>
            <w:tcBorders>
              <w:tl2br w:val="nil"/>
              <w:tr2bl w:val="nil"/>
            </w:tcBorders>
            <w:shd w:val="clear" w:color="auto" w:fill="auto"/>
            <w:tcMar>
              <w:top w:w="0" w:type="dxa"/>
              <w:left w:w="108" w:type="dxa"/>
              <w:bottom w:w="0" w:type="dxa"/>
              <w:right w:w="108" w:type="dxa"/>
            </w:tcMar>
            <w:vAlign w:val="center"/>
          </w:tcPr>
          <w:p w14:paraId="42DE0A2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52CF857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6000.00</w:t>
            </w:r>
          </w:p>
        </w:tc>
      </w:tr>
      <w:tr w14:paraId="038CDB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0E5F26A4">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30</w:t>
            </w:r>
          </w:p>
        </w:tc>
        <w:tc>
          <w:tcPr>
            <w:tcW w:w="850" w:type="dxa"/>
            <w:tcBorders>
              <w:tl2br w:val="nil"/>
              <w:tr2bl w:val="nil"/>
            </w:tcBorders>
            <w:tcMar>
              <w:top w:w="0" w:type="dxa"/>
              <w:left w:w="108" w:type="dxa"/>
              <w:bottom w:w="0" w:type="dxa"/>
              <w:right w:w="108" w:type="dxa"/>
            </w:tcMar>
            <w:vAlign w:val="center"/>
          </w:tcPr>
          <w:p w14:paraId="751210F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5CD0FDCC">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5D66BE8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7D76897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录播教室声学材料</w:t>
            </w:r>
          </w:p>
        </w:tc>
        <w:tc>
          <w:tcPr>
            <w:tcW w:w="850" w:type="dxa"/>
            <w:tcBorders>
              <w:tl2br w:val="nil"/>
              <w:tr2bl w:val="nil"/>
            </w:tcBorders>
            <w:shd w:val="clear" w:color="auto" w:fill="auto"/>
            <w:tcMar>
              <w:top w:w="0" w:type="dxa"/>
              <w:left w:w="108" w:type="dxa"/>
              <w:bottom w:w="0" w:type="dxa"/>
              <w:right w:w="108" w:type="dxa"/>
            </w:tcMar>
            <w:vAlign w:val="center"/>
          </w:tcPr>
          <w:p w14:paraId="670351DF">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w:t>
            </w:r>
          </w:p>
        </w:tc>
        <w:tc>
          <w:tcPr>
            <w:tcW w:w="850" w:type="dxa"/>
            <w:tcBorders>
              <w:tl2br w:val="nil"/>
              <w:tr2bl w:val="nil"/>
            </w:tcBorders>
            <w:shd w:val="clear" w:color="auto" w:fill="auto"/>
            <w:tcMar>
              <w:top w:w="0" w:type="dxa"/>
              <w:left w:w="108" w:type="dxa"/>
              <w:bottom w:w="0" w:type="dxa"/>
              <w:right w:w="108" w:type="dxa"/>
            </w:tcMar>
            <w:vAlign w:val="center"/>
          </w:tcPr>
          <w:p w14:paraId="088B6DAC">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szCs w:val="21"/>
              </w:rPr>
              <w:t>批</w:t>
            </w:r>
          </w:p>
        </w:tc>
        <w:tc>
          <w:tcPr>
            <w:tcW w:w="1310" w:type="dxa"/>
            <w:tcBorders>
              <w:tl2br w:val="nil"/>
              <w:tr2bl w:val="nil"/>
            </w:tcBorders>
            <w:shd w:val="clear" w:color="auto" w:fill="auto"/>
            <w:tcMar>
              <w:top w:w="0" w:type="dxa"/>
              <w:left w:w="108" w:type="dxa"/>
              <w:bottom w:w="0" w:type="dxa"/>
              <w:right w:w="108" w:type="dxa"/>
            </w:tcMar>
            <w:vAlign w:val="center"/>
          </w:tcPr>
          <w:p w14:paraId="295F80A7">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113000.00</w:t>
            </w:r>
          </w:p>
        </w:tc>
      </w:tr>
      <w:tr w14:paraId="044D9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0247F55B">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31</w:t>
            </w:r>
          </w:p>
        </w:tc>
        <w:tc>
          <w:tcPr>
            <w:tcW w:w="850" w:type="dxa"/>
            <w:tcBorders>
              <w:tl2br w:val="nil"/>
              <w:tr2bl w:val="nil"/>
            </w:tcBorders>
            <w:tcMar>
              <w:top w:w="0" w:type="dxa"/>
              <w:left w:w="108" w:type="dxa"/>
              <w:bottom w:w="0" w:type="dxa"/>
              <w:right w:w="108" w:type="dxa"/>
            </w:tcMar>
            <w:vAlign w:val="center"/>
          </w:tcPr>
          <w:p w14:paraId="552D4265">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0E7D7A08">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1938FCA9">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008AB7F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网络摄像机</w:t>
            </w:r>
          </w:p>
        </w:tc>
        <w:tc>
          <w:tcPr>
            <w:tcW w:w="850" w:type="dxa"/>
            <w:tcBorders>
              <w:tl2br w:val="nil"/>
              <w:tr2bl w:val="nil"/>
            </w:tcBorders>
            <w:shd w:val="clear" w:color="auto" w:fill="auto"/>
            <w:tcMar>
              <w:top w:w="0" w:type="dxa"/>
              <w:left w:w="108" w:type="dxa"/>
              <w:bottom w:w="0" w:type="dxa"/>
              <w:right w:w="108" w:type="dxa"/>
            </w:tcMar>
            <w:vAlign w:val="center"/>
          </w:tcPr>
          <w:p w14:paraId="176CFAF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16</w:t>
            </w:r>
          </w:p>
        </w:tc>
        <w:tc>
          <w:tcPr>
            <w:tcW w:w="850" w:type="dxa"/>
            <w:tcBorders>
              <w:tl2br w:val="nil"/>
              <w:tr2bl w:val="nil"/>
            </w:tcBorders>
            <w:shd w:val="clear" w:color="auto" w:fill="auto"/>
            <w:tcMar>
              <w:top w:w="0" w:type="dxa"/>
              <w:left w:w="108" w:type="dxa"/>
              <w:bottom w:w="0" w:type="dxa"/>
              <w:right w:w="108" w:type="dxa"/>
            </w:tcMar>
            <w:vAlign w:val="center"/>
          </w:tcPr>
          <w:p w14:paraId="34C5A6C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19697F9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680.00</w:t>
            </w:r>
          </w:p>
        </w:tc>
      </w:tr>
      <w:tr w14:paraId="40A555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5CDB90BE">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32</w:t>
            </w:r>
          </w:p>
        </w:tc>
        <w:tc>
          <w:tcPr>
            <w:tcW w:w="850" w:type="dxa"/>
            <w:tcBorders>
              <w:tl2br w:val="nil"/>
              <w:tr2bl w:val="nil"/>
            </w:tcBorders>
            <w:tcMar>
              <w:top w:w="0" w:type="dxa"/>
              <w:left w:w="108" w:type="dxa"/>
              <w:bottom w:w="0" w:type="dxa"/>
              <w:right w:w="108" w:type="dxa"/>
            </w:tcMar>
            <w:vAlign w:val="center"/>
          </w:tcPr>
          <w:p w14:paraId="04C370C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3B9D40F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5B2E605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4CD14B27">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网络硬盘录像机</w:t>
            </w:r>
          </w:p>
        </w:tc>
        <w:tc>
          <w:tcPr>
            <w:tcW w:w="850" w:type="dxa"/>
            <w:tcBorders>
              <w:tl2br w:val="nil"/>
              <w:tr2bl w:val="nil"/>
            </w:tcBorders>
            <w:shd w:val="clear" w:color="auto" w:fill="auto"/>
            <w:tcMar>
              <w:top w:w="0" w:type="dxa"/>
              <w:left w:w="108" w:type="dxa"/>
              <w:bottom w:w="0" w:type="dxa"/>
              <w:right w:w="108" w:type="dxa"/>
            </w:tcMar>
            <w:vAlign w:val="center"/>
          </w:tcPr>
          <w:p w14:paraId="1A220357">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w:t>
            </w:r>
          </w:p>
        </w:tc>
        <w:tc>
          <w:tcPr>
            <w:tcW w:w="850" w:type="dxa"/>
            <w:tcBorders>
              <w:tl2br w:val="nil"/>
              <w:tr2bl w:val="nil"/>
            </w:tcBorders>
            <w:shd w:val="clear" w:color="auto" w:fill="auto"/>
            <w:tcMar>
              <w:top w:w="0" w:type="dxa"/>
              <w:left w:w="108" w:type="dxa"/>
              <w:bottom w:w="0" w:type="dxa"/>
              <w:right w:w="108" w:type="dxa"/>
            </w:tcMar>
            <w:vAlign w:val="center"/>
          </w:tcPr>
          <w:p w14:paraId="4191530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42BB99C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19800.00</w:t>
            </w:r>
          </w:p>
        </w:tc>
      </w:tr>
      <w:tr w14:paraId="372816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209EC97E">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33</w:t>
            </w:r>
          </w:p>
        </w:tc>
        <w:tc>
          <w:tcPr>
            <w:tcW w:w="850" w:type="dxa"/>
            <w:tcBorders>
              <w:tl2br w:val="nil"/>
              <w:tr2bl w:val="nil"/>
            </w:tcBorders>
            <w:tcMar>
              <w:top w:w="0" w:type="dxa"/>
              <w:left w:w="108" w:type="dxa"/>
              <w:bottom w:w="0" w:type="dxa"/>
              <w:right w:w="108" w:type="dxa"/>
            </w:tcMar>
            <w:vAlign w:val="center"/>
          </w:tcPr>
          <w:p w14:paraId="0CB3DBB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25C1AAAC">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03489A0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4F8D9DB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POE交换机</w:t>
            </w:r>
          </w:p>
        </w:tc>
        <w:tc>
          <w:tcPr>
            <w:tcW w:w="850" w:type="dxa"/>
            <w:tcBorders>
              <w:tl2br w:val="nil"/>
              <w:tr2bl w:val="nil"/>
            </w:tcBorders>
            <w:shd w:val="clear" w:color="auto" w:fill="auto"/>
            <w:tcMar>
              <w:top w:w="0" w:type="dxa"/>
              <w:left w:w="108" w:type="dxa"/>
              <w:bottom w:w="0" w:type="dxa"/>
              <w:right w:w="108" w:type="dxa"/>
            </w:tcMar>
            <w:vAlign w:val="center"/>
          </w:tcPr>
          <w:p w14:paraId="1C684A57">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w:t>
            </w:r>
          </w:p>
        </w:tc>
        <w:tc>
          <w:tcPr>
            <w:tcW w:w="850" w:type="dxa"/>
            <w:tcBorders>
              <w:tl2br w:val="nil"/>
              <w:tr2bl w:val="nil"/>
            </w:tcBorders>
            <w:shd w:val="clear" w:color="auto" w:fill="auto"/>
            <w:tcMar>
              <w:top w:w="0" w:type="dxa"/>
              <w:left w:w="108" w:type="dxa"/>
              <w:bottom w:w="0" w:type="dxa"/>
              <w:right w:w="108" w:type="dxa"/>
            </w:tcMar>
            <w:vAlign w:val="center"/>
          </w:tcPr>
          <w:p w14:paraId="358A7A6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5CED01B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1500.00</w:t>
            </w:r>
          </w:p>
        </w:tc>
      </w:tr>
      <w:tr w14:paraId="6A1C87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4F60917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34</w:t>
            </w:r>
          </w:p>
        </w:tc>
        <w:tc>
          <w:tcPr>
            <w:tcW w:w="850" w:type="dxa"/>
            <w:tcBorders>
              <w:tl2br w:val="nil"/>
              <w:tr2bl w:val="nil"/>
            </w:tcBorders>
            <w:tcMar>
              <w:top w:w="0" w:type="dxa"/>
              <w:left w:w="108" w:type="dxa"/>
              <w:bottom w:w="0" w:type="dxa"/>
              <w:right w:w="108" w:type="dxa"/>
            </w:tcMar>
            <w:vAlign w:val="center"/>
          </w:tcPr>
          <w:p w14:paraId="42F9DDED">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7E530E9E">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05B31869">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2765AF0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智能指纹门禁一体机</w:t>
            </w:r>
          </w:p>
        </w:tc>
        <w:tc>
          <w:tcPr>
            <w:tcW w:w="850" w:type="dxa"/>
            <w:tcBorders>
              <w:tl2br w:val="nil"/>
              <w:tr2bl w:val="nil"/>
            </w:tcBorders>
            <w:shd w:val="clear" w:color="auto" w:fill="auto"/>
            <w:tcMar>
              <w:top w:w="0" w:type="dxa"/>
              <w:left w:w="108" w:type="dxa"/>
              <w:bottom w:w="0" w:type="dxa"/>
              <w:right w:w="108" w:type="dxa"/>
            </w:tcMar>
            <w:vAlign w:val="center"/>
          </w:tcPr>
          <w:p w14:paraId="6486FB6D">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9</w:t>
            </w:r>
          </w:p>
        </w:tc>
        <w:tc>
          <w:tcPr>
            <w:tcW w:w="850" w:type="dxa"/>
            <w:tcBorders>
              <w:tl2br w:val="nil"/>
              <w:tr2bl w:val="nil"/>
            </w:tcBorders>
            <w:shd w:val="clear" w:color="auto" w:fill="auto"/>
            <w:tcMar>
              <w:top w:w="0" w:type="dxa"/>
              <w:left w:w="108" w:type="dxa"/>
              <w:bottom w:w="0" w:type="dxa"/>
              <w:right w:w="108" w:type="dxa"/>
            </w:tcMar>
            <w:vAlign w:val="center"/>
          </w:tcPr>
          <w:p w14:paraId="559AA6CF">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632137D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2800.00</w:t>
            </w:r>
          </w:p>
        </w:tc>
      </w:tr>
      <w:tr w14:paraId="560A0C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066B8F8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35</w:t>
            </w:r>
          </w:p>
        </w:tc>
        <w:tc>
          <w:tcPr>
            <w:tcW w:w="850" w:type="dxa"/>
            <w:tcBorders>
              <w:tl2br w:val="nil"/>
              <w:tr2bl w:val="nil"/>
            </w:tcBorders>
            <w:tcMar>
              <w:top w:w="0" w:type="dxa"/>
              <w:left w:w="108" w:type="dxa"/>
              <w:bottom w:w="0" w:type="dxa"/>
              <w:right w:w="108" w:type="dxa"/>
            </w:tcMar>
            <w:vAlign w:val="center"/>
          </w:tcPr>
          <w:p w14:paraId="4E73262B">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2AFB9235">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6696178F">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6E3054C4">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矿棉吸音板</w:t>
            </w:r>
          </w:p>
        </w:tc>
        <w:tc>
          <w:tcPr>
            <w:tcW w:w="850" w:type="dxa"/>
            <w:tcBorders>
              <w:tl2br w:val="nil"/>
              <w:tr2bl w:val="nil"/>
            </w:tcBorders>
            <w:shd w:val="clear" w:color="auto" w:fill="auto"/>
            <w:tcMar>
              <w:top w:w="0" w:type="dxa"/>
              <w:left w:w="108" w:type="dxa"/>
              <w:bottom w:w="0" w:type="dxa"/>
              <w:right w:w="108" w:type="dxa"/>
            </w:tcMar>
            <w:vAlign w:val="center"/>
          </w:tcPr>
          <w:p w14:paraId="292B545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600</w:t>
            </w:r>
          </w:p>
        </w:tc>
        <w:tc>
          <w:tcPr>
            <w:tcW w:w="850" w:type="dxa"/>
            <w:tcBorders>
              <w:tl2br w:val="nil"/>
              <w:tr2bl w:val="nil"/>
            </w:tcBorders>
            <w:shd w:val="clear" w:color="auto" w:fill="auto"/>
            <w:tcMar>
              <w:top w:w="0" w:type="dxa"/>
              <w:left w:w="108" w:type="dxa"/>
              <w:bottom w:w="0" w:type="dxa"/>
              <w:right w:w="108" w:type="dxa"/>
            </w:tcMar>
            <w:vAlign w:val="center"/>
          </w:tcPr>
          <w:p w14:paraId="357C0AE7">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w:t>
            </w:r>
          </w:p>
        </w:tc>
        <w:tc>
          <w:tcPr>
            <w:tcW w:w="1310" w:type="dxa"/>
            <w:tcBorders>
              <w:tl2br w:val="nil"/>
              <w:tr2bl w:val="nil"/>
            </w:tcBorders>
            <w:shd w:val="clear" w:color="auto" w:fill="auto"/>
            <w:tcMar>
              <w:top w:w="0" w:type="dxa"/>
              <w:left w:w="108" w:type="dxa"/>
              <w:bottom w:w="0" w:type="dxa"/>
              <w:right w:w="108" w:type="dxa"/>
            </w:tcMar>
            <w:vAlign w:val="center"/>
          </w:tcPr>
          <w:p w14:paraId="7B72D85C">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160.00</w:t>
            </w:r>
          </w:p>
        </w:tc>
      </w:tr>
      <w:tr w14:paraId="2A23D9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3336D444">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36</w:t>
            </w:r>
          </w:p>
        </w:tc>
        <w:tc>
          <w:tcPr>
            <w:tcW w:w="850" w:type="dxa"/>
            <w:tcBorders>
              <w:tl2br w:val="nil"/>
              <w:tr2bl w:val="nil"/>
            </w:tcBorders>
            <w:tcMar>
              <w:top w:w="0" w:type="dxa"/>
              <w:left w:w="108" w:type="dxa"/>
              <w:bottom w:w="0" w:type="dxa"/>
              <w:right w:w="108" w:type="dxa"/>
            </w:tcMar>
            <w:vAlign w:val="center"/>
          </w:tcPr>
          <w:p w14:paraId="6D2F99C5">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06BC8744">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753BDA9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12E95F95">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全钢防静电地板</w:t>
            </w:r>
          </w:p>
        </w:tc>
        <w:tc>
          <w:tcPr>
            <w:tcW w:w="850" w:type="dxa"/>
            <w:tcBorders>
              <w:tl2br w:val="nil"/>
              <w:tr2bl w:val="nil"/>
            </w:tcBorders>
            <w:shd w:val="clear" w:color="auto" w:fill="auto"/>
            <w:tcMar>
              <w:top w:w="0" w:type="dxa"/>
              <w:left w:w="108" w:type="dxa"/>
              <w:bottom w:w="0" w:type="dxa"/>
              <w:right w:w="108" w:type="dxa"/>
            </w:tcMar>
            <w:vAlign w:val="center"/>
          </w:tcPr>
          <w:p w14:paraId="04E0C248">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6</w:t>
            </w:r>
          </w:p>
        </w:tc>
        <w:tc>
          <w:tcPr>
            <w:tcW w:w="850" w:type="dxa"/>
            <w:tcBorders>
              <w:tl2br w:val="nil"/>
              <w:tr2bl w:val="nil"/>
            </w:tcBorders>
            <w:shd w:val="clear" w:color="auto" w:fill="auto"/>
            <w:tcMar>
              <w:top w:w="0" w:type="dxa"/>
              <w:left w:w="108" w:type="dxa"/>
              <w:bottom w:w="0" w:type="dxa"/>
              <w:right w:w="108" w:type="dxa"/>
            </w:tcMar>
            <w:vAlign w:val="center"/>
          </w:tcPr>
          <w:p w14:paraId="6D0E1EE9">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间</w:t>
            </w:r>
          </w:p>
        </w:tc>
        <w:tc>
          <w:tcPr>
            <w:tcW w:w="1310" w:type="dxa"/>
            <w:tcBorders>
              <w:tl2br w:val="nil"/>
              <w:tr2bl w:val="nil"/>
            </w:tcBorders>
            <w:shd w:val="clear" w:color="auto" w:fill="auto"/>
            <w:tcMar>
              <w:top w:w="0" w:type="dxa"/>
              <w:left w:w="108" w:type="dxa"/>
              <w:bottom w:w="0" w:type="dxa"/>
              <w:right w:w="108" w:type="dxa"/>
            </w:tcMar>
            <w:vAlign w:val="center"/>
          </w:tcPr>
          <w:p w14:paraId="142ADC44">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50000.00</w:t>
            </w:r>
          </w:p>
        </w:tc>
      </w:tr>
      <w:tr w14:paraId="5DCCF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137D01C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37</w:t>
            </w:r>
          </w:p>
        </w:tc>
        <w:tc>
          <w:tcPr>
            <w:tcW w:w="850" w:type="dxa"/>
            <w:tcBorders>
              <w:tl2br w:val="nil"/>
              <w:tr2bl w:val="nil"/>
            </w:tcBorders>
            <w:tcMar>
              <w:top w:w="0" w:type="dxa"/>
              <w:left w:w="108" w:type="dxa"/>
              <w:bottom w:w="0" w:type="dxa"/>
              <w:right w:w="108" w:type="dxa"/>
            </w:tcMar>
            <w:vAlign w:val="center"/>
          </w:tcPr>
          <w:p w14:paraId="284F5743">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7A47BF54">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6497266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21E68A52">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机房运维管控系统</w:t>
            </w:r>
          </w:p>
        </w:tc>
        <w:tc>
          <w:tcPr>
            <w:tcW w:w="850" w:type="dxa"/>
            <w:tcBorders>
              <w:tl2br w:val="nil"/>
              <w:tr2bl w:val="nil"/>
            </w:tcBorders>
            <w:shd w:val="clear" w:color="auto" w:fill="auto"/>
            <w:tcMar>
              <w:top w:w="0" w:type="dxa"/>
              <w:left w:w="108" w:type="dxa"/>
              <w:bottom w:w="0" w:type="dxa"/>
              <w:right w:w="108" w:type="dxa"/>
            </w:tcMar>
            <w:vAlign w:val="center"/>
          </w:tcPr>
          <w:p w14:paraId="009127E9">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1</w:t>
            </w:r>
          </w:p>
        </w:tc>
        <w:tc>
          <w:tcPr>
            <w:tcW w:w="850" w:type="dxa"/>
            <w:tcBorders>
              <w:tl2br w:val="nil"/>
              <w:tr2bl w:val="nil"/>
            </w:tcBorders>
            <w:shd w:val="clear" w:color="auto" w:fill="auto"/>
            <w:tcMar>
              <w:top w:w="0" w:type="dxa"/>
              <w:left w:w="108" w:type="dxa"/>
              <w:bottom w:w="0" w:type="dxa"/>
              <w:right w:w="108" w:type="dxa"/>
            </w:tcMar>
            <w:vAlign w:val="center"/>
          </w:tcPr>
          <w:p w14:paraId="654C897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23626AED">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171500.00</w:t>
            </w:r>
          </w:p>
        </w:tc>
      </w:tr>
      <w:tr w14:paraId="70F5D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7F7B1101">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38</w:t>
            </w:r>
          </w:p>
        </w:tc>
        <w:tc>
          <w:tcPr>
            <w:tcW w:w="850" w:type="dxa"/>
            <w:tcBorders>
              <w:tl2br w:val="nil"/>
              <w:tr2bl w:val="nil"/>
            </w:tcBorders>
            <w:tcMar>
              <w:top w:w="0" w:type="dxa"/>
              <w:left w:w="108" w:type="dxa"/>
              <w:bottom w:w="0" w:type="dxa"/>
              <w:right w:w="108" w:type="dxa"/>
            </w:tcMar>
            <w:vAlign w:val="center"/>
          </w:tcPr>
          <w:p w14:paraId="5A7D5D2F">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6EBB7F84">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2EB22A5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29FA0B59">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精密空调</w:t>
            </w:r>
          </w:p>
        </w:tc>
        <w:tc>
          <w:tcPr>
            <w:tcW w:w="850" w:type="dxa"/>
            <w:tcBorders>
              <w:tl2br w:val="nil"/>
              <w:tr2bl w:val="nil"/>
            </w:tcBorders>
            <w:shd w:val="clear" w:color="auto" w:fill="auto"/>
            <w:tcMar>
              <w:top w:w="0" w:type="dxa"/>
              <w:left w:w="108" w:type="dxa"/>
              <w:bottom w:w="0" w:type="dxa"/>
              <w:right w:w="108" w:type="dxa"/>
            </w:tcMar>
            <w:vAlign w:val="center"/>
          </w:tcPr>
          <w:p w14:paraId="0ABBE20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szCs w:val="21"/>
              </w:rPr>
              <w:t>2</w:t>
            </w:r>
          </w:p>
        </w:tc>
        <w:tc>
          <w:tcPr>
            <w:tcW w:w="850" w:type="dxa"/>
            <w:tcBorders>
              <w:tl2br w:val="nil"/>
              <w:tr2bl w:val="nil"/>
            </w:tcBorders>
            <w:shd w:val="clear" w:color="auto" w:fill="auto"/>
            <w:tcMar>
              <w:top w:w="0" w:type="dxa"/>
              <w:left w:w="108" w:type="dxa"/>
              <w:bottom w:w="0" w:type="dxa"/>
              <w:right w:w="108" w:type="dxa"/>
            </w:tcMar>
            <w:vAlign w:val="center"/>
          </w:tcPr>
          <w:p w14:paraId="00BF957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套</w:t>
            </w:r>
          </w:p>
        </w:tc>
        <w:tc>
          <w:tcPr>
            <w:tcW w:w="1310" w:type="dxa"/>
            <w:tcBorders>
              <w:tl2br w:val="nil"/>
              <w:tr2bl w:val="nil"/>
            </w:tcBorders>
            <w:shd w:val="clear" w:color="auto" w:fill="auto"/>
            <w:tcMar>
              <w:top w:w="0" w:type="dxa"/>
              <w:left w:w="108" w:type="dxa"/>
              <w:bottom w:w="0" w:type="dxa"/>
              <w:right w:w="108" w:type="dxa"/>
            </w:tcMar>
            <w:vAlign w:val="center"/>
          </w:tcPr>
          <w:p w14:paraId="2C9EB802">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23500.00</w:t>
            </w:r>
          </w:p>
        </w:tc>
      </w:tr>
      <w:tr w14:paraId="69FC45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817" w:type="dxa"/>
            <w:tcBorders>
              <w:tl2br w:val="nil"/>
              <w:tr2bl w:val="nil"/>
            </w:tcBorders>
            <w:shd w:val="clear" w:color="auto" w:fill="auto"/>
            <w:tcMar>
              <w:top w:w="0" w:type="dxa"/>
              <w:left w:w="108" w:type="dxa"/>
              <w:bottom w:w="0" w:type="dxa"/>
              <w:right w:w="108" w:type="dxa"/>
            </w:tcMar>
            <w:vAlign w:val="center"/>
          </w:tcPr>
          <w:p w14:paraId="26950A40">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rPr>
              <w:t>39</w:t>
            </w:r>
          </w:p>
        </w:tc>
        <w:tc>
          <w:tcPr>
            <w:tcW w:w="850" w:type="dxa"/>
            <w:tcBorders>
              <w:tl2br w:val="nil"/>
              <w:tr2bl w:val="nil"/>
            </w:tcBorders>
            <w:tcMar>
              <w:top w:w="0" w:type="dxa"/>
              <w:left w:w="108" w:type="dxa"/>
              <w:bottom w:w="0" w:type="dxa"/>
              <w:right w:w="108" w:type="dxa"/>
            </w:tcMar>
            <w:vAlign w:val="center"/>
          </w:tcPr>
          <w:p w14:paraId="1072DF08">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vAlign w:val="center"/>
          </w:tcPr>
          <w:p w14:paraId="6B7B4AB8">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134" w:type="dxa"/>
            <w:tcBorders>
              <w:tl2br w:val="nil"/>
              <w:tr2bl w:val="nil"/>
            </w:tcBorders>
            <w:shd w:val="clear" w:color="auto" w:fill="auto"/>
            <w:tcMar>
              <w:top w:w="0" w:type="dxa"/>
              <w:left w:w="108" w:type="dxa"/>
              <w:bottom w:w="0" w:type="dxa"/>
              <w:right w:w="108" w:type="dxa"/>
            </w:tcMar>
          </w:tcPr>
          <w:p w14:paraId="1C9CD5DA">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否</w:t>
            </w:r>
          </w:p>
        </w:tc>
        <w:tc>
          <w:tcPr>
            <w:tcW w:w="1701" w:type="dxa"/>
            <w:tcBorders>
              <w:tl2br w:val="nil"/>
              <w:tr2bl w:val="nil"/>
            </w:tcBorders>
            <w:shd w:val="clear" w:color="auto" w:fill="auto"/>
            <w:tcMar>
              <w:top w:w="0" w:type="dxa"/>
              <w:left w:w="108" w:type="dxa"/>
              <w:bottom w:w="0" w:type="dxa"/>
              <w:right w:w="108" w:type="dxa"/>
            </w:tcMar>
            <w:vAlign w:val="center"/>
          </w:tcPr>
          <w:p w14:paraId="04849FF6">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42U机柜</w:t>
            </w:r>
          </w:p>
        </w:tc>
        <w:tc>
          <w:tcPr>
            <w:tcW w:w="850" w:type="dxa"/>
            <w:tcBorders>
              <w:tl2br w:val="nil"/>
              <w:tr2bl w:val="nil"/>
            </w:tcBorders>
            <w:shd w:val="clear" w:color="auto" w:fill="auto"/>
            <w:tcMar>
              <w:top w:w="0" w:type="dxa"/>
              <w:left w:w="108" w:type="dxa"/>
              <w:bottom w:w="0" w:type="dxa"/>
              <w:right w:w="108" w:type="dxa"/>
            </w:tcMar>
            <w:vAlign w:val="center"/>
          </w:tcPr>
          <w:p w14:paraId="4C749533">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3</w:t>
            </w:r>
          </w:p>
        </w:tc>
        <w:tc>
          <w:tcPr>
            <w:tcW w:w="850" w:type="dxa"/>
            <w:tcBorders>
              <w:tl2br w:val="nil"/>
              <w:tr2bl w:val="nil"/>
            </w:tcBorders>
            <w:shd w:val="clear" w:color="auto" w:fill="auto"/>
            <w:tcMar>
              <w:top w:w="0" w:type="dxa"/>
              <w:left w:w="108" w:type="dxa"/>
              <w:bottom w:w="0" w:type="dxa"/>
              <w:right w:w="108" w:type="dxa"/>
            </w:tcMar>
            <w:vAlign w:val="center"/>
          </w:tcPr>
          <w:p w14:paraId="3C7044C7">
            <w:pPr>
              <w:widowControl/>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Cs w:val="21"/>
                <w:lang w:bidi="ar"/>
              </w:rPr>
              <w:t>台</w:t>
            </w:r>
          </w:p>
        </w:tc>
        <w:tc>
          <w:tcPr>
            <w:tcW w:w="1310" w:type="dxa"/>
            <w:tcBorders>
              <w:tl2br w:val="nil"/>
              <w:tr2bl w:val="nil"/>
            </w:tcBorders>
            <w:shd w:val="clear" w:color="auto" w:fill="auto"/>
            <w:tcMar>
              <w:top w:w="0" w:type="dxa"/>
              <w:left w:w="108" w:type="dxa"/>
              <w:bottom w:w="0" w:type="dxa"/>
              <w:right w:w="108" w:type="dxa"/>
            </w:tcMar>
            <w:vAlign w:val="center"/>
          </w:tcPr>
          <w:p w14:paraId="15939B70">
            <w:pPr>
              <w:widowControl/>
              <w:adjustRightInd w:val="0"/>
              <w:snapToGrid w:val="0"/>
              <w:spacing w:line="360" w:lineRule="auto"/>
              <w:jc w:val="center"/>
              <w:textAlignment w:val="center"/>
              <w:rPr>
                <w:rFonts w:asciiTheme="minorEastAsia" w:hAnsiTheme="minorEastAsia" w:eastAsiaTheme="minorEastAsia" w:cstheme="minorEastAsia"/>
                <w:color w:val="auto"/>
                <w:kern w:val="0"/>
                <w:szCs w:val="21"/>
              </w:rPr>
            </w:pPr>
            <w:r>
              <w:rPr>
                <w:rFonts w:hint="eastAsia" w:ascii="宋体" w:hAnsi="宋体" w:cs="宋体"/>
                <w:color w:val="auto"/>
                <w:kern w:val="0"/>
                <w:sz w:val="20"/>
                <w:lang w:bidi="ar"/>
              </w:rPr>
              <w:t>4500.00</w:t>
            </w:r>
          </w:p>
        </w:tc>
      </w:tr>
    </w:tbl>
    <w:p w14:paraId="6F1BC235">
      <w:pPr>
        <w:spacing w:line="360" w:lineRule="auto"/>
        <w:ind w:firstLine="420" w:firstLineChars="200"/>
        <w:rPr>
          <w:rFonts w:asciiTheme="minorEastAsia" w:hAnsiTheme="minorEastAsia" w:eastAsiaTheme="minorEastAsia" w:cstheme="minorEastAsia"/>
          <w:color w:val="auto"/>
          <w:szCs w:val="21"/>
        </w:rPr>
      </w:pPr>
    </w:p>
    <w:p w14:paraId="1F6182DA">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合同履行期限（项目交付和实施时间）：合同签订生效后30日内，乙方负责将完整配套的原封设备（含开机必要消耗品）送到甲方指定的地点（云南师范大学呈贡校区），由甲乙双方共同开箱初验，并由乙方按合同规范要求完成安装测试。交货时，乙方随货向甲方交付设备必需的合格证、保修卡，相关资料（如操作手册、使用指南、维修手册、安装调试说明书、服务手册等）及配备的用件、工具等。</w:t>
      </w:r>
    </w:p>
    <w:p w14:paraId="234A456D">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3.实施的地点：云南师范大学呈贡校区。</w:t>
      </w:r>
    </w:p>
    <w:p w14:paraId="69CBEBA8">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4.付款方式：该项目没有预付款，</w:t>
      </w:r>
      <w:r>
        <w:rPr>
          <w:rFonts w:hint="eastAsia"/>
          <w:color w:val="auto"/>
        </w:rPr>
        <w:t>乙方应在合同签订后5日内</w:t>
      </w:r>
      <w:r>
        <w:rPr>
          <w:rFonts w:hint="eastAsia" w:asciiTheme="minorEastAsia" w:hAnsiTheme="minorEastAsia" w:eastAsiaTheme="minorEastAsia" w:cstheme="minorEastAsia"/>
          <w:color w:val="auto"/>
          <w:szCs w:val="21"/>
        </w:rPr>
        <w:t>向甲方交纳</w:t>
      </w:r>
      <w:r>
        <w:rPr>
          <w:rFonts w:hint="eastAsia" w:ascii="宋体" w:hAnsi="宋体" w:cs="宋体"/>
          <w:color w:val="auto"/>
        </w:rPr>
        <w:t>合同金额2%的</w:t>
      </w:r>
      <w:r>
        <w:rPr>
          <w:rFonts w:hint="eastAsia" w:asciiTheme="minorEastAsia" w:hAnsiTheme="minorEastAsia" w:eastAsiaTheme="minorEastAsia" w:cstheme="minorEastAsia"/>
          <w:color w:val="auto"/>
          <w:szCs w:val="21"/>
        </w:rPr>
        <w:t>履约保证金，验收合格后凭收据退回履约保证金。在设备安装、调试、使用、验收合格，乙方提交完整的财务资料以后，在15个工作日内，甲方付合同总价的100%；</w:t>
      </w:r>
    </w:p>
    <w:p w14:paraId="07D3D375">
      <w:pPr>
        <w:widowControl/>
        <w:tabs>
          <w:tab w:val="left" w:pos="426"/>
          <w:tab w:val="left" w:pos="851"/>
        </w:tabs>
        <w:spacing w:before="120" w:beforeLines="50"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（五）采购标的需满足的服务标准、期限、效率等要求</w:t>
      </w:r>
    </w:p>
    <w:p w14:paraId="22E8EB95">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1.服务标准：</w:t>
      </w:r>
    </w:p>
    <w:p w14:paraId="7465C86A">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货和安装服务要求：中标人保证所售产品均符合国际、国内相关的公开技术指标以及安全标准；负责设备的安装调试，并培训相关人员熟练掌握操作方法及规范。提供至少3次免费培训，保证用户可以熟练使用产品。</w:t>
      </w:r>
    </w:p>
    <w:p w14:paraId="7DB133A7">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售后服务要求：保修期内，中标人对设备提供全免费保修或免费更换；保修期满后，收取维修成本费（自然灾害及人为故意损坏除外）；中标人向甲方提供设备使用人员现场例行免费培训，培训内容包括设备的使用、一般的维修、维护及保养等；食宿自理（各自负责）；</w:t>
      </w:r>
    </w:p>
    <w:p w14:paraId="0203CBD1">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2.服务期限：主要设备及主要配件质保期为验收合格后不少于5年。</w:t>
      </w:r>
    </w:p>
    <w:p w14:paraId="2CFC36A5">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3.服务效率：质保期内提供免费更新维护升级，提供终身技术支持服务。</w:t>
      </w:r>
      <w:r>
        <w:rPr>
          <w:rFonts w:hint="eastAsia" w:asciiTheme="minorEastAsia" w:hAnsiTheme="minorEastAsia" w:eastAsiaTheme="minorEastAsia" w:cstheme="minorEastAsia"/>
          <w:color w:val="auto"/>
          <w:szCs w:val="21"/>
          <w:lang w:val="en-US" w:eastAsia="zh-CN"/>
        </w:rPr>
        <w:t>中标人</w:t>
      </w:r>
      <w:r>
        <w:rPr>
          <w:rFonts w:hint="eastAsia" w:asciiTheme="minorEastAsia" w:hAnsiTheme="minorEastAsia" w:eastAsiaTheme="minorEastAsia" w:cstheme="minorEastAsia"/>
          <w:color w:val="auto"/>
          <w:szCs w:val="21"/>
        </w:rPr>
        <w:t>提供免费驻场服务，驻场服务及维修人员在收到售后使用协助或故障报告后，常规类协助或故障保证2小时内响应解决，如无法在线解决，保证8小时内到达现场解决，复杂类协助或故障保证在3天内响应解决；</w:t>
      </w:r>
      <w:r>
        <w:rPr>
          <w:rFonts w:hint="eastAsia" w:asciiTheme="minorEastAsia" w:hAnsiTheme="minorEastAsia" w:eastAsiaTheme="minorEastAsia" w:cstheme="minorEastAsia"/>
          <w:color w:val="auto"/>
          <w:szCs w:val="21"/>
          <w:lang w:val="en-US" w:eastAsia="zh-CN"/>
        </w:rPr>
        <w:t>中标人</w:t>
      </w:r>
      <w:r>
        <w:rPr>
          <w:rFonts w:hint="eastAsia" w:asciiTheme="minorEastAsia" w:hAnsiTheme="minorEastAsia" w:eastAsiaTheme="minorEastAsia" w:cstheme="minorEastAsia"/>
          <w:color w:val="auto"/>
          <w:szCs w:val="21"/>
        </w:rPr>
        <w:t>保证在甲方指定地点供应备品备件（含易损件）和配套消耗品；</w:t>
      </w:r>
      <w:r>
        <w:rPr>
          <w:rFonts w:hint="eastAsia" w:asciiTheme="minorEastAsia" w:hAnsiTheme="minorEastAsia" w:eastAsiaTheme="minorEastAsia" w:cstheme="minorEastAsia"/>
          <w:color w:val="auto"/>
          <w:szCs w:val="21"/>
          <w:lang w:val="en-US" w:eastAsia="zh-CN"/>
        </w:rPr>
        <w:t>中标人</w:t>
      </w:r>
      <w:r>
        <w:rPr>
          <w:rFonts w:hint="eastAsia" w:asciiTheme="minorEastAsia" w:hAnsiTheme="minorEastAsia" w:eastAsiaTheme="minorEastAsia" w:cstheme="minorEastAsia"/>
          <w:color w:val="auto"/>
          <w:szCs w:val="21"/>
        </w:rPr>
        <w:t>对所提供的设备实行每6个月不少于一次的定期保养（或维护、巡检）制度。</w:t>
      </w:r>
    </w:p>
    <w:p w14:paraId="0283788F">
      <w:pPr>
        <w:spacing w:line="360" w:lineRule="auto"/>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（六）采购标的的验收标准</w:t>
      </w:r>
    </w:p>
    <w:p w14:paraId="420772AE">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1.设备到货验收：设备到达甲方指定地点后甲方统一初验是否符合合同要求；</w:t>
      </w:r>
    </w:p>
    <w:p w14:paraId="4E29CFED">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2.项目验收：乙方负责设备安装和调试，完工后，甲方测试是否合格并满足技术要求；</w:t>
      </w:r>
    </w:p>
    <w:p w14:paraId="270E0754">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3.实作性操作验收：设备是否正常运作1个月或120个机时，具体时间按分项要求或在签订合同时协定。</w:t>
      </w:r>
    </w:p>
    <w:p w14:paraId="27A817CC">
      <w:pPr>
        <w:spacing w:line="360" w:lineRule="auto"/>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（七）采购标的的其他技术、服务等要求</w:t>
      </w:r>
    </w:p>
    <w:p w14:paraId="0F56919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1.核心产品（公开招标项目）</w:t>
      </w:r>
    </w:p>
    <w:p w14:paraId="37D310D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按照《政府采购货物和服务招标投标管理办法》（财政部令第87号令）第三十一条规定：非单一产品采购项目，采购人应当根据采购项目技术构成、产品价格比重等合理确定核心产品，并在招标文件中载明。</w:t>
      </w:r>
    </w:p>
    <w:p w14:paraId="25AD55EF">
      <w:pPr>
        <w:autoSpaceDE w:val="0"/>
        <w:autoSpaceDN w:val="0"/>
        <w:adjustRightInd w:val="0"/>
        <w:spacing w:line="360" w:lineRule="auto"/>
        <w:ind w:firstLine="422" w:firstLineChars="200"/>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核心产品为：第6项，云端智算系统模块</w:t>
      </w:r>
    </w:p>
    <w:p w14:paraId="00A2CCA7">
      <w:pPr>
        <w:pStyle w:val="12"/>
        <w:spacing w:line="396" w:lineRule="auto"/>
        <w:ind w:firstLine="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2.保证所有设备均为原装正品。</w:t>
      </w:r>
    </w:p>
    <w:p w14:paraId="64B40255">
      <w:pPr>
        <w:pStyle w:val="12"/>
        <w:spacing w:line="396" w:lineRule="auto"/>
        <w:ind w:firstLine="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3.包装和运输：</w:t>
      </w:r>
    </w:p>
    <w:p w14:paraId="04627CBF">
      <w:pPr>
        <w:pStyle w:val="12"/>
        <w:spacing w:line="396" w:lineRule="auto"/>
        <w:ind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3.1中标人提供的全部货物均应按标准保护措施进行包装。该包装应适应于远距离运输、防潮、防震、防锈和防野蛮装卸，以确保货物安全无损运抵甲方指定地点。由于包装不善等引起的货物损失均由中标人承担。</w:t>
      </w:r>
    </w:p>
    <w:p w14:paraId="30B05F36">
      <w:pPr>
        <w:pStyle w:val="12"/>
        <w:spacing w:line="396" w:lineRule="auto"/>
        <w:ind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中标人保证向采购人提供的设备（包括零部件）是全新、完整、未使用过的、符合招标文件要求、具有国家有关部门注册并符合国家质量检测标准和产品出厂标准的设备并应符合相关国家标准和行业的质量、技术标准。但采购人与中标人双方约定的质量标准高于国家标准、行业标准的，应符合双方约定的标准。</w:t>
      </w:r>
    </w:p>
    <w:p w14:paraId="211B1788">
      <w:pPr>
        <w:pStyle w:val="12"/>
        <w:spacing w:line="396" w:lineRule="auto"/>
        <w:ind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3.3中标人须向采购人提供所交付设备的产地、品牌、型号标志、明显的识别标志、产品检验合格证明、产品技术规格性能保证、出厂证明及生产序号。</w:t>
      </w:r>
    </w:p>
    <w:p w14:paraId="17DA53FF">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4.违约责任：</w:t>
      </w:r>
    </w:p>
    <w:p w14:paraId="3F7A763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4.1除发生不可抗力事实外，乙方设备/成果与合同标准不相符合的，甲方有权拒绝支付；</w:t>
      </w:r>
    </w:p>
    <w:p w14:paraId="3933DF49">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乙方逾期交货的，每逾期一日，应向甲方支付合同总额千分之一的违约金。因乙方不能按期交付设备或完成安装调试和所交设备或安装调试与合同标准不符使甲方造成经济损失的，乙方应依法赔偿。逾期十五日的，甲方有权解除本合同，因此发生的一切损失，由乙方全部承担。</w:t>
      </w:r>
    </w:p>
    <w:p w14:paraId="03FA7267">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4.3乙方不履行本合同或招标文件约定的售后、保修等义务的，甲方有权另行委托其他机构进行保修等，由此产生的费用及损失由乙方全部承担。</w:t>
      </w:r>
    </w:p>
    <w:p w14:paraId="3ECF7B75">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4.4服务期间因乙方原因造成甲方损失，乙方须向甲方每次偿付合同总额千分之一的违约金。乙方不当履行合同的，甲方有权单方面解除合同并要求乙方承担合同金额20%的违约金，若违约金不足以弥补甲方损失的，甲方有权要求乙方赔偿损失。甲方有权拒付合同金额以外的其他任何费用。因乙方违约导致甲方因诉讼、维权而产生的案件受理费、律师费、交通费、保全费等均由乙方负责。</w:t>
      </w:r>
    </w:p>
    <w:p w14:paraId="4BB8E320">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4.5其它违约细则：乙方给甲方造成的损失，甲方有权直接从乙方交纳的履约保证金中予以扣除，给甲方造成的损失超过履约保证金数额的，乙方还应当对超过部分予以赔偿。</w:t>
      </w:r>
    </w:p>
    <w:bookmarkEnd w:id="500"/>
    <w:bookmarkEnd w:id="501"/>
    <w:bookmarkEnd w:id="502"/>
    <w:p w14:paraId="4098DBB0">
      <w:pPr>
        <w:rPr>
          <w:rFonts w:ascii="宋体" w:hAnsi="宋体" w:cs="宋体"/>
          <w:color w:val="auto"/>
        </w:rPr>
      </w:pPr>
      <w:bookmarkStart w:id="503" w:name="_Toc16554"/>
      <w:bookmarkStart w:id="504" w:name="_Toc14295"/>
      <w:r>
        <w:rPr>
          <w:rFonts w:hint="eastAsia" w:ascii="宋体" w:hAnsi="宋体" w:cs="宋体"/>
          <w:color w:val="auto"/>
        </w:rPr>
        <w:br w:type="page"/>
      </w:r>
    </w:p>
    <w:p w14:paraId="3F2A1A8F">
      <w:pPr>
        <w:pStyle w:val="2"/>
        <w:spacing w:before="0" w:after="0" w:line="360" w:lineRule="auto"/>
        <w:rPr>
          <w:rFonts w:ascii="宋体" w:hAnsi="宋体" w:cs="宋体"/>
          <w:color w:val="auto"/>
        </w:rPr>
      </w:pPr>
      <w:r>
        <w:rPr>
          <w:rFonts w:hint="eastAsia" w:ascii="宋体" w:hAnsi="宋体" w:cs="宋体"/>
          <w:color w:val="auto"/>
        </w:rPr>
        <w:t>第六章 资格审查</w:t>
      </w:r>
      <w:bookmarkEnd w:id="503"/>
      <w:bookmarkEnd w:id="504"/>
    </w:p>
    <w:p w14:paraId="3550A3B6">
      <w:pPr>
        <w:pStyle w:val="3"/>
        <w:spacing w:before="0" w:line="360" w:lineRule="auto"/>
        <w:jc w:val="center"/>
        <w:rPr>
          <w:rFonts w:ascii="宋体" w:hAnsi="宋体" w:cs="宋体"/>
          <w:bCs/>
          <w:caps/>
          <w:color w:val="auto"/>
          <w:spacing w:val="0"/>
          <w:sz w:val="28"/>
          <w:szCs w:val="32"/>
        </w:rPr>
      </w:pPr>
      <w:bookmarkStart w:id="505" w:name="_Toc27143"/>
      <w:bookmarkStart w:id="506" w:name="_Toc18287453"/>
      <w:bookmarkStart w:id="507" w:name="_Toc21544"/>
      <w:r>
        <w:rPr>
          <w:rFonts w:hint="eastAsia" w:ascii="宋体" w:hAnsi="宋体" w:cs="宋体"/>
          <w:bCs/>
          <w:caps/>
          <w:color w:val="auto"/>
          <w:spacing w:val="0"/>
          <w:sz w:val="28"/>
          <w:szCs w:val="32"/>
        </w:rPr>
        <w:t>投标人资格要求前附表</w:t>
      </w:r>
      <w:bookmarkEnd w:id="505"/>
      <w:bookmarkEnd w:id="506"/>
      <w:bookmarkEnd w:id="507"/>
    </w:p>
    <w:tbl>
      <w:tblPr>
        <w:tblStyle w:val="41"/>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85"/>
      </w:tblGrid>
      <w:tr w14:paraId="3692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1980" w:type="dxa"/>
            <w:tcBorders>
              <w:top w:val="single" w:color="auto" w:sz="4" w:space="0"/>
              <w:left w:val="single" w:color="auto" w:sz="4" w:space="0"/>
              <w:bottom w:val="single" w:color="auto" w:sz="4" w:space="0"/>
              <w:right w:val="single" w:color="auto" w:sz="4" w:space="0"/>
            </w:tcBorders>
            <w:vAlign w:val="center"/>
          </w:tcPr>
          <w:p w14:paraId="3E75CDC6">
            <w:pPr>
              <w:spacing w:line="360" w:lineRule="auto"/>
              <w:jc w:val="center"/>
              <w:rPr>
                <w:rFonts w:ascii="宋体" w:hAnsi="宋体" w:cs="宋体"/>
                <w:bCs/>
                <w:color w:val="auto"/>
                <w:szCs w:val="21"/>
              </w:rPr>
            </w:pPr>
            <w:r>
              <w:rPr>
                <w:rFonts w:hint="eastAsia" w:ascii="宋体" w:hAnsi="宋体" w:cs="宋体"/>
                <w:bCs/>
                <w:color w:val="auto"/>
                <w:szCs w:val="21"/>
              </w:rPr>
              <w:t>资 格 要 求</w:t>
            </w:r>
          </w:p>
        </w:tc>
        <w:tc>
          <w:tcPr>
            <w:tcW w:w="6585" w:type="dxa"/>
            <w:tcBorders>
              <w:top w:val="single" w:color="auto" w:sz="4" w:space="0"/>
              <w:left w:val="single" w:color="auto" w:sz="4" w:space="0"/>
              <w:bottom w:val="single" w:color="auto" w:sz="4" w:space="0"/>
              <w:right w:val="single" w:color="auto" w:sz="4" w:space="0"/>
            </w:tcBorders>
            <w:vAlign w:val="center"/>
          </w:tcPr>
          <w:p w14:paraId="35953055">
            <w:pPr>
              <w:spacing w:line="360" w:lineRule="auto"/>
              <w:jc w:val="center"/>
              <w:rPr>
                <w:rFonts w:ascii="宋体" w:hAnsi="宋体" w:cs="宋体"/>
                <w:bCs/>
                <w:color w:val="auto"/>
                <w:szCs w:val="21"/>
              </w:rPr>
            </w:pPr>
            <w:r>
              <w:rPr>
                <w:rFonts w:hint="eastAsia" w:ascii="宋体" w:hAnsi="宋体" w:cs="宋体"/>
                <w:bCs/>
                <w:color w:val="auto"/>
                <w:szCs w:val="21"/>
              </w:rPr>
              <w:t>审 查 标 准</w:t>
            </w:r>
          </w:p>
        </w:tc>
      </w:tr>
      <w:tr w14:paraId="1018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80" w:type="dxa"/>
            <w:vAlign w:val="center"/>
          </w:tcPr>
          <w:p w14:paraId="25E98499">
            <w:pPr>
              <w:spacing w:line="360" w:lineRule="auto"/>
              <w:jc w:val="center"/>
              <w:rPr>
                <w:rFonts w:ascii="宋体" w:hAnsi="宋体" w:cs="宋体"/>
                <w:bCs/>
                <w:color w:val="auto"/>
                <w:szCs w:val="21"/>
              </w:rPr>
            </w:pPr>
            <w:r>
              <w:rPr>
                <w:rFonts w:hint="eastAsia" w:ascii="宋体" w:hAnsi="宋体" w:cs="宋体"/>
                <w:bCs/>
                <w:color w:val="auto"/>
                <w:szCs w:val="21"/>
              </w:rPr>
              <w:t>具有独立承担民事责任的能力</w:t>
            </w:r>
          </w:p>
        </w:tc>
        <w:tc>
          <w:tcPr>
            <w:tcW w:w="6585" w:type="dxa"/>
            <w:vAlign w:val="center"/>
          </w:tcPr>
          <w:p w14:paraId="2DD98EF7">
            <w:pPr>
              <w:spacing w:line="360" w:lineRule="auto"/>
              <w:jc w:val="left"/>
              <w:rPr>
                <w:rFonts w:ascii="宋体" w:hAnsi="宋体" w:cs="宋体"/>
                <w:bCs/>
                <w:color w:val="auto"/>
                <w:szCs w:val="21"/>
              </w:rPr>
            </w:pPr>
            <w:r>
              <w:rPr>
                <w:rFonts w:hint="eastAsia" w:hAnsi="宋体" w:cs="宋体"/>
                <w:bCs/>
                <w:color w:val="auto"/>
                <w:kern w:val="0"/>
                <w:szCs w:val="21"/>
              </w:rPr>
              <w:t>投标人为法人、其他组织或者自然人，提供有效的营业执照或事业单位法人证书或民办非企业登记证书或执业许可证或社会团体登记证或自然人身份证明</w:t>
            </w:r>
            <w:r>
              <w:rPr>
                <w:rFonts w:hint="eastAsia" w:ascii="宋体" w:hAnsi="宋体" w:cs="宋体"/>
                <w:bCs/>
                <w:color w:val="auto"/>
                <w:szCs w:val="21"/>
              </w:rPr>
              <w:t>；</w:t>
            </w:r>
          </w:p>
        </w:tc>
      </w:tr>
      <w:tr w14:paraId="5D24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blHeader/>
          <w:jc w:val="center"/>
        </w:trPr>
        <w:tc>
          <w:tcPr>
            <w:tcW w:w="1980" w:type="dxa"/>
            <w:vAlign w:val="center"/>
          </w:tcPr>
          <w:p w14:paraId="3DC9F37D">
            <w:pPr>
              <w:spacing w:line="360" w:lineRule="auto"/>
              <w:jc w:val="center"/>
              <w:rPr>
                <w:rFonts w:ascii="宋体" w:hAnsi="宋体" w:cs="宋体"/>
                <w:bCs/>
                <w:color w:val="auto"/>
                <w:szCs w:val="21"/>
              </w:rPr>
            </w:pPr>
            <w:r>
              <w:rPr>
                <w:rFonts w:hint="eastAsia" w:ascii="宋体" w:hAnsi="宋体" w:cs="宋体"/>
                <w:bCs/>
                <w:color w:val="auto"/>
                <w:szCs w:val="21"/>
              </w:rPr>
              <w:t>具有良好的商业信誉和健全的财务会计制度</w:t>
            </w:r>
          </w:p>
        </w:tc>
        <w:tc>
          <w:tcPr>
            <w:tcW w:w="6585" w:type="dxa"/>
            <w:vAlign w:val="center"/>
          </w:tcPr>
          <w:p w14:paraId="19EDB61F">
            <w:pPr>
              <w:widowControl/>
              <w:spacing w:line="440" w:lineRule="exact"/>
              <w:jc w:val="left"/>
              <w:rPr>
                <w:rFonts w:ascii="宋体" w:hAnsi="宋体" w:cs="宋体"/>
                <w:bCs/>
                <w:color w:val="auto"/>
                <w:szCs w:val="21"/>
              </w:rPr>
            </w:pPr>
            <w:r>
              <w:rPr>
                <w:rFonts w:hint="eastAsia" w:ascii="宋体" w:hAnsi="宋体" w:cs="宋体"/>
                <w:color w:val="auto"/>
                <w:szCs w:val="21"/>
              </w:rPr>
              <w:t>投标人可根据自身情况提供下述①-④任意一种证明材料：①2023年或2024年任意一年度经审计的财务会计报告及报表（至少包括资产负债表、利润表（损益表）、现金流量表)；若为至提交投标文件截止时间新成立不满1年的公司，</w:t>
            </w:r>
            <w:r>
              <w:rPr>
                <w:color w:val="auto"/>
                <w:kern w:val="0"/>
                <w:szCs w:val="21"/>
              </w:rPr>
              <w:t>可提供成立至今的财务报表</w:t>
            </w:r>
            <w:r>
              <w:rPr>
                <w:rFonts w:hint="eastAsia" w:ascii="宋体" w:hAnsi="宋体" w:cs="宋体"/>
                <w:color w:val="auto"/>
                <w:szCs w:val="21"/>
              </w:rPr>
              <w:t>；②提供其开户行出具的至本项目提交投标文件截止时间前1年内的资信证明或财政部门认可的政府采购专业担保机构出具的投标担保函（需同时提供专业担保机构经财政部门认可的证明文件）。③投标人为事业单位提供财务报表；④投标人为自然人的提供具有良好的商业信誉和健全的财务会计制度的承诺函（自然人投标人电子签名）；</w:t>
            </w:r>
          </w:p>
        </w:tc>
      </w:tr>
      <w:tr w14:paraId="1F54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980" w:type="dxa"/>
            <w:vAlign w:val="center"/>
          </w:tcPr>
          <w:p w14:paraId="6962013C">
            <w:pPr>
              <w:spacing w:line="360" w:lineRule="auto"/>
              <w:jc w:val="center"/>
              <w:rPr>
                <w:rFonts w:ascii="宋体" w:hAnsi="宋体" w:cs="宋体"/>
                <w:bCs/>
                <w:color w:val="auto"/>
                <w:szCs w:val="21"/>
              </w:rPr>
            </w:pPr>
            <w:r>
              <w:rPr>
                <w:rFonts w:hint="eastAsia" w:ascii="宋体" w:hAnsi="宋体" w:cs="宋体"/>
                <w:bCs/>
                <w:color w:val="auto"/>
                <w:szCs w:val="21"/>
              </w:rPr>
              <w:t>具有履行合同所必需的设备和专业技术能力</w:t>
            </w:r>
          </w:p>
        </w:tc>
        <w:tc>
          <w:tcPr>
            <w:tcW w:w="6585" w:type="dxa"/>
            <w:vAlign w:val="center"/>
          </w:tcPr>
          <w:p w14:paraId="3F0FA403">
            <w:pPr>
              <w:wordWrap w:val="0"/>
              <w:spacing w:line="360" w:lineRule="auto"/>
              <w:jc w:val="left"/>
              <w:rPr>
                <w:rFonts w:ascii="宋体" w:hAnsi="宋体" w:cs="宋体"/>
                <w:bCs/>
                <w:color w:val="auto"/>
                <w:szCs w:val="21"/>
              </w:rPr>
            </w:pPr>
            <w:r>
              <w:rPr>
                <w:rFonts w:hint="eastAsia" w:ascii="宋体" w:hAnsi="宋体" w:cs="宋体"/>
                <w:color w:val="auto"/>
                <w:szCs w:val="21"/>
              </w:rPr>
              <w:t>具有履行合同所必需的设备和专业技术能力：投标人须提供具有履行合同所必需的设备和专业技术能力的承诺函（加盖投标人电子公章）或证明材料</w:t>
            </w:r>
            <w:r>
              <w:rPr>
                <w:rFonts w:hint="eastAsia" w:ascii="宋体" w:hAnsi="宋体" w:cs="宋体"/>
                <w:bCs/>
                <w:color w:val="auto"/>
                <w:szCs w:val="21"/>
              </w:rPr>
              <w:t>；</w:t>
            </w:r>
          </w:p>
        </w:tc>
      </w:tr>
      <w:tr w14:paraId="1B8F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80" w:type="dxa"/>
            <w:vMerge w:val="restart"/>
            <w:vAlign w:val="center"/>
          </w:tcPr>
          <w:p w14:paraId="537FF3EE">
            <w:pPr>
              <w:spacing w:line="360" w:lineRule="auto"/>
              <w:jc w:val="center"/>
              <w:rPr>
                <w:rFonts w:ascii="宋体" w:hAnsi="宋体" w:cs="宋体"/>
                <w:bCs/>
                <w:color w:val="auto"/>
                <w:szCs w:val="21"/>
              </w:rPr>
            </w:pPr>
            <w:r>
              <w:rPr>
                <w:rFonts w:hint="eastAsia" w:ascii="宋体" w:hAnsi="宋体" w:cs="宋体"/>
                <w:bCs/>
                <w:color w:val="auto"/>
                <w:szCs w:val="21"/>
              </w:rPr>
              <w:t>有依法缴纳税收和社会保障资金的良好记录</w:t>
            </w:r>
          </w:p>
        </w:tc>
        <w:tc>
          <w:tcPr>
            <w:tcW w:w="6585" w:type="dxa"/>
            <w:vAlign w:val="center"/>
          </w:tcPr>
          <w:p w14:paraId="4D53FFD1">
            <w:pPr>
              <w:wordWrap w:val="0"/>
              <w:spacing w:line="360" w:lineRule="auto"/>
              <w:jc w:val="left"/>
              <w:rPr>
                <w:rFonts w:ascii="宋体" w:hAnsi="宋体" w:cs="宋体"/>
                <w:bCs/>
                <w:color w:val="auto"/>
                <w:szCs w:val="21"/>
              </w:rPr>
            </w:pPr>
            <w:r>
              <w:rPr>
                <w:rFonts w:hint="eastAsia" w:ascii="宋体" w:hAnsi="宋体" w:cs="宋体"/>
                <w:color w:val="auto"/>
                <w:szCs w:val="21"/>
              </w:rPr>
              <w:t>投标人提供缴税所属时间在2024年01月至本项目提交投标文件截止时间前任意2个月的税务局税收通用缴款书或银行电子缴税（费）凭证或税务局出具纳税情况的相关证明，成立未满2个月的提供成立以来的纳税证明材料，依法免税的应提供依法免税的相关证明文件；</w:t>
            </w:r>
          </w:p>
        </w:tc>
      </w:tr>
      <w:tr w14:paraId="461F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80" w:type="dxa"/>
            <w:vMerge w:val="continue"/>
            <w:vAlign w:val="center"/>
          </w:tcPr>
          <w:p w14:paraId="29602BC1">
            <w:pPr>
              <w:spacing w:line="360" w:lineRule="auto"/>
              <w:jc w:val="center"/>
              <w:rPr>
                <w:rFonts w:ascii="宋体" w:hAnsi="宋体" w:cs="宋体"/>
                <w:bCs/>
                <w:color w:val="auto"/>
                <w:szCs w:val="21"/>
              </w:rPr>
            </w:pPr>
          </w:p>
        </w:tc>
        <w:tc>
          <w:tcPr>
            <w:tcW w:w="6585" w:type="dxa"/>
            <w:vAlign w:val="center"/>
          </w:tcPr>
          <w:p w14:paraId="28B7F051">
            <w:pPr>
              <w:wordWrap w:val="0"/>
              <w:spacing w:line="360" w:lineRule="auto"/>
              <w:jc w:val="left"/>
              <w:rPr>
                <w:rFonts w:ascii="宋体" w:hAnsi="宋体" w:cs="宋体"/>
                <w:bCs/>
                <w:color w:val="auto"/>
                <w:szCs w:val="21"/>
              </w:rPr>
            </w:pPr>
            <w:r>
              <w:rPr>
                <w:rFonts w:hint="eastAsia" w:ascii="宋体" w:hAnsi="宋体" w:cs="宋体"/>
                <w:color w:val="auto"/>
                <w:szCs w:val="21"/>
              </w:rPr>
              <w:t>投投标人提供缴费所属时间在2024年01月至本项目提交投标文件截止时间前任意2个月的社会保险费缴款书或银行电子缴税（费）凭证或社保管理部门出具的有效的缴款证明，成立未满2个月的提供成立以来的社保资金缴纳证明材料，依法免缴的应提供依法免缴的相关证明文件；</w:t>
            </w:r>
          </w:p>
        </w:tc>
      </w:tr>
      <w:tr w14:paraId="6B68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80" w:type="dxa"/>
            <w:vAlign w:val="center"/>
          </w:tcPr>
          <w:p w14:paraId="0A9AF11D">
            <w:pPr>
              <w:spacing w:line="360" w:lineRule="auto"/>
              <w:jc w:val="center"/>
              <w:rPr>
                <w:rFonts w:ascii="宋体" w:hAnsi="宋体" w:cs="宋体"/>
                <w:bCs/>
                <w:color w:val="auto"/>
                <w:szCs w:val="21"/>
              </w:rPr>
            </w:pPr>
            <w:r>
              <w:rPr>
                <w:rFonts w:hint="eastAsia" w:ascii="宋体" w:hAnsi="宋体" w:cs="宋体"/>
                <w:bCs/>
                <w:color w:val="auto"/>
                <w:kern w:val="0"/>
                <w:szCs w:val="21"/>
              </w:rPr>
              <w:t>参加政府采购活动前三年内，在经营活动中没有重大违法记录</w:t>
            </w:r>
          </w:p>
        </w:tc>
        <w:tc>
          <w:tcPr>
            <w:tcW w:w="6585" w:type="dxa"/>
            <w:vAlign w:val="center"/>
          </w:tcPr>
          <w:p w14:paraId="752D7D4E">
            <w:pPr>
              <w:widowControl/>
              <w:spacing w:line="440" w:lineRule="exact"/>
              <w:jc w:val="left"/>
              <w:rPr>
                <w:rFonts w:ascii="宋体" w:hAnsi="宋体" w:cs="宋体"/>
                <w:bCs/>
                <w:color w:val="auto"/>
                <w:szCs w:val="21"/>
              </w:rPr>
            </w:pPr>
            <w:r>
              <w:rPr>
                <w:rFonts w:hint="eastAsia" w:ascii="宋体" w:hAnsi="宋体" w:cs="宋体"/>
                <w:color w:val="auto"/>
                <w:szCs w:val="21"/>
              </w:rPr>
              <w:t>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加盖投标人电子公章）；</w:t>
            </w:r>
          </w:p>
        </w:tc>
      </w:tr>
      <w:tr w14:paraId="3571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80" w:type="dxa"/>
            <w:vMerge w:val="restart"/>
            <w:vAlign w:val="center"/>
          </w:tcPr>
          <w:p w14:paraId="293F3104">
            <w:pPr>
              <w:spacing w:line="360" w:lineRule="auto"/>
              <w:jc w:val="center"/>
              <w:rPr>
                <w:rFonts w:ascii="宋体" w:hAnsi="宋体" w:cs="宋体"/>
                <w:bCs/>
                <w:color w:val="auto"/>
                <w:szCs w:val="21"/>
              </w:rPr>
            </w:pPr>
            <w:r>
              <w:rPr>
                <w:rFonts w:hint="eastAsia" w:ascii="宋体" w:hAnsi="宋体" w:cs="宋体"/>
                <w:bCs/>
                <w:color w:val="auto"/>
                <w:szCs w:val="21"/>
              </w:rPr>
              <w:t>法律、行政法规规定的其他条件</w:t>
            </w:r>
          </w:p>
        </w:tc>
        <w:tc>
          <w:tcPr>
            <w:tcW w:w="6585" w:type="dxa"/>
            <w:vAlign w:val="center"/>
          </w:tcPr>
          <w:p w14:paraId="1B966A67">
            <w:pPr>
              <w:widowControl/>
              <w:spacing w:line="440" w:lineRule="exact"/>
              <w:jc w:val="left"/>
              <w:rPr>
                <w:rFonts w:ascii="宋体" w:hAnsi="宋体" w:cs="宋体"/>
                <w:bCs/>
                <w:color w:val="auto"/>
                <w:szCs w:val="21"/>
              </w:rPr>
            </w:pPr>
            <w:r>
              <w:rPr>
                <w:rFonts w:hint="eastAsia" w:ascii="宋体" w:hAnsi="宋体" w:cs="宋体"/>
                <w:color w:val="auto"/>
                <w:szCs w:val="21"/>
              </w:rPr>
              <w:t>投标人在“信用中国”网站（www.creditchina.gov.cn）信用服务查询栏查询的“失信被执行人（按网站要求链接到中国执行信息网（http：//zxgk.court.gov.cn/shixin/）查询）、重大税收违法失信主体名录”未出现不良信用信息记录；投标人在“中国政府采购网（www.ccgp.gov.cn）”政府采购严重违法失信行为记录名单内无不良信息记录；（查询时间为本公告发布之日起至本项目开标当日为止，查询结果以采购人、采购代理机构查询结果为准，并将查询记录和证据留存）；</w:t>
            </w:r>
          </w:p>
        </w:tc>
      </w:tr>
      <w:tr w14:paraId="73D6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80" w:type="dxa"/>
            <w:vMerge w:val="continue"/>
            <w:vAlign w:val="center"/>
          </w:tcPr>
          <w:p w14:paraId="30762158">
            <w:pPr>
              <w:spacing w:line="360" w:lineRule="auto"/>
              <w:jc w:val="center"/>
              <w:rPr>
                <w:rFonts w:ascii="宋体" w:hAnsi="宋体" w:cs="宋体"/>
                <w:bCs/>
                <w:color w:val="auto"/>
                <w:szCs w:val="21"/>
              </w:rPr>
            </w:pPr>
          </w:p>
        </w:tc>
        <w:tc>
          <w:tcPr>
            <w:tcW w:w="6585" w:type="dxa"/>
            <w:vAlign w:val="center"/>
          </w:tcPr>
          <w:p w14:paraId="071C26F5">
            <w:pPr>
              <w:widowControl/>
              <w:spacing w:line="440" w:lineRule="exact"/>
              <w:jc w:val="left"/>
              <w:rPr>
                <w:rFonts w:ascii="宋体" w:hAnsi="宋体" w:cs="宋体"/>
                <w:bCs/>
                <w:color w:val="auto"/>
                <w:szCs w:val="21"/>
              </w:rPr>
            </w:pPr>
            <w:r>
              <w:rPr>
                <w:rFonts w:hint="eastAsia" w:ascii="宋体" w:hAnsi="宋体" w:cs="宋体"/>
                <w:color w:val="auto"/>
                <w:szCs w:val="21"/>
              </w:rPr>
              <w:t>单位负责人为同一人或者存在直接控股、管理关系的不同投标人，不得同时参加本项目的采购活动（提供书面声明，加盖投标人电子公章）</w:t>
            </w:r>
            <w:r>
              <w:rPr>
                <w:rFonts w:hint="eastAsia" w:ascii="宋体" w:hAnsi="宋体" w:cs="宋体"/>
                <w:color w:val="auto"/>
                <w:kern w:val="0"/>
                <w:szCs w:val="21"/>
              </w:rPr>
              <w:t>；</w:t>
            </w:r>
          </w:p>
        </w:tc>
      </w:tr>
      <w:tr w14:paraId="3BBE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80" w:type="dxa"/>
            <w:vMerge w:val="continue"/>
            <w:vAlign w:val="center"/>
          </w:tcPr>
          <w:p w14:paraId="40B8DC84">
            <w:pPr>
              <w:spacing w:line="360" w:lineRule="auto"/>
              <w:jc w:val="center"/>
              <w:rPr>
                <w:rFonts w:ascii="宋体" w:hAnsi="宋体" w:cs="宋体"/>
                <w:bCs/>
                <w:color w:val="auto"/>
                <w:szCs w:val="21"/>
              </w:rPr>
            </w:pPr>
          </w:p>
        </w:tc>
        <w:tc>
          <w:tcPr>
            <w:tcW w:w="6585" w:type="dxa"/>
            <w:vAlign w:val="center"/>
          </w:tcPr>
          <w:p w14:paraId="5FBCE0BF">
            <w:pPr>
              <w:widowControl/>
              <w:spacing w:line="440" w:lineRule="exact"/>
              <w:jc w:val="left"/>
              <w:rPr>
                <w:rFonts w:ascii="宋体" w:hAnsi="宋体" w:cs="宋体"/>
                <w:bCs/>
                <w:color w:val="auto"/>
                <w:szCs w:val="21"/>
              </w:rPr>
            </w:pPr>
            <w:r>
              <w:rPr>
                <w:rFonts w:hint="eastAsia" w:ascii="宋体" w:hAnsi="宋体" w:cs="宋体"/>
                <w:color w:val="auto"/>
                <w:szCs w:val="21"/>
              </w:rPr>
              <w:t>为本项目提供整体设计、规范编制或者项目管理、监理、检测等服务的投标人，不得参与本项目采购活动（提供书面声明，加盖投标人电子公章）</w:t>
            </w:r>
            <w:r>
              <w:rPr>
                <w:rFonts w:hint="eastAsia" w:ascii="宋体" w:hAnsi="宋体" w:cs="宋体"/>
                <w:bCs/>
                <w:color w:val="auto"/>
                <w:kern w:val="0"/>
                <w:szCs w:val="21"/>
              </w:rPr>
              <w:t>；</w:t>
            </w:r>
          </w:p>
        </w:tc>
      </w:tr>
      <w:tr w14:paraId="4035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80" w:type="dxa"/>
            <w:vAlign w:val="center"/>
          </w:tcPr>
          <w:p w14:paraId="56AA19C9">
            <w:pPr>
              <w:spacing w:line="360" w:lineRule="auto"/>
              <w:jc w:val="center"/>
              <w:rPr>
                <w:rFonts w:ascii="宋体" w:hAnsi="宋体" w:cs="宋体"/>
                <w:bCs/>
                <w:color w:val="auto"/>
                <w:szCs w:val="21"/>
              </w:rPr>
            </w:pPr>
            <w:r>
              <w:rPr>
                <w:rFonts w:hint="eastAsia" w:ascii="宋体" w:hAnsi="宋体" w:cs="宋体"/>
                <w:bCs/>
                <w:color w:val="auto"/>
                <w:szCs w:val="21"/>
              </w:rPr>
              <w:t>落实政府采购政策需满足的资格要求</w:t>
            </w:r>
          </w:p>
        </w:tc>
        <w:tc>
          <w:tcPr>
            <w:tcW w:w="6585" w:type="dxa"/>
            <w:vAlign w:val="center"/>
          </w:tcPr>
          <w:p w14:paraId="523B3492">
            <w:pPr>
              <w:wordWrap w:val="0"/>
              <w:spacing w:line="360" w:lineRule="auto"/>
              <w:jc w:val="center"/>
              <w:rPr>
                <w:rFonts w:ascii="宋体" w:hAnsi="宋体" w:cs="宋体"/>
                <w:bCs/>
                <w:color w:val="auto"/>
                <w:szCs w:val="21"/>
              </w:rPr>
            </w:pPr>
            <w:r>
              <w:rPr>
                <w:rFonts w:hint="eastAsia" w:ascii="宋体" w:hAnsi="宋体" w:cs="宋体"/>
                <w:bCs/>
                <w:color w:val="auto"/>
                <w:szCs w:val="21"/>
              </w:rPr>
              <w:t>无</w:t>
            </w:r>
          </w:p>
        </w:tc>
      </w:tr>
      <w:tr w14:paraId="26A5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blHeader/>
          <w:jc w:val="center"/>
        </w:trPr>
        <w:tc>
          <w:tcPr>
            <w:tcW w:w="1980" w:type="dxa"/>
            <w:vAlign w:val="center"/>
          </w:tcPr>
          <w:p w14:paraId="35F8076A">
            <w:pPr>
              <w:spacing w:line="360" w:lineRule="auto"/>
              <w:jc w:val="center"/>
              <w:rPr>
                <w:rFonts w:ascii="宋体" w:hAnsi="宋体" w:cs="宋体"/>
                <w:bCs/>
                <w:color w:val="auto"/>
                <w:szCs w:val="21"/>
              </w:rPr>
            </w:pPr>
            <w:r>
              <w:rPr>
                <w:rFonts w:hint="eastAsia" w:ascii="宋体" w:hAnsi="宋体" w:cs="宋体"/>
                <w:bCs/>
                <w:color w:val="auto"/>
                <w:szCs w:val="21"/>
              </w:rPr>
              <w:t>本项目的特定资格要求</w:t>
            </w:r>
          </w:p>
        </w:tc>
        <w:tc>
          <w:tcPr>
            <w:tcW w:w="6585" w:type="dxa"/>
            <w:vAlign w:val="center"/>
          </w:tcPr>
          <w:p w14:paraId="558C484A">
            <w:pPr>
              <w:spacing w:line="360" w:lineRule="auto"/>
              <w:jc w:val="center"/>
              <w:rPr>
                <w:rFonts w:ascii="宋体" w:hAnsi="宋体" w:cs="宋体"/>
                <w:bCs/>
                <w:color w:val="auto"/>
                <w:szCs w:val="21"/>
              </w:rPr>
            </w:pPr>
            <w:r>
              <w:rPr>
                <w:rFonts w:hint="eastAsia" w:ascii="宋体" w:hAnsi="宋体" w:cs="宋体"/>
                <w:bCs/>
                <w:color w:val="auto"/>
                <w:szCs w:val="21"/>
              </w:rPr>
              <w:t>无</w:t>
            </w:r>
          </w:p>
        </w:tc>
      </w:tr>
    </w:tbl>
    <w:p w14:paraId="347455CA">
      <w:pPr>
        <w:spacing w:line="360" w:lineRule="auto"/>
        <w:jc w:val="left"/>
        <w:rPr>
          <w:rFonts w:ascii="宋体" w:hAnsi="宋体" w:cs="宋体"/>
          <w:color w:val="auto"/>
          <w:szCs w:val="21"/>
        </w:rPr>
      </w:pPr>
    </w:p>
    <w:p w14:paraId="18E9CA45">
      <w:pPr>
        <w:spacing w:line="360" w:lineRule="auto"/>
        <w:jc w:val="left"/>
        <w:rPr>
          <w:rFonts w:ascii="宋体" w:hAnsi="宋体" w:cs="宋体"/>
          <w:color w:val="auto"/>
          <w:szCs w:val="21"/>
        </w:rPr>
      </w:pPr>
      <w:r>
        <w:rPr>
          <w:rFonts w:hint="eastAsia" w:ascii="宋体" w:hAnsi="宋体" w:cs="宋体"/>
          <w:color w:val="auto"/>
          <w:szCs w:val="21"/>
        </w:rPr>
        <w:t>1.开标结束后，采购人或者采购代理机构将依法对投标人的资格进行审查，合格投标人不足3家的，不得评标。</w:t>
      </w:r>
    </w:p>
    <w:p w14:paraId="1EE0AE0B">
      <w:pPr>
        <w:spacing w:line="360" w:lineRule="auto"/>
        <w:jc w:val="left"/>
        <w:rPr>
          <w:rFonts w:ascii="宋体" w:hAnsi="宋体" w:cs="宋体"/>
          <w:color w:val="auto"/>
          <w:szCs w:val="21"/>
        </w:rPr>
      </w:pPr>
      <w:r>
        <w:rPr>
          <w:rFonts w:hint="eastAsia" w:ascii="宋体" w:hAnsi="宋体" w:cs="宋体"/>
          <w:color w:val="auto"/>
          <w:szCs w:val="21"/>
        </w:rPr>
        <w:t>2.采购人或者采购代理机构按照招标文件第一章《公开招标公告》二、投标人资格要求（投标人应符合《中华人民共和国政府采购法》第二十二条规定的条件）和第二章《投标人须知》“4. 投标人资格要求”的规定对投标人电子投标文件中资格证明文件及采购人、采购代理机构通过互联网或者相关信息系统的查询结果进行审查。</w:t>
      </w:r>
    </w:p>
    <w:p w14:paraId="6A9A93BB">
      <w:pPr>
        <w:spacing w:line="360" w:lineRule="auto"/>
        <w:jc w:val="left"/>
        <w:rPr>
          <w:rFonts w:ascii="宋体" w:hAnsi="宋体" w:cs="宋体"/>
          <w:color w:val="auto"/>
          <w:szCs w:val="32"/>
        </w:rPr>
      </w:pPr>
      <w:r>
        <w:rPr>
          <w:rFonts w:hint="eastAsia" w:ascii="宋体" w:hAnsi="宋体" w:cs="宋体"/>
          <w:color w:val="auto"/>
          <w:szCs w:val="32"/>
        </w:rPr>
        <w:t>3.如投标人为满足投标人资格要求提供虚假材料，一经查实，视为未实质性响应招标文件，投标人投标文件将按无效处理。</w:t>
      </w:r>
    </w:p>
    <w:p w14:paraId="0024F6AF">
      <w:pPr>
        <w:spacing w:line="360" w:lineRule="auto"/>
        <w:jc w:val="left"/>
        <w:rPr>
          <w:rFonts w:ascii="宋体" w:hAnsi="宋体" w:cs="宋体"/>
          <w:color w:val="auto"/>
        </w:rPr>
      </w:pPr>
      <w:r>
        <w:rPr>
          <w:rFonts w:hint="eastAsia" w:ascii="宋体" w:hAnsi="宋体" w:cs="宋体"/>
          <w:color w:val="auto"/>
          <w:szCs w:val="32"/>
        </w:rPr>
        <w:t>4.采购人或者采购代理机构在资格审查过程中发现投标人有一项不符合上述规定的，该投标文件按无效投标处理。</w:t>
      </w:r>
      <w:r>
        <w:rPr>
          <w:rFonts w:hint="eastAsia" w:ascii="宋体" w:hAnsi="宋体" w:cs="宋体"/>
          <w:color w:val="auto"/>
        </w:rPr>
        <w:br w:type="page"/>
      </w:r>
    </w:p>
    <w:p w14:paraId="7597ABE7">
      <w:pPr>
        <w:pStyle w:val="2"/>
        <w:spacing w:before="0" w:after="0" w:line="360" w:lineRule="auto"/>
        <w:rPr>
          <w:rFonts w:ascii="宋体" w:hAnsi="宋体" w:cs="宋体"/>
          <w:color w:val="auto"/>
        </w:rPr>
      </w:pPr>
      <w:bookmarkStart w:id="508" w:name="_Toc29737"/>
      <w:bookmarkStart w:id="509" w:name="_Toc7720"/>
      <w:r>
        <w:rPr>
          <w:rFonts w:hint="eastAsia" w:ascii="宋体" w:hAnsi="宋体" w:cs="宋体"/>
          <w:color w:val="auto"/>
        </w:rPr>
        <w:t>第七章 评标方法（综合</w:t>
      </w:r>
      <w:bookmarkStart w:id="510" w:name="_Toc979"/>
      <w:r>
        <w:rPr>
          <w:rFonts w:hint="eastAsia" w:ascii="宋体" w:hAnsi="宋体" w:cs="宋体"/>
          <w:color w:val="auto"/>
        </w:rPr>
        <w:t>评</w:t>
      </w:r>
      <w:bookmarkStart w:id="511" w:name="_Toc480817655"/>
      <w:r>
        <w:rPr>
          <w:rFonts w:hint="eastAsia" w:ascii="宋体" w:hAnsi="宋体" w:cs="宋体"/>
          <w:color w:val="auto"/>
        </w:rPr>
        <w:t>分法）</w:t>
      </w:r>
      <w:bookmarkEnd w:id="508"/>
      <w:bookmarkEnd w:id="509"/>
      <w:bookmarkStart w:id="512" w:name="_Toc481694866"/>
    </w:p>
    <w:p w14:paraId="15413F57">
      <w:pPr>
        <w:pStyle w:val="3"/>
        <w:spacing w:before="0" w:line="360" w:lineRule="auto"/>
        <w:jc w:val="center"/>
        <w:rPr>
          <w:rFonts w:ascii="宋体" w:hAnsi="宋体" w:cs="宋体"/>
          <w:color w:val="auto"/>
        </w:rPr>
      </w:pPr>
      <w:bookmarkStart w:id="513" w:name="_Toc489145774"/>
      <w:bookmarkStart w:id="514" w:name="_Toc22093"/>
      <w:bookmarkStart w:id="515" w:name="_Toc488633639"/>
      <w:bookmarkStart w:id="516" w:name="_Toc3327"/>
      <w:r>
        <w:rPr>
          <w:rFonts w:hint="eastAsia" w:ascii="宋体" w:hAnsi="宋体" w:cs="宋体"/>
          <w:color w:val="auto"/>
        </w:rPr>
        <w:t>评标方法前附表</w:t>
      </w:r>
      <w:bookmarkEnd w:id="512"/>
      <w:bookmarkEnd w:id="513"/>
      <w:bookmarkEnd w:id="514"/>
      <w:bookmarkEnd w:id="515"/>
      <w:bookmarkEnd w:id="516"/>
    </w:p>
    <w:bookmarkEnd w:id="510"/>
    <w:bookmarkEnd w:id="511"/>
    <w:tbl>
      <w:tblPr>
        <w:tblStyle w:val="4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33"/>
        <w:gridCol w:w="1641"/>
        <w:gridCol w:w="5758"/>
      </w:tblGrid>
      <w:tr w14:paraId="7AAE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640" w:type="dxa"/>
            <w:gridSpan w:val="2"/>
            <w:vAlign w:val="center"/>
          </w:tcPr>
          <w:p w14:paraId="6CD7AA46">
            <w:pPr>
              <w:spacing w:line="460" w:lineRule="exact"/>
              <w:jc w:val="center"/>
              <w:rPr>
                <w:rFonts w:ascii="宋体" w:hAnsi="宋体" w:cs="宋体"/>
                <w:b/>
                <w:color w:val="auto"/>
                <w:szCs w:val="21"/>
              </w:rPr>
            </w:pPr>
            <w:bookmarkStart w:id="517" w:name="_Toc37716425"/>
            <w:bookmarkStart w:id="518" w:name="_Toc38338345"/>
            <w:bookmarkStart w:id="519" w:name="_Toc5124"/>
            <w:bookmarkStart w:id="520" w:name="_Toc4320"/>
            <w:bookmarkStart w:id="521" w:name="_Toc19413"/>
            <w:bookmarkStart w:id="522" w:name="_Toc27495"/>
            <w:r>
              <w:rPr>
                <w:rFonts w:hint="eastAsia" w:ascii="宋体" w:hAnsi="宋体" w:cs="宋体"/>
                <w:b/>
                <w:color w:val="auto"/>
                <w:szCs w:val="21"/>
              </w:rPr>
              <w:t>条款号</w:t>
            </w:r>
          </w:p>
        </w:tc>
        <w:tc>
          <w:tcPr>
            <w:tcW w:w="1641" w:type="dxa"/>
            <w:vAlign w:val="center"/>
          </w:tcPr>
          <w:p w14:paraId="41FB500C">
            <w:pPr>
              <w:spacing w:line="460" w:lineRule="exact"/>
              <w:jc w:val="center"/>
              <w:rPr>
                <w:rFonts w:ascii="宋体" w:hAnsi="宋体" w:cs="宋体"/>
                <w:b/>
                <w:color w:val="auto"/>
                <w:szCs w:val="21"/>
              </w:rPr>
            </w:pPr>
            <w:r>
              <w:rPr>
                <w:rFonts w:hint="eastAsia" w:ascii="宋体" w:hAnsi="宋体" w:cs="宋体"/>
                <w:b/>
                <w:color w:val="auto"/>
                <w:szCs w:val="21"/>
              </w:rPr>
              <w:t>评 审 内 容</w:t>
            </w:r>
          </w:p>
        </w:tc>
        <w:tc>
          <w:tcPr>
            <w:tcW w:w="5758" w:type="dxa"/>
            <w:vAlign w:val="center"/>
          </w:tcPr>
          <w:p w14:paraId="77E310BD">
            <w:pPr>
              <w:spacing w:line="460" w:lineRule="exact"/>
              <w:jc w:val="center"/>
              <w:rPr>
                <w:rFonts w:ascii="宋体" w:hAnsi="宋体" w:cs="宋体"/>
                <w:b/>
                <w:color w:val="auto"/>
                <w:szCs w:val="21"/>
              </w:rPr>
            </w:pPr>
            <w:r>
              <w:rPr>
                <w:rFonts w:hint="eastAsia" w:ascii="宋体" w:hAnsi="宋体" w:cs="宋体"/>
                <w:b/>
                <w:color w:val="auto"/>
                <w:szCs w:val="21"/>
              </w:rPr>
              <w:t>评 审 标 准</w:t>
            </w:r>
          </w:p>
        </w:tc>
      </w:tr>
      <w:tr w14:paraId="1832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restart"/>
            <w:vAlign w:val="center"/>
          </w:tcPr>
          <w:p w14:paraId="6E6979FF">
            <w:pPr>
              <w:pStyle w:val="37"/>
              <w:spacing w:before="0" w:beforeAutospacing="0" w:after="0" w:afterAutospacing="0" w:line="460" w:lineRule="exact"/>
              <w:jc w:val="center"/>
              <w:textAlignment w:val="center"/>
              <w:rPr>
                <w:rFonts w:cs="宋体"/>
                <w:b/>
                <w:bCs/>
                <w:color w:val="auto"/>
                <w:sz w:val="21"/>
                <w:szCs w:val="21"/>
              </w:rPr>
            </w:pPr>
            <w:r>
              <w:rPr>
                <w:rFonts w:hint="eastAsia" w:cs="宋体"/>
                <w:b/>
                <w:bCs/>
                <w:color w:val="auto"/>
                <w:sz w:val="21"/>
                <w:szCs w:val="21"/>
              </w:rPr>
              <w:t>1.2</w:t>
            </w:r>
          </w:p>
        </w:tc>
        <w:tc>
          <w:tcPr>
            <w:tcW w:w="833" w:type="dxa"/>
            <w:vMerge w:val="restart"/>
            <w:vAlign w:val="center"/>
          </w:tcPr>
          <w:p w14:paraId="6BFF8C04">
            <w:pPr>
              <w:pStyle w:val="37"/>
              <w:spacing w:before="0" w:beforeAutospacing="0" w:after="0" w:afterAutospacing="0" w:line="460" w:lineRule="exact"/>
              <w:jc w:val="center"/>
              <w:textAlignment w:val="center"/>
              <w:rPr>
                <w:rFonts w:cs="宋体"/>
                <w:b/>
                <w:bCs/>
                <w:color w:val="auto"/>
                <w:sz w:val="21"/>
                <w:szCs w:val="21"/>
              </w:rPr>
            </w:pPr>
            <w:r>
              <w:rPr>
                <w:rFonts w:hint="eastAsia" w:cs="宋体"/>
                <w:b/>
                <w:bCs/>
                <w:color w:val="auto"/>
                <w:sz w:val="21"/>
                <w:szCs w:val="21"/>
              </w:rPr>
              <w:t>符合性审查</w:t>
            </w:r>
          </w:p>
        </w:tc>
        <w:tc>
          <w:tcPr>
            <w:tcW w:w="1641" w:type="dxa"/>
            <w:vAlign w:val="center"/>
          </w:tcPr>
          <w:p w14:paraId="1AD5F8AD">
            <w:pPr>
              <w:spacing w:line="460" w:lineRule="exact"/>
              <w:jc w:val="center"/>
              <w:rPr>
                <w:rFonts w:ascii="宋体" w:hAnsi="宋体" w:cs="宋体"/>
                <w:color w:val="auto"/>
                <w:szCs w:val="21"/>
              </w:rPr>
            </w:pPr>
            <w:r>
              <w:rPr>
                <w:rFonts w:hint="eastAsia" w:ascii="宋体" w:hAnsi="宋体" w:cs="宋体"/>
                <w:b/>
                <w:bCs/>
                <w:color w:val="auto"/>
                <w:szCs w:val="21"/>
              </w:rPr>
              <w:t>投标保证金</w:t>
            </w:r>
          </w:p>
        </w:tc>
        <w:tc>
          <w:tcPr>
            <w:tcW w:w="5758" w:type="dxa"/>
            <w:vAlign w:val="center"/>
          </w:tcPr>
          <w:p w14:paraId="05B68187">
            <w:pPr>
              <w:spacing w:line="460" w:lineRule="exact"/>
              <w:jc w:val="center"/>
              <w:rPr>
                <w:rFonts w:ascii="宋体" w:hAnsi="宋体" w:cs="宋体"/>
                <w:color w:val="auto"/>
                <w:szCs w:val="21"/>
              </w:rPr>
            </w:pPr>
            <w:r>
              <w:rPr>
                <w:rFonts w:hint="eastAsia" w:ascii="宋体" w:hAnsi="宋体" w:cs="宋体"/>
                <w:bCs/>
                <w:color w:val="auto"/>
                <w:szCs w:val="21"/>
              </w:rPr>
              <w:t>符合第二章《投标人须知》第18.1项规定</w:t>
            </w:r>
          </w:p>
        </w:tc>
      </w:tr>
      <w:tr w14:paraId="2966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1436236B">
            <w:pPr>
              <w:pStyle w:val="37"/>
              <w:spacing w:before="0" w:beforeAutospacing="0" w:after="0" w:afterAutospacing="0" w:line="460" w:lineRule="exact"/>
              <w:jc w:val="center"/>
              <w:textAlignment w:val="center"/>
              <w:rPr>
                <w:rFonts w:cs="宋体"/>
                <w:b/>
                <w:bCs/>
                <w:color w:val="auto"/>
                <w:sz w:val="21"/>
                <w:szCs w:val="21"/>
              </w:rPr>
            </w:pPr>
          </w:p>
        </w:tc>
        <w:tc>
          <w:tcPr>
            <w:tcW w:w="833" w:type="dxa"/>
            <w:vMerge w:val="continue"/>
            <w:vAlign w:val="center"/>
          </w:tcPr>
          <w:p w14:paraId="248E55EE">
            <w:pPr>
              <w:pStyle w:val="37"/>
              <w:spacing w:before="0" w:beforeAutospacing="0" w:after="0" w:afterAutospacing="0" w:line="460" w:lineRule="exact"/>
              <w:jc w:val="center"/>
              <w:textAlignment w:val="center"/>
              <w:rPr>
                <w:rFonts w:cs="宋体"/>
                <w:b/>
                <w:bCs/>
                <w:color w:val="auto"/>
                <w:sz w:val="21"/>
                <w:szCs w:val="21"/>
              </w:rPr>
            </w:pPr>
          </w:p>
        </w:tc>
        <w:tc>
          <w:tcPr>
            <w:tcW w:w="1641" w:type="dxa"/>
            <w:vAlign w:val="center"/>
          </w:tcPr>
          <w:p w14:paraId="07D76D5D">
            <w:pPr>
              <w:spacing w:line="460" w:lineRule="exact"/>
              <w:jc w:val="center"/>
              <w:rPr>
                <w:rFonts w:ascii="宋体" w:hAnsi="宋体" w:cs="宋体"/>
                <w:color w:val="auto"/>
                <w:szCs w:val="21"/>
              </w:rPr>
            </w:pPr>
            <w:r>
              <w:rPr>
                <w:rFonts w:hint="eastAsia" w:ascii="宋体" w:hAnsi="宋体" w:cs="宋体"/>
                <w:b/>
                <w:bCs/>
                <w:color w:val="auto"/>
                <w:szCs w:val="21"/>
              </w:rPr>
              <w:t>开标一览表</w:t>
            </w:r>
          </w:p>
        </w:tc>
        <w:tc>
          <w:tcPr>
            <w:tcW w:w="5758" w:type="dxa"/>
            <w:vAlign w:val="center"/>
          </w:tcPr>
          <w:p w14:paraId="5F263E0A">
            <w:pPr>
              <w:spacing w:line="460" w:lineRule="exact"/>
              <w:jc w:val="center"/>
              <w:rPr>
                <w:rFonts w:ascii="宋体" w:hAnsi="宋体" w:cs="宋体"/>
                <w:color w:val="auto"/>
                <w:szCs w:val="21"/>
              </w:rPr>
            </w:pPr>
            <w:r>
              <w:rPr>
                <w:rFonts w:hint="eastAsia" w:ascii="宋体" w:hAnsi="宋体" w:cs="宋体"/>
                <w:bCs/>
                <w:color w:val="auto"/>
                <w:szCs w:val="21"/>
              </w:rPr>
              <w:t>符合第四章《投标文件格式》中规定的格式及内容，提供开标一览表</w:t>
            </w:r>
          </w:p>
        </w:tc>
      </w:tr>
      <w:tr w14:paraId="76B7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3AD53FF5">
            <w:pPr>
              <w:pStyle w:val="37"/>
              <w:spacing w:before="0" w:beforeAutospacing="0" w:after="0" w:afterAutospacing="0" w:line="460" w:lineRule="exact"/>
              <w:jc w:val="center"/>
              <w:textAlignment w:val="center"/>
              <w:rPr>
                <w:rFonts w:cs="宋体"/>
                <w:b/>
                <w:bCs/>
                <w:color w:val="auto"/>
                <w:sz w:val="21"/>
                <w:szCs w:val="21"/>
              </w:rPr>
            </w:pPr>
          </w:p>
        </w:tc>
        <w:tc>
          <w:tcPr>
            <w:tcW w:w="833" w:type="dxa"/>
            <w:vMerge w:val="continue"/>
            <w:vAlign w:val="center"/>
          </w:tcPr>
          <w:p w14:paraId="47286D25">
            <w:pPr>
              <w:pStyle w:val="37"/>
              <w:spacing w:before="0" w:beforeAutospacing="0" w:after="0" w:afterAutospacing="0" w:line="460" w:lineRule="exact"/>
              <w:jc w:val="center"/>
              <w:textAlignment w:val="center"/>
              <w:rPr>
                <w:rFonts w:cs="宋体"/>
                <w:b/>
                <w:bCs/>
                <w:color w:val="auto"/>
                <w:sz w:val="21"/>
                <w:szCs w:val="21"/>
              </w:rPr>
            </w:pPr>
          </w:p>
        </w:tc>
        <w:tc>
          <w:tcPr>
            <w:tcW w:w="1641" w:type="dxa"/>
            <w:vAlign w:val="center"/>
          </w:tcPr>
          <w:p w14:paraId="4DAE5824">
            <w:pPr>
              <w:spacing w:line="460" w:lineRule="exact"/>
              <w:jc w:val="center"/>
              <w:rPr>
                <w:rFonts w:ascii="宋体" w:hAnsi="宋体" w:cs="宋体"/>
                <w:color w:val="auto"/>
                <w:szCs w:val="21"/>
              </w:rPr>
            </w:pPr>
            <w:r>
              <w:rPr>
                <w:rFonts w:hint="eastAsia" w:ascii="宋体" w:hAnsi="宋体" w:cs="宋体"/>
                <w:b/>
                <w:bCs/>
                <w:color w:val="auto"/>
                <w:szCs w:val="21"/>
              </w:rPr>
              <w:t>投标函</w:t>
            </w:r>
          </w:p>
        </w:tc>
        <w:tc>
          <w:tcPr>
            <w:tcW w:w="5758" w:type="dxa"/>
            <w:vAlign w:val="center"/>
          </w:tcPr>
          <w:p w14:paraId="4B95CBA9">
            <w:pPr>
              <w:spacing w:line="460" w:lineRule="exact"/>
              <w:jc w:val="center"/>
              <w:rPr>
                <w:rFonts w:ascii="宋体" w:hAnsi="宋体" w:cs="宋体"/>
                <w:color w:val="auto"/>
                <w:szCs w:val="21"/>
              </w:rPr>
            </w:pPr>
            <w:r>
              <w:rPr>
                <w:rFonts w:hint="eastAsia" w:ascii="宋体" w:hAnsi="宋体" w:cs="宋体"/>
                <w:color w:val="auto"/>
                <w:szCs w:val="21"/>
              </w:rPr>
              <w:t>符合第四章《投标文件格式》中规定的格式及内容，有法定代表人电子签名或电子签章</w:t>
            </w:r>
          </w:p>
        </w:tc>
      </w:tr>
      <w:tr w14:paraId="71A3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2A65CD2F">
            <w:pPr>
              <w:pStyle w:val="37"/>
              <w:spacing w:before="0" w:beforeAutospacing="0" w:after="0" w:afterAutospacing="0" w:line="460" w:lineRule="exact"/>
              <w:jc w:val="center"/>
              <w:textAlignment w:val="center"/>
              <w:rPr>
                <w:rFonts w:cs="宋体"/>
                <w:b/>
                <w:bCs/>
                <w:color w:val="auto"/>
                <w:sz w:val="21"/>
                <w:szCs w:val="21"/>
              </w:rPr>
            </w:pPr>
          </w:p>
        </w:tc>
        <w:tc>
          <w:tcPr>
            <w:tcW w:w="833" w:type="dxa"/>
            <w:vMerge w:val="continue"/>
            <w:vAlign w:val="center"/>
          </w:tcPr>
          <w:p w14:paraId="1276820F">
            <w:pPr>
              <w:pStyle w:val="37"/>
              <w:spacing w:before="0" w:beforeAutospacing="0" w:after="0" w:afterAutospacing="0" w:line="460" w:lineRule="exact"/>
              <w:jc w:val="center"/>
              <w:textAlignment w:val="center"/>
              <w:rPr>
                <w:rFonts w:cs="宋体"/>
                <w:b/>
                <w:bCs/>
                <w:color w:val="auto"/>
                <w:sz w:val="21"/>
                <w:szCs w:val="21"/>
              </w:rPr>
            </w:pPr>
          </w:p>
        </w:tc>
        <w:tc>
          <w:tcPr>
            <w:tcW w:w="1641" w:type="dxa"/>
            <w:vAlign w:val="center"/>
          </w:tcPr>
          <w:p w14:paraId="71E3F325">
            <w:pPr>
              <w:spacing w:line="460" w:lineRule="exact"/>
              <w:jc w:val="center"/>
              <w:rPr>
                <w:rFonts w:ascii="宋体" w:hAnsi="宋体" w:cs="宋体"/>
                <w:color w:val="auto"/>
                <w:szCs w:val="21"/>
              </w:rPr>
            </w:pPr>
            <w:r>
              <w:rPr>
                <w:rFonts w:hint="eastAsia" w:ascii="宋体" w:hAnsi="宋体" w:cs="宋体"/>
                <w:b/>
                <w:bCs/>
                <w:color w:val="auto"/>
                <w:szCs w:val="21"/>
              </w:rPr>
              <w:t>投标报价</w:t>
            </w:r>
          </w:p>
        </w:tc>
        <w:tc>
          <w:tcPr>
            <w:tcW w:w="5758" w:type="dxa"/>
            <w:vAlign w:val="center"/>
          </w:tcPr>
          <w:p w14:paraId="44EB173C">
            <w:pPr>
              <w:spacing w:line="460" w:lineRule="exact"/>
              <w:jc w:val="left"/>
              <w:rPr>
                <w:rFonts w:ascii="宋体" w:hAnsi="宋体" w:cs="宋体"/>
                <w:bCs/>
                <w:color w:val="auto"/>
                <w:szCs w:val="21"/>
              </w:rPr>
            </w:pPr>
            <w:r>
              <w:rPr>
                <w:rFonts w:hint="eastAsia" w:ascii="宋体" w:hAnsi="宋体" w:cs="宋体"/>
                <w:bCs/>
                <w:color w:val="auto"/>
                <w:szCs w:val="21"/>
              </w:rPr>
              <w:t>1、提供分项报价一览表；</w:t>
            </w:r>
          </w:p>
          <w:p w14:paraId="42028474">
            <w:pPr>
              <w:spacing w:line="460" w:lineRule="exact"/>
              <w:jc w:val="left"/>
              <w:rPr>
                <w:rFonts w:ascii="宋体" w:hAnsi="宋体" w:cs="宋体"/>
                <w:bCs/>
                <w:color w:val="auto"/>
                <w:szCs w:val="21"/>
              </w:rPr>
            </w:pPr>
            <w:r>
              <w:rPr>
                <w:rFonts w:hint="eastAsia" w:ascii="宋体" w:hAnsi="宋体" w:cs="宋体"/>
                <w:bCs/>
                <w:color w:val="auto"/>
                <w:szCs w:val="21"/>
              </w:rPr>
              <w:t>2、投标报价未超过预算金额；投标单价报价未超预算单价；</w:t>
            </w:r>
          </w:p>
          <w:p w14:paraId="27B3496D">
            <w:pPr>
              <w:spacing w:line="460" w:lineRule="exact"/>
              <w:jc w:val="left"/>
              <w:rPr>
                <w:rFonts w:ascii="宋体" w:hAnsi="宋体" w:cs="宋体"/>
                <w:color w:val="auto"/>
                <w:szCs w:val="21"/>
              </w:rPr>
            </w:pPr>
            <w:r>
              <w:rPr>
                <w:rFonts w:hint="eastAsia" w:ascii="宋体" w:hAnsi="宋体" w:cs="宋体"/>
                <w:bCs/>
                <w:color w:val="auto"/>
                <w:szCs w:val="21"/>
              </w:rPr>
              <w:t>3、未出现缺项、漏项或无报价情况，对本项目所有内容作出完整唯一的投标报价。</w:t>
            </w:r>
          </w:p>
        </w:tc>
      </w:tr>
      <w:tr w14:paraId="46C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47A9FFCB">
            <w:pPr>
              <w:pStyle w:val="37"/>
              <w:spacing w:before="0" w:beforeAutospacing="0" w:after="0" w:afterAutospacing="0" w:line="460" w:lineRule="exact"/>
              <w:jc w:val="center"/>
              <w:textAlignment w:val="center"/>
              <w:rPr>
                <w:rFonts w:cs="宋体"/>
                <w:b/>
                <w:bCs/>
                <w:color w:val="auto"/>
                <w:sz w:val="21"/>
                <w:szCs w:val="21"/>
              </w:rPr>
            </w:pPr>
          </w:p>
        </w:tc>
        <w:tc>
          <w:tcPr>
            <w:tcW w:w="833" w:type="dxa"/>
            <w:vMerge w:val="continue"/>
            <w:vAlign w:val="center"/>
          </w:tcPr>
          <w:p w14:paraId="430BB90A">
            <w:pPr>
              <w:pStyle w:val="37"/>
              <w:spacing w:before="0" w:beforeAutospacing="0" w:after="0" w:afterAutospacing="0" w:line="460" w:lineRule="exact"/>
              <w:jc w:val="center"/>
              <w:textAlignment w:val="center"/>
              <w:rPr>
                <w:rFonts w:cs="宋体"/>
                <w:b/>
                <w:bCs/>
                <w:color w:val="auto"/>
                <w:sz w:val="21"/>
                <w:szCs w:val="21"/>
              </w:rPr>
            </w:pPr>
          </w:p>
        </w:tc>
        <w:tc>
          <w:tcPr>
            <w:tcW w:w="1641" w:type="dxa"/>
            <w:vAlign w:val="center"/>
          </w:tcPr>
          <w:p w14:paraId="29DC59FE">
            <w:pPr>
              <w:spacing w:line="460" w:lineRule="exact"/>
              <w:jc w:val="center"/>
              <w:rPr>
                <w:rFonts w:ascii="宋体" w:hAnsi="宋体" w:cs="宋体"/>
                <w:color w:val="auto"/>
                <w:szCs w:val="21"/>
              </w:rPr>
            </w:pPr>
            <w:r>
              <w:rPr>
                <w:rFonts w:hint="eastAsia" w:ascii="宋体" w:hAnsi="宋体" w:cs="宋体"/>
                <w:b/>
                <w:bCs/>
                <w:color w:val="auto"/>
                <w:szCs w:val="21"/>
              </w:rPr>
              <w:t>法定代表人身份证明书</w:t>
            </w:r>
          </w:p>
        </w:tc>
        <w:tc>
          <w:tcPr>
            <w:tcW w:w="5758" w:type="dxa"/>
            <w:vAlign w:val="center"/>
          </w:tcPr>
          <w:p w14:paraId="6A2420EA">
            <w:pPr>
              <w:spacing w:line="460" w:lineRule="exact"/>
              <w:jc w:val="center"/>
              <w:rPr>
                <w:rFonts w:ascii="宋体" w:hAnsi="宋体" w:cs="宋体"/>
                <w:color w:val="auto"/>
                <w:szCs w:val="21"/>
              </w:rPr>
            </w:pPr>
            <w:r>
              <w:rPr>
                <w:rFonts w:hint="eastAsia" w:ascii="宋体" w:hAnsi="宋体" w:cs="宋体"/>
                <w:color w:val="auto"/>
                <w:szCs w:val="21"/>
              </w:rPr>
              <w:t>符合第四章《投标文件格式》中规定的格式及内容，并加盖投标人电子公章</w:t>
            </w:r>
          </w:p>
        </w:tc>
      </w:tr>
      <w:tr w14:paraId="4B0D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3F9F649F">
            <w:pPr>
              <w:pStyle w:val="37"/>
              <w:spacing w:before="0" w:beforeAutospacing="0" w:after="0" w:afterAutospacing="0" w:line="460" w:lineRule="exact"/>
              <w:jc w:val="center"/>
              <w:textAlignment w:val="center"/>
              <w:rPr>
                <w:rFonts w:cs="宋体"/>
                <w:b/>
                <w:bCs/>
                <w:color w:val="auto"/>
                <w:sz w:val="21"/>
                <w:szCs w:val="21"/>
              </w:rPr>
            </w:pPr>
          </w:p>
        </w:tc>
        <w:tc>
          <w:tcPr>
            <w:tcW w:w="833" w:type="dxa"/>
            <w:vMerge w:val="continue"/>
            <w:vAlign w:val="center"/>
          </w:tcPr>
          <w:p w14:paraId="21896CE1">
            <w:pPr>
              <w:pStyle w:val="37"/>
              <w:spacing w:before="0" w:beforeAutospacing="0" w:after="0" w:afterAutospacing="0" w:line="460" w:lineRule="exact"/>
              <w:jc w:val="center"/>
              <w:textAlignment w:val="center"/>
              <w:rPr>
                <w:rFonts w:cs="宋体"/>
                <w:b/>
                <w:bCs/>
                <w:color w:val="auto"/>
                <w:sz w:val="21"/>
                <w:szCs w:val="21"/>
              </w:rPr>
            </w:pPr>
          </w:p>
        </w:tc>
        <w:tc>
          <w:tcPr>
            <w:tcW w:w="1641" w:type="dxa"/>
            <w:vAlign w:val="center"/>
          </w:tcPr>
          <w:p w14:paraId="01A31503">
            <w:pPr>
              <w:spacing w:line="460" w:lineRule="exact"/>
              <w:jc w:val="center"/>
              <w:rPr>
                <w:rFonts w:ascii="宋体" w:hAnsi="宋体" w:cs="宋体"/>
                <w:color w:val="auto"/>
                <w:szCs w:val="21"/>
              </w:rPr>
            </w:pPr>
            <w:r>
              <w:rPr>
                <w:rFonts w:hint="eastAsia" w:ascii="宋体" w:hAnsi="宋体" w:cs="宋体"/>
                <w:b/>
                <w:bCs/>
                <w:color w:val="auto"/>
                <w:szCs w:val="21"/>
              </w:rPr>
              <w:t>法定代表人授权委托书</w:t>
            </w:r>
          </w:p>
        </w:tc>
        <w:tc>
          <w:tcPr>
            <w:tcW w:w="5758" w:type="dxa"/>
            <w:vAlign w:val="center"/>
          </w:tcPr>
          <w:p w14:paraId="7888EAD2">
            <w:pPr>
              <w:spacing w:line="460" w:lineRule="exact"/>
              <w:jc w:val="center"/>
              <w:rPr>
                <w:rFonts w:ascii="宋体" w:hAnsi="宋体" w:cs="宋体"/>
                <w:color w:val="auto"/>
                <w:szCs w:val="21"/>
              </w:rPr>
            </w:pPr>
            <w:r>
              <w:rPr>
                <w:rFonts w:hint="eastAsia" w:ascii="宋体" w:hAnsi="宋体" w:cs="宋体"/>
                <w:color w:val="auto"/>
                <w:szCs w:val="21"/>
              </w:rPr>
              <w:t>符合第四章《投标文件格式》中规定的格式及内容，有法定代表人电子签名或电子签章，并加盖投标人电子公章</w:t>
            </w:r>
          </w:p>
        </w:tc>
      </w:tr>
      <w:tr w14:paraId="288D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2D2DE987">
            <w:pPr>
              <w:pStyle w:val="37"/>
              <w:spacing w:before="0" w:beforeAutospacing="0" w:after="0" w:afterAutospacing="0" w:line="460" w:lineRule="exact"/>
              <w:jc w:val="center"/>
              <w:textAlignment w:val="center"/>
              <w:rPr>
                <w:rFonts w:cs="宋体"/>
                <w:b/>
                <w:bCs/>
                <w:color w:val="auto"/>
                <w:sz w:val="21"/>
                <w:szCs w:val="21"/>
              </w:rPr>
            </w:pPr>
          </w:p>
        </w:tc>
        <w:tc>
          <w:tcPr>
            <w:tcW w:w="833" w:type="dxa"/>
            <w:vMerge w:val="continue"/>
            <w:vAlign w:val="center"/>
          </w:tcPr>
          <w:p w14:paraId="4191BBCF">
            <w:pPr>
              <w:pStyle w:val="37"/>
              <w:spacing w:before="0" w:beforeAutospacing="0" w:after="0" w:afterAutospacing="0" w:line="460" w:lineRule="exact"/>
              <w:jc w:val="center"/>
              <w:textAlignment w:val="center"/>
              <w:rPr>
                <w:rFonts w:cs="宋体"/>
                <w:b/>
                <w:bCs/>
                <w:color w:val="auto"/>
                <w:sz w:val="21"/>
                <w:szCs w:val="21"/>
              </w:rPr>
            </w:pPr>
          </w:p>
        </w:tc>
        <w:tc>
          <w:tcPr>
            <w:tcW w:w="1641" w:type="dxa"/>
            <w:vAlign w:val="center"/>
          </w:tcPr>
          <w:p w14:paraId="1438F0B9">
            <w:pPr>
              <w:spacing w:line="460" w:lineRule="exact"/>
              <w:jc w:val="center"/>
              <w:rPr>
                <w:rFonts w:ascii="宋体" w:hAnsi="宋体" w:cs="宋体"/>
                <w:color w:val="auto"/>
                <w:szCs w:val="21"/>
              </w:rPr>
            </w:pPr>
            <w:r>
              <w:rPr>
                <w:rFonts w:hint="eastAsia" w:ascii="宋体" w:hAnsi="宋体" w:cs="宋体"/>
                <w:b/>
                <w:bCs/>
                <w:color w:val="auto"/>
                <w:szCs w:val="21"/>
              </w:rPr>
              <w:t>投标人具备参加政府采购活动条件承诺书</w:t>
            </w:r>
          </w:p>
        </w:tc>
        <w:tc>
          <w:tcPr>
            <w:tcW w:w="5758" w:type="dxa"/>
            <w:vAlign w:val="center"/>
          </w:tcPr>
          <w:p w14:paraId="7821A464">
            <w:pPr>
              <w:spacing w:line="460" w:lineRule="exact"/>
              <w:jc w:val="center"/>
              <w:rPr>
                <w:rFonts w:ascii="宋体" w:hAnsi="宋体" w:cs="宋体"/>
                <w:color w:val="auto"/>
                <w:szCs w:val="21"/>
              </w:rPr>
            </w:pPr>
            <w:r>
              <w:rPr>
                <w:rFonts w:hint="eastAsia" w:ascii="宋体" w:hAnsi="宋体" w:cs="宋体"/>
                <w:bCs/>
                <w:color w:val="auto"/>
                <w:szCs w:val="21"/>
              </w:rPr>
              <w:t>符合《中华人民共和国政府采购法》第二十二条规定</w:t>
            </w:r>
          </w:p>
        </w:tc>
      </w:tr>
      <w:tr w14:paraId="01EB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69B49C36">
            <w:pPr>
              <w:pStyle w:val="37"/>
              <w:spacing w:before="0" w:beforeAutospacing="0" w:after="0" w:afterAutospacing="0" w:line="460" w:lineRule="exact"/>
              <w:jc w:val="center"/>
              <w:textAlignment w:val="center"/>
              <w:rPr>
                <w:rFonts w:cs="宋体"/>
                <w:b/>
                <w:bCs/>
                <w:color w:val="auto"/>
                <w:sz w:val="21"/>
                <w:szCs w:val="21"/>
              </w:rPr>
            </w:pPr>
          </w:p>
        </w:tc>
        <w:tc>
          <w:tcPr>
            <w:tcW w:w="833" w:type="dxa"/>
            <w:vMerge w:val="continue"/>
            <w:vAlign w:val="center"/>
          </w:tcPr>
          <w:p w14:paraId="407ADB4C">
            <w:pPr>
              <w:pStyle w:val="37"/>
              <w:spacing w:before="0" w:beforeAutospacing="0" w:after="0" w:afterAutospacing="0" w:line="460" w:lineRule="exact"/>
              <w:jc w:val="center"/>
              <w:textAlignment w:val="center"/>
              <w:rPr>
                <w:rFonts w:cs="宋体"/>
                <w:b/>
                <w:bCs/>
                <w:color w:val="auto"/>
                <w:sz w:val="21"/>
                <w:szCs w:val="21"/>
              </w:rPr>
            </w:pPr>
          </w:p>
        </w:tc>
        <w:tc>
          <w:tcPr>
            <w:tcW w:w="1641" w:type="dxa"/>
            <w:vAlign w:val="center"/>
          </w:tcPr>
          <w:p w14:paraId="29EBDFB4">
            <w:pPr>
              <w:spacing w:line="460" w:lineRule="exact"/>
              <w:jc w:val="center"/>
              <w:rPr>
                <w:rFonts w:ascii="宋体" w:hAnsi="宋体" w:cs="宋体"/>
                <w:color w:val="auto"/>
                <w:szCs w:val="21"/>
              </w:rPr>
            </w:pPr>
            <w:r>
              <w:rPr>
                <w:rFonts w:hint="eastAsia" w:ascii="宋体" w:hAnsi="宋体" w:cs="宋体"/>
                <w:b/>
                <w:bCs/>
                <w:color w:val="auto"/>
                <w:szCs w:val="21"/>
              </w:rPr>
              <w:t>其他实质性要求</w:t>
            </w:r>
          </w:p>
        </w:tc>
        <w:tc>
          <w:tcPr>
            <w:tcW w:w="5758" w:type="dxa"/>
            <w:vAlign w:val="center"/>
          </w:tcPr>
          <w:p w14:paraId="785BF2F1">
            <w:pPr>
              <w:spacing w:line="460" w:lineRule="exact"/>
              <w:jc w:val="center"/>
              <w:rPr>
                <w:rFonts w:ascii="宋体" w:hAnsi="宋体" w:cs="宋体"/>
                <w:color w:val="auto"/>
                <w:szCs w:val="21"/>
              </w:rPr>
            </w:pPr>
            <w:r>
              <w:rPr>
                <w:rFonts w:hint="eastAsia" w:ascii="宋体" w:hAnsi="宋体" w:cs="宋体"/>
                <w:bCs/>
                <w:color w:val="auto"/>
                <w:szCs w:val="21"/>
              </w:rPr>
              <w:t>投标文件未出现其他不满足招标文件中标注★条款内容且未出现招标文件规定的其他投标无效情形</w:t>
            </w:r>
          </w:p>
        </w:tc>
      </w:tr>
      <w:tr w14:paraId="5DFA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restart"/>
            <w:vAlign w:val="center"/>
          </w:tcPr>
          <w:p w14:paraId="53DA2859">
            <w:pPr>
              <w:pStyle w:val="37"/>
              <w:spacing w:before="0" w:beforeAutospacing="0" w:after="0" w:afterAutospacing="0" w:line="460" w:lineRule="exact"/>
              <w:jc w:val="center"/>
              <w:textAlignment w:val="center"/>
              <w:rPr>
                <w:rFonts w:cs="宋体"/>
                <w:b/>
                <w:bCs/>
                <w:color w:val="auto"/>
                <w:sz w:val="21"/>
                <w:szCs w:val="21"/>
              </w:rPr>
            </w:pPr>
            <w:r>
              <w:rPr>
                <w:rFonts w:hint="eastAsia" w:cs="宋体"/>
                <w:b/>
                <w:bCs/>
                <w:color w:val="auto"/>
                <w:sz w:val="21"/>
                <w:szCs w:val="21"/>
              </w:rPr>
              <w:t>2.1</w:t>
            </w:r>
          </w:p>
        </w:tc>
        <w:tc>
          <w:tcPr>
            <w:tcW w:w="833" w:type="dxa"/>
            <w:vMerge w:val="restart"/>
            <w:vAlign w:val="center"/>
          </w:tcPr>
          <w:p w14:paraId="0BFFE40D">
            <w:pPr>
              <w:pStyle w:val="37"/>
              <w:spacing w:before="0" w:beforeAutospacing="0" w:after="0" w:afterAutospacing="0" w:line="460" w:lineRule="exact"/>
              <w:jc w:val="center"/>
              <w:textAlignment w:val="center"/>
              <w:rPr>
                <w:rFonts w:cs="宋体"/>
                <w:b/>
                <w:bCs/>
                <w:color w:val="auto"/>
                <w:sz w:val="21"/>
                <w:szCs w:val="21"/>
              </w:rPr>
            </w:pPr>
            <w:r>
              <w:rPr>
                <w:rFonts w:hint="eastAsia" w:cs="宋体"/>
                <w:b/>
                <w:bCs/>
                <w:color w:val="auto"/>
                <w:sz w:val="21"/>
                <w:szCs w:val="21"/>
              </w:rPr>
              <w:t>分值构成与评分标准</w:t>
            </w:r>
          </w:p>
        </w:tc>
        <w:tc>
          <w:tcPr>
            <w:tcW w:w="1641" w:type="dxa"/>
            <w:vAlign w:val="center"/>
          </w:tcPr>
          <w:p w14:paraId="3CCDD2DF">
            <w:pPr>
              <w:pStyle w:val="37"/>
              <w:spacing w:before="0" w:beforeAutospacing="0" w:after="0" w:afterAutospacing="0" w:line="460" w:lineRule="exact"/>
              <w:jc w:val="center"/>
              <w:textAlignment w:val="center"/>
              <w:rPr>
                <w:rFonts w:cs="宋体"/>
                <w:b/>
                <w:bCs/>
                <w:color w:val="auto"/>
                <w:sz w:val="21"/>
                <w:szCs w:val="21"/>
              </w:rPr>
            </w:pPr>
            <w:r>
              <w:rPr>
                <w:rFonts w:hint="eastAsia" w:cs="宋体"/>
                <w:b/>
                <w:bCs/>
                <w:color w:val="auto"/>
                <w:sz w:val="21"/>
                <w:szCs w:val="21"/>
              </w:rPr>
              <w:t>1）评标总得分计算公式</w:t>
            </w:r>
          </w:p>
        </w:tc>
        <w:tc>
          <w:tcPr>
            <w:tcW w:w="5758" w:type="dxa"/>
            <w:vAlign w:val="center"/>
          </w:tcPr>
          <w:p w14:paraId="677B9A1C">
            <w:pPr>
              <w:pStyle w:val="37"/>
              <w:spacing w:before="0" w:beforeAutospacing="0" w:after="0" w:afterAutospacing="0" w:line="460" w:lineRule="exact"/>
              <w:textAlignment w:val="center"/>
              <w:rPr>
                <w:rFonts w:cs="宋体"/>
                <w:color w:val="auto"/>
                <w:sz w:val="21"/>
                <w:szCs w:val="21"/>
              </w:rPr>
            </w:pPr>
            <w:r>
              <w:rPr>
                <w:rFonts w:hint="eastAsia" w:cs="宋体"/>
                <w:color w:val="auto"/>
                <w:sz w:val="21"/>
                <w:szCs w:val="21"/>
              </w:rPr>
              <w:t>投标人的评标总得分＝F1+F2+F3</w:t>
            </w:r>
          </w:p>
          <w:p w14:paraId="6B591D27">
            <w:pPr>
              <w:pStyle w:val="37"/>
              <w:spacing w:before="0" w:beforeAutospacing="0" w:after="0" w:afterAutospacing="0" w:line="460" w:lineRule="exact"/>
              <w:textAlignment w:val="center"/>
              <w:rPr>
                <w:rFonts w:cs="宋体"/>
                <w:color w:val="auto"/>
                <w:sz w:val="21"/>
                <w:szCs w:val="21"/>
              </w:rPr>
            </w:pPr>
            <w:r>
              <w:rPr>
                <w:rFonts w:hint="eastAsia" w:cs="宋体"/>
                <w:color w:val="auto"/>
                <w:sz w:val="21"/>
                <w:szCs w:val="21"/>
              </w:rPr>
              <w:t>其中：F1、F2、F3分别为投标报价、技术部分、商务部分3项评分因素的汇总得分；</w:t>
            </w:r>
          </w:p>
        </w:tc>
      </w:tr>
      <w:tr w14:paraId="5E1B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24C10AC6">
            <w:pPr>
              <w:pStyle w:val="37"/>
              <w:spacing w:before="0" w:beforeAutospacing="0" w:after="0" w:afterAutospacing="0" w:line="460" w:lineRule="exact"/>
              <w:jc w:val="center"/>
              <w:textAlignment w:val="center"/>
              <w:rPr>
                <w:rFonts w:cs="宋体"/>
                <w:color w:val="auto"/>
                <w:sz w:val="21"/>
                <w:szCs w:val="21"/>
              </w:rPr>
            </w:pPr>
          </w:p>
        </w:tc>
        <w:tc>
          <w:tcPr>
            <w:tcW w:w="833" w:type="dxa"/>
            <w:vMerge w:val="continue"/>
            <w:vAlign w:val="center"/>
          </w:tcPr>
          <w:p w14:paraId="2FA4A727">
            <w:pPr>
              <w:pStyle w:val="37"/>
              <w:spacing w:before="0" w:beforeAutospacing="0" w:after="0" w:afterAutospacing="0" w:line="460" w:lineRule="exact"/>
              <w:jc w:val="center"/>
              <w:textAlignment w:val="center"/>
              <w:rPr>
                <w:rFonts w:cs="宋体"/>
                <w:color w:val="auto"/>
                <w:sz w:val="21"/>
                <w:szCs w:val="21"/>
              </w:rPr>
            </w:pPr>
          </w:p>
        </w:tc>
        <w:tc>
          <w:tcPr>
            <w:tcW w:w="1641" w:type="dxa"/>
            <w:vAlign w:val="center"/>
          </w:tcPr>
          <w:p w14:paraId="7261D5E4">
            <w:pPr>
              <w:pStyle w:val="37"/>
              <w:spacing w:before="0" w:beforeAutospacing="0" w:after="0" w:afterAutospacing="0" w:line="460" w:lineRule="exact"/>
              <w:jc w:val="center"/>
              <w:textAlignment w:val="center"/>
              <w:rPr>
                <w:rFonts w:cs="宋体"/>
                <w:b/>
                <w:bCs/>
                <w:color w:val="auto"/>
                <w:sz w:val="21"/>
                <w:szCs w:val="21"/>
              </w:rPr>
            </w:pPr>
            <w:r>
              <w:rPr>
                <w:rFonts w:hint="eastAsia" w:cs="宋体"/>
                <w:b/>
                <w:bCs/>
                <w:color w:val="auto"/>
                <w:sz w:val="21"/>
                <w:szCs w:val="21"/>
              </w:rPr>
              <w:t>2）评分因素权重</w:t>
            </w:r>
          </w:p>
        </w:tc>
        <w:tc>
          <w:tcPr>
            <w:tcW w:w="5758" w:type="dxa"/>
            <w:vAlign w:val="center"/>
          </w:tcPr>
          <w:p w14:paraId="6FDB37A5">
            <w:pPr>
              <w:pStyle w:val="37"/>
              <w:spacing w:before="0" w:beforeAutospacing="0" w:after="0" w:afterAutospacing="0" w:line="460" w:lineRule="exact"/>
              <w:textAlignment w:val="center"/>
              <w:rPr>
                <w:rFonts w:cs="宋体"/>
                <w:color w:val="auto"/>
                <w:sz w:val="21"/>
                <w:szCs w:val="21"/>
              </w:rPr>
            </w:pPr>
            <w:r>
              <w:rPr>
                <w:rFonts w:hint="eastAsia" w:cs="宋体"/>
                <w:color w:val="auto"/>
                <w:sz w:val="21"/>
                <w:szCs w:val="21"/>
              </w:rPr>
              <w:t>投标报价F1：30分</w:t>
            </w:r>
          </w:p>
          <w:p w14:paraId="677B2DAA">
            <w:pPr>
              <w:pStyle w:val="37"/>
              <w:spacing w:before="0" w:beforeAutospacing="0" w:after="0" w:afterAutospacing="0" w:line="460" w:lineRule="exact"/>
              <w:textAlignment w:val="center"/>
              <w:rPr>
                <w:rFonts w:cs="宋体"/>
                <w:color w:val="auto"/>
                <w:sz w:val="21"/>
                <w:szCs w:val="21"/>
              </w:rPr>
            </w:pPr>
            <w:r>
              <w:rPr>
                <w:rFonts w:hint="eastAsia" w:cs="宋体"/>
                <w:color w:val="auto"/>
                <w:sz w:val="21"/>
                <w:szCs w:val="21"/>
              </w:rPr>
              <w:t>技术部分F2：55分</w:t>
            </w:r>
          </w:p>
          <w:p w14:paraId="76F53050">
            <w:pPr>
              <w:pStyle w:val="37"/>
              <w:spacing w:before="0" w:beforeAutospacing="0" w:after="0" w:afterAutospacing="0" w:line="460" w:lineRule="exact"/>
              <w:textAlignment w:val="center"/>
              <w:rPr>
                <w:rFonts w:cs="宋体"/>
                <w:color w:val="auto"/>
                <w:sz w:val="21"/>
                <w:szCs w:val="21"/>
              </w:rPr>
            </w:pPr>
            <w:r>
              <w:rPr>
                <w:rFonts w:hint="eastAsia" w:cs="宋体"/>
                <w:color w:val="auto"/>
                <w:sz w:val="21"/>
                <w:szCs w:val="21"/>
              </w:rPr>
              <w:t>商务部分F3：15分</w:t>
            </w:r>
          </w:p>
        </w:tc>
      </w:tr>
      <w:tr w14:paraId="638B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7477826E">
            <w:pPr>
              <w:pStyle w:val="37"/>
              <w:spacing w:before="0" w:beforeAutospacing="0" w:after="0" w:afterAutospacing="0" w:line="460" w:lineRule="exact"/>
              <w:jc w:val="center"/>
              <w:textAlignment w:val="center"/>
              <w:rPr>
                <w:rFonts w:cs="宋体"/>
                <w:color w:val="auto"/>
                <w:sz w:val="21"/>
                <w:szCs w:val="21"/>
              </w:rPr>
            </w:pPr>
          </w:p>
        </w:tc>
        <w:tc>
          <w:tcPr>
            <w:tcW w:w="833" w:type="dxa"/>
            <w:vMerge w:val="continue"/>
            <w:vAlign w:val="center"/>
          </w:tcPr>
          <w:p w14:paraId="145B43D0">
            <w:pPr>
              <w:pStyle w:val="37"/>
              <w:spacing w:before="0" w:beforeAutospacing="0" w:after="0" w:afterAutospacing="0" w:line="460" w:lineRule="exact"/>
              <w:jc w:val="center"/>
              <w:textAlignment w:val="center"/>
              <w:rPr>
                <w:rFonts w:cs="宋体"/>
                <w:color w:val="auto"/>
                <w:sz w:val="21"/>
                <w:szCs w:val="21"/>
              </w:rPr>
            </w:pPr>
          </w:p>
        </w:tc>
        <w:tc>
          <w:tcPr>
            <w:tcW w:w="1641" w:type="dxa"/>
            <w:vAlign w:val="center"/>
          </w:tcPr>
          <w:p w14:paraId="466D681E">
            <w:pPr>
              <w:pStyle w:val="37"/>
              <w:spacing w:before="0" w:beforeAutospacing="0" w:after="0" w:afterAutospacing="0" w:line="460" w:lineRule="exact"/>
              <w:jc w:val="center"/>
              <w:textAlignment w:val="center"/>
              <w:rPr>
                <w:rFonts w:cs="宋体"/>
                <w:b/>
                <w:bCs/>
                <w:color w:val="auto"/>
                <w:sz w:val="21"/>
                <w:szCs w:val="21"/>
              </w:rPr>
            </w:pPr>
            <w:r>
              <w:rPr>
                <w:rFonts w:hint="eastAsia" w:cs="宋体"/>
                <w:b/>
                <w:bCs/>
                <w:color w:val="auto"/>
                <w:sz w:val="21"/>
                <w:szCs w:val="21"/>
              </w:rPr>
              <w:t>3）投标报价得分F1（满分30分）</w:t>
            </w:r>
          </w:p>
        </w:tc>
        <w:tc>
          <w:tcPr>
            <w:tcW w:w="5758" w:type="dxa"/>
            <w:vAlign w:val="center"/>
          </w:tcPr>
          <w:p w14:paraId="06374CA5">
            <w:pPr>
              <w:wordWrap w:val="0"/>
              <w:spacing w:line="360" w:lineRule="auto"/>
              <w:rPr>
                <w:color w:val="auto"/>
              </w:rPr>
            </w:pPr>
            <w:r>
              <w:rPr>
                <w:rFonts w:hint="eastAsia"/>
                <w:color w:val="auto"/>
              </w:rPr>
              <w:t>投标报价得分计算公式= (评标基准价/投标报价)×30</w:t>
            </w:r>
          </w:p>
          <w:p w14:paraId="1A817E7D">
            <w:pPr>
              <w:wordWrap w:val="0"/>
              <w:spacing w:line="360" w:lineRule="auto"/>
              <w:rPr>
                <w:color w:val="auto"/>
              </w:rPr>
            </w:pPr>
            <w:r>
              <w:rPr>
                <w:rFonts w:hint="eastAsia"/>
                <w:color w:val="auto"/>
              </w:rPr>
              <w:t>即：F1=[C/（B1，B2，…，Bn）]×30</w:t>
            </w:r>
          </w:p>
          <w:p w14:paraId="25D3D873">
            <w:pPr>
              <w:wordWrap w:val="0"/>
              <w:spacing w:line="360" w:lineRule="auto"/>
              <w:rPr>
                <w:color w:val="auto"/>
              </w:rPr>
            </w:pPr>
            <w:r>
              <w:rPr>
                <w:rFonts w:hint="eastAsia"/>
                <w:color w:val="auto"/>
              </w:rPr>
              <w:t>注：C为评标基准价，即实质性要求审查合格且投标价格最低的有效投标报价；</w:t>
            </w:r>
          </w:p>
          <w:p w14:paraId="0AE3506D">
            <w:pPr>
              <w:adjustRightInd w:val="0"/>
              <w:snapToGrid w:val="0"/>
              <w:spacing w:line="360" w:lineRule="auto"/>
              <w:rPr>
                <w:color w:val="auto"/>
              </w:rPr>
            </w:pPr>
            <w:r>
              <w:rPr>
                <w:rFonts w:hint="eastAsia"/>
                <w:color w:val="auto"/>
              </w:rPr>
              <w:t>B1，B2，…，Bn为第n个经初步审查合格的有效投标报价。</w:t>
            </w:r>
          </w:p>
          <w:p w14:paraId="4293D85C">
            <w:pPr>
              <w:adjustRightInd w:val="0"/>
              <w:snapToGrid w:val="0"/>
              <w:spacing w:line="360" w:lineRule="auto"/>
              <w:rPr>
                <w:rFonts w:hAnsi="宋体" w:cs="宋体"/>
                <w:b/>
                <w:bCs/>
                <w:color w:val="auto"/>
                <w:szCs w:val="21"/>
              </w:rPr>
            </w:pPr>
            <w:r>
              <w:rPr>
                <w:rFonts w:hint="eastAsia" w:hAnsi="宋体" w:cs="宋体"/>
                <w:b/>
                <w:bCs/>
                <w:color w:val="auto"/>
                <w:szCs w:val="21"/>
              </w:rPr>
              <w:t>注：</w:t>
            </w:r>
          </w:p>
          <w:p w14:paraId="67DF17B5">
            <w:pPr>
              <w:numPr>
                <w:ilvl w:val="0"/>
                <w:numId w:val="3"/>
              </w:numPr>
              <w:adjustRightInd w:val="0"/>
              <w:snapToGrid w:val="0"/>
              <w:spacing w:line="360" w:lineRule="auto"/>
              <w:rPr>
                <w:rFonts w:hAnsi="宋体" w:cs="宋体"/>
                <w:b/>
                <w:bCs/>
                <w:color w:val="auto"/>
                <w:szCs w:val="21"/>
              </w:rPr>
            </w:pPr>
            <w:r>
              <w:rPr>
                <w:rFonts w:hint="eastAsia" w:hAnsi="宋体" w:cs="宋体"/>
                <w:b/>
                <w:bCs/>
                <w:color w:val="auto"/>
                <w:szCs w:val="21"/>
              </w:rPr>
              <w:t>根据《工业和信息化部、国家统计局、国家发展和改革委员会、财政部关于印发中小企业划型标准规定的通知》（工信部联企业[2011]300号）规定的划分标准，对于符合《政府采购促进中小企业发展管理办法》规定的小微企业报价给予10%的扣除，用扣除后价格作为评标价参加评审，投标人须按照招标文件第四章中的规定出具“中小企业声明函”，否则不考虑价格扣除。</w:t>
            </w:r>
          </w:p>
          <w:p w14:paraId="67DFAFDE">
            <w:pPr>
              <w:adjustRightInd w:val="0"/>
              <w:snapToGrid w:val="0"/>
              <w:spacing w:line="360" w:lineRule="auto"/>
              <w:rPr>
                <w:rFonts w:hAnsi="宋体" w:cs="宋体"/>
                <w:b/>
                <w:bCs/>
                <w:color w:val="auto"/>
                <w:szCs w:val="21"/>
              </w:rPr>
            </w:pPr>
            <w:r>
              <w:rPr>
                <w:rFonts w:hint="eastAsia" w:hAnsi="宋体" w:cs="宋体"/>
                <w:b/>
                <w:bCs/>
                <w:color w:val="auto"/>
                <w:szCs w:val="21"/>
              </w:rPr>
              <w:t>（2）监狱企业响应视同小型、微型企业，按招标文件第四章中规定提交“监狱企业证明文件”且提供由省级以上监狱管理局、戒毒管理局（含新疆生产建设兵团）出具的属于监狱企业的证明文件，否则不考虑价格扣除。</w:t>
            </w:r>
          </w:p>
          <w:p w14:paraId="7A2B6756">
            <w:pPr>
              <w:adjustRightInd w:val="0"/>
              <w:snapToGrid w:val="0"/>
              <w:spacing w:line="360" w:lineRule="auto"/>
              <w:rPr>
                <w:rFonts w:cs="宋体"/>
                <w:color w:val="auto"/>
                <w:szCs w:val="21"/>
              </w:rPr>
            </w:pPr>
            <w:r>
              <w:rPr>
                <w:rFonts w:hint="eastAsia" w:hAnsi="宋体" w:cs="宋体"/>
                <w:b/>
                <w:bCs/>
                <w:color w:val="auto"/>
                <w:szCs w:val="21"/>
              </w:rPr>
              <w:t>（3）残疾人福利性单位响应视同小型、微型企业，须填写招标文件第四章规定的“残疾人福利性单位声明函”，否则不考虑价格扣除。残疾人福利性单位属于小型、微型企业的，不重复享受政策。</w:t>
            </w:r>
          </w:p>
        </w:tc>
      </w:tr>
      <w:tr w14:paraId="5594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1854B3BD">
            <w:pPr>
              <w:pStyle w:val="37"/>
              <w:spacing w:before="0" w:beforeAutospacing="0" w:after="0" w:afterAutospacing="0" w:line="460" w:lineRule="exact"/>
              <w:jc w:val="center"/>
              <w:textAlignment w:val="center"/>
              <w:rPr>
                <w:rFonts w:cs="宋体"/>
                <w:color w:val="auto"/>
                <w:sz w:val="21"/>
                <w:szCs w:val="21"/>
              </w:rPr>
            </w:pPr>
          </w:p>
        </w:tc>
        <w:tc>
          <w:tcPr>
            <w:tcW w:w="833" w:type="dxa"/>
            <w:vMerge w:val="continue"/>
            <w:vAlign w:val="center"/>
          </w:tcPr>
          <w:p w14:paraId="19B4D8A2">
            <w:pPr>
              <w:pStyle w:val="37"/>
              <w:spacing w:before="0" w:beforeAutospacing="0" w:after="0" w:afterAutospacing="0" w:line="460" w:lineRule="exact"/>
              <w:jc w:val="center"/>
              <w:textAlignment w:val="center"/>
              <w:rPr>
                <w:rFonts w:cs="宋体"/>
                <w:color w:val="auto"/>
                <w:sz w:val="21"/>
                <w:szCs w:val="21"/>
              </w:rPr>
            </w:pPr>
          </w:p>
        </w:tc>
        <w:tc>
          <w:tcPr>
            <w:tcW w:w="1641" w:type="dxa"/>
            <w:vMerge w:val="restart"/>
            <w:vAlign w:val="center"/>
          </w:tcPr>
          <w:p w14:paraId="5CE8D838">
            <w:pPr>
              <w:pStyle w:val="37"/>
              <w:spacing w:before="0" w:beforeAutospacing="0" w:after="0" w:afterAutospacing="0" w:line="460" w:lineRule="exact"/>
              <w:jc w:val="center"/>
              <w:textAlignment w:val="center"/>
              <w:rPr>
                <w:rFonts w:cs="宋体"/>
                <w:b/>
                <w:bCs/>
                <w:color w:val="auto"/>
                <w:sz w:val="21"/>
                <w:szCs w:val="21"/>
              </w:rPr>
            </w:pPr>
            <w:r>
              <w:rPr>
                <w:rFonts w:hint="eastAsia" w:cs="宋体"/>
                <w:b/>
                <w:bCs/>
                <w:color w:val="auto"/>
                <w:sz w:val="21"/>
                <w:szCs w:val="21"/>
              </w:rPr>
              <w:t>4）技术部分得分F2（满分55分）</w:t>
            </w:r>
          </w:p>
        </w:tc>
        <w:tc>
          <w:tcPr>
            <w:tcW w:w="5758" w:type="dxa"/>
            <w:vAlign w:val="center"/>
          </w:tcPr>
          <w:p w14:paraId="76BD7D4A">
            <w:pPr>
              <w:wordWrap w:val="0"/>
              <w:adjustRightInd w:val="0"/>
              <w:snapToGrid w:val="0"/>
              <w:spacing w:line="360" w:lineRule="auto"/>
              <w:rPr>
                <w:rFonts w:ascii="宋体" w:hAnsi="宋体" w:cs="宋体"/>
                <w:color w:val="auto"/>
                <w:szCs w:val="21"/>
              </w:rPr>
            </w:pPr>
            <w:r>
              <w:rPr>
                <w:rFonts w:hint="eastAsia" w:cs="宋体"/>
                <w:b/>
                <w:bCs/>
                <w:color w:val="auto"/>
                <w:szCs w:val="21"/>
              </w:rPr>
              <w:t>1）重要参数评审评分（满分30分）</w:t>
            </w:r>
          </w:p>
          <w:p w14:paraId="69C96B3B">
            <w:pPr>
              <w:wordWrap w:val="0"/>
              <w:adjustRightInd w:val="0"/>
              <w:snapToGrid w:val="0"/>
              <w:spacing w:line="360" w:lineRule="auto"/>
              <w:rPr>
                <w:rFonts w:ascii="宋体" w:hAnsi="宋体" w:cs="宋体"/>
                <w:color w:val="auto"/>
                <w:szCs w:val="21"/>
              </w:rPr>
            </w:pPr>
            <w:r>
              <w:rPr>
                <w:rFonts w:hint="eastAsia" w:ascii="宋体" w:hAnsi="宋体" w:cs="宋体"/>
                <w:color w:val="auto"/>
                <w:szCs w:val="21"/>
              </w:rPr>
              <w:t>评审因素：</w:t>
            </w:r>
          </w:p>
          <w:p w14:paraId="429ED5F3">
            <w:pPr>
              <w:wordWrap w:val="0"/>
              <w:adjustRightInd w:val="0"/>
              <w:snapToGrid w:val="0"/>
              <w:spacing w:line="360" w:lineRule="auto"/>
              <w:rPr>
                <w:rFonts w:ascii="宋体" w:hAnsi="宋体" w:cs="宋体"/>
                <w:color w:val="auto"/>
                <w:szCs w:val="21"/>
              </w:rPr>
            </w:pPr>
            <w:r>
              <w:rPr>
                <w:rFonts w:hint="eastAsia" w:ascii="宋体" w:hAnsi="宋体" w:cs="宋体"/>
                <w:bCs/>
                <w:color w:val="auto"/>
                <w:szCs w:val="21"/>
              </w:rPr>
              <w:t>《采购需求》（三）采购标的需满足的质量、安全、技术规格、物理特性等要求</w:t>
            </w:r>
            <w:r>
              <w:rPr>
                <w:rFonts w:hint="eastAsia" w:ascii="宋体" w:hAnsi="宋体" w:cs="宋体"/>
                <w:color w:val="auto"/>
                <w:szCs w:val="21"/>
              </w:rPr>
              <w:t>中标注“▲”的技术参数为重要技术参数，重要参数不满足一条扣N分，扣完为止。</w:t>
            </w:r>
          </w:p>
          <w:p w14:paraId="79E7B365">
            <w:pPr>
              <w:wordWrap w:val="0"/>
              <w:adjustRightInd w:val="0"/>
              <w:snapToGrid w:val="0"/>
              <w:spacing w:line="360" w:lineRule="auto"/>
              <w:rPr>
                <w:rFonts w:ascii="宋体" w:hAnsi="宋体" w:cs="宋体"/>
                <w:color w:val="auto"/>
                <w:szCs w:val="21"/>
              </w:rPr>
            </w:pPr>
            <w:r>
              <w:rPr>
                <w:rFonts w:hint="eastAsia" w:ascii="宋体" w:hAnsi="宋体" w:cs="宋体"/>
                <w:color w:val="auto"/>
                <w:szCs w:val="21"/>
              </w:rPr>
              <w:t>N=本项满分/重要参数条数。</w:t>
            </w:r>
          </w:p>
          <w:p w14:paraId="302687E2">
            <w:pPr>
              <w:wordWrap w:val="0"/>
              <w:adjustRightInd w:val="0"/>
              <w:snapToGrid w:val="0"/>
              <w:spacing w:line="360" w:lineRule="auto"/>
              <w:rPr>
                <w:rFonts w:ascii="宋体" w:hAnsi="宋体" w:cs="宋体"/>
                <w:color w:val="auto"/>
                <w:szCs w:val="21"/>
              </w:rPr>
            </w:pPr>
            <w:r>
              <w:rPr>
                <w:rFonts w:hint="eastAsia" w:ascii="宋体" w:hAnsi="宋体" w:cs="宋体"/>
                <w:color w:val="auto"/>
                <w:szCs w:val="21"/>
              </w:rPr>
              <w:t>N=30/</w:t>
            </w:r>
            <w:r>
              <w:rPr>
                <w:rFonts w:ascii="宋体" w:hAnsi="宋体" w:cs="宋体"/>
                <w:color w:val="auto"/>
                <w:szCs w:val="21"/>
              </w:rPr>
              <w:t>10</w:t>
            </w:r>
          </w:p>
          <w:p w14:paraId="52680F78">
            <w:pPr>
              <w:wordWrap w:val="0"/>
              <w:adjustRightInd w:val="0"/>
              <w:snapToGrid w:val="0"/>
              <w:spacing w:line="360" w:lineRule="auto"/>
              <w:rPr>
                <w:rFonts w:ascii="宋体" w:hAnsi="宋体" w:cs="宋体"/>
                <w:color w:val="auto"/>
                <w:szCs w:val="21"/>
              </w:rPr>
            </w:pPr>
            <w:r>
              <w:rPr>
                <w:rFonts w:hint="eastAsia" w:ascii="宋体" w:hAnsi="宋体" w:cs="宋体"/>
                <w:color w:val="auto"/>
                <w:szCs w:val="21"/>
              </w:rPr>
              <w:t>N=</w:t>
            </w:r>
            <w:r>
              <w:rPr>
                <w:rFonts w:ascii="宋体" w:hAnsi="宋体" w:cs="宋体"/>
                <w:color w:val="auto"/>
                <w:szCs w:val="21"/>
              </w:rPr>
              <w:t>3</w:t>
            </w:r>
          </w:p>
          <w:p w14:paraId="3648740F">
            <w:pPr>
              <w:adjustRightInd w:val="0"/>
              <w:snapToGrid w:val="0"/>
              <w:spacing w:line="360" w:lineRule="auto"/>
              <w:rPr>
                <w:rFonts w:asciiTheme="minorEastAsia" w:hAnsiTheme="minorEastAsia" w:eastAsiaTheme="minorEastAsia" w:cstheme="minorEastAsia"/>
                <w:color w:val="auto"/>
                <w:szCs w:val="21"/>
              </w:rPr>
            </w:pPr>
            <w:r>
              <w:rPr>
                <w:rFonts w:hint="eastAsia" w:cs="宋体"/>
                <w:color w:val="auto"/>
                <w:szCs w:val="21"/>
              </w:rPr>
              <w:t>投标人除如实填写《技术参数及性能要求偏离表》外，重要技术参数需要提供证明材料，证明材料按照招标文件技术参数内的明确要求提供，未明确的可提供所投产品主要技术指标、参数及性能的公开印刷的详细说明书(非自行拟定)或制造商公开发布的印刷资料(彩页或产品宣传册)或制造商出具的技术参数证明函或第三方检测机构出具的测试报告或功能截图等。不接受投标人自行印刷、打印或者手写的技术支持资料，若投标文件中技术支持资料参数与技术参数及性能要求偏离表应答不符或无上述技术支持资料，视为未满足该条技术参数；投标文件中涉及的技术参数需在投标文件所附的证明材料内图示标注。</w:t>
            </w:r>
          </w:p>
        </w:tc>
      </w:tr>
      <w:tr w14:paraId="3733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16A63C62">
            <w:pPr>
              <w:pStyle w:val="37"/>
              <w:spacing w:before="0" w:beforeAutospacing="0" w:after="0" w:afterAutospacing="0" w:line="460" w:lineRule="exact"/>
              <w:jc w:val="center"/>
              <w:textAlignment w:val="center"/>
              <w:rPr>
                <w:rFonts w:cs="宋体"/>
                <w:color w:val="auto"/>
                <w:sz w:val="21"/>
                <w:szCs w:val="21"/>
              </w:rPr>
            </w:pPr>
          </w:p>
        </w:tc>
        <w:tc>
          <w:tcPr>
            <w:tcW w:w="833" w:type="dxa"/>
            <w:vMerge w:val="continue"/>
            <w:vAlign w:val="center"/>
          </w:tcPr>
          <w:p w14:paraId="4C9437BE">
            <w:pPr>
              <w:pStyle w:val="37"/>
              <w:spacing w:before="0" w:beforeAutospacing="0" w:after="0" w:afterAutospacing="0" w:line="460" w:lineRule="exact"/>
              <w:jc w:val="center"/>
              <w:textAlignment w:val="center"/>
              <w:rPr>
                <w:rFonts w:cs="宋体"/>
                <w:color w:val="auto"/>
                <w:sz w:val="21"/>
                <w:szCs w:val="21"/>
              </w:rPr>
            </w:pPr>
          </w:p>
        </w:tc>
        <w:tc>
          <w:tcPr>
            <w:tcW w:w="1641" w:type="dxa"/>
            <w:vMerge w:val="continue"/>
            <w:vAlign w:val="center"/>
          </w:tcPr>
          <w:p w14:paraId="24C5981F">
            <w:pPr>
              <w:pStyle w:val="37"/>
              <w:spacing w:before="0" w:beforeAutospacing="0" w:after="0" w:afterAutospacing="0" w:line="460" w:lineRule="exact"/>
              <w:jc w:val="center"/>
              <w:textAlignment w:val="center"/>
              <w:rPr>
                <w:rFonts w:cs="宋体"/>
                <w:b/>
                <w:bCs/>
                <w:color w:val="auto"/>
                <w:sz w:val="21"/>
                <w:szCs w:val="21"/>
              </w:rPr>
            </w:pPr>
          </w:p>
        </w:tc>
        <w:tc>
          <w:tcPr>
            <w:tcW w:w="5758" w:type="dxa"/>
            <w:vAlign w:val="center"/>
          </w:tcPr>
          <w:p w14:paraId="65B52E63">
            <w:pPr>
              <w:wordWrap w:val="0"/>
              <w:adjustRightInd w:val="0"/>
              <w:snapToGrid w:val="0"/>
              <w:spacing w:line="360" w:lineRule="auto"/>
              <w:rPr>
                <w:rFonts w:ascii="宋体" w:hAnsi="宋体" w:cs="宋体"/>
                <w:color w:val="auto"/>
                <w:szCs w:val="21"/>
              </w:rPr>
            </w:pPr>
            <w:r>
              <w:rPr>
                <w:rFonts w:hint="eastAsia" w:ascii="宋体" w:hAnsi="宋体" w:cs="宋体"/>
                <w:b/>
                <w:bCs/>
                <w:color w:val="auto"/>
                <w:szCs w:val="21"/>
              </w:rPr>
              <w:t>2）一般参数评审评分（满分</w:t>
            </w:r>
            <w:r>
              <w:rPr>
                <w:rFonts w:hint="eastAsia" w:ascii="宋体" w:hAnsi="宋体" w:cs="宋体"/>
                <w:b/>
                <w:bCs/>
                <w:color w:val="auto"/>
                <w:szCs w:val="21"/>
                <w:lang w:val="en-US" w:eastAsia="zh-CN"/>
              </w:rPr>
              <w:t>9</w:t>
            </w:r>
            <w:r>
              <w:rPr>
                <w:rFonts w:hint="eastAsia" w:ascii="宋体" w:hAnsi="宋体" w:cs="宋体"/>
                <w:b/>
                <w:bCs/>
                <w:color w:val="auto"/>
                <w:szCs w:val="21"/>
              </w:rPr>
              <w:t>分）</w:t>
            </w:r>
          </w:p>
          <w:p w14:paraId="2EF0C2FD">
            <w:pPr>
              <w:wordWrap w:val="0"/>
              <w:adjustRightInd w:val="0"/>
              <w:snapToGrid w:val="0"/>
              <w:spacing w:line="360" w:lineRule="auto"/>
              <w:rPr>
                <w:rFonts w:ascii="宋体" w:hAnsi="宋体" w:cs="宋体"/>
                <w:color w:val="auto"/>
                <w:szCs w:val="21"/>
              </w:rPr>
            </w:pPr>
            <w:r>
              <w:rPr>
                <w:rFonts w:hint="eastAsia" w:ascii="宋体" w:hAnsi="宋体" w:cs="宋体"/>
                <w:color w:val="auto"/>
                <w:szCs w:val="21"/>
              </w:rPr>
              <w:t>评审因素：</w:t>
            </w:r>
          </w:p>
          <w:p w14:paraId="0B7F1696">
            <w:pPr>
              <w:wordWrap w:val="0"/>
              <w:adjustRightInd w:val="0"/>
              <w:snapToGrid w:val="0"/>
              <w:spacing w:line="360" w:lineRule="auto"/>
              <w:rPr>
                <w:rFonts w:ascii="宋体" w:hAnsi="宋体" w:cs="宋体"/>
                <w:color w:val="auto"/>
                <w:szCs w:val="21"/>
              </w:rPr>
            </w:pPr>
            <w:r>
              <w:rPr>
                <w:rFonts w:hint="eastAsia" w:ascii="宋体" w:hAnsi="宋体" w:cs="宋体"/>
                <w:bCs/>
                <w:color w:val="auto"/>
                <w:szCs w:val="21"/>
              </w:rPr>
              <w:t>《采购需求》（三）采购标的需满足的质量、安全、技术规格、物理特性等要求</w:t>
            </w:r>
            <w:r>
              <w:rPr>
                <w:rFonts w:hint="eastAsia" w:ascii="宋体" w:hAnsi="宋体" w:cs="宋体"/>
                <w:color w:val="auto"/>
                <w:szCs w:val="21"/>
              </w:rPr>
              <w:t>中未做任何标注的参数为一般参数，一般参数不满足一条扣S分，扣完为止。</w:t>
            </w:r>
          </w:p>
          <w:p w14:paraId="4532E97E">
            <w:pPr>
              <w:wordWrap w:val="0"/>
              <w:adjustRightInd w:val="0"/>
              <w:snapToGrid w:val="0"/>
              <w:spacing w:line="360" w:lineRule="auto"/>
              <w:rPr>
                <w:color w:val="auto"/>
              </w:rPr>
            </w:pPr>
            <w:r>
              <w:rPr>
                <w:rFonts w:hint="eastAsia" w:ascii="宋体" w:hAnsi="宋体" w:cs="宋体"/>
                <w:color w:val="auto"/>
                <w:szCs w:val="21"/>
              </w:rPr>
              <w:t>S=本项满分/一般参数条数。</w:t>
            </w:r>
          </w:p>
          <w:p w14:paraId="109AD015">
            <w:pPr>
              <w:wordWrap w:val="0"/>
              <w:adjustRightInd w:val="0"/>
              <w:snapToGrid w:val="0"/>
              <w:spacing w:line="360" w:lineRule="auto"/>
              <w:rPr>
                <w:rFonts w:hint="default" w:eastAsia="宋体"/>
                <w:color w:val="auto"/>
                <w:lang w:val="en-US" w:eastAsia="zh-CN"/>
              </w:rPr>
            </w:pPr>
            <w:r>
              <w:rPr>
                <w:rFonts w:hint="eastAsia"/>
                <w:color w:val="auto"/>
              </w:rPr>
              <w:t>S=</w:t>
            </w:r>
            <w:r>
              <w:rPr>
                <w:rFonts w:hint="eastAsia"/>
                <w:color w:val="auto"/>
                <w:lang w:val="en-US" w:eastAsia="zh-CN"/>
              </w:rPr>
              <w:t>9</w:t>
            </w:r>
            <w:r>
              <w:rPr>
                <w:rFonts w:hint="eastAsia"/>
                <w:color w:val="auto"/>
              </w:rPr>
              <w:t>/</w:t>
            </w:r>
            <w:r>
              <w:rPr>
                <w:rFonts w:hint="eastAsia"/>
                <w:color w:val="auto"/>
                <w:lang w:val="en-US" w:eastAsia="zh-CN"/>
              </w:rPr>
              <w:t>485</w:t>
            </w:r>
          </w:p>
          <w:p w14:paraId="0AFF6F2E">
            <w:pPr>
              <w:wordWrap w:val="0"/>
              <w:adjustRightInd w:val="0"/>
              <w:snapToGrid w:val="0"/>
              <w:spacing w:line="360" w:lineRule="auto"/>
              <w:rPr>
                <w:color w:val="auto"/>
              </w:rPr>
            </w:pPr>
            <w:r>
              <w:rPr>
                <w:rFonts w:hint="eastAsia"/>
                <w:color w:val="auto"/>
              </w:rPr>
              <w:t>S=</w:t>
            </w:r>
            <w:r>
              <w:rPr>
                <w:color w:val="auto"/>
              </w:rPr>
              <w:t>0.02</w:t>
            </w:r>
          </w:p>
          <w:p w14:paraId="4F8D26F3">
            <w:pPr>
              <w:wordWrap w:val="0"/>
              <w:adjustRightInd w:val="0"/>
              <w:snapToGrid w:val="0"/>
              <w:spacing w:line="360" w:lineRule="auto"/>
              <w:rPr>
                <w:rFonts w:hint="eastAsia" w:eastAsia="宋体"/>
                <w:color w:val="auto"/>
                <w:lang w:eastAsia="zh-CN"/>
              </w:rPr>
            </w:pPr>
            <w:r>
              <w:rPr>
                <w:rFonts w:hint="eastAsia"/>
                <w:color w:val="auto"/>
                <w:lang w:eastAsia="zh-CN"/>
              </w:rPr>
              <w:t>（</w:t>
            </w:r>
            <w:r>
              <w:rPr>
                <w:rFonts w:hint="eastAsia" w:ascii="宋体" w:hAnsi="宋体" w:cs="宋体"/>
                <w:color w:val="auto"/>
                <w:kern w:val="0"/>
                <w:szCs w:val="21"/>
              </w:rPr>
              <w:t>保留小数点后两位，小数点后第三位“四舍五入”</w:t>
            </w:r>
            <w:r>
              <w:rPr>
                <w:rFonts w:hint="eastAsia"/>
                <w:color w:val="auto"/>
                <w:lang w:eastAsia="zh-CN"/>
              </w:rPr>
              <w:t>）</w:t>
            </w:r>
          </w:p>
          <w:p w14:paraId="38CAC3BD">
            <w:pPr>
              <w:adjustRightInd w:val="0"/>
              <w:snapToGrid w:val="0"/>
              <w:spacing w:line="360" w:lineRule="auto"/>
              <w:rPr>
                <w:rFonts w:ascii="宋体" w:hAnsi="宋体" w:cs="宋体"/>
                <w:bCs/>
                <w:color w:val="auto"/>
                <w:szCs w:val="21"/>
              </w:rPr>
            </w:pPr>
            <w:r>
              <w:rPr>
                <w:rFonts w:hint="eastAsia" w:ascii="宋体" w:hAnsi="宋体" w:cs="宋体"/>
                <w:color w:val="auto"/>
                <w:szCs w:val="21"/>
              </w:rPr>
              <w:t>投标人须如实填写《技术参数及性能要求偏离表》，如第五章采购需求有证明材料要求的以采购需求要求为准。</w:t>
            </w:r>
          </w:p>
        </w:tc>
      </w:tr>
      <w:tr w14:paraId="55E2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1DCC85D0">
            <w:pPr>
              <w:pStyle w:val="37"/>
              <w:spacing w:before="0" w:beforeAutospacing="0" w:after="0" w:afterAutospacing="0" w:line="460" w:lineRule="exact"/>
              <w:jc w:val="center"/>
              <w:textAlignment w:val="center"/>
              <w:rPr>
                <w:rFonts w:cs="宋体"/>
                <w:color w:val="auto"/>
                <w:sz w:val="21"/>
                <w:szCs w:val="21"/>
              </w:rPr>
            </w:pPr>
          </w:p>
        </w:tc>
        <w:tc>
          <w:tcPr>
            <w:tcW w:w="833" w:type="dxa"/>
            <w:vMerge w:val="continue"/>
            <w:vAlign w:val="center"/>
          </w:tcPr>
          <w:p w14:paraId="471D1A9B">
            <w:pPr>
              <w:pStyle w:val="37"/>
              <w:spacing w:before="0" w:beforeAutospacing="0" w:after="0" w:afterAutospacing="0" w:line="460" w:lineRule="exact"/>
              <w:jc w:val="center"/>
              <w:textAlignment w:val="center"/>
              <w:rPr>
                <w:rFonts w:cs="宋体"/>
                <w:color w:val="auto"/>
                <w:sz w:val="21"/>
                <w:szCs w:val="21"/>
              </w:rPr>
            </w:pPr>
          </w:p>
        </w:tc>
        <w:tc>
          <w:tcPr>
            <w:tcW w:w="1641" w:type="dxa"/>
            <w:vMerge w:val="continue"/>
            <w:vAlign w:val="center"/>
          </w:tcPr>
          <w:p w14:paraId="34CFFA71">
            <w:pPr>
              <w:pStyle w:val="37"/>
              <w:spacing w:before="0" w:beforeAutospacing="0" w:after="0" w:afterAutospacing="0" w:line="460" w:lineRule="exact"/>
              <w:jc w:val="center"/>
              <w:textAlignment w:val="center"/>
              <w:rPr>
                <w:rFonts w:cs="宋体"/>
                <w:b/>
                <w:bCs/>
                <w:color w:val="auto"/>
                <w:sz w:val="21"/>
                <w:szCs w:val="21"/>
              </w:rPr>
            </w:pPr>
          </w:p>
        </w:tc>
        <w:tc>
          <w:tcPr>
            <w:tcW w:w="5758" w:type="dxa"/>
            <w:vAlign w:val="center"/>
          </w:tcPr>
          <w:p w14:paraId="0940CE04">
            <w:pPr>
              <w:autoSpaceDE w:val="0"/>
              <w:adjustRightInd w:val="0"/>
              <w:snapToGrid w:val="0"/>
              <w:spacing w:line="360" w:lineRule="auto"/>
              <w:rPr>
                <w:rFonts w:ascii="宋体" w:hAnsi="宋体" w:cs="宋体"/>
                <w:color w:val="auto"/>
                <w:kern w:val="0"/>
                <w:szCs w:val="21"/>
                <w:lang w:bidi="ar"/>
              </w:rPr>
            </w:pPr>
            <w:r>
              <w:rPr>
                <w:rFonts w:hint="eastAsia" w:ascii="宋体" w:hAnsi="宋体" w:cs="宋体"/>
                <w:b/>
                <w:bCs/>
                <w:color w:val="auto"/>
                <w:szCs w:val="21"/>
              </w:rPr>
              <w:t>3）项目实施方案评审评分（满分1</w:t>
            </w:r>
            <w:r>
              <w:rPr>
                <w:rFonts w:ascii="宋体" w:hAnsi="宋体" w:cs="宋体"/>
                <w:b/>
                <w:bCs/>
                <w:color w:val="auto"/>
                <w:szCs w:val="21"/>
              </w:rPr>
              <w:t>5</w:t>
            </w:r>
            <w:r>
              <w:rPr>
                <w:rFonts w:hint="eastAsia" w:ascii="宋体" w:hAnsi="宋体" w:cs="宋体"/>
                <w:b/>
                <w:bCs/>
                <w:color w:val="auto"/>
                <w:szCs w:val="21"/>
              </w:rPr>
              <w:t>分）</w:t>
            </w:r>
          </w:p>
          <w:p w14:paraId="240A8516">
            <w:pPr>
              <w:autoSpaceDE w:val="0"/>
              <w:adjustRightInd w:val="0"/>
              <w:snapToGrid w:val="0"/>
              <w:spacing w:line="360" w:lineRule="auto"/>
              <w:rPr>
                <w:rFonts w:ascii="宋体" w:hAnsi="宋体" w:cs="宋体"/>
                <w:bCs/>
                <w:color w:val="auto"/>
                <w:szCs w:val="21"/>
              </w:rPr>
            </w:pPr>
            <w:r>
              <w:rPr>
                <w:rFonts w:hint="eastAsia" w:ascii="宋体" w:hAnsi="宋体" w:cs="宋体"/>
                <w:color w:val="auto"/>
                <w:kern w:val="0"/>
                <w:szCs w:val="21"/>
                <w:lang w:bidi="ar"/>
              </w:rPr>
              <w:t>投标人需根据本项目实际情况及采购需求并结合自身情况，提供项目实施方案，包括：</w:t>
            </w:r>
            <w:r>
              <w:rPr>
                <w:rFonts w:hint="eastAsia" w:ascii="宋体" w:hAnsi="宋体" w:cs="宋体"/>
                <w:bCs/>
                <w:color w:val="auto"/>
                <w:szCs w:val="21"/>
              </w:rPr>
              <w:t>①</w:t>
            </w:r>
            <w:r>
              <w:rPr>
                <w:rFonts w:hint="eastAsia" w:ascii="宋体" w:hAnsi="宋体" w:cs="宋体"/>
                <w:color w:val="auto"/>
                <w:szCs w:val="21"/>
              </w:rPr>
              <w:t>重点难点分析</w:t>
            </w:r>
            <w:r>
              <w:rPr>
                <w:rFonts w:hint="eastAsia" w:ascii="宋体" w:hAnsi="宋体" w:cs="宋体"/>
                <w:bCs/>
                <w:color w:val="auto"/>
                <w:szCs w:val="21"/>
              </w:rPr>
              <w:t>；②供货及安装方案；③软硬件接入集成方案；④交付及验收方案；⑤应急预案，共5项内容；</w:t>
            </w:r>
          </w:p>
          <w:p w14:paraId="06B61C7E">
            <w:pPr>
              <w:autoSpaceDE w:val="0"/>
              <w:adjustRightInd w:val="0"/>
              <w:snapToGrid w:val="0"/>
              <w:spacing w:line="360" w:lineRule="auto"/>
              <w:rPr>
                <w:rFonts w:ascii="宋体" w:hAnsi="宋体" w:cs="宋体"/>
                <w:bCs/>
                <w:color w:val="auto"/>
                <w:szCs w:val="21"/>
              </w:rPr>
            </w:pPr>
            <w:r>
              <w:rPr>
                <w:rFonts w:hint="eastAsia" w:ascii="宋体" w:hAnsi="宋体" w:cs="宋体"/>
                <w:bCs/>
                <w:color w:val="auto"/>
                <w:szCs w:val="21"/>
              </w:rPr>
              <w:t>以上5项内容，经评标委员会评审，各项内容均与项目实际情况吻合、有具体详细的阐述，内容清楚明了、表述规范、含义准确；方案从实际出发，切合项目需求，符合项目特点；服务措施科学，安排得当，能有效落地执行和操作，保障项目高质量履约，实现采购目标；完全符合采购人实际需求的得15分；经评标委员会评审，发现存在缺项或每有一项内容无法执行、难以满足采购人实际需求的扣3分；各项内容中每有一处存在不足的扣1分。</w:t>
            </w:r>
          </w:p>
          <w:p w14:paraId="3E5AAEF0">
            <w:pPr>
              <w:adjustRightInd w:val="0"/>
              <w:snapToGrid w:val="0"/>
              <w:spacing w:line="360" w:lineRule="auto"/>
              <w:rPr>
                <w:rFonts w:ascii="宋体" w:hAnsi="宋体" w:cs="宋体"/>
                <w:color w:val="auto"/>
                <w:szCs w:val="21"/>
              </w:rPr>
            </w:pPr>
            <w:r>
              <w:rPr>
                <w:rFonts w:hint="eastAsia" w:ascii="宋体" w:hAnsi="宋体" w:cs="宋体"/>
                <w:bCs/>
                <w:color w:val="auto"/>
                <w:szCs w:val="21"/>
              </w:rPr>
              <w:t>注：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等任意一处类似缺陷或瑕疵。</w:t>
            </w:r>
          </w:p>
        </w:tc>
      </w:tr>
      <w:tr w14:paraId="7A80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53F8CD10">
            <w:pPr>
              <w:pStyle w:val="37"/>
              <w:spacing w:before="0" w:beforeAutospacing="0" w:after="0" w:afterAutospacing="0" w:line="460" w:lineRule="exact"/>
              <w:jc w:val="center"/>
              <w:textAlignment w:val="center"/>
              <w:rPr>
                <w:rFonts w:cs="宋体"/>
                <w:color w:val="auto"/>
                <w:sz w:val="21"/>
                <w:szCs w:val="21"/>
              </w:rPr>
            </w:pPr>
          </w:p>
        </w:tc>
        <w:tc>
          <w:tcPr>
            <w:tcW w:w="833" w:type="dxa"/>
            <w:vMerge w:val="continue"/>
            <w:vAlign w:val="center"/>
          </w:tcPr>
          <w:p w14:paraId="3DFAE30A">
            <w:pPr>
              <w:pStyle w:val="37"/>
              <w:spacing w:before="0" w:beforeAutospacing="0" w:after="0" w:afterAutospacing="0" w:line="460" w:lineRule="exact"/>
              <w:jc w:val="center"/>
              <w:textAlignment w:val="center"/>
              <w:rPr>
                <w:rFonts w:cs="宋体"/>
                <w:color w:val="auto"/>
                <w:sz w:val="21"/>
                <w:szCs w:val="21"/>
              </w:rPr>
            </w:pPr>
          </w:p>
        </w:tc>
        <w:tc>
          <w:tcPr>
            <w:tcW w:w="1641" w:type="dxa"/>
            <w:vMerge w:val="continue"/>
            <w:vAlign w:val="center"/>
          </w:tcPr>
          <w:p w14:paraId="1646C8AA">
            <w:pPr>
              <w:pStyle w:val="37"/>
              <w:spacing w:before="0" w:beforeAutospacing="0" w:after="0" w:afterAutospacing="0" w:line="460" w:lineRule="exact"/>
              <w:jc w:val="center"/>
              <w:textAlignment w:val="center"/>
              <w:rPr>
                <w:rFonts w:cs="宋体"/>
                <w:b/>
                <w:bCs/>
                <w:color w:val="auto"/>
                <w:sz w:val="21"/>
                <w:szCs w:val="21"/>
              </w:rPr>
            </w:pPr>
          </w:p>
        </w:tc>
        <w:tc>
          <w:tcPr>
            <w:tcW w:w="5758" w:type="dxa"/>
            <w:vAlign w:val="center"/>
          </w:tcPr>
          <w:p w14:paraId="0A354CC5">
            <w:pPr>
              <w:autoSpaceDE w:val="0"/>
              <w:autoSpaceDN w:val="0"/>
              <w:adjustRightInd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）节能、环保产品评审评分（满分1分）</w:t>
            </w:r>
          </w:p>
          <w:p w14:paraId="6AF8359E">
            <w:pPr>
              <w:autoSpaceDE w:val="0"/>
              <w:autoSpaceDN w:val="0"/>
              <w:adjustRightInd w:val="0"/>
              <w:spacing w:line="4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投标产品有一项及以上认定为节能产品或环保产品的得1分。</w:t>
            </w:r>
          </w:p>
          <w:p w14:paraId="414698C9">
            <w:pPr>
              <w:autoSpaceDE w:val="0"/>
              <w:autoSpaceDN w:val="0"/>
              <w:adjustRightInd w:val="0"/>
              <w:spacing w:line="4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若货物为除强制节能产品以外的经国家认定的节能产品或环境标志产品（认定标准详见招标文件第二章 投标人须知 36.4关于节能产品及环境标志产品），提供有效期内的节能产品认证证书或环境标志产品认证证书扫描件。</w:t>
            </w:r>
          </w:p>
          <w:p w14:paraId="5DD36036">
            <w:pPr>
              <w:autoSpaceDE w:val="0"/>
              <w:autoSpaceDN w:val="0"/>
              <w:adjustRightInd w:val="0"/>
              <w:spacing w:line="460" w:lineRule="exact"/>
              <w:rPr>
                <w:rFonts w:hint="eastAsia" w:ascii="宋体" w:hAnsi="宋体" w:cs="宋体"/>
                <w:bCs/>
                <w:color w:val="auto"/>
                <w:szCs w:val="21"/>
              </w:rPr>
            </w:pPr>
            <w:r>
              <w:rPr>
                <w:rFonts w:hint="eastAsia" w:ascii="宋体" w:hAnsi="宋体" w:eastAsia="宋体" w:cs="宋体"/>
                <w:b w:val="0"/>
                <w:bCs w:val="0"/>
                <w:color w:val="auto"/>
                <w:sz w:val="21"/>
                <w:szCs w:val="21"/>
                <w:highlight w:val="none"/>
              </w:rPr>
              <w:t>未提供的不得分。</w:t>
            </w:r>
          </w:p>
        </w:tc>
      </w:tr>
      <w:tr w14:paraId="67A8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33E7B311">
            <w:pPr>
              <w:pStyle w:val="37"/>
              <w:spacing w:before="0" w:beforeAutospacing="0" w:after="0" w:afterAutospacing="0" w:line="460" w:lineRule="exact"/>
              <w:jc w:val="center"/>
              <w:textAlignment w:val="center"/>
              <w:rPr>
                <w:rFonts w:cs="宋体"/>
                <w:color w:val="auto"/>
                <w:sz w:val="21"/>
                <w:szCs w:val="21"/>
              </w:rPr>
            </w:pPr>
          </w:p>
        </w:tc>
        <w:tc>
          <w:tcPr>
            <w:tcW w:w="833" w:type="dxa"/>
            <w:vMerge w:val="continue"/>
            <w:vAlign w:val="center"/>
          </w:tcPr>
          <w:p w14:paraId="3D16CE91">
            <w:pPr>
              <w:pStyle w:val="37"/>
              <w:spacing w:before="0" w:beforeAutospacing="0" w:after="0" w:afterAutospacing="0" w:line="460" w:lineRule="exact"/>
              <w:jc w:val="center"/>
              <w:textAlignment w:val="center"/>
              <w:rPr>
                <w:rFonts w:cs="宋体"/>
                <w:color w:val="auto"/>
                <w:sz w:val="21"/>
                <w:szCs w:val="21"/>
              </w:rPr>
            </w:pPr>
          </w:p>
        </w:tc>
        <w:tc>
          <w:tcPr>
            <w:tcW w:w="1641" w:type="dxa"/>
            <w:vMerge w:val="restart"/>
            <w:vAlign w:val="center"/>
          </w:tcPr>
          <w:p w14:paraId="674C5164">
            <w:pPr>
              <w:pStyle w:val="37"/>
              <w:spacing w:before="0" w:beforeAutospacing="0" w:after="0" w:afterAutospacing="0" w:line="460" w:lineRule="exact"/>
              <w:jc w:val="center"/>
              <w:textAlignment w:val="center"/>
              <w:rPr>
                <w:rFonts w:cs="宋体"/>
                <w:color w:val="auto"/>
                <w:sz w:val="21"/>
                <w:szCs w:val="21"/>
              </w:rPr>
            </w:pPr>
            <w:r>
              <w:rPr>
                <w:rFonts w:hint="eastAsia" w:cs="宋体"/>
                <w:b/>
                <w:bCs/>
                <w:color w:val="auto"/>
                <w:sz w:val="21"/>
                <w:szCs w:val="21"/>
              </w:rPr>
              <w:t>5）商务部分得分F3（满分15分）</w:t>
            </w:r>
          </w:p>
        </w:tc>
        <w:tc>
          <w:tcPr>
            <w:tcW w:w="5758" w:type="dxa"/>
            <w:shd w:val="clear" w:color="auto" w:fill="auto"/>
            <w:vAlign w:val="center"/>
          </w:tcPr>
          <w:p w14:paraId="41E5C841">
            <w:pPr>
              <w:adjustRightInd w:val="0"/>
              <w:snapToGrid w:val="0"/>
              <w:spacing w:line="360" w:lineRule="auto"/>
              <w:rPr>
                <w:rFonts w:ascii="宋体" w:hAnsi="宋体" w:cs="宋体"/>
                <w:b/>
                <w:bCs/>
                <w:color w:val="auto"/>
                <w:szCs w:val="21"/>
              </w:rPr>
            </w:pPr>
            <w:r>
              <w:rPr>
                <w:rFonts w:hint="eastAsia" w:ascii="宋体" w:hAnsi="宋体" w:cs="宋体"/>
                <w:b/>
                <w:bCs/>
                <w:color w:val="auto"/>
                <w:szCs w:val="21"/>
              </w:rPr>
              <w:t>1）质量保证措施及承诺评审评分（满分4分）</w:t>
            </w:r>
          </w:p>
          <w:p w14:paraId="487EC69F">
            <w:pPr>
              <w:pStyle w:val="37"/>
              <w:adjustRightInd w:val="0"/>
              <w:snapToGrid w:val="0"/>
              <w:spacing w:before="0" w:beforeAutospacing="0" w:after="0" w:afterAutospacing="0" w:line="360" w:lineRule="auto"/>
              <w:textAlignment w:val="center"/>
              <w:rPr>
                <w:rFonts w:cs="宋体"/>
                <w:color w:val="auto"/>
                <w:sz w:val="21"/>
                <w:szCs w:val="21"/>
              </w:rPr>
            </w:pPr>
            <w:r>
              <w:rPr>
                <w:rFonts w:hint="eastAsia" w:cs="宋体"/>
                <w:color w:val="auto"/>
                <w:sz w:val="21"/>
                <w:szCs w:val="21"/>
              </w:rPr>
              <w:t>投标人需根据本项目实际情况及采购需求并结合自身情况，提供质量保证措施及承诺，包括：①质保期承诺；②</w:t>
            </w:r>
            <w:r>
              <w:rPr>
                <w:rFonts w:hint="eastAsia" w:cs="宋体"/>
                <w:color w:val="auto"/>
                <w:kern w:val="2"/>
                <w:sz w:val="21"/>
                <w:szCs w:val="21"/>
                <w:lang w:bidi="zh-TW"/>
              </w:rPr>
              <w:t>因质量引起的退、换货方案</w:t>
            </w:r>
            <w:r>
              <w:rPr>
                <w:rFonts w:hint="eastAsia" w:cs="宋体"/>
                <w:color w:val="auto"/>
                <w:sz w:val="21"/>
                <w:szCs w:val="21"/>
              </w:rPr>
              <w:t>；③</w:t>
            </w:r>
            <w:r>
              <w:rPr>
                <w:rFonts w:hint="eastAsia" w:cs="宋体"/>
                <w:bCs/>
                <w:color w:val="auto"/>
                <w:sz w:val="21"/>
                <w:szCs w:val="21"/>
              </w:rPr>
              <w:t>质量保证措施及承诺；</w:t>
            </w:r>
            <w:r>
              <w:rPr>
                <w:rFonts w:hint="eastAsia" w:cs="宋体"/>
                <w:color w:val="auto"/>
                <w:sz w:val="21"/>
                <w:szCs w:val="21"/>
              </w:rPr>
              <w:t>④</w:t>
            </w:r>
            <w:r>
              <w:rPr>
                <w:rFonts w:hint="eastAsia" w:cs="宋体"/>
                <w:bCs/>
                <w:color w:val="auto"/>
                <w:sz w:val="21"/>
                <w:szCs w:val="21"/>
              </w:rPr>
              <w:t>违约处罚措施及承诺</w:t>
            </w:r>
            <w:r>
              <w:rPr>
                <w:rFonts w:hint="eastAsia" w:cs="宋体"/>
                <w:color w:val="auto"/>
                <w:sz w:val="21"/>
                <w:szCs w:val="21"/>
              </w:rPr>
              <w:t>，共4项内容；</w:t>
            </w:r>
          </w:p>
          <w:p w14:paraId="07403D6B">
            <w:pPr>
              <w:pStyle w:val="37"/>
              <w:adjustRightInd w:val="0"/>
              <w:snapToGrid w:val="0"/>
              <w:spacing w:before="0" w:beforeAutospacing="0" w:after="0" w:afterAutospacing="0" w:line="360" w:lineRule="auto"/>
              <w:textAlignment w:val="center"/>
              <w:rPr>
                <w:rFonts w:cs="宋体"/>
                <w:color w:val="auto"/>
                <w:sz w:val="21"/>
                <w:szCs w:val="21"/>
              </w:rPr>
            </w:pPr>
            <w:r>
              <w:rPr>
                <w:rFonts w:hint="eastAsia" w:cs="宋体"/>
                <w:color w:val="auto"/>
                <w:sz w:val="21"/>
                <w:szCs w:val="21"/>
              </w:rPr>
              <w:t>以上4项内容，经评标委员会评审，各项内容均与项目实际情况吻合、有具体详细的阐述，内容清楚明了、表述规范、含义准确；方案从实际出发，切合项目需求，符合项目特点；服务措施科学，安排得当，能有效落地执行和操作，保障项目高质量履约，实现采购目标；完全符合采购人实际需求的得4分；经评标委员会评审，发现存在缺项或每有一项内容无法执行、难以满足采购人实际需求的扣1分；各项内容中每有一处存在不足的扣0.5分。</w:t>
            </w:r>
          </w:p>
          <w:p w14:paraId="3DA9E948">
            <w:pPr>
              <w:adjustRightInd w:val="0"/>
              <w:snapToGrid w:val="0"/>
              <w:spacing w:line="360" w:lineRule="auto"/>
              <w:rPr>
                <w:rFonts w:ascii="宋体" w:hAnsi="宋体" w:cs="宋体"/>
                <w:b/>
                <w:bCs/>
                <w:color w:val="auto"/>
                <w:szCs w:val="21"/>
              </w:rPr>
            </w:pPr>
            <w:r>
              <w:rPr>
                <w:rFonts w:hint="eastAsia" w:ascii="宋体" w:hAnsi="宋体" w:cs="宋体"/>
                <w:color w:val="auto"/>
                <w:szCs w:val="21"/>
              </w:rPr>
              <w:t>注：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等任意一处类似缺陷或瑕疵。</w:t>
            </w:r>
          </w:p>
        </w:tc>
      </w:tr>
      <w:tr w14:paraId="6492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207DE2DB">
            <w:pPr>
              <w:pStyle w:val="37"/>
              <w:spacing w:before="0" w:beforeAutospacing="0" w:after="0" w:afterAutospacing="0" w:line="460" w:lineRule="exact"/>
              <w:jc w:val="center"/>
              <w:textAlignment w:val="center"/>
              <w:rPr>
                <w:rFonts w:cs="宋体"/>
                <w:color w:val="auto"/>
                <w:sz w:val="21"/>
                <w:szCs w:val="21"/>
              </w:rPr>
            </w:pPr>
          </w:p>
        </w:tc>
        <w:tc>
          <w:tcPr>
            <w:tcW w:w="833" w:type="dxa"/>
            <w:vMerge w:val="continue"/>
            <w:vAlign w:val="center"/>
          </w:tcPr>
          <w:p w14:paraId="79DC2F32">
            <w:pPr>
              <w:pStyle w:val="37"/>
              <w:spacing w:before="0" w:beforeAutospacing="0" w:after="0" w:afterAutospacing="0" w:line="460" w:lineRule="exact"/>
              <w:jc w:val="center"/>
              <w:textAlignment w:val="center"/>
              <w:rPr>
                <w:rFonts w:cs="宋体"/>
                <w:color w:val="auto"/>
                <w:sz w:val="21"/>
                <w:szCs w:val="21"/>
              </w:rPr>
            </w:pPr>
          </w:p>
        </w:tc>
        <w:tc>
          <w:tcPr>
            <w:tcW w:w="1641" w:type="dxa"/>
            <w:vMerge w:val="continue"/>
            <w:vAlign w:val="center"/>
          </w:tcPr>
          <w:p w14:paraId="7FD66EEE">
            <w:pPr>
              <w:pStyle w:val="37"/>
              <w:spacing w:before="0" w:beforeAutospacing="0" w:after="0" w:afterAutospacing="0" w:line="460" w:lineRule="exact"/>
              <w:jc w:val="center"/>
              <w:textAlignment w:val="center"/>
              <w:rPr>
                <w:rFonts w:cs="宋体"/>
                <w:b/>
                <w:bCs/>
                <w:color w:val="auto"/>
                <w:sz w:val="21"/>
                <w:szCs w:val="21"/>
              </w:rPr>
            </w:pPr>
          </w:p>
        </w:tc>
        <w:tc>
          <w:tcPr>
            <w:tcW w:w="5758" w:type="dxa"/>
            <w:shd w:val="clear" w:color="auto" w:fill="auto"/>
            <w:vAlign w:val="center"/>
          </w:tcPr>
          <w:p w14:paraId="6705BE71">
            <w:pPr>
              <w:adjustRightInd w:val="0"/>
              <w:snapToGrid w:val="0"/>
              <w:spacing w:line="360" w:lineRule="auto"/>
              <w:rPr>
                <w:rFonts w:ascii="宋体" w:hAnsi="宋体" w:cs="宋体"/>
                <w:b/>
                <w:bCs/>
                <w:color w:val="auto"/>
                <w:szCs w:val="21"/>
              </w:rPr>
            </w:pPr>
            <w:r>
              <w:rPr>
                <w:rFonts w:hint="eastAsia" w:ascii="宋体" w:hAnsi="宋体" w:cs="宋体"/>
                <w:b/>
                <w:bCs/>
                <w:color w:val="auto"/>
                <w:szCs w:val="21"/>
              </w:rPr>
              <w:t>2）售后服务方案评审评分（满分</w:t>
            </w:r>
            <w:r>
              <w:rPr>
                <w:rFonts w:ascii="宋体" w:hAnsi="宋体" w:cs="宋体"/>
                <w:b/>
                <w:bCs/>
                <w:color w:val="auto"/>
                <w:szCs w:val="21"/>
              </w:rPr>
              <w:t>6</w:t>
            </w:r>
            <w:r>
              <w:rPr>
                <w:rFonts w:hint="eastAsia" w:ascii="宋体" w:hAnsi="宋体" w:cs="宋体"/>
                <w:b/>
                <w:bCs/>
                <w:color w:val="auto"/>
                <w:szCs w:val="21"/>
              </w:rPr>
              <w:t>分）</w:t>
            </w:r>
          </w:p>
          <w:p w14:paraId="18C0618D">
            <w:pPr>
              <w:pStyle w:val="37"/>
              <w:adjustRightInd w:val="0"/>
              <w:snapToGrid w:val="0"/>
              <w:spacing w:before="0" w:beforeAutospacing="0" w:after="0" w:afterAutospacing="0" w:line="360" w:lineRule="auto"/>
              <w:textAlignment w:val="center"/>
              <w:rPr>
                <w:rFonts w:cs="宋体"/>
                <w:color w:val="auto"/>
                <w:sz w:val="21"/>
                <w:szCs w:val="21"/>
              </w:rPr>
            </w:pPr>
            <w:r>
              <w:rPr>
                <w:rFonts w:hint="eastAsia" w:cs="宋体"/>
                <w:color w:val="auto"/>
                <w:sz w:val="21"/>
                <w:szCs w:val="21"/>
              </w:rPr>
              <w:t>投标人需根据本项目实际情况及采购需求并结合自身情况，提供售后服务方案，包括：①售后响应时间；②维修保养；③跟踪回访，共3项内容；</w:t>
            </w:r>
          </w:p>
          <w:p w14:paraId="606064E1">
            <w:pPr>
              <w:pStyle w:val="37"/>
              <w:adjustRightInd w:val="0"/>
              <w:snapToGrid w:val="0"/>
              <w:spacing w:before="0" w:beforeAutospacing="0" w:after="0" w:afterAutospacing="0" w:line="360" w:lineRule="auto"/>
              <w:textAlignment w:val="center"/>
              <w:rPr>
                <w:rFonts w:cs="宋体"/>
                <w:color w:val="auto"/>
                <w:sz w:val="21"/>
                <w:szCs w:val="21"/>
              </w:rPr>
            </w:pPr>
            <w:r>
              <w:rPr>
                <w:rFonts w:hint="eastAsia" w:cs="宋体"/>
                <w:color w:val="auto"/>
                <w:sz w:val="21"/>
                <w:szCs w:val="21"/>
              </w:rPr>
              <w:t>以上3项内容，经评标委员会评审，各项内容均与项目实际情况吻合、有具体详细的阐述，内容清楚明了、表述规范、含义准确；方案从实际出发，切合项目需求，符合项目特点；服务措施科学，安排得当，能有效落地执行和操作，保障项目高质量履约，实现采购目标；完全符合采购人实际需求的得</w:t>
            </w:r>
            <w:r>
              <w:rPr>
                <w:rFonts w:cs="宋体"/>
                <w:color w:val="auto"/>
                <w:sz w:val="21"/>
                <w:szCs w:val="21"/>
              </w:rPr>
              <w:t>6</w:t>
            </w:r>
            <w:r>
              <w:rPr>
                <w:rFonts w:hint="eastAsia" w:cs="宋体"/>
                <w:color w:val="auto"/>
                <w:sz w:val="21"/>
                <w:szCs w:val="21"/>
              </w:rPr>
              <w:t>分；经评标委员会评审，发现存在缺项或每有一项内容无法执行、难以满足采购人实际需求的扣</w:t>
            </w:r>
            <w:r>
              <w:rPr>
                <w:rFonts w:cs="宋体"/>
                <w:color w:val="auto"/>
                <w:sz w:val="21"/>
                <w:szCs w:val="21"/>
              </w:rPr>
              <w:t>2</w:t>
            </w:r>
            <w:r>
              <w:rPr>
                <w:rFonts w:hint="eastAsia" w:cs="宋体"/>
                <w:color w:val="auto"/>
                <w:sz w:val="21"/>
                <w:szCs w:val="21"/>
              </w:rPr>
              <w:t>分；各项内容中每有一处存在不足的扣</w:t>
            </w:r>
            <w:r>
              <w:rPr>
                <w:rFonts w:cs="宋体"/>
                <w:color w:val="auto"/>
                <w:sz w:val="21"/>
                <w:szCs w:val="21"/>
              </w:rPr>
              <w:t>1</w:t>
            </w:r>
            <w:r>
              <w:rPr>
                <w:rFonts w:hint="eastAsia" w:cs="宋体"/>
                <w:color w:val="auto"/>
                <w:sz w:val="21"/>
                <w:szCs w:val="21"/>
              </w:rPr>
              <w:t>分。</w:t>
            </w:r>
          </w:p>
          <w:p w14:paraId="63495151">
            <w:pPr>
              <w:adjustRightInd w:val="0"/>
              <w:snapToGrid w:val="0"/>
              <w:spacing w:line="360" w:lineRule="auto"/>
              <w:rPr>
                <w:rFonts w:ascii="宋体" w:hAnsi="宋体" w:cs="宋体"/>
                <w:b/>
                <w:bCs/>
                <w:color w:val="auto"/>
                <w:szCs w:val="21"/>
              </w:rPr>
            </w:pPr>
            <w:r>
              <w:rPr>
                <w:rFonts w:hint="eastAsia" w:ascii="宋体" w:hAnsi="宋体" w:cs="宋体"/>
                <w:color w:val="auto"/>
                <w:szCs w:val="21"/>
              </w:rPr>
              <w:t>注：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等任意一处类似缺陷或瑕疵。</w:t>
            </w:r>
          </w:p>
        </w:tc>
      </w:tr>
      <w:tr w14:paraId="1586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7C672BD0">
            <w:pPr>
              <w:pStyle w:val="37"/>
              <w:spacing w:before="0" w:beforeAutospacing="0" w:after="0" w:afterAutospacing="0" w:line="460" w:lineRule="exact"/>
              <w:jc w:val="center"/>
              <w:textAlignment w:val="center"/>
              <w:rPr>
                <w:rFonts w:cs="宋体"/>
                <w:color w:val="auto"/>
                <w:sz w:val="21"/>
                <w:szCs w:val="21"/>
              </w:rPr>
            </w:pPr>
          </w:p>
        </w:tc>
        <w:tc>
          <w:tcPr>
            <w:tcW w:w="833" w:type="dxa"/>
            <w:vMerge w:val="continue"/>
            <w:vAlign w:val="center"/>
          </w:tcPr>
          <w:p w14:paraId="40F80657">
            <w:pPr>
              <w:pStyle w:val="37"/>
              <w:spacing w:before="0" w:beforeAutospacing="0" w:after="0" w:afterAutospacing="0" w:line="460" w:lineRule="exact"/>
              <w:jc w:val="center"/>
              <w:textAlignment w:val="center"/>
              <w:rPr>
                <w:rFonts w:cs="宋体"/>
                <w:color w:val="auto"/>
                <w:sz w:val="21"/>
                <w:szCs w:val="21"/>
              </w:rPr>
            </w:pPr>
          </w:p>
        </w:tc>
        <w:tc>
          <w:tcPr>
            <w:tcW w:w="1641" w:type="dxa"/>
            <w:vMerge w:val="continue"/>
            <w:vAlign w:val="center"/>
          </w:tcPr>
          <w:p w14:paraId="49008120">
            <w:pPr>
              <w:pStyle w:val="37"/>
              <w:spacing w:before="0" w:beforeAutospacing="0" w:after="0" w:afterAutospacing="0" w:line="460" w:lineRule="exact"/>
              <w:jc w:val="center"/>
              <w:textAlignment w:val="center"/>
              <w:rPr>
                <w:rFonts w:cs="宋体"/>
                <w:b/>
                <w:bCs/>
                <w:color w:val="auto"/>
                <w:sz w:val="21"/>
                <w:szCs w:val="21"/>
              </w:rPr>
            </w:pPr>
          </w:p>
        </w:tc>
        <w:tc>
          <w:tcPr>
            <w:tcW w:w="5758" w:type="dxa"/>
            <w:shd w:val="clear" w:color="auto" w:fill="auto"/>
            <w:vAlign w:val="center"/>
          </w:tcPr>
          <w:p w14:paraId="0BDE50ED">
            <w:pPr>
              <w:adjustRightInd w:val="0"/>
              <w:snapToGrid w:val="0"/>
              <w:spacing w:line="360" w:lineRule="auto"/>
              <w:rPr>
                <w:rFonts w:ascii="宋体" w:hAnsi="宋体" w:cs="宋体"/>
                <w:b/>
                <w:bCs/>
                <w:color w:val="auto"/>
              </w:rPr>
            </w:pPr>
            <w:r>
              <w:rPr>
                <w:rFonts w:hint="eastAsia" w:ascii="宋体" w:hAnsi="宋体" w:cs="宋体"/>
                <w:b/>
                <w:bCs/>
                <w:color w:val="auto"/>
              </w:rPr>
              <w:t>3）技术培训方案评审评分（满分3分）</w:t>
            </w:r>
          </w:p>
          <w:p w14:paraId="446E4E32">
            <w:pPr>
              <w:pStyle w:val="37"/>
              <w:adjustRightInd w:val="0"/>
              <w:snapToGrid w:val="0"/>
              <w:spacing w:before="0" w:beforeAutospacing="0" w:after="0" w:afterAutospacing="0" w:line="360" w:lineRule="auto"/>
              <w:textAlignment w:val="center"/>
              <w:rPr>
                <w:rFonts w:cs="宋体"/>
                <w:color w:val="auto"/>
                <w:sz w:val="21"/>
                <w:szCs w:val="21"/>
              </w:rPr>
            </w:pPr>
            <w:r>
              <w:rPr>
                <w:rFonts w:hint="eastAsia" w:cs="宋体"/>
                <w:color w:val="auto"/>
                <w:sz w:val="21"/>
                <w:szCs w:val="21"/>
              </w:rPr>
              <w:t>投标人需根据本项目实际情况及采购需求并结合自身情况，提供技术培训方案，包括：①培训内容及形式；②培训时间计划安排；③培训师资人员，共3项内容；</w:t>
            </w:r>
          </w:p>
          <w:p w14:paraId="79B335A1">
            <w:pPr>
              <w:pStyle w:val="37"/>
              <w:adjustRightInd w:val="0"/>
              <w:snapToGrid w:val="0"/>
              <w:spacing w:before="0" w:beforeAutospacing="0" w:after="0" w:afterAutospacing="0" w:line="360" w:lineRule="auto"/>
              <w:textAlignment w:val="center"/>
              <w:rPr>
                <w:rFonts w:cs="宋体"/>
                <w:color w:val="auto"/>
                <w:sz w:val="21"/>
                <w:szCs w:val="21"/>
              </w:rPr>
            </w:pPr>
            <w:r>
              <w:rPr>
                <w:rFonts w:hint="eastAsia" w:cs="宋体"/>
                <w:color w:val="auto"/>
                <w:sz w:val="21"/>
                <w:szCs w:val="21"/>
              </w:rPr>
              <w:t>以上3项内容，经评标委员会评审，各项内容均与项目实际情况吻合、有具体详细的阐述，内容清楚明了、表述规范、含义准确；方案从实际出发，切合项目需求，符合项目特点；服务措施科学，安排得当，能有效落地执行和操作，保障项目高质量履约，实现采购目标；完全符合采购人实际需求的得3分；经评标委员会评审，发现存在缺项或每有一项内容无法执行、难以满足采购人实际需求的扣1分；各项内容中每有一处存在不足的扣0.5分。</w:t>
            </w:r>
          </w:p>
          <w:p w14:paraId="11E49EE4">
            <w:pPr>
              <w:adjustRightInd w:val="0"/>
              <w:snapToGrid w:val="0"/>
              <w:spacing w:line="360" w:lineRule="auto"/>
              <w:rPr>
                <w:rFonts w:ascii="宋体" w:hAnsi="宋体" w:cs="宋体"/>
                <w:b/>
                <w:bCs/>
                <w:color w:val="auto"/>
              </w:rPr>
            </w:pPr>
            <w:r>
              <w:rPr>
                <w:rFonts w:hint="eastAsia" w:ascii="宋体" w:hAnsi="宋体" w:cs="宋体"/>
                <w:color w:val="auto"/>
                <w:szCs w:val="21"/>
              </w:rPr>
              <w:t>注：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等任意一处类似缺陷或瑕疵。</w:t>
            </w:r>
          </w:p>
        </w:tc>
      </w:tr>
      <w:tr w14:paraId="29CF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Merge w:val="continue"/>
            <w:vAlign w:val="center"/>
          </w:tcPr>
          <w:p w14:paraId="04A3903B">
            <w:pPr>
              <w:pStyle w:val="37"/>
              <w:spacing w:before="0" w:beforeAutospacing="0" w:after="0" w:afterAutospacing="0" w:line="460" w:lineRule="exact"/>
              <w:jc w:val="center"/>
              <w:textAlignment w:val="center"/>
              <w:rPr>
                <w:rFonts w:cs="宋体"/>
                <w:color w:val="auto"/>
                <w:sz w:val="21"/>
                <w:szCs w:val="21"/>
              </w:rPr>
            </w:pPr>
          </w:p>
        </w:tc>
        <w:tc>
          <w:tcPr>
            <w:tcW w:w="833" w:type="dxa"/>
            <w:vMerge w:val="continue"/>
            <w:vAlign w:val="center"/>
          </w:tcPr>
          <w:p w14:paraId="10862D2D">
            <w:pPr>
              <w:pStyle w:val="37"/>
              <w:spacing w:before="0" w:beforeAutospacing="0" w:after="0" w:afterAutospacing="0" w:line="460" w:lineRule="exact"/>
              <w:jc w:val="center"/>
              <w:textAlignment w:val="center"/>
              <w:rPr>
                <w:rFonts w:cs="宋体"/>
                <w:color w:val="auto"/>
                <w:sz w:val="21"/>
                <w:szCs w:val="21"/>
              </w:rPr>
            </w:pPr>
          </w:p>
        </w:tc>
        <w:tc>
          <w:tcPr>
            <w:tcW w:w="1641" w:type="dxa"/>
            <w:vMerge w:val="continue"/>
            <w:vAlign w:val="center"/>
          </w:tcPr>
          <w:p w14:paraId="6DFE999A">
            <w:pPr>
              <w:pStyle w:val="37"/>
              <w:spacing w:before="0" w:beforeAutospacing="0" w:after="0" w:afterAutospacing="0" w:line="460" w:lineRule="exact"/>
              <w:jc w:val="center"/>
              <w:textAlignment w:val="center"/>
              <w:rPr>
                <w:rFonts w:cs="宋体"/>
                <w:color w:val="auto"/>
                <w:sz w:val="21"/>
                <w:szCs w:val="21"/>
              </w:rPr>
            </w:pPr>
          </w:p>
        </w:tc>
        <w:tc>
          <w:tcPr>
            <w:tcW w:w="5758" w:type="dxa"/>
            <w:shd w:val="clear" w:color="auto" w:fill="auto"/>
            <w:vAlign w:val="center"/>
          </w:tcPr>
          <w:p w14:paraId="46DD1B96">
            <w:pPr>
              <w:pStyle w:val="12"/>
              <w:spacing w:line="360" w:lineRule="auto"/>
              <w:ind w:firstLine="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4）</w:t>
            </w:r>
            <w:r>
              <w:rPr>
                <w:rFonts w:hint="eastAsia" w:ascii="宋体" w:hAnsi="宋体" w:cs="宋体"/>
                <w:b/>
                <w:bCs/>
                <w:color w:val="auto"/>
                <w:szCs w:val="21"/>
              </w:rPr>
              <w:t>类似项目履约情况评审评分（满分</w:t>
            </w:r>
            <w:r>
              <w:rPr>
                <w:rFonts w:ascii="宋体" w:hAnsi="宋体" w:cs="宋体"/>
                <w:b/>
                <w:bCs/>
                <w:color w:val="auto"/>
                <w:szCs w:val="21"/>
              </w:rPr>
              <w:t>2</w:t>
            </w:r>
            <w:r>
              <w:rPr>
                <w:rFonts w:hint="eastAsia" w:ascii="宋体" w:hAnsi="宋体" w:cs="宋体"/>
                <w:b/>
                <w:bCs/>
                <w:color w:val="auto"/>
                <w:szCs w:val="21"/>
              </w:rPr>
              <w:t>分）</w:t>
            </w:r>
          </w:p>
          <w:p w14:paraId="34D6FED7">
            <w:pPr>
              <w:adjustRightInd w:val="0"/>
              <w:snapToGrid w:val="0"/>
              <w:spacing w:line="360" w:lineRule="auto"/>
              <w:rPr>
                <w:rFonts w:ascii="宋体" w:hAnsi="宋体" w:cs="宋体"/>
                <w:color w:val="auto"/>
                <w:szCs w:val="21"/>
              </w:rPr>
            </w:pPr>
            <w:r>
              <w:rPr>
                <w:rFonts w:hint="eastAsia" w:ascii="宋体" w:hAnsi="宋体" w:cs="宋体"/>
                <w:color w:val="auto"/>
                <w:szCs w:val="21"/>
              </w:rPr>
              <w:t>根据投标人202</w:t>
            </w:r>
            <w:r>
              <w:rPr>
                <w:rFonts w:ascii="宋体" w:hAnsi="宋体" w:cs="宋体"/>
                <w:color w:val="auto"/>
                <w:szCs w:val="21"/>
              </w:rPr>
              <w:t>0</w:t>
            </w:r>
            <w:r>
              <w:rPr>
                <w:rFonts w:hint="eastAsia" w:ascii="宋体" w:hAnsi="宋体" w:cs="宋体"/>
                <w:color w:val="auto"/>
                <w:szCs w:val="21"/>
              </w:rPr>
              <w:t>年1月</w:t>
            </w:r>
            <w:r>
              <w:rPr>
                <w:rFonts w:hint="eastAsia" w:ascii="宋体" w:hAnsi="宋体" w:cs="宋体"/>
                <w:color w:val="auto"/>
                <w:szCs w:val="21"/>
                <w:highlight w:val="none"/>
              </w:rPr>
              <w:t>1日至本项目投标文件提交截止时间的同类项目履约情况进行打分（同类项目指：多媒体教室、实训室、智慧教室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企业研发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医护办公、中心机房</w:t>
            </w:r>
            <w:r>
              <w:rPr>
                <w:rFonts w:hint="eastAsia" w:ascii="宋体" w:hAnsi="宋体" w:cs="宋体"/>
                <w:color w:val="auto"/>
                <w:szCs w:val="21"/>
                <w:highlight w:val="none"/>
              </w:rPr>
              <w:t>等场景系统集成建设的案例），每提供一份证明材料得</w:t>
            </w:r>
            <w:r>
              <w:rPr>
                <w:rFonts w:ascii="宋体" w:hAnsi="宋体" w:cs="宋体"/>
                <w:color w:val="auto"/>
                <w:szCs w:val="21"/>
                <w:highlight w:val="none"/>
              </w:rPr>
              <w:t>0.5</w:t>
            </w:r>
            <w:r>
              <w:rPr>
                <w:rFonts w:hint="eastAsia" w:ascii="宋体" w:hAnsi="宋体" w:cs="宋体"/>
                <w:color w:val="auto"/>
                <w:szCs w:val="21"/>
                <w:highlight w:val="none"/>
              </w:rPr>
              <w:t>分，满分</w:t>
            </w:r>
            <w:r>
              <w:rPr>
                <w:rFonts w:ascii="宋体" w:hAnsi="宋体" w:cs="宋体"/>
                <w:color w:val="auto"/>
                <w:szCs w:val="21"/>
                <w:highlight w:val="none"/>
              </w:rPr>
              <w:t>2</w:t>
            </w:r>
            <w:r>
              <w:rPr>
                <w:rFonts w:hint="eastAsia" w:ascii="宋体" w:hAnsi="宋体" w:cs="宋体"/>
                <w:color w:val="auto"/>
                <w:szCs w:val="21"/>
                <w:highlight w:val="none"/>
              </w:rPr>
              <w:t>分。</w:t>
            </w:r>
          </w:p>
          <w:p w14:paraId="56E41C07">
            <w:pPr>
              <w:adjustRightInd w:val="0"/>
              <w:snapToGrid w:val="0"/>
              <w:spacing w:line="360" w:lineRule="auto"/>
              <w:rPr>
                <w:color w:val="auto"/>
              </w:rPr>
            </w:pPr>
            <w:r>
              <w:rPr>
                <w:rFonts w:hint="eastAsia" w:ascii="宋体" w:hAnsi="宋体" w:cs="宋体"/>
                <w:color w:val="auto"/>
                <w:szCs w:val="21"/>
              </w:rPr>
              <w:t>注：投标文件中须提供《投标人以往同类项目履约情况表》及相对应的履约证明材料，履约证明材料为合同（合同首页、标的及金额所在页及合同签字盖章页）或委托方出具的履约验收证明材料。无证明材料或未按要求提供证明材料或证明材料不明确、无法体现类似项目履约情况的，不予认可。</w:t>
            </w:r>
          </w:p>
        </w:tc>
      </w:tr>
    </w:tbl>
    <w:p w14:paraId="03B1CD1E">
      <w:pPr>
        <w:spacing w:line="360" w:lineRule="auto"/>
        <w:ind w:firstLine="482" w:firstLineChars="200"/>
        <w:rPr>
          <w:rFonts w:hAnsi="宋体" w:cs="宋体"/>
          <w:b/>
          <w:color w:val="auto"/>
          <w:sz w:val="24"/>
          <w:szCs w:val="28"/>
        </w:rPr>
      </w:pPr>
    </w:p>
    <w:p w14:paraId="669AAEB0">
      <w:pPr>
        <w:spacing w:line="360" w:lineRule="auto"/>
        <w:ind w:firstLine="482" w:firstLineChars="200"/>
        <w:rPr>
          <w:rFonts w:hAnsi="宋体" w:cs="宋体"/>
          <w:b/>
          <w:color w:val="auto"/>
          <w:sz w:val="24"/>
          <w:szCs w:val="28"/>
        </w:rPr>
      </w:pPr>
    </w:p>
    <w:p w14:paraId="71182D47">
      <w:pPr>
        <w:spacing w:line="360" w:lineRule="auto"/>
        <w:ind w:firstLine="482" w:firstLineChars="200"/>
        <w:rPr>
          <w:rFonts w:hAnsi="宋体" w:cs="宋体"/>
          <w:b/>
          <w:color w:val="auto"/>
          <w:sz w:val="24"/>
          <w:szCs w:val="28"/>
        </w:rPr>
      </w:pPr>
      <w:r>
        <w:rPr>
          <w:rFonts w:hint="eastAsia" w:hAnsi="宋体" w:cs="宋体"/>
          <w:b/>
          <w:color w:val="auto"/>
          <w:sz w:val="24"/>
          <w:szCs w:val="28"/>
        </w:rPr>
        <w:t>1.符合性审查</w:t>
      </w:r>
      <w:bookmarkEnd w:id="517"/>
      <w:bookmarkEnd w:id="518"/>
      <w:bookmarkEnd w:id="519"/>
      <w:bookmarkEnd w:id="520"/>
      <w:bookmarkEnd w:id="521"/>
      <w:bookmarkEnd w:id="522"/>
    </w:p>
    <w:p w14:paraId="5A499ABB">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1.1评标</w:t>
      </w:r>
      <w:r>
        <w:rPr>
          <w:rFonts w:hint="eastAsia" w:ascii="宋体" w:hAnsi="宋体" w:cs="宋体"/>
          <w:color w:val="auto"/>
          <w:kern w:val="0"/>
          <w:szCs w:val="21"/>
        </w:rPr>
        <w:t>委员会</w:t>
      </w:r>
      <w:r>
        <w:rPr>
          <w:rFonts w:hint="eastAsia" w:ascii="宋体" w:hAnsi="宋体" w:cs="宋体"/>
          <w:color w:val="auto"/>
          <w:szCs w:val="21"/>
        </w:rPr>
        <w:t>对符合资格的投标人的投标文件进行符合性审查，以确定其是否满足招标文件的实质性要求。</w:t>
      </w:r>
    </w:p>
    <w:p w14:paraId="2C359B0D">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1.2符合性审查</w:t>
      </w:r>
      <w:r>
        <w:rPr>
          <w:rFonts w:hint="eastAsia" w:ascii="宋体" w:hAnsi="宋体" w:cs="宋体"/>
          <w:color w:val="auto"/>
          <w:kern w:val="0"/>
          <w:szCs w:val="21"/>
        </w:rPr>
        <w:t>内容</w:t>
      </w:r>
      <w:r>
        <w:rPr>
          <w:rFonts w:hint="eastAsia" w:ascii="宋体" w:hAnsi="宋体" w:cs="宋体"/>
          <w:color w:val="auto"/>
          <w:szCs w:val="21"/>
        </w:rPr>
        <w:t>及标准：详见招标文件第七章《评标方法》“评标方法前附表1.2符合性审查”，经审查有一项不符合的，该投标文件按无效投标处理。</w:t>
      </w:r>
    </w:p>
    <w:p w14:paraId="6D31872D">
      <w:pPr>
        <w:spacing w:line="360" w:lineRule="auto"/>
        <w:ind w:firstLine="482" w:firstLineChars="200"/>
        <w:rPr>
          <w:rFonts w:hAnsi="宋体" w:cs="宋体"/>
          <w:b/>
          <w:color w:val="auto"/>
          <w:sz w:val="24"/>
          <w:szCs w:val="28"/>
        </w:rPr>
      </w:pPr>
      <w:bookmarkStart w:id="523" w:name="_Toc37716426"/>
      <w:bookmarkStart w:id="524" w:name="_Toc38338346"/>
      <w:bookmarkStart w:id="525" w:name="_Toc12099"/>
      <w:bookmarkStart w:id="526" w:name="_Toc29626"/>
      <w:bookmarkStart w:id="527" w:name="_Toc2650"/>
      <w:bookmarkStart w:id="528" w:name="_Toc873"/>
      <w:r>
        <w:rPr>
          <w:rFonts w:hint="eastAsia" w:hAnsi="宋体" w:cs="宋体"/>
          <w:b/>
          <w:color w:val="auto"/>
          <w:sz w:val="24"/>
          <w:szCs w:val="28"/>
        </w:rPr>
        <w:t>2.</w:t>
      </w:r>
      <w:bookmarkStart w:id="529" w:name="_Toc489145775"/>
      <w:bookmarkStart w:id="530" w:name="_Toc489197879"/>
      <w:bookmarkStart w:id="531" w:name="_Toc321836408"/>
      <w:r>
        <w:rPr>
          <w:rFonts w:hint="eastAsia" w:hAnsi="宋体" w:cs="宋体"/>
          <w:b/>
          <w:color w:val="auto"/>
          <w:sz w:val="24"/>
          <w:szCs w:val="28"/>
        </w:rPr>
        <w:t xml:space="preserve"> 评标方法和标准</w:t>
      </w:r>
      <w:bookmarkEnd w:id="523"/>
      <w:bookmarkEnd w:id="524"/>
      <w:bookmarkEnd w:id="525"/>
      <w:bookmarkEnd w:id="526"/>
      <w:bookmarkEnd w:id="527"/>
      <w:bookmarkEnd w:id="528"/>
    </w:p>
    <w:p w14:paraId="4F5A0337">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2.1评标委员会按照</w:t>
      </w:r>
      <w:r>
        <w:rPr>
          <w:rFonts w:hint="eastAsia" w:ascii="宋体" w:hAnsi="宋体" w:cs="宋体"/>
          <w:color w:val="auto"/>
          <w:kern w:val="0"/>
          <w:szCs w:val="21"/>
        </w:rPr>
        <w:t>招标</w:t>
      </w:r>
      <w:r>
        <w:rPr>
          <w:rFonts w:hint="eastAsia" w:ascii="宋体" w:hAnsi="宋体" w:cs="宋体"/>
          <w:color w:val="auto"/>
          <w:szCs w:val="21"/>
        </w:rPr>
        <w:t>文件中规定的评标方法和标准，对符合性审查合格的投标文件进行商务和技术评估，综合比较与评价。招标文件中没有规定的方法、评审因素和标准，不作为评标依据。</w:t>
      </w:r>
    </w:p>
    <w:p w14:paraId="0277F72F">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2.1.1投标报价得分F1：按本章《评标方法前附表》的规定对投标报价进行计算并得出F1得分；</w:t>
      </w:r>
    </w:p>
    <w:p w14:paraId="3E421B0B">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2.1.2技术部分得分F2：按本章《评标方法前附表》的规定对技术部分评分并计算出F2汇总得分</w:t>
      </w:r>
    </w:p>
    <w:p w14:paraId="77B5E289">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2.1.3商务部分得分F3：按本章《评标方法前附表》的规定对商务部分评分并计算出F3汇总得分</w:t>
      </w:r>
    </w:p>
    <w:p w14:paraId="214B950E">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2.1.4评标总得分：按本章《评标方法前附表》的规定计算评标总得分。</w:t>
      </w:r>
    </w:p>
    <w:p w14:paraId="75609D31">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2.2评标委员会认为投标人的报价明显低于其他通过符合性审查投标人的报价，有可能影响产品/服务质量或者不能诚信履约的，将要求其在评标现场合理的时间内提供书面说明，必要时提交相关证明材料；投标人不能证明其报价合理性的，评标委员会将认定其投标无效。</w:t>
      </w:r>
    </w:p>
    <w:p w14:paraId="0F238E54">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2.3对投标人的价格分等客观评分项的评分应当一致，对其他需要借助专业知识评判的主观评分项，应当严格按照评分细则公正评分。</w:t>
      </w:r>
    </w:p>
    <w:p w14:paraId="43E5BC2D">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2.4技术商务部分（F2、F3）由评标委员会各成员独立对每个投标人的投标文件进行评价，并汇总每个投标人的得分。投标人各项评分因素得分为该项因素评标委员会各成员汇总得分的算术平均值（保留小数点后两位），小数点后第三位“四舍五入”。</w:t>
      </w:r>
    </w:p>
    <w:p w14:paraId="412C65E9">
      <w:pPr>
        <w:widowControl/>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2.5评标委员会成员要依法独立评审，并对评审意见承担个人</w:t>
      </w:r>
      <w:r>
        <w:rPr>
          <w:rFonts w:hint="eastAsia" w:ascii="宋体" w:hAnsi="宋体" w:cs="宋体"/>
          <w:color w:val="auto"/>
          <w:szCs w:val="21"/>
        </w:rPr>
        <w:t>责任。</w:t>
      </w:r>
    </w:p>
    <w:bookmarkEnd w:id="529"/>
    <w:bookmarkEnd w:id="530"/>
    <w:bookmarkEnd w:id="531"/>
    <w:p w14:paraId="3F2F750C">
      <w:pPr>
        <w:spacing w:line="360" w:lineRule="auto"/>
        <w:ind w:firstLine="482" w:firstLineChars="200"/>
        <w:rPr>
          <w:rFonts w:hAnsi="宋体" w:cs="宋体"/>
          <w:b/>
          <w:color w:val="auto"/>
          <w:sz w:val="24"/>
          <w:szCs w:val="28"/>
        </w:rPr>
      </w:pPr>
      <w:bookmarkStart w:id="532" w:name="_Toc489145777"/>
      <w:bookmarkStart w:id="533" w:name="_Toc489197881"/>
      <w:bookmarkStart w:id="534" w:name="_Toc321836412"/>
      <w:bookmarkStart w:id="535" w:name="_Toc38338347"/>
      <w:bookmarkStart w:id="536" w:name="_Toc14194"/>
      <w:bookmarkStart w:id="537" w:name="_Toc8989"/>
      <w:bookmarkStart w:id="538" w:name="_Toc16566"/>
      <w:bookmarkStart w:id="539" w:name="_Toc20772"/>
      <w:bookmarkStart w:id="540" w:name="_Toc22137"/>
      <w:bookmarkStart w:id="541" w:name="_Toc37716427"/>
      <w:r>
        <w:rPr>
          <w:rFonts w:hint="eastAsia" w:hAnsi="宋体" w:cs="宋体"/>
          <w:b/>
          <w:color w:val="auto"/>
          <w:sz w:val="24"/>
          <w:szCs w:val="28"/>
        </w:rPr>
        <w:t>3.投标文件的</w:t>
      </w:r>
      <w:bookmarkEnd w:id="532"/>
      <w:bookmarkEnd w:id="533"/>
      <w:bookmarkEnd w:id="534"/>
      <w:r>
        <w:rPr>
          <w:rFonts w:hint="eastAsia" w:hAnsi="宋体" w:cs="宋体"/>
          <w:b/>
          <w:color w:val="auto"/>
          <w:sz w:val="24"/>
          <w:szCs w:val="28"/>
        </w:rPr>
        <w:t>澄清、说明或者补正</w:t>
      </w:r>
      <w:bookmarkEnd w:id="535"/>
      <w:bookmarkEnd w:id="536"/>
      <w:bookmarkEnd w:id="537"/>
      <w:bookmarkEnd w:id="538"/>
      <w:bookmarkEnd w:id="539"/>
      <w:bookmarkEnd w:id="540"/>
      <w:bookmarkEnd w:id="541"/>
      <w:r>
        <w:rPr>
          <w:rFonts w:hint="eastAsia" w:hAnsi="宋体" w:cs="宋体"/>
          <w:b/>
          <w:color w:val="auto"/>
          <w:sz w:val="24"/>
          <w:szCs w:val="28"/>
        </w:rPr>
        <w:t xml:space="preserve"> </w:t>
      </w:r>
    </w:p>
    <w:p w14:paraId="6E0FF79F">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3.1投标文件中出现含义不明确、同类问题表述不一致或者有明显文字和计算错误的内容，评标委员会将以书面形式要求投标人作出必要的澄清、说明或者补正。投标人的澄清、说明或者补正应当采用书面形式，并加盖投标人电子公章，或者由法定代表人或其授权的代表签字。投标人的澄清、说明或者补正不得超出投标文件的范围或者改变投标文件的实质性内容。</w:t>
      </w:r>
    </w:p>
    <w:p w14:paraId="4920FBA9">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3.2评标委员会不接受投标人主动提出的澄清、说明或者补正。</w:t>
      </w:r>
    </w:p>
    <w:p w14:paraId="32BD664B">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3.3 评标委员会对投标人提交的澄清、说明或者补正有疑问的，可以要求投标人进一步澄清、说明或者补正。</w:t>
      </w:r>
    </w:p>
    <w:p w14:paraId="3A8BC3E9">
      <w:pPr>
        <w:spacing w:line="360" w:lineRule="auto"/>
        <w:ind w:firstLine="482" w:firstLineChars="200"/>
        <w:rPr>
          <w:rFonts w:hAnsi="宋体" w:cs="宋体"/>
          <w:b/>
          <w:color w:val="auto"/>
          <w:sz w:val="24"/>
          <w:szCs w:val="28"/>
        </w:rPr>
      </w:pPr>
      <w:bookmarkStart w:id="542" w:name="_Toc489197882"/>
      <w:bookmarkStart w:id="543" w:name="_Toc489145778"/>
      <w:bookmarkStart w:id="544" w:name="_Toc38338348"/>
      <w:bookmarkStart w:id="545" w:name="_Toc13870"/>
      <w:bookmarkStart w:id="546" w:name="_Toc6248"/>
      <w:bookmarkStart w:id="547" w:name="_Toc28675"/>
      <w:bookmarkStart w:id="548" w:name="_Toc19676"/>
      <w:bookmarkStart w:id="549" w:name="_Toc321836413"/>
      <w:bookmarkStart w:id="550" w:name="_Toc37716428"/>
      <w:bookmarkStart w:id="551" w:name="_Toc32590"/>
      <w:r>
        <w:rPr>
          <w:rFonts w:hint="eastAsia" w:hAnsi="宋体" w:cs="宋体"/>
          <w:b/>
          <w:color w:val="auto"/>
          <w:sz w:val="24"/>
          <w:szCs w:val="28"/>
        </w:rPr>
        <w:t>4.评标结果</w:t>
      </w:r>
      <w:bookmarkEnd w:id="542"/>
      <w:bookmarkEnd w:id="543"/>
      <w:bookmarkEnd w:id="544"/>
      <w:bookmarkEnd w:id="545"/>
      <w:bookmarkEnd w:id="546"/>
      <w:bookmarkEnd w:id="547"/>
      <w:bookmarkEnd w:id="548"/>
      <w:bookmarkEnd w:id="549"/>
      <w:bookmarkEnd w:id="550"/>
      <w:bookmarkEnd w:id="551"/>
    </w:p>
    <w:p w14:paraId="0F564E65">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szCs w:val="21"/>
        </w:rPr>
        <w:t>4.1提供相同品牌产品</w:t>
      </w:r>
      <w:r>
        <w:rPr>
          <w:rFonts w:hint="eastAsia" w:ascii="宋体" w:hAnsi="宋体" w:cs="宋体"/>
          <w:color w:val="auto"/>
          <w:kern w:val="0"/>
          <w:szCs w:val="21"/>
        </w:rPr>
        <w:t>且通过资格审查、符合性审查的不同投标人参加同一合同项下投标的，按一家投标人计算，评审后得分最高的同品牌投标人获得中标人推荐资格；评审得分相同的，由评标委员会按照授权齐全、资格合格且报价最低或最有利于采购人利益的方式确定一个投标人获得中标人推荐资格。</w:t>
      </w:r>
    </w:p>
    <w:p w14:paraId="094EB05B">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4.2非单一产品采购项目，采购人根据采购项目技术构成、产品价格比重等确定核心产品，投标人提供的核心产品品牌相同的，按前款规定处理。</w:t>
      </w:r>
    </w:p>
    <w:p w14:paraId="6F16376E">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4.3投标文件满足招标文件全部实质性要求，且按照评审因素的量化指标评审得分最高的投标人将会被推荐为排名第一的中标候选人。</w:t>
      </w:r>
    </w:p>
    <w:p w14:paraId="7B19171C">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4.4评标委员会按评标总得分由高到低顺序推荐中标候选人，评标总得分相等时，按投标报价由低到高顺序排序，并提出书面评标报告。</w:t>
      </w:r>
    </w:p>
    <w:p w14:paraId="0DDA8A12">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4.5评标委员会根据全体评标成员签字的原始评标记录和评标结果编写评标报告。</w:t>
      </w:r>
    </w:p>
    <w:p w14:paraId="0C4F6F57">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4.6评标委员会成员对需要共同认定的事项存在争议的，应当按照少数服从多数的原则作出结论。持不同意见的评标委员会成员应当在评标报告上签署不同意见及理由，否则视为同意评标报告。</w:t>
      </w:r>
    </w:p>
    <w:p w14:paraId="04FBDA45">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w:t>
      </w:r>
      <w:r>
        <w:rPr>
          <w:rFonts w:hint="eastAsia" w:ascii="宋体" w:hAnsi="宋体" w:cs="宋体"/>
          <w:color w:val="auto"/>
          <w:szCs w:val="21"/>
        </w:rPr>
        <w:t>组织采购活动。</w:t>
      </w:r>
    </w:p>
    <w:p w14:paraId="18174AF9">
      <w:pPr>
        <w:rPr>
          <w:color w:val="auto"/>
        </w:rPr>
      </w:pPr>
    </w:p>
    <w:p w14:paraId="0255D860">
      <w:pPr>
        <w:rPr>
          <w:color w:val="auto"/>
        </w:rPr>
      </w:pPr>
    </w:p>
    <w:sectPr>
      <w:footerReference r:id="rId6" w:type="default"/>
      <w:pgSz w:w="12240" w:h="15840"/>
      <w:pgMar w:top="1440" w:right="1800" w:bottom="1440" w:left="1800"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3AB3A2-BE1D-490A-9E3C-111A94B014A8}"/>
  </w:font>
  <w:font w:name="黑体">
    <w:panose1 w:val="02010609060101010101"/>
    <w:charset w:val="86"/>
    <w:family w:val="auto"/>
    <w:pitch w:val="default"/>
    <w:sig w:usb0="800002BF" w:usb1="38CF7CFA" w:usb2="00000016" w:usb3="00000000" w:csb0="00040001" w:csb1="00000000"/>
    <w:embedRegular r:id="rId2" w:fontKey="{FE9DA68E-D579-420B-8724-A0D676293C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3F2E1A7-03DD-4E2C-91E4-EC4EFECDA1A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embedRegular r:id="rId4" w:fontKey="{23B68139-DAF5-419A-9707-7FBC58E3E45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FB673D2D-96D3-4E47-A1C8-CB3239AB5D24}"/>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6" w:fontKey="{86531561-9EFC-4A19-97B7-A70FF21F6794}"/>
  </w:font>
  <w:font w:name="方正小标宋简体">
    <w:panose1 w:val="03000509000000000000"/>
    <w:charset w:val="86"/>
    <w:family w:val="script"/>
    <w:pitch w:val="default"/>
    <w:sig w:usb0="00000001" w:usb1="080E0000" w:usb2="00000000" w:usb3="00000000" w:csb0="00040000" w:csb1="00000000"/>
    <w:embedRegular r:id="rId7" w:fontKey="{5470987E-680D-4BDB-A7E8-F784339076AA}"/>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444D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045E">
    <w:pPr>
      <w:pStyle w:val="25"/>
      <w:jc w:val="right"/>
    </w:pPr>
    <w:r>
      <w:drawing>
        <wp:inline distT="0" distB="0" distL="114300" distR="114300">
          <wp:extent cx="1438275" cy="266700"/>
          <wp:effectExtent l="0" t="0" r="9525" b="0"/>
          <wp:docPr id="1" name="图片 3"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F735DD">
                          <w:pPr>
                            <w:pStyle w:val="2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EF735DD">
                    <w:pPr>
                      <w:pStyle w:val="2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D1CC3">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685C45">
                          <w:pPr>
                            <w:pStyle w:val="25"/>
                            <w:jc w:val="center"/>
                          </w:pPr>
                          <w:r>
                            <w:fldChar w:fldCharType="begin"/>
                          </w:r>
                          <w:r>
                            <w:instrText xml:space="preserve"> PAGE   \* MERGEFORMAT </w:instrText>
                          </w:r>
                          <w:r>
                            <w:fldChar w:fldCharType="separate"/>
                          </w:r>
                          <w:r>
                            <w:rPr>
                              <w:lang w:val="zh-CN"/>
                            </w:rPr>
                            <w:t>77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3685C45">
                    <w:pPr>
                      <w:pStyle w:val="25"/>
                      <w:jc w:val="center"/>
                    </w:pPr>
                    <w:r>
                      <w:fldChar w:fldCharType="begin"/>
                    </w:r>
                    <w:r>
                      <w:instrText xml:space="preserve"> PAGE   \* MERGEFORMAT </w:instrText>
                    </w:r>
                    <w:r>
                      <w:fldChar w:fldCharType="separate"/>
                    </w:r>
                    <w:r>
                      <w:rPr>
                        <w:lang w:val="zh-CN"/>
                      </w:rPr>
                      <w:t>77</w:t>
                    </w:r>
                    <w:r>
                      <w:rPr>
                        <w:lang w:val="zh-CN"/>
                      </w:rPr>
                      <w:fldChar w:fldCharType="end"/>
                    </w:r>
                  </w:p>
                </w:txbxContent>
              </v:textbox>
            </v:shape>
          </w:pict>
        </mc:Fallback>
      </mc:AlternateContent>
    </w:r>
  </w:p>
  <w:p w14:paraId="5AB9B6AE">
    <w:pPr>
      <w:pStyle w:val="25"/>
      <w:jc w:val="right"/>
    </w:pPr>
    <w:r>
      <w:drawing>
        <wp:inline distT="0" distB="0" distL="114300" distR="114300">
          <wp:extent cx="1438275" cy="266700"/>
          <wp:effectExtent l="0" t="0" r="9525" b="0"/>
          <wp:docPr id="7" name="图片 3"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148F">
    <w:pPr>
      <w:pStyle w:val="26"/>
      <w:rPr>
        <w:sz w:val="16"/>
        <w:szCs w:val="16"/>
      </w:rPr>
    </w:pPr>
    <w:r>
      <w:rPr>
        <w:rFonts w:hint="eastAsia" w:ascii="宋体" w:hAnsi="宋体" w:cs="宋体"/>
        <w:color w:val="333333"/>
        <w:sz w:val="16"/>
        <w:szCs w:val="16"/>
        <w:shd w:val="clear" w:color="auto" w:fill="FFFFFF"/>
      </w:rPr>
      <w:t>云南师范大学经济学院实验室建设采购项目</w:t>
    </w:r>
    <w:r>
      <w:rPr>
        <w:rFonts w:hint="eastAsia" w:ascii="Arial" w:hAnsi="Arial" w:cs="Arial"/>
        <w:color w:val="333333"/>
        <w:sz w:val="16"/>
        <w:szCs w:val="16"/>
        <w:shd w:val="clear" w:color="auto" w:fill="FFFFFF"/>
      </w:rPr>
      <w:t xml:space="preserve">                                                       </w:t>
    </w:r>
    <w:r>
      <w:rPr>
        <w:rFonts w:hint="eastAsia"/>
        <w:sz w:val="16"/>
        <w:szCs w:val="16"/>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00F07"/>
    <w:multiLevelType w:val="multilevel"/>
    <w:tmpl w:val="1B500F07"/>
    <w:lvl w:ilvl="0" w:tentative="0">
      <w:start w:val="1"/>
      <w:numFmt w:val="chineseCounting"/>
      <w:lvlText w:val="%1."/>
      <w:lvlJc w:val="left"/>
      <w:pPr>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isLgl/>
      <w:lvlText w:val="%1.%2.%3.%4."/>
      <w:lvlJc w:val="left"/>
      <w:pPr>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ascii="宋体" w:hAnsi="宋体" w:eastAsia="宋体" w:cs="宋体"/>
      </w:rPr>
    </w:lvl>
    <w:lvl w:ilvl="5" w:tentative="0">
      <w:start w:val="1"/>
      <w:numFmt w:val="decimal"/>
      <w:isLgl/>
      <w:lvlText w:val="%1.%2.%3.%4.%5.%6."/>
      <w:lvlJc w:val="left"/>
      <w:pPr>
        <w:ind w:left="1151" w:hanging="1151"/>
      </w:pPr>
      <w:rPr>
        <w:rFonts w:hint="eastAsia" w:ascii="宋体" w:hAnsi="宋体" w:eastAsia="宋体" w:cs="宋体"/>
      </w:rPr>
    </w:lvl>
    <w:lvl w:ilvl="6" w:tentative="0">
      <w:start w:val="1"/>
      <w:numFmt w:val="decimal"/>
      <w:pStyle w:val="8"/>
      <w:isLgl/>
      <w:lvlText w:val="%1.%2.%3.%4.%5.%6.%7."/>
      <w:lvlJc w:val="left"/>
      <w:pPr>
        <w:ind w:left="1296" w:hanging="1296"/>
      </w:pPr>
      <w:rPr>
        <w:rFonts w:hint="eastAsia" w:ascii="宋体" w:hAnsi="宋体" w:eastAsia="宋体" w:cs="宋体"/>
      </w:rPr>
    </w:lvl>
    <w:lvl w:ilvl="7" w:tentative="0">
      <w:start w:val="1"/>
      <w:numFmt w:val="decimal"/>
      <w:pStyle w:val="9"/>
      <w:isLgl/>
      <w:lvlText w:val="%1.%2.%3.%4.%5.%6.%7.%8."/>
      <w:lvlJc w:val="left"/>
      <w:pPr>
        <w:ind w:left="1440" w:hanging="1440"/>
      </w:pPr>
      <w:rPr>
        <w:rFonts w:hint="eastAsia" w:ascii="宋体" w:hAnsi="宋体" w:eastAsia="宋体" w:cs="宋体"/>
      </w:rPr>
    </w:lvl>
    <w:lvl w:ilvl="8" w:tentative="0">
      <w:start w:val="1"/>
      <w:numFmt w:val="decimal"/>
      <w:pStyle w:val="10"/>
      <w:isLgl/>
      <w:lvlText w:val="%1.%2.%3.%4.%5.%6.%7.%8.%9."/>
      <w:lvlJc w:val="left"/>
      <w:pPr>
        <w:ind w:left="1583" w:hanging="1583"/>
      </w:pPr>
      <w:rPr>
        <w:rFonts w:hint="eastAsia" w:ascii="宋体" w:hAnsi="宋体" w:eastAsia="宋体" w:cs="宋体"/>
      </w:rPr>
    </w:lvl>
  </w:abstractNum>
  <w:abstractNum w:abstractNumId="1">
    <w:nsid w:val="2E940303"/>
    <w:multiLevelType w:val="singleLevel"/>
    <w:tmpl w:val="2E940303"/>
    <w:lvl w:ilvl="0" w:tentative="0">
      <w:start w:val="1"/>
      <w:numFmt w:val="decimal"/>
      <w:suff w:val="nothing"/>
      <w:lvlText w:val="（%1）"/>
      <w:lvlJc w:val="left"/>
    </w:lvl>
  </w:abstractNum>
  <w:abstractNum w:abstractNumId="2">
    <w:nsid w:val="3ADFCDD1"/>
    <w:multiLevelType w:val="singleLevel"/>
    <w:tmpl w:val="3ADFCDD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ZDJiZDg1YWQxNGI5NjlhYmJiZTZjZjg0MmZmZTYifQ=="/>
    <w:docVar w:name="KSO_WPS_MARK_KEY" w:val="10400261-ee10-4e50-8c69-b6d5a3ebbf77"/>
  </w:docVars>
  <w:rsids>
    <w:rsidRoot w:val="00172A27"/>
    <w:rsid w:val="000001DD"/>
    <w:rsid w:val="000007C7"/>
    <w:rsid w:val="00001193"/>
    <w:rsid w:val="000012D0"/>
    <w:rsid w:val="00002418"/>
    <w:rsid w:val="000026CF"/>
    <w:rsid w:val="00002713"/>
    <w:rsid w:val="00002AF6"/>
    <w:rsid w:val="00002CC3"/>
    <w:rsid w:val="00002DAF"/>
    <w:rsid w:val="000030C1"/>
    <w:rsid w:val="00003394"/>
    <w:rsid w:val="00005A2B"/>
    <w:rsid w:val="000062FE"/>
    <w:rsid w:val="00006587"/>
    <w:rsid w:val="000067DF"/>
    <w:rsid w:val="00006963"/>
    <w:rsid w:val="00007E1B"/>
    <w:rsid w:val="00010641"/>
    <w:rsid w:val="000129F1"/>
    <w:rsid w:val="00013089"/>
    <w:rsid w:val="00013235"/>
    <w:rsid w:val="000141BE"/>
    <w:rsid w:val="000156B4"/>
    <w:rsid w:val="000159BF"/>
    <w:rsid w:val="000163E7"/>
    <w:rsid w:val="00016724"/>
    <w:rsid w:val="0001690F"/>
    <w:rsid w:val="00016B3A"/>
    <w:rsid w:val="000170F3"/>
    <w:rsid w:val="000173C8"/>
    <w:rsid w:val="00017E2C"/>
    <w:rsid w:val="000202DF"/>
    <w:rsid w:val="00023146"/>
    <w:rsid w:val="00024837"/>
    <w:rsid w:val="00025194"/>
    <w:rsid w:val="000258E1"/>
    <w:rsid w:val="000277E1"/>
    <w:rsid w:val="00030E86"/>
    <w:rsid w:val="00031014"/>
    <w:rsid w:val="00031453"/>
    <w:rsid w:val="00031AB7"/>
    <w:rsid w:val="00034746"/>
    <w:rsid w:val="0003521E"/>
    <w:rsid w:val="000361EA"/>
    <w:rsid w:val="00036355"/>
    <w:rsid w:val="0003649A"/>
    <w:rsid w:val="00036537"/>
    <w:rsid w:val="00037D44"/>
    <w:rsid w:val="00041C3B"/>
    <w:rsid w:val="00041F03"/>
    <w:rsid w:val="000421E6"/>
    <w:rsid w:val="00042A69"/>
    <w:rsid w:val="00043998"/>
    <w:rsid w:val="00043FF3"/>
    <w:rsid w:val="00046CDE"/>
    <w:rsid w:val="00046F86"/>
    <w:rsid w:val="00050AD7"/>
    <w:rsid w:val="00050EA2"/>
    <w:rsid w:val="00051742"/>
    <w:rsid w:val="00051E2B"/>
    <w:rsid w:val="00052436"/>
    <w:rsid w:val="00053223"/>
    <w:rsid w:val="00054319"/>
    <w:rsid w:val="000548E1"/>
    <w:rsid w:val="00055893"/>
    <w:rsid w:val="000559E2"/>
    <w:rsid w:val="00055CA8"/>
    <w:rsid w:val="00055D2D"/>
    <w:rsid w:val="000562B9"/>
    <w:rsid w:val="0005687F"/>
    <w:rsid w:val="00057EE7"/>
    <w:rsid w:val="000609A9"/>
    <w:rsid w:val="00061775"/>
    <w:rsid w:val="00061BE0"/>
    <w:rsid w:val="00061E2C"/>
    <w:rsid w:val="0006234B"/>
    <w:rsid w:val="0006298A"/>
    <w:rsid w:val="00062A4C"/>
    <w:rsid w:val="0006303A"/>
    <w:rsid w:val="00065399"/>
    <w:rsid w:val="00065B5E"/>
    <w:rsid w:val="00066088"/>
    <w:rsid w:val="000664A0"/>
    <w:rsid w:val="0007041C"/>
    <w:rsid w:val="000704E8"/>
    <w:rsid w:val="00070960"/>
    <w:rsid w:val="00070D56"/>
    <w:rsid w:val="0007105D"/>
    <w:rsid w:val="00072A96"/>
    <w:rsid w:val="000738C3"/>
    <w:rsid w:val="00073A3C"/>
    <w:rsid w:val="00073A91"/>
    <w:rsid w:val="00073BD5"/>
    <w:rsid w:val="000746CA"/>
    <w:rsid w:val="00075E0D"/>
    <w:rsid w:val="000765CB"/>
    <w:rsid w:val="00076B83"/>
    <w:rsid w:val="000770A3"/>
    <w:rsid w:val="00077676"/>
    <w:rsid w:val="000778CD"/>
    <w:rsid w:val="00077AB7"/>
    <w:rsid w:val="00077F2B"/>
    <w:rsid w:val="000803D4"/>
    <w:rsid w:val="00081818"/>
    <w:rsid w:val="00082A86"/>
    <w:rsid w:val="00082F73"/>
    <w:rsid w:val="000844D7"/>
    <w:rsid w:val="000859AC"/>
    <w:rsid w:val="00085B35"/>
    <w:rsid w:val="00087335"/>
    <w:rsid w:val="000874C1"/>
    <w:rsid w:val="000875A1"/>
    <w:rsid w:val="00087819"/>
    <w:rsid w:val="00087B28"/>
    <w:rsid w:val="000915B9"/>
    <w:rsid w:val="00091AB0"/>
    <w:rsid w:val="00092D6A"/>
    <w:rsid w:val="00092D8D"/>
    <w:rsid w:val="0009306E"/>
    <w:rsid w:val="00094070"/>
    <w:rsid w:val="00096065"/>
    <w:rsid w:val="000965B8"/>
    <w:rsid w:val="00096603"/>
    <w:rsid w:val="000967EB"/>
    <w:rsid w:val="000974FB"/>
    <w:rsid w:val="000A03C8"/>
    <w:rsid w:val="000A1714"/>
    <w:rsid w:val="000A1B7E"/>
    <w:rsid w:val="000A2880"/>
    <w:rsid w:val="000A2C52"/>
    <w:rsid w:val="000A33FA"/>
    <w:rsid w:val="000A37C8"/>
    <w:rsid w:val="000A3C50"/>
    <w:rsid w:val="000A47DF"/>
    <w:rsid w:val="000A481C"/>
    <w:rsid w:val="000A4859"/>
    <w:rsid w:val="000A51A7"/>
    <w:rsid w:val="000A5386"/>
    <w:rsid w:val="000A54CD"/>
    <w:rsid w:val="000A558D"/>
    <w:rsid w:val="000A5FB9"/>
    <w:rsid w:val="000A60BA"/>
    <w:rsid w:val="000A614E"/>
    <w:rsid w:val="000A67B9"/>
    <w:rsid w:val="000A6804"/>
    <w:rsid w:val="000A6A24"/>
    <w:rsid w:val="000A6B83"/>
    <w:rsid w:val="000A6FFB"/>
    <w:rsid w:val="000A7450"/>
    <w:rsid w:val="000A78BA"/>
    <w:rsid w:val="000A7BF4"/>
    <w:rsid w:val="000A7DB3"/>
    <w:rsid w:val="000B0F93"/>
    <w:rsid w:val="000B29FD"/>
    <w:rsid w:val="000B3EDD"/>
    <w:rsid w:val="000B4976"/>
    <w:rsid w:val="000B6CE1"/>
    <w:rsid w:val="000C2916"/>
    <w:rsid w:val="000C314C"/>
    <w:rsid w:val="000C33D3"/>
    <w:rsid w:val="000C3A7A"/>
    <w:rsid w:val="000C3F3B"/>
    <w:rsid w:val="000C554D"/>
    <w:rsid w:val="000C5EF0"/>
    <w:rsid w:val="000C6E53"/>
    <w:rsid w:val="000C7124"/>
    <w:rsid w:val="000C715D"/>
    <w:rsid w:val="000D0525"/>
    <w:rsid w:val="000D0EC7"/>
    <w:rsid w:val="000D125D"/>
    <w:rsid w:val="000D172F"/>
    <w:rsid w:val="000D27FB"/>
    <w:rsid w:val="000D281D"/>
    <w:rsid w:val="000D306F"/>
    <w:rsid w:val="000D5478"/>
    <w:rsid w:val="000D563F"/>
    <w:rsid w:val="000D57BE"/>
    <w:rsid w:val="000D60DD"/>
    <w:rsid w:val="000D612B"/>
    <w:rsid w:val="000D6E92"/>
    <w:rsid w:val="000D784C"/>
    <w:rsid w:val="000D7D53"/>
    <w:rsid w:val="000E0B0A"/>
    <w:rsid w:val="000E0E5C"/>
    <w:rsid w:val="000E131B"/>
    <w:rsid w:val="000E1687"/>
    <w:rsid w:val="000E199E"/>
    <w:rsid w:val="000E4677"/>
    <w:rsid w:val="000E5349"/>
    <w:rsid w:val="000E5BF2"/>
    <w:rsid w:val="000E7548"/>
    <w:rsid w:val="000F0112"/>
    <w:rsid w:val="000F09A2"/>
    <w:rsid w:val="000F0BEC"/>
    <w:rsid w:val="000F13B3"/>
    <w:rsid w:val="000F16C0"/>
    <w:rsid w:val="000F40CD"/>
    <w:rsid w:val="000F452B"/>
    <w:rsid w:val="000F4C18"/>
    <w:rsid w:val="000F744F"/>
    <w:rsid w:val="000F74FB"/>
    <w:rsid w:val="000F7C20"/>
    <w:rsid w:val="0010042B"/>
    <w:rsid w:val="001004FB"/>
    <w:rsid w:val="00101542"/>
    <w:rsid w:val="00101E4F"/>
    <w:rsid w:val="001034CA"/>
    <w:rsid w:val="0010364F"/>
    <w:rsid w:val="00103CC5"/>
    <w:rsid w:val="00105D31"/>
    <w:rsid w:val="00105D7C"/>
    <w:rsid w:val="00107796"/>
    <w:rsid w:val="00110334"/>
    <w:rsid w:val="001104EF"/>
    <w:rsid w:val="0011216F"/>
    <w:rsid w:val="001128DD"/>
    <w:rsid w:val="00114520"/>
    <w:rsid w:val="0011485F"/>
    <w:rsid w:val="00114C77"/>
    <w:rsid w:val="00114E06"/>
    <w:rsid w:val="00116821"/>
    <w:rsid w:val="00116C62"/>
    <w:rsid w:val="00116F8A"/>
    <w:rsid w:val="0012009A"/>
    <w:rsid w:val="001203DD"/>
    <w:rsid w:val="001210CD"/>
    <w:rsid w:val="00122AB2"/>
    <w:rsid w:val="00122C80"/>
    <w:rsid w:val="00123B62"/>
    <w:rsid w:val="0012504B"/>
    <w:rsid w:val="0012509F"/>
    <w:rsid w:val="001251F4"/>
    <w:rsid w:val="00125971"/>
    <w:rsid w:val="00125B78"/>
    <w:rsid w:val="00125B7B"/>
    <w:rsid w:val="00126AB0"/>
    <w:rsid w:val="00126F18"/>
    <w:rsid w:val="001270FE"/>
    <w:rsid w:val="001279CA"/>
    <w:rsid w:val="00131DA9"/>
    <w:rsid w:val="00131F9F"/>
    <w:rsid w:val="001341F7"/>
    <w:rsid w:val="0013609E"/>
    <w:rsid w:val="0013696C"/>
    <w:rsid w:val="00136D32"/>
    <w:rsid w:val="00137774"/>
    <w:rsid w:val="00137994"/>
    <w:rsid w:val="00141325"/>
    <w:rsid w:val="00141382"/>
    <w:rsid w:val="0014146E"/>
    <w:rsid w:val="001420D7"/>
    <w:rsid w:val="00144125"/>
    <w:rsid w:val="00144215"/>
    <w:rsid w:val="001443EA"/>
    <w:rsid w:val="00144AE2"/>
    <w:rsid w:val="00144E1C"/>
    <w:rsid w:val="00145112"/>
    <w:rsid w:val="001465AB"/>
    <w:rsid w:val="0014661E"/>
    <w:rsid w:val="0014677E"/>
    <w:rsid w:val="00150094"/>
    <w:rsid w:val="001512E5"/>
    <w:rsid w:val="00151EC8"/>
    <w:rsid w:val="001522C2"/>
    <w:rsid w:val="001523DF"/>
    <w:rsid w:val="001529F8"/>
    <w:rsid w:val="001533A5"/>
    <w:rsid w:val="00153884"/>
    <w:rsid w:val="0015460E"/>
    <w:rsid w:val="00154666"/>
    <w:rsid w:val="0015534F"/>
    <w:rsid w:val="001555F9"/>
    <w:rsid w:val="00155DF7"/>
    <w:rsid w:val="00155E75"/>
    <w:rsid w:val="00156B9B"/>
    <w:rsid w:val="0016095C"/>
    <w:rsid w:val="00160E34"/>
    <w:rsid w:val="00161182"/>
    <w:rsid w:val="0016147C"/>
    <w:rsid w:val="001619E9"/>
    <w:rsid w:val="00161C98"/>
    <w:rsid w:val="00162787"/>
    <w:rsid w:val="00162A49"/>
    <w:rsid w:val="00163A9C"/>
    <w:rsid w:val="00163DB3"/>
    <w:rsid w:val="001642A1"/>
    <w:rsid w:val="00164F51"/>
    <w:rsid w:val="0016659D"/>
    <w:rsid w:val="00167E63"/>
    <w:rsid w:val="0017004F"/>
    <w:rsid w:val="0017051C"/>
    <w:rsid w:val="00170789"/>
    <w:rsid w:val="001714C8"/>
    <w:rsid w:val="00171FE3"/>
    <w:rsid w:val="0017250D"/>
    <w:rsid w:val="0017292B"/>
    <w:rsid w:val="00172A27"/>
    <w:rsid w:val="00173DAB"/>
    <w:rsid w:val="00173E4D"/>
    <w:rsid w:val="00174B18"/>
    <w:rsid w:val="001764DB"/>
    <w:rsid w:val="00176D99"/>
    <w:rsid w:val="00177AAD"/>
    <w:rsid w:val="001804D9"/>
    <w:rsid w:val="00181409"/>
    <w:rsid w:val="00181DE5"/>
    <w:rsid w:val="001834A1"/>
    <w:rsid w:val="00183717"/>
    <w:rsid w:val="00183D92"/>
    <w:rsid w:val="00185157"/>
    <w:rsid w:val="0018639E"/>
    <w:rsid w:val="001867AE"/>
    <w:rsid w:val="00187119"/>
    <w:rsid w:val="0018712A"/>
    <w:rsid w:val="00187389"/>
    <w:rsid w:val="0018773F"/>
    <w:rsid w:val="00187A06"/>
    <w:rsid w:val="00187A0A"/>
    <w:rsid w:val="00190B72"/>
    <w:rsid w:val="00190F22"/>
    <w:rsid w:val="00191076"/>
    <w:rsid w:val="0019248B"/>
    <w:rsid w:val="00192973"/>
    <w:rsid w:val="0019369F"/>
    <w:rsid w:val="00194EAD"/>
    <w:rsid w:val="00196DB9"/>
    <w:rsid w:val="0019719C"/>
    <w:rsid w:val="00197E5E"/>
    <w:rsid w:val="001A0151"/>
    <w:rsid w:val="001A071B"/>
    <w:rsid w:val="001A0BD3"/>
    <w:rsid w:val="001A0C8D"/>
    <w:rsid w:val="001A0D1F"/>
    <w:rsid w:val="001A1300"/>
    <w:rsid w:val="001A19B9"/>
    <w:rsid w:val="001A3D85"/>
    <w:rsid w:val="001A4BAA"/>
    <w:rsid w:val="001A4D00"/>
    <w:rsid w:val="001A58A2"/>
    <w:rsid w:val="001A5970"/>
    <w:rsid w:val="001A668C"/>
    <w:rsid w:val="001A71F7"/>
    <w:rsid w:val="001A74F8"/>
    <w:rsid w:val="001A7519"/>
    <w:rsid w:val="001A7CF8"/>
    <w:rsid w:val="001B2041"/>
    <w:rsid w:val="001B21E5"/>
    <w:rsid w:val="001B2738"/>
    <w:rsid w:val="001B38D6"/>
    <w:rsid w:val="001B38FB"/>
    <w:rsid w:val="001B3CFC"/>
    <w:rsid w:val="001B4184"/>
    <w:rsid w:val="001B4767"/>
    <w:rsid w:val="001B48A0"/>
    <w:rsid w:val="001B5081"/>
    <w:rsid w:val="001B5373"/>
    <w:rsid w:val="001B5433"/>
    <w:rsid w:val="001B5C8D"/>
    <w:rsid w:val="001B5CB8"/>
    <w:rsid w:val="001B65BE"/>
    <w:rsid w:val="001B6EAB"/>
    <w:rsid w:val="001C082C"/>
    <w:rsid w:val="001C111F"/>
    <w:rsid w:val="001C1380"/>
    <w:rsid w:val="001C1616"/>
    <w:rsid w:val="001C169D"/>
    <w:rsid w:val="001C1B0E"/>
    <w:rsid w:val="001C2038"/>
    <w:rsid w:val="001C20DA"/>
    <w:rsid w:val="001C2E09"/>
    <w:rsid w:val="001C2F2C"/>
    <w:rsid w:val="001C350F"/>
    <w:rsid w:val="001C57A1"/>
    <w:rsid w:val="001C5FAE"/>
    <w:rsid w:val="001C6385"/>
    <w:rsid w:val="001C6470"/>
    <w:rsid w:val="001C7E87"/>
    <w:rsid w:val="001D0733"/>
    <w:rsid w:val="001D0776"/>
    <w:rsid w:val="001D175D"/>
    <w:rsid w:val="001D4434"/>
    <w:rsid w:val="001D46B7"/>
    <w:rsid w:val="001D4C09"/>
    <w:rsid w:val="001D4D81"/>
    <w:rsid w:val="001D5101"/>
    <w:rsid w:val="001D6F07"/>
    <w:rsid w:val="001E0002"/>
    <w:rsid w:val="001E0A44"/>
    <w:rsid w:val="001E162C"/>
    <w:rsid w:val="001E2844"/>
    <w:rsid w:val="001E2B45"/>
    <w:rsid w:val="001E2D8E"/>
    <w:rsid w:val="001E3AA0"/>
    <w:rsid w:val="001E5099"/>
    <w:rsid w:val="001E538E"/>
    <w:rsid w:val="001E5594"/>
    <w:rsid w:val="001E567E"/>
    <w:rsid w:val="001E7488"/>
    <w:rsid w:val="001E7F78"/>
    <w:rsid w:val="001F07E3"/>
    <w:rsid w:val="001F1152"/>
    <w:rsid w:val="001F16A1"/>
    <w:rsid w:val="001F36AD"/>
    <w:rsid w:val="001F3846"/>
    <w:rsid w:val="001F4149"/>
    <w:rsid w:val="001F45E0"/>
    <w:rsid w:val="001F47AE"/>
    <w:rsid w:val="001F4B16"/>
    <w:rsid w:val="001F785E"/>
    <w:rsid w:val="002006C1"/>
    <w:rsid w:val="00200C5F"/>
    <w:rsid w:val="002014AE"/>
    <w:rsid w:val="002014FA"/>
    <w:rsid w:val="00201ED3"/>
    <w:rsid w:val="00203833"/>
    <w:rsid w:val="00203881"/>
    <w:rsid w:val="002038E8"/>
    <w:rsid w:val="00203BD6"/>
    <w:rsid w:val="00204CC8"/>
    <w:rsid w:val="00207500"/>
    <w:rsid w:val="002078B4"/>
    <w:rsid w:val="00210407"/>
    <w:rsid w:val="0021097F"/>
    <w:rsid w:val="002126EE"/>
    <w:rsid w:val="00212F5B"/>
    <w:rsid w:val="0021464C"/>
    <w:rsid w:val="00214C4D"/>
    <w:rsid w:val="0021511B"/>
    <w:rsid w:val="00215325"/>
    <w:rsid w:val="00215EDA"/>
    <w:rsid w:val="002162BF"/>
    <w:rsid w:val="002167B3"/>
    <w:rsid w:val="002210FF"/>
    <w:rsid w:val="002227CE"/>
    <w:rsid w:val="00222BA5"/>
    <w:rsid w:val="002231A3"/>
    <w:rsid w:val="0022329E"/>
    <w:rsid w:val="002233E6"/>
    <w:rsid w:val="00223776"/>
    <w:rsid w:val="002237B5"/>
    <w:rsid w:val="00223AF7"/>
    <w:rsid w:val="00224B71"/>
    <w:rsid w:val="00225838"/>
    <w:rsid w:val="00225D4A"/>
    <w:rsid w:val="00225E53"/>
    <w:rsid w:val="00225EED"/>
    <w:rsid w:val="002265DF"/>
    <w:rsid w:val="00227D11"/>
    <w:rsid w:val="002314F1"/>
    <w:rsid w:val="00231AAB"/>
    <w:rsid w:val="00232420"/>
    <w:rsid w:val="0023247D"/>
    <w:rsid w:val="00232D01"/>
    <w:rsid w:val="00232E59"/>
    <w:rsid w:val="00232F36"/>
    <w:rsid w:val="00233432"/>
    <w:rsid w:val="00233972"/>
    <w:rsid w:val="00233E37"/>
    <w:rsid w:val="002368E0"/>
    <w:rsid w:val="002411E8"/>
    <w:rsid w:val="002424E0"/>
    <w:rsid w:val="002431EF"/>
    <w:rsid w:val="00243B50"/>
    <w:rsid w:val="00243D67"/>
    <w:rsid w:val="00244035"/>
    <w:rsid w:val="002446EE"/>
    <w:rsid w:val="00244CA8"/>
    <w:rsid w:val="00244CED"/>
    <w:rsid w:val="00244F02"/>
    <w:rsid w:val="00245927"/>
    <w:rsid w:val="0024618E"/>
    <w:rsid w:val="00246522"/>
    <w:rsid w:val="00246C42"/>
    <w:rsid w:val="00247CFD"/>
    <w:rsid w:val="00247F4B"/>
    <w:rsid w:val="002503EC"/>
    <w:rsid w:val="0025180F"/>
    <w:rsid w:val="00251B11"/>
    <w:rsid w:val="00252891"/>
    <w:rsid w:val="00252CDB"/>
    <w:rsid w:val="00253D68"/>
    <w:rsid w:val="0025474D"/>
    <w:rsid w:val="00254B23"/>
    <w:rsid w:val="00254DDC"/>
    <w:rsid w:val="00255684"/>
    <w:rsid w:val="002557FF"/>
    <w:rsid w:val="00256557"/>
    <w:rsid w:val="0025783C"/>
    <w:rsid w:val="0026014B"/>
    <w:rsid w:val="002618D5"/>
    <w:rsid w:val="00261AF4"/>
    <w:rsid w:val="002627EB"/>
    <w:rsid w:val="00263919"/>
    <w:rsid w:val="0026563C"/>
    <w:rsid w:val="00265A27"/>
    <w:rsid w:val="00266394"/>
    <w:rsid w:val="00266672"/>
    <w:rsid w:val="00267B7D"/>
    <w:rsid w:val="0027075D"/>
    <w:rsid w:val="00270972"/>
    <w:rsid w:val="0027156B"/>
    <w:rsid w:val="00272CA0"/>
    <w:rsid w:val="0027343B"/>
    <w:rsid w:val="002746FD"/>
    <w:rsid w:val="002749CE"/>
    <w:rsid w:val="00275410"/>
    <w:rsid w:val="0027668F"/>
    <w:rsid w:val="002800D7"/>
    <w:rsid w:val="002809AE"/>
    <w:rsid w:val="00281DAC"/>
    <w:rsid w:val="00281FE1"/>
    <w:rsid w:val="00281FEF"/>
    <w:rsid w:val="00283045"/>
    <w:rsid w:val="00283C00"/>
    <w:rsid w:val="00284ED8"/>
    <w:rsid w:val="00284FB1"/>
    <w:rsid w:val="00285035"/>
    <w:rsid w:val="00285E55"/>
    <w:rsid w:val="002863CB"/>
    <w:rsid w:val="002874EE"/>
    <w:rsid w:val="00287C48"/>
    <w:rsid w:val="00287CA6"/>
    <w:rsid w:val="00287CF6"/>
    <w:rsid w:val="00290CDB"/>
    <w:rsid w:val="00291501"/>
    <w:rsid w:val="0029173A"/>
    <w:rsid w:val="00292638"/>
    <w:rsid w:val="00292C33"/>
    <w:rsid w:val="002932EC"/>
    <w:rsid w:val="00293A44"/>
    <w:rsid w:val="0029403F"/>
    <w:rsid w:val="002952DA"/>
    <w:rsid w:val="0029568C"/>
    <w:rsid w:val="00295EBB"/>
    <w:rsid w:val="0029630D"/>
    <w:rsid w:val="0029764C"/>
    <w:rsid w:val="002A0195"/>
    <w:rsid w:val="002A045C"/>
    <w:rsid w:val="002A063E"/>
    <w:rsid w:val="002A0E89"/>
    <w:rsid w:val="002A1A3D"/>
    <w:rsid w:val="002A1BA1"/>
    <w:rsid w:val="002A1CB9"/>
    <w:rsid w:val="002A1E96"/>
    <w:rsid w:val="002A297C"/>
    <w:rsid w:val="002A36C3"/>
    <w:rsid w:val="002A3DE8"/>
    <w:rsid w:val="002A490E"/>
    <w:rsid w:val="002A4FE2"/>
    <w:rsid w:val="002A5CCA"/>
    <w:rsid w:val="002A5DE7"/>
    <w:rsid w:val="002A5F37"/>
    <w:rsid w:val="002A6EEB"/>
    <w:rsid w:val="002A7CEF"/>
    <w:rsid w:val="002B0295"/>
    <w:rsid w:val="002B1108"/>
    <w:rsid w:val="002B2708"/>
    <w:rsid w:val="002B30B0"/>
    <w:rsid w:val="002B4378"/>
    <w:rsid w:val="002B47DC"/>
    <w:rsid w:val="002B5826"/>
    <w:rsid w:val="002B5947"/>
    <w:rsid w:val="002B6728"/>
    <w:rsid w:val="002B67C0"/>
    <w:rsid w:val="002B769A"/>
    <w:rsid w:val="002C19D5"/>
    <w:rsid w:val="002C4849"/>
    <w:rsid w:val="002C4A51"/>
    <w:rsid w:val="002C5D9F"/>
    <w:rsid w:val="002C6162"/>
    <w:rsid w:val="002C6903"/>
    <w:rsid w:val="002C69E5"/>
    <w:rsid w:val="002C73BF"/>
    <w:rsid w:val="002C7AA4"/>
    <w:rsid w:val="002D0C43"/>
    <w:rsid w:val="002D1095"/>
    <w:rsid w:val="002D1759"/>
    <w:rsid w:val="002D20C1"/>
    <w:rsid w:val="002D2DA5"/>
    <w:rsid w:val="002D3034"/>
    <w:rsid w:val="002D31E7"/>
    <w:rsid w:val="002D37BA"/>
    <w:rsid w:val="002D432F"/>
    <w:rsid w:val="002D4521"/>
    <w:rsid w:val="002D545E"/>
    <w:rsid w:val="002D69F0"/>
    <w:rsid w:val="002D6C48"/>
    <w:rsid w:val="002D7282"/>
    <w:rsid w:val="002E0F80"/>
    <w:rsid w:val="002E17AC"/>
    <w:rsid w:val="002E1BEE"/>
    <w:rsid w:val="002E1CCA"/>
    <w:rsid w:val="002E23BF"/>
    <w:rsid w:val="002E42CA"/>
    <w:rsid w:val="002E5B57"/>
    <w:rsid w:val="002E608F"/>
    <w:rsid w:val="002E6F28"/>
    <w:rsid w:val="002E7817"/>
    <w:rsid w:val="002E7BBC"/>
    <w:rsid w:val="002F2095"/>
    <w:rsid w:val="002F2D66"/>
    <w:rsid w:val="002F2E07"/>
    <w:rsid w:val="002F2E39"/>
    <w:rsid w:val="002F2EBE"/>
    <w:rsid w:val="002F32A2"/>
    <w:rsid w:val="002F4FDA"/>
    <w:rsid w:val="002F5151"/>
    <w:rsid w:val="002F51C1"/>
    <w:rsid w:val="002F5929"/>
    <w:rsid w:val="002F5B42"/>
    <w:rsid w:val="002F5DCC"/>
    <w:rsid w:val="002F6E04"/>
    <w:rsid w:val="002F750E"/>
    <w:rsid w:val="002F7703"/>
    <w:rsid w:val="00300DC6"/>
    <w:rsid w:val="00300DD0"/>
    <w:rsid w:val="00301FE7"/>
    <w:rsid w:val="00302135"/>
    <w:rsid w:val="00302686"/>
    <w:rsid w:val="00302920"/>
    <w:rsid w:val="00302BE1"/>
    <w:rsid w:val="00302C0B"/>
    <w:rsid w:val="003035F0"/>
    <w:rsid w:val="00303B1C"/>
    <w:rsid w:val="003041C8"/>
    <w:rsid w:val="00304207"/>
    <w:rsid w:val="00305476"/>
    <w:rsid w:val="003061FD"/>
    <w:rsid w:val="003105ED"/>
    <w:rsid w:val="00310795"/>
    <w:rsid w:val="00310D9A"/>
    <w:rsid w:val="00311403"/>
    <w:rsid w:val="003118EC"/>
    <w:rsid w:val="00312A89"/>
    <w:rsid w:val="00312EAE"/>
    <w:rsid w:val="00313A68"/>
    <w:rsid w:val="00313A7E"/>
    <w:rsid w:val="00313C3D"/>
    <w:rsid w:val="00314ECF"/>
    <w:rsid w:val="00315E0A"/>
    <w:rsid w:val="003175E7"/>
    <w:rsid w:val="003175F1"/>
    <w:rsid w:val="00317F7F"/>
    <w:rsid w:val="0032069B"/>
    <w:rsid w:val="00320FA6"/>
    <w:rsid w:val="00320FF1"/>
    <w:rsid w:val="00321520"/>
    <w:rsid w:val="003215AF"/>
    <w:rsid w:val="00321A56"/>
    <w:rsid w:val="00321B48"/>
    <w:rsid w:val="00322ADD"/>
    <w:rsid w:val="0032300A"/>
    <w:rsid w:val="00323076"/>
    <w:rsid w:val="0032325D"/>
    <w:rsid w:val="0032378C"/>
    <w:rsid w:val="003241C5"/>
    <w:rsid w:val="00324515"/>
    <w:rsid w:val="00324B53"/>
    <w:rsid w:val="0032505F"/>
    <w:rsid w:val="003272A0"/>
    <w:rsid w:val="00327475"/>
    <w:rsid w:val="00327549"/>
    <w:rsid w:val="00327E40"/>
    <w:rsid w:val="00330D28"/>
    <w:rsid w:val="00330D88"/>
    <w:rsid w:val="00330E0B"/>
    <w:rsid w:val="003321DD"/>
    <w:rsid w:val="003324C1"/>
    <w:rsid w:val="00332501"/>
    <w:rsid w:val="00332943"/>
    <w:rsid w:val="00332C02"/>
    <w:rsid w:val="00334E84"/>
    <w:rsid w:val="00336F95"/>
    <w:rsid w:val="00340215"/>
    <w:rsid w:val="003414BD"/>
    <w:rsid w:val="00343A4A"/>
    <w:rsid w:val="00345F13"/>
    <w:rsid w:val="003463B1"/>
    <w:rsid w:val="00346491"/>
    <w:rsid w:val="00346868"/>
    <w:rsid w:val="003478FE"/>
    <w:rsid w:val="003504B9"/>
    <w:rsid w:val="0035080C"/>
    <w:rsid w:val="00352190"/>
    <w:rsid w:val="003534BB"/>
    <w:rsid w:val="00353B83"/>
    <w:rsid w:val="003553A8"/>
    <w:rsid w:val="00355A8C"/>
    <w:rsid w:val="00355EFB"/>
    <w:rsid w:val="003561E4"/>
    <w:rsid w:val="00356AA2"/>
    <w:rsid w:val="00356F14"/>
    <w:rsid w:val="00356F21"/>
    <w:rsid w:val="00357276"/>
    <w:rsid w:val="00357A28"/>
    <w:rsid w:val="003600DB"/>
    <w:rsid w:val="003614FA"/>
    <w:rsid w:val="00362870"/>
    <w:rsid w:val="00362B2E"/>
    <w:rsid w:val="00363119"/>
    <w:rsid w:val="003631AA"/>
    <w:rsid w:val="003646CB"/>
    <w:rsid w:val="00366965"/>
    <w:rsid w:val="00366A46"/>
    <w:rsid w:val="00366B2E"/>
    <w:rsid w:val="00366C4B"/>
    <w:rsid w:val="003671BC"/>
    <w:rsid w:val="003705A3"/>
    <w:rsid w:val="00370EA5"/>
    <w:rsid w:val="00370EDB"/>
    <w:rsid w:val="00371971"/>
    <w:rsid w:val="00371E54"/>
    <w:rsid w:val="0037274D"/>
    <w:rsid w:val="00372D75"/>
    <w:rsid w:val="00374224"/>
    <w:rsid w:val="00375235"/>
    <w:rsid w:val="0037576D"/>
    <w:rsid w:val="00375C0E"/>
    <w:rsid w:val="003774AB"/>
    <w:rsid w:val="00377D97"/>
    <w:rsid w:val="00380A39"/>
    <w:rsid w:val="00380C96"/>
    <w:rsid w:val="00381AB2"/>
    <w:rsid w:val="0038202E"/>
    <w:rsid w:val="003824BD"/>
    <w:rsid w:val="0038302E"/>
    <w:rsid w:val="00384B74"/>
    <w:rsid w:val="0038523F"/>
    <w:rsid w:val="003852D1"/>
    <w:rsid w:val="00386540"/>
    <w:rsid w:val="00386787"/>
    <w:rsid w:val="00386A4E"/>
    <w:rsid w:val="00387118"/>
    <w:rsid w:val="003879B6"/>
    <w:rsid w:val="00391AB3"/>
    <w:rsid w:val="00391C3D"/>
    <w:rsid w:val="00391E5D"/>
    <w:rsid w:val="00392353"/>
    <w:rsid w:val="00392565"/>
    <w:rsid w:val="00392B62"/>
    <w:rsid w:val="00392E3B"/>
    <w:rsid w:val="00394AFD"/>
    <w:rsid w:val="00395DAE"/>
    <w:rsid w:val="00395FD4"/>
    <w:rsid w:val="00396A31"/>
    <w:rsid w:val="00396E4E"/>
    <w:rsid w:val="00397C90"/>
    <w:rsid w:val="00397FB8"/>
    <w:rsid w:val="003A2057"/>
    <w:rsid w:val="003A2547"/>
    <w:rsid w:val="003A2AC4"/>
    <w:rsid w:val="003A3335"/>
    <w:rsid w:val="003A344E"/>
    <w:rsid w:val="003A40BC"/>
    <w:rsid w:val="003A4122"/>
    <w:rsid w:val="003A449E"/>
    <w:rsid w:val="003A44F5"/>
    <w:rsid w:val="003A4583"/>
    <w:rsid w:val="003A4A96"/>
    <w:rsid w:val="003A5A5F"/>
    <w:rsid w:val="003A619C"/>
    <w:rsid w:val="003A73C1"/>
    <w:rsid w:val="003A7F15"/>
    <w:rsid w:val="003B019D"/>
    <w:rsid w:val="003B01BE"/>
    <w:rsid w:val="003B038B"/>
    <w:rsid w:val="003B0F28"/>
    <w:rsid w:val="003B27A5"/>
    <w:rsid w:val="003B2A99"/>
    <w:rsid w:val="003B3A6B"/>
    <w:rsid w:val="003B4486"/>
    <w:rsid w:val="003B510B"/>
    <w:rsid w:val="003B5435"/>
    <w:rsid w:val="003B5C33"/>
    <w:rsid w:val="003B6E18"/>
    <w:rsid w:val="003B759C"/>
    <w:rsid w:val="003B75B5"/>
    <w:rsid w:val="003B766F"/>
    <w:rsid w:val="003B79DB"/>
    <w:rsid w:val="003C0518"/>
    <w:rsid w:val="003C07A0"/>
    <w:rsid w:val="003C0891"/>
    <w:rsid w:val="003C0BC6"/>
    <w:rsid w:val="003C10D6"/>
    <w:rsid w:val="003C2C5C"/>
    <w:rsid w:val="003C2E6A"/>
    <w:rsid w:val="003C307E"/>
    <w:rsid w:val="003C3B91"/>
    <w:rsid w:val="003C4232"/>
    <w:rsid w:val="003C50D6"/>
    <w:rsid w:val="003C5F1A"/>
    <w:rsid w:val="003C6798"/>
    <w:rsid w:val="003C6933"/>
    <w:rsid w:val="003C6F3A"/>
    <w:rsid w:val="003C7B9A"/>
    <w:rsid w:val="003C7D26"/>
    <w:rsid w:val="003D0302"/>
    <w:rsid w:val="003D0C04"/>
    <w:rsid w:val="003D1759"/>
    <w:rsid w:val="003D2042"/>
    <w:rsid w:val="003D21F2"/>
    <w:rsid w:val="003D41C8"/>
    <w:rsid w:val="003D439B"/>
    <w:rsid w:val="003D43D1"/>
    <w:rsid w:val="003D54F0"/>
    <w:rsid w:val="003D67A2"/>
    <w:rsid w:val="003D6CCB"/>
    <w:rsid w:val="003D7DFC"/>
    <w:rsid w:val="003E02B4"/>
    <w:rsid w:val="003E06A0"/>
    <w:rsid w:val="003E076C"/>
    <w:rsid w:val="003E0B97"/>
    <w:rsid w:val="003E1006"/>
    <w:rsid w:val="003E1319"/>
    <w:rsid w:val="003E26AF"/>
    <w:rsid w:val="003E2FDB"/>
    <w:rsid w:val="003E3706"/>
    <w:rsid w:val="003E413B"/>
    <w:rsid w:val="003E4DDB"/>
    <w:rsid w:val="003E52AD"/>
    <w:rsid w:val="003E539D"/>
    <w:rsid w:val="003E5B6D"/>
    <w:rsid w:val="003E5C5E"/>
    <w:rsid w:val="003E5D13"/>
    <w:rsid w:val="003E6FA6"/>
    <w:rsid w:val="003F0C96"/>
    <w:rsid w:val="003F12D7"/>
    <w:rsid w:val="003F1811"/>
    <w:rsid w:val="003F19CF"/>
    <w:rsid w:val="003F1D97"/>
    <w:rsid w:val="003F2697"/>
    <w:rsid w:val="003F2B18"/>
    <w:rsid w:val="003F2DE9"/>
    <w:rsid w:val="003F309D"/>
    <w:rsid w:val="003F3530"/>
    <w:rsid w:val="003F3A23"/>
    <w:rsid w:val="003F415C"/>
    <w:rsid w:val="003F45BD"/>
    <w:rsid w:val="003F4771"/>
    <w:rsid w:val="003F4A5E"/>
    <w:rsid w:val="003F5222"/>
    <w:rsid w:val="003F6808"/>
    <w:rsid w:val="003F6B92"/>
    <w:rsid w:val="003F74BE"/>
    <w:rsid w:val="003F7D86"/>
    <w:rsid w:val="003F7DE1"/>
    <w:rsid w:val="00400E29"/>
    <w:rsid w:val="00401C11"/>
    <w:rsid w:val="00401C1C"/>
    <w:rsid w:val="00402674"/>
    <w:rsid w:val="00403544"/>
    <w:rsid w:val="00404DC9"/>
    <w:rsid w:val="004072C6"/>
    <w:rsid w:val="0040732F"/>
    <w:rsid w:val="00407888"/>
    <w:rsid w:val="00410CA0"/>
    <w:rsid w:val="004126F3"/>
    <w:rsid w:val="00412A97"/>
    <w:rsid w:val="00412AA7"/>
    <w:rsid w:val="0041455A"/>
    <w:rsid w:val="00414D4D"/>
    <w:rsid w:val="004168C9"/>
    <w:rsid w:val="00420045"/>
    <w:rsid w:val="00420F79"/>
    <w:rsid w:val="00421E66"/>
    <w:rsid w:val="00423640"/>
    <w:rsid w:val="00423857"/>
    <w:rsid w:val="00423C66"/>
    <w:rsid w:val="00423D2C"/>
    <w:rsid w:val="00423DE5"/>
    <w:rsid w:val="0042436B"/>
    <w:rsid w:val="00424D01"/>
    <w:rsid w:val="00424D86"/>
    <w:rsid w:val="0042520C"/>
    <w:rsid w:val="00425F81"/>
    <w:rsid w:val="00426304"/>
    <w:rsid w:val="00426328"/>
    <w:rsid w:val="00427177"/>
    <w:rsid w:val="00427909"/>
    <w:rsid w:val="00427F1C"/>
    <w:rsid w:val="004300DE"/>
    <w:rsid w:val="004304BD"/>
    <w:rsid w:val="00430BD6"/>
    <w:rsid w:val="00430C92"/>
    <w:rsid w:val="00430F0F"/>
    <w:rsid w:val="00431F7D"/>
    <w:rsid w:val="00433C6C"/>
    <w:rsid w:val="0043584D"/>
    <w:rsid w:val="00435F2D"/>
    <w:rsid w:val="00436571"/>
    <w:rsid w:val="00436F53"/>
    <w:rsid w:val="00441FA8"/>
    <w:rsid w:val="00442AFC"/>
    <w:rsid w:val="00442D5A"/>
    <w:rsid w:val="00443184"/>
    <w:rsid w:val="00443640"/>
    <w:rsid w:val="00443A2F"/>
    <w:rsid w:val="00443F44"/>
    <w:rsid w:val="00444340"/>
    <w:rsid w:val="004446B9"/>
    <w:rsid w:val="004462E3"/>
    <w:rsid w:val="00446A22"/>
    <w:rsid w:val="00451499"/>
    <w:rsid w:val="0045165B"/>
    <w:rsid w:val="00453F59"/>
    <w:rsid w:val="004545E4"/>
    <w:rsid w:val="0045477D"/>
    <w:rsid w:val="00454A77"/>
    <w:rsid w:val="00454E25"/>
    <w:rsid w:val="00455558"/>
    <w:rsid w:val="00456BBA"/>
    <w:rsid w:val="00456ED2"/>
    <w:rsid w:val="00457D3E"/>
    <w:rsid w:val="004619D0"/>
    <w:rsid w:val="00462730"/>
    <w:rsid w:val="00462A79"/>
    <w:rsid w:val="00462AB9"/>
    <w:rsid w:val="0046517F"/>
    <w:rsid w:val="00465A56"/>
    <w:rsid w:val="004666AD"/>
    <w:rsid w:val="00467398"/>
    <w:rsid w:val="004675F4"/>
    <w:rsid w:val="0047009E"/>
    <w:rsid w:val="00470E98"/>
    <w:rsid w:val="00472015"/>
    <w:rsid w:val="004723E8"/>
    <w:rsid w:val="004743F7"/>
    <w:rsid w:val="00475197"/>
    <w:rsid w:val="004752D8"/>
    <w:rsid w:val="004756B7"/>
    <w:rsid w:val="00475BFD"/>
    <w:rsid w:val="00477A95"/>
    <w:rsid w:val="00480BC6"/>
    <w:rsid w:val="00481197"/>
    <w:rsid w:val="004819D2"/>
    <w:rsid w:val="00481F1C"/>
    <w:rsid w:val="00483409"/>
    <w:rsid w:val="004849BC"/>
    <w:rsid w:val="0048547E"/>
    <w:rsid w:val="004854C9"/>
    <w:rsid w:val="00485A03"/>
    <w:rsid w:val="004879A0"/>
    <w:rsid w:val="004900AF"/>
    <w:rsid w:val="0049041E"/>
    <w:rsid w:val="00490C7A"/>
    <w:rsid w:val="00490D96"/>
    <w:rsid w:val="00490E11"/>
    <w:rsid w:val="00491965"/>
    <w:rsid w:val="00492E6B"/>
    <w:rsid w:val="004932AD"/>
    <w:rsid w:val="004937C6"/>
    <w:rsid w:val="00495232"/>
    <w:rsid w:val="00495618"/>
    <w:rsid w:val="00495889"/>
    <w:rsid w:val="00495B56"/>
    <w:rsid w:val="00496049"/>
    <w:rsid w:val="004A003C"/>
    <w:rsid w:val="004A0BF6"/>
    <w:rsid w:val="004A11EB"/>
    <w:rsid w:val="004A12BA"/>
    <w:rsid w:val="004A1EFF"/>
    <w:rsid w:val="004A217F"/>
    <w:rsid w:val="004A2297"/>
    <w:rsid w:val="004A2402"/>
    <w:rsid w:val="004A2C28"/>
    <w:rsid w:val="004A32CD"/>
    <w:rsid w:val="004A3A61"/>
    <w:rsid w:val="004A3CA4"/>
    <w:rsid w:val="004A40F8"/>
    <w:rsid w:val="004A5086"/>
    <w:rsid w:val="004A6276"/>
    <w:rsid w:val="004A7851"/>
    <w:rsid w:val="004A7F5D"/>
    <w:rsid w:val="004B086E"/>
    <w:rsid w:val="004B0C4E"/>
    <w:rsid w:val="004B0C6B"/>
    <w:rsid w:val="004B16D0"/>
    <w:rsid w:val="004B206F"/>
    <w:rsid w:val="004B2DEB"/>
    <w:rsid w:val="004B3574"/>
    <w:rsid w:val="004B4699"/>
    <w:rsid w:val="004B4A2E"/>
    <w:rsid w:val="004B4CEA"/>
    <w:rsid w:val="004B5787"/>
    <w:rsid w:val="004B63F9"/>
    <w:rsid w:val="004B66E0"/>
    <w:rsid w:val="004B792D"/>
    <w:rsid w:val="004C054A"/>
    <w:rsid w:val="004C125C"/>
    <w:rsid w:val="004C33A1"/>
    <w:rsid w:val="004C4AEE"/>
    <w:rsid w:val="004C4BA9"/>
    <w:rsid w:val="004C4EEF"/>
    <w:rsid w:val="004C520A"/>
    <w:rsid w:val="004C5DB3"/>
    <w:rsid w:val="004C66E0"/>
    <w:rsid w:val="004C7A06"/>
    <w:rsid w:val="004D0D3B"/>
    <w:rsid w:val="004D1EC8"/>
    <w:rsid w:val="004D235A"/>
    <w:rsid w:val="004D32B9"/>
    <w:rsid w:val="004D4013"/>
    <w:rsid w:val="004D428E"/>
    <w:rsid w:val="004D44E7"/>
    <w:rsid w:val="004D5A25"/>
    <w:rsid w:val="004D5EAA"/>
    <w:rsid w:val="004D71FC"/>
    <w:rsid w:val="004E1BA9"/>
    <w:rsid w:val="004E2B55"/>
    <w:rsid w:val="004E3978"/>
    <w:rsid w:val="004E7A88"/>
    <w:rsid w:val="004F2349"/>
    <w:rsid w:val="004F32ED"/>
    <w:rsid w:val="004F37C2"/>
    <w:rsid w:val="004F3B6E"/>
    <w:rsid w:val="004F427C"/>
    <w:rsid w:val="004F4C9D"/>
    <w:rsid w:val="004F5B9F"/>
    <w:rsid w:val="004F5FBF"/>
    <w:rsid w:val="004F6190"/>
    <w:rsid w:val="004F63EA"/>
    <w:rsid w:val="004F6BF5"/>
    <w:rsid w:val="004F71FE"/>
    <w:rsid w:val="004F7324"/>
    <w:rsid w:val="00500283"/>
    <w:rsid w:val="00500E61"/>
    <w:rsid w:val="00502423"/>
    <w:rsid w:val="005033C2"/>
    <w:rsid w:val="00506822"/>
    <w:rsid w:val="005069B1"/>
    <w:rsid w:val="00506C44"/>
    <w:rsid w:val="005073F1"/>
    <w:rsid w:val="0051011F"/>
    <w:rsid w:val="005114C0"/>
    <w:rsid w:val="00511F7B"/>
    <w:rsid w:val="00512290"/>
    <w:rsid w:val="00514300"/>
    <w:rsid w:val="00514EDF"/>
    <w:rsid w:val="00515374"/>
    <w:rsid w:val="00515CA8"/>
    <w:rsid w:val="005164F3"/>
    <w:rsid w:val="00516AF9"/>
    <w:rsid w:val="00520C8A"/>
    <w:rsid w:val="00521875"/>
    <w:rsid w:val="00521D8D"/>
    <w:rsid w:val="00523387"/>
    <w:rsid w:val="005255B4"/>
    <w:rsid w:val="005264A0"/>
    <w:rsid w:val="00526A22"/>
    <w:rsid w:val="00526B00"/>
    <w:rsid w:val="005277E8"/>
    <w:rsid w:val="0052795F"/>
    <w:rsid w:val="00527A3A"/>
    <w:rsid w:val="00530000"/>
    <w:rsid w:val="00530846"/>
    <w:rsid w:val="005311CD"/>
    <w:rsid w:val="00531207"/>
    <w:rsid w:val="00531870"/>
    <w:rsid w:val="00532426"/>
    <w:rsid w:val="00533143"/>
    <w:rsid w:val="005335B4"/>
    <w:rsid w:val="0053371A"/>
    <w:rsid w:val="005337B1"/>
    <w:rsid w:val="005340FF"/>
    <w:rsid w:val="00534273"/>
    <w:rsid w:val="00534398"/>
    <w:rsid w:val="005344F5"/>
    <w:rsid w:val="0053576A"/>
    <w:rsid w:val="005369F6"/>
    <w:rsid w:val="005372EC"/>
    <w:rsid w:val="005379B7"/>
    <w:rsid w:val="0054073F"/>
    <w:rsid w:val="00542550"/>
    <w:rsid w:val="00543157"/>
    <w:rsid w:val="005435DA"/>
    <w:rsid w:val="0054399A"/>
    <w:rsid w:val="00543B2D"/>
    <w:rsid w:val="0054463C"/>
    <w:rsid w:val="00545458"/>
    <w:rsid w:val="00546486"/>
    <w:rsid w:val="00546914"/>
    <w:rsid w:val="00547313"/>
    <w:rsid w:val="00547935"/>
    <w:rsid w:val="00547A15"/>
    <w:rsid w:val="005506C6"/>
    <w:rsid w:val="00550AB4"/>
    <w:rsid w:val="0055100C"/>
    <w:rsid w:val="005516F8"/>
    <w:rsid w:val="00552038"/>
    <w:rsid w:val="00552DC3"/>
    <w:rsid w:val="00553419"/>
    <w:rsid w:val="00553EE3"/>
    <w:rsid w:val="00553F22"/>
    <w:rsid w:val="00554312"/>
    <w:rsid w:val="00554A70"/>
    <w:rsid w:val="00555A3C"/>
    <w:rsid w:val="00555E51"/>
    <w:rsid w:val="0055798E"/>
    <w:rsid w:val="005579DD"/>
    <w:rsid w:val="00560B27"/>
    <w:rsid w:val="00560DAC"/>
    <w:rsid w:val="0056153F"/>
    <w:rsid w:val="0056209D"/>
    <w:rsid w:val="005629AE"/>
    <w:rsid w:val="00562B17"/>
    <w:rsid w:val="00562C7E"/>
    <w:rsid w:val="00564656"/>
    <w:rsid w:val="00564EB6"/>
    <w:rsid w:val="00565B67"/>
    <w:rsid w:val="00567046"/>
    <w:rsid w:val="00567190"/>
    <w:rsid w:val="0056772A"/>
    <w:rsid w:val="005711FF"/>
    <w:rsid w:val="005716E2"/>
    <w:rsid w:val="00572829"/>
    <w:rsid w:val="00572872"/>
    <w:rsid w:val="00572B86"/>
    <w:rsid w:val="00573730"/>
    <w:rsid w:val="0057469E"/>
    <w:rsid w:val="00574E5F"/>
    <w:rsid w:val="005754BA"/>
    <w:rsid w:val="00576CC3"/>
    <w:rsid w:val="00576DF5"/>
    <w:rsid w:val="005772B7"/>
    <w:rsid w:val="00577A03"/>
    <w:rsid w:val="00577B09"/>
    <w:rsid w:val="00577DE9"/>
    <w:rsid w:val="005801DA"/>
    <w:rsid w:val="0058045F"/>
    <w:rsid w:val="005805A5"/>
    <w:rsid w:val="00580ABD"/>
    <w:rsid w:val="00580BAC"/>
    <w:rsid w:val="00581D93"/>
    <w:rsid w:val="00582417"/>
    <w:rsid w:val="005836A7"/>
    <w:rsid w:val="00583B2B"/>
    <w:rsid w:val="00583BB0"/>
    <w:rsid w:val="00584E00"/>
    <w:rsid w:val="005855BB"/>
    <w:rsid w:val="0058564C"/>
    <w:rsid w:val="0058713B"/>
    <w:rsid w:val="00587544"/>
    <w:rsid w:val="00587800"/>
    <w:rsid w:val="00587E9E"/>
    <w:rsid w:val="00590065"/>
    <w:rsid w:val="005907F1"/>
    <w:rsid w:val="0059127B"/>
    <w:rsid w:val="00591E17"/>
    <w:rsid w:val="00591E86"/>
    <w:rsid w:val="00593F3C"/>
    <w:rsid w:val="00594C2C"/>
    <w:rsid w:val="00594E05"/>
    <w:rsid w:val="0059521C"/>
    <w:rsid w:val="005969C9"/>
    <w:rsid w:val="00597373"/>
    <w:rsid w:val="005A00F2"/>
    <w:rsid w:val="005A143E"/>
    <w:rsid w:val="005A361E"/>
    <w:rsid w:val="005A3752"/>
    <w:rsid w:val="005A404A"/>
    <w:rsid w:val="005A439C"/>
    <w:rsid w:val="005A5320"/>
    <w:rsid w:val="005A5336"/>
    <w:rsid w:val="005A6ADD"/>
    <w:rsid w:val="005A6B32"/>
    <w:rsid w:val="005A6D7D"/>
    <w:rsid w:val="005A7130"/>
    <w:rsid w:val="005A718E"/>
    <w:rsid w:val="005A79E1"/>
    <w:rsid w:val="005B0152"/>
    <w:rsid w:val="005B047B"/>
    <w:rsid w:val="005B077F"/>
    <w:rsid w:val="005B0CC8"/>
    <w:rsid w:val="005B0E8C"/>
    <w:rsid w:val="005B19DF"/>
    <w:rsid w:val="005B1A9C"/>
    <w:rsid w:val="005B1B66"/>
    <w:rsid w:val="005B1EFA"/>
    <w:rsid w:val="005B29D4"/>
    <w:rsid w:val="005B2E81"/>
    <w:rsid w:val="005B3044"/>
    <w:rsid w:val="005B30E0"/>
    <w:rsid w:val="005B593B"/>
    <w:rsid w:val="005B5E2B"/>
    <w:rsid w:val="005B6909"/>
    <w:rsid w:val="005B7367"/>
    <w:rsid w:val="005C00A3"/>
    <w:rsid w:val="005C1FC8"/>
    <w:rsid w:val="005C2FBF"/>
    <w:rsid w:val="005C3605"/>
    <w:rsid w:val="005C3E08"/>
    <w:rsid w:val="005C4D24"/>
    <w:rsid w:val="005C66FB"/>
    <w:rsid w:val="005C6E43"/>
    <w:rsid w:val="005C7652"/>
    <w:rsid w:val="005C77D9"/>
    <w:rsid w:val="005C78B7"/>
    <w:rsid w:val="005D0E44"/>
    <w:rsid w:val="005D1556"/>
    <w:rsid w:val="005D2497"/>
    <w:rsid w:val="005D4504"/>
    <w:rsid w:val="005D4725"/>
    <w:rsid w:val="005D4B0C"/>
    <w:rsid w:val="005D5C98"/>
    <w:rsid w:val="005D6677"/>
    <w:rsid w:val="005D69FE"/>
    <w:rsid w:val="005D75FE"/>
    <w:rsid w:val="005E054D"/>
    <w:rsid w:val="005E05CC"/>
    <w:rsid w:val="005E0E7C"/>
    <w:rsid w:val="005E10A6"/>
    <w:rsid w:val="005E1B34"/>
    <w:rsid w:val="005E413D"/>
    <w:rsid w:val="005E514A"/>
    <w:rsid w:val="005E550F"/>
    <w:rsid w:val="005E599C"/>
    <w:rsid w:val="005E600D"/>
    <w:rsid w:val="005E6057"/>
    <w:rsid w:val="005E6A2B"/>
    <w:rsid w:val="005E7E49"/>
    <w:rsid w:val="005F05A7"/>
    <w:rsid w:val="005F17CE"/>
    <w:rsid w:val="005F27CC"/>
    <w:rsid w:val="005F35B7"/>
    <w:rsid w:val="005F3A69"/>
    <w:rsid w:val="005F3A6A"/>
    <w:rsid w:val="005F3BD0"/>
    <w:rsid w:val="005F3F4D"/>
    <w:rsid w:val="005F4037"/>
    <w:rsid w:val="005F5B86"/>
    <w:rsid w:val="005F65B3"/>
    <w:rsid w:val="005F661F"/>
    <w:rsid w:val="005F67D4"/>
    <w:rsid w:val="005F68A9"/>
    <w:rsid w:val="005F72A6"/>
    <w:rsid w:val="005F7960"/>
    <w:rsid w:val="005F7B09"/>
    <w:rsid w:val="00600F6A"/>
    <w:rsid w:val="0060146D"/>
    <w:rsid w:val="00602C23"/>
    <w:rsid w:val="00602D41"/>
    <w:rsid w:val="00602E0B"/>
    <w:rsid w:val="00602FD9"/>
    <w:rsid w:val="00603583"/>
    <w:rsid w:val="006039D1"/>
    <w:rsid w:val="006041F5"/>
    <w:rsid w:val="00606EF6"/>
    <w:rsid w:val="00607052"/>
    <w:rsid w:val="0060748C"/>
    <w:rsid w:val="0060752C"/>
    <w:rsid w:val="00607E52"/>
    <w:rsid w:val="00610049"/>
    <w:rsid w:val="00610F5A"/>
    <w:rsid w:val="00611FB5"/>
    <w:rsid w:val="006131DC"/>
    <w:rsid w:val="0061377D"/>
    <w:rsid w:val="006138E4"/>
    <w:rsid w:val="00614A9B"/>
    <w:rsid w:val="00615194"/>
    <w:rsid w:val="00615412"/>
    <w:rsid w:val="00615979"/>
    <w:rsid w:val="00615D52"/>
    <w:rsid w:val="006168AE"/>
    <w:rsid w:val="00616D03"/>
    <w:rsid w:val="00616EA0"/>
    <w:rsid w:val="00616FAA"/>
    <w:rsid w:val="0061775F"/>
    <w:rsid w:val="00617AC6"/>
    <w:rsid w:val="00617D1D"/>
    <w:rsid w:val="00617D49"/>
    <w:rsid w:val="00617DE3"/>
    <w:rsid w:val="00621AA8"/>
    <w:rsid w:val="006220A5"/>
    <w:rsid w:val="0062318F"/>
    <w:rsid w:val="00623855"/>
    <w:rsid w:val="006239BC"/>
    <w:rsid w:val="00623CB7"/>
    <w:rsid w:val="00625447"/>
    <w:rsid w:val="006254F9"/>
    <w:rsid w:val="00625611"/>
    <w:rsid w:val="0062663B"/>
    <w:rsid w:val="00626D7E"/>
    <w:rsid w:val="006279AD"/>
    <w:rsid w:val="00631227"/>
    <w:rsid w:val="00631A7D"/>
    <w:rsid w:val="00631F15"/>
    <w:rsid w:val="006326DA"/>
    <w:rsid w:val="00633161"/>
    <w:rsid w:val="006335FE"/>
    <w:rsid w:val="00634888"/>
    <w:rsid w:val="00634E50"/>
    <w:rsid w:val="006351B0"/>
    <w:rsid w:val="00635B45"/>
    <w:rsid w:val="00635BA4"/>
    <w:rsid w:val="00635E05"/>
    <w:rsid w:val="00635FA7"/>
    <w:rsid w:val="0063611E"/>
    <w:rsid w:val="006362D9"/>
    <w:rsid w:val="00637316"/>
    <w:rsid w:val="0063734B"/>
    <w:rsid w:val="006402A0"/>
    <w:rsid w:val="00640B5B"/>
    <w:rsid w:val="006421F8"/>
    <w:rsid w:val="006428E2"/>
    <w:rsid w:val="00642B60"/>
    <w:rsid w:val="00643096"/>
    <w:rsid w:val="006437B9"/>
    <w:rsid w:val="00644683"/>
    <w:rsid w:val="00644E0D"/>
    <w:rsid w:val="00646855"/>
    <w:rsid w:val="00646E7B"/>
    <w:rsid w:val="00647574"/>
    <w:rsid w:val="006501CE"/>
    <w:rsid w:val="0065039D"/>
    <w:rsid w:val="006523FA"/>
    <w:rsid w:val="0065261F"/>
    <w:rsid w:val="00652CD7"/>
    <w:rsid w:val="006537A0"/>
    <w:rsid w:val="00653924"/>
    <w:rsid w:val="00653BC3"/>
    <w:rsid w:val="00653E45"/>
    <w:rsid w:val="0065405D"/>
    <w:rsid w:val="00654911"/>
    <w:rsid w:val="00655871"/>
    <w:rsid w:val="00655CB2"/>
    <w:rsid w:val="006560E3"/>
    <w:rsid w:val="00656EA5"/>
    <w:rsid w:val="00656F43"/>
    <w:rsid w:val="0066169E"/>
    <w:rsid w:val="00661F0E"/>
    <w:rsid w:val="00661F71"/>
    <w:rsid w:val="00663311"/>
    <w:rsid w:val="00663514"/>
    <w:rsid w:val="00665908"/>
    <w:rsid w:val="00666250"/>
    <w:rsid w:val="00666A8C"/>
    <w:rsid w:val="006670B7"/>
    <w:rsid w:val="00667332"/>
    <w:rsid w:val="00670190"/>
    <w:rsid w:val="0067035F"/>
    <w:rsid w:val="006714F6"/>
    <w:rsid w:val="00671638"/>
    <w:rsid w:val="00671725"/>
    <w:rsid w:val="00671CFF"/>
    <w:rsid w:val="00673B51"/>
    <w:rsid w:val="006745EA"/>
    <w:rsid w:val="00675224"/>
    <w:rsid w:val="006764D4"/>
    <w:rsid w:val="00676827"/>
    <w:rsid w:val="00676ACD"/>
    <w:rsid w:val="00676E07"/>
    <w:rsid w:val="00677C39"/>
    <w:rsid w:val="00677EAE"/>
    <w:rsid w:val="0068135F"/>
    <w:rsid w:val="00682775"/>
    <w:rsid w:val="00682815"/>
    <w:rsid w:val="00683283"/>
    <w:rsid w:val="0068354E"/>
    <w:rsid w:val="00683B43"/>
    <w:rsid w:val="00683F9C"/>
    <w:rsid w:val="00684951"/>
    <w:rsid w:val="00684C20"/>
    <w:rsid w:val="00684F0B"/>
    <w:rsid w:val="0068566C"/>
    <w:rsid w:val="00685AC3"/>
    <w:rsid w:val="00685CCB"/>
    <w:rsid w:val="006874D1"/>
    <w:rsid w:val="00690420"/>
    <w:rsid w:val="0069083D"/>
    <w:rsid w:val="00690DDF"/>
    <w:rsid w:val="00690F1C"/>
    <w:rsid w:val="006913B1"/>
    <w:rsid w:val="006920BD"/>
    <w:rsid w:val="006920FA"/>
    <w:rsid w:val="00692772"/>
    <w:rsid w:val="00692899"/>
    <w:rsid w:val="00692C71"/>
    <w:rsid w:val="00693C08"/>
    <w:rsid w:val="00694271"/>
    <w:rsid w:val="00694B7F"/>
    <w:rsid w:val="006955D3"/>
    <w:rsid w:val="0069593A"/>
    <w:rsid w:val="006959D4"/>
    <w:rsid w:val="006961B9"/>
    <w:rsid w:val="00696F02"/>
    <w:rsid w:val="00697E1F"/>
    <w:rsid w:val="006A0912"/>
    <w:rsid w:val="006A0972"/>
    <w:rsid w:val="006A231D"/>
    <w:rsid w:val="006A2592"/>
    <w:rsid w:val="006A263B"/>
    <w:rsid w:val="006A2855"/>
    <w:rsid w:val="006A424C"/>
    <w:rsid w:val="006A4B31"/>
    <w:rsid w:val="006A4F07"/>
    <w:rsid w:val="006A595E"/>
    <w:rsid w:val="006A5A4F"/>
    <w:rsid w:val="006A6B6A"/>
    <w:rsid w:val="006A72CB"/>
    <w:rsid w:val="006A757C"/>
    <w:rsid w:val="006A765C"/>
    <w:rsid w:val="006A77A2"/>
    <w:rsid w:val="006B05EC"/>
    <w:rsid w:val="006B0668"/>
    <w:rsid w:val="006B0FC9"/>
    <w:rsid w:val="006B10E6"/>
    <w:rsid w:val="006B124C"/>
    <w:rsid w:val="006B2C1F"/>
    <w:rsid w:val="006B3F92"/>
    <w:rsid w:val="006B623E"/>
    <w:rsid w:val="006B6633"/>
    <w:rsid w:val="006B6748"/>
    <w:rsid w:val="006B6F66"/>
    <w:rsid w:val="006B7211"/>
    <w:rsid w:val="006B724A"/>
    <w:rsid w:val="006C061B"/>
    <w:rsid w:val="006C1C09"/>
    <w:rsid w:val="006C20F8"/>
    <w:rsid w:val="006C2563"/>
    <w:rsid w:val="006C3CD5"/>
    <w:rsid w:val="006C3F83"/>
    <w:rsid w:val="006C6557"/>
    <w:rsid w:val="006C7598"/>
    <w:rsid w:val="006C778A"/>
    <w:rsid w:val="006D038B"/>
    <w:rsid w:val="006D18C1"/>
    <w:rsid w:val="006D18D4"/>
    <w:rsid w:val="006D278A"/>
    <w:rsid w:val="006D7270"/>
    <w:rsid w:val="006D73EC"/>
    <w:rsid w:val="006D79AA"/>
    <w:rsid w:val="006D7DBA"/>
    <w:rsid w:val="006E01EB"/>
    <w:rsid w:val="006E0354"/>
    <w:rsid w:val="006E04D1"/>
    <w:rsid w:val="006E05B8"/>
    <w:rsid w:val="006E187A"/>
    <w:rsid w:val="006E2028"/>
    <w:rsid w:val="006E340E"/>
    <w:rsid w:val="006E4668"/>
    <w:rsid w:val="006E5015"/>
    <w:rsid w:val="006E5F5B"/>
    <w:rsid w:val="006E6A82"/>
    <w:rsid w:val="006F09BF"/>
    <w:rsid w:val="006F0B9F"/>
    <w:rsid w:val="006F0E6F"/>
    <w:rsid w:val="006F15CA"/>
    <w:rsid w:val="006F25E7"/>
    <w:rsid w:val="006F3593"/>
    <w:rsid w:val="006F3B38"/>
    <w:rsid w:val="006F3E06"/>
    <w:rsid w:val="006F3F0E"/>
    <w:rsid w:val="006F45F8"/>
    <w:rsid w:val="006F4B15"/>
    <w:rsid w:val="006F4CE4"/>
    <w:rsid w:val="006F54E5"/>
    <w:rsid w:val="006F5B09"/>
    <w:rsid w:val="006F6174"/>
    <w:rsid w:val="006F6C79"/>
    <w:rsid w:val="006F7110"/>
    <w:rsid w:val="006F75D4"/>
    <w:rsid w:val="006F7BB6"/>
    <w:rsid w:val="007014B0"/>
    <w:rsid w:val="00702694"/>
    <w:rsid w:val="00705476"/>
    <w:rsid w:val="007063FA"/>
    <w:rsid w:val="0070688F"/>
    <w:rsid w:val="0070732F"/>
    <w:rsid w:val="00707666"/>
    <w:rsid w:val="007077D4"/>
    <w:rsid w:val="00707F31"/>
    <w:rsid w:val="00710A06"/>
    <w:rsid w:val="00712488"/>
    <w:rsid w:val="00712561"/>
    <w:rsid w:val="00713C16"/>
    <w:rsid w:val="00713F4D"/>
    <w:rsid w:val="00714D3D"/>
    <w:rsid w:val="00715312"/>
    <w:rsid w:val="007169DD"/>
    <w:rsid w:val="00720295"/>
    <w:rsid w:val="00720882"/>
    <w:rsid w:val="00721FAD"/>
    <w:rsid w:val="0072392C"/>
    <w:rsid w:val="00723F9A"/>
    <w:rsid w:val="00724047"/>
    <w:rsid w:val="007244C1"/>
    <w:rsid w:val="00726A1F"/>
    <w:rsid w:val="00727993"/>
    <w:rsid w:val="00727D50"/>
    <w:rsid w:val="00727E37"/>
    <w:rsid w:val="00727F04"/>
    <w:rsid w:val="007302B0"/>
    <w:rsid w:val="00730794"/>
    <w:rsid w:val="007309F5"/>
    <w:rsid w:val="00730E52"/>
    <w:rsid w:val="00731352"/>
    <w:rsid w:val="00731E03"/>
    <w:rsid w:val="00731EBE"/>
    <w:rsid w:val="007329A2"/>
    <w:rsid w:val="00732D8B"/>
    <w:rsid w:val="00732E52"/>
    <w:rsid w:val="00734089"/>
    <w:rsid w:val="00734869"/>
    <w:rsid w:val="00734CDE"/>
    <w:rsid w:val="00734D80"/>
    <w:rsid w:val="00735982"/>
    <w:rsid w:val="00735A96"/>
    <w:rsid w:val="00735F25"/>
    <w:rsid w:val="00736308"/>
    <w:rsid w:val="00736465"/>
    <w:rsid w:val="00740A1B"/>
    <w:rsid w:val="007412F0"/>
    <w:rsid w:val="00741B51"/>
    <w:rsid w:val="00741D46"/>
    <w:rsid w:val="00742DBE"/>
    <w:rsid w:val="00744034"/>
    <w:rsid w:val="007463FB"/>
    <w:rsid w:val="00746754"/>
    <w:rsid w:val="00746F04"/>
    <w:rsid w:val="00747D69"/>
    <w:rsid w:val="0075007E"/>
    <w:rsid w:val="00750222"/>
    <w:rsid w:val="00750336"/>
    <w:rsid w:val="0075052B"/>
    <w:rsid w:val="007513C6"/>
    <w:rsid w:val="00751749"/>
    <w:rsid w:val="0075244E"/>
    <w:rsid w:val="007529F4"/>
    <w:rsid w:val="00752E84"/>
    <w:rsid w:val="00753D26"/>
    <w:rsid w:val="0075403A"/>
    <w:rsid w:val="007540AB"/>
    <w:rsid w:val="0075416D"/>
    <w:rsid w:val="00755688"/>
    <w:rsid w:val="007563A4"/>
    <w:rsid w:val="00761D47"/>
    <w:rsid w:val="0076305C"/>
    <w:rsid w:val="00763133"/>
    <w:rsid w:val="0076345C"/>
    <w:rsid w:val="007648E1"/>
    <w:rsid w:val="00765082"/>
    <w:rsid w:val="00765376"/>
    <w:rsid w:val="007654B5"/>
    <w:rsid w:val="00765830"/>
    <w:rsid w:val="00766705"/>
    <w:rsid w:val="00766B64"/>
    <w:rsid w:val="007703FF"/>
    <w:rsid w:val="00770737"/>
    <w:rsid w:val="00770D7E"/>
    <w:rsid w:val="00772F26"/>
    <w:rsid w:val="00773E29"/>
    <w:rsid w:val="00774CFB"/>
    <w:rsid w:val="00775C3F"/>
    <w:rsid w:val="0077621C"/>
    <w:rsid w:val="00776A68"/>
    <w:rsid w:val="0077798C"/>
    <w:rsid w:val="00780CD5"/>
    <w:rsid w:val="00781D7B"/>
    <w:rsid w:val="0078394C"/>
    <w:rsid w:val="007846AC"/>
    <w:rsid w:val="00785166"/>
    <w:rsid w:val="0078549F"/>
    <w:rsid w:val="0078570C"/>
    <w:rsid w:val="0078661B"/>
    <w:rsid w:val="00786A9B"/>
    <w:rsid w:val="007900BA"/>
    <w:rsid w:val="00790188"/>
    <w:rsid w:val="00790885"/>
    <w:rsid w:val="007916AD"/>
    <w:rsid w:val="0079228C"/>
    <w:rsid w:val="00793619"/>
    <w:rsid w:val="00793C60"/>
    <w:rsid w:val="00793D9A"/>
    <w:rsid w:val="00793FFE"/>
    <w:rsid w:val="007949AF"/>
    <w:rsid w:val="00794BEE"/>
    <w:rsid w:val="00794E09"/>
    <w:rsid w:val="00795077"/>
    <w:rsid w:val="007950E3"/>
    <w:rsid w:val="007962A7"/>
    <w:rsid w:val="0079653C"/>
    <w:rsid w:val="007A0612"/>
    <w:rsid w:val="007A17A3"/>
    <w:rsid w:val="007A1927"/>
    <w:rsid w:val="007A3DD7"/>
    <w:rsid w:val="007A405F"/>
    <w:rsid w:val="007A520B"/>
    <w:rsid w:val="007A5DD2"/>
    <w:rsid w:val="007A6788"/>
    <w:rsid w:val="007A6B71"/>
    <w:rsid w:val="007A758C"/>
    <w:rsid w:val="007B0083"/>
    <w:rsid w:val="007B0101"/>
    <w:rsid w:val="007B01E6"/>
    <w:rsid w:val="007B1C57"/>
    <w:rsid w:val="007B1D0C"/>
    <w:rsid w:val="007B1D28"/>
    <w:rsid w:val="007B338C"/>
    <w:rsid w:val="007B36BA"/>
    <w:rsid w:val="007B3CA7"/>
    <w:rsid w:val="007B4940"/>
    <w:rsid w:val="007B50DB"/>
    <w:rsid w:val="007B5C04"/>
    <w:rsid w:val="007B6592"/>
    <w:rsid w:val="007B7076"/>
    <w:rsid w:val="007B7AD1"/>
    <w:rsid w:val="007C01FB"/>
    <w:rsid w:val="007C0854"/>
    <w:rsid w:val="007C0868"/>
    <w:rsid w:val="007C1954"/>
    <w:rsid w:val="007C1ADC"/>
    <w:rsid w:val="007C32AE"/>
    <w:rsid w:val="007C4273"/>
    <w:rsid w:val="007C4C16"/>
    <w:rsid w:val="007C4FA9"/>
    <w:rsid w:val="007C5736"/>
    <w:rsid w:val="007C664F"/>
    <w:rsid w:val="007C67E2"/>
    <w:rsid w:val="007D079E"/>
    <w:rsid w:val="007D2487"/>
    <w:rsid w:val="007D2D5E"/>
    <w:rsid w:val="007D2E18"/>
    <w:rsid w:val="007D35AE"/>
    <w:rsid w:val="007D3864"/>
    <w:rsid w:val="007D3F4D"/>
    <w:rsid w:val="007D4658"/>
    <w:rsid w:val="007D6688"/>
    <w:rsid w:val="007D6BB3"/>
    <w:rsid w:val="007D788D"/>
    <w:rsid w:val="007E0AC6"/>
    <w:rsid w:val="007E1C16"/>
    <w:rsid w:val="007E2618"/>
    <w:rsid w:val="007E2EA3"/>
    <w:rsid w:val="007E3269"/>
    <w:rsid w:val="007E4670"/>
    <w:rsid w:val="007E48E1"/>
    <w:rsid w:val="007E51BF"/>
    <w:rsid w:val="007E61B7"/>
    <w:rsid w:val="007E698E"/>
    <w:rsid w:val="007E731A"/>
    <w:rsid w:val="007E77FF"/>
    <w:rsid w:val="007F01D7"/>
    <w:rsid w:val="007F0DAD"/>
    <w:rsid w:val="007F0FEF"/>
    <w:rsid w:val="007F300E"/>
    <w:rsid w:val="007F35E9"/>
    <w:rsid w:val="007F3C6E"/>
    <w:rsid w:val="007F492A"/>
    <w:rsid w:val="007F4CB5"/>
    <w:rsid w:val="007F515D"/>
    <w:rsid w:val="007F64E4"/>
    <w:rsid w:val="00800376"/>
    <w:rsid w:val="008006D2"/>
    <w:rsid w:val="00800995"/>
    <w:rsid w:val="008013DE"/>
    <w:rsid w:val="00802127"/>
    <w:rsid w:val="00802F09"/>
    <w:rsid w:val="00804A01"/>
    <w:rsid w:val="008058AF"/>
    <w:rsid w:val="00805FD7"/>
    <w:rsid w:val="00806A7E"/>
    <w:rsid w:val="00807A22"/>
    <w:rsid w:val="00807EC1"/>
    <w:rsid w:val="00810B10"/>
    <w:rsid w:val="00811A5E"/>
    <w:rsid w:val="00811CC9"/>
    <w:rsid w:val="00812402"/>
    <w:rsid w:val="008131D7"/>
    <w:rsid w:val="00813AC4"/>
    <w:rsid w:val="00813D56"/>
    <w:rsid w:val="0081439C"/>
    <w:rsid w:val="008146AA"/>
    <w:rsid w:val="00814854"/>
    <w:rsid w:val="00814DFF"/>
    <w:rsid w:val="00814F7F"/>
    <w:rsid w:val="00817068"/>
    <w:rsid w:val="0081726C"/>
    <w:rsid w:val="0081744A"/>
    <w:rsid w:val="0081745C"/>
    <w:rsid w:val="0082034C"/>
    <w:rsid w:val="008211F8"/>
    <w:rsid w:val="0082191D"/>
    <w:rsid w:val="00822370"/>
    <w:rsid w:val="0082290B"/>
    <w:rsid w:val="0082343F"/>
    <w:rsid w:val="008237E8"/>
    <w:rsid w:val="00824024"/>
    <w:rsid w:val="008241B7"/>
    <w:rsid w:val="00824973"/>
    <w:rsid w:val="00824A82"/>
    <w:rsid w:val="00824F1A"/>
    <w:rsid w:val="00824F7C"/>
    <w:rsid w:val="00825159"/>
    <w:rsid w:val="00825A21"/>
    <w:rsid w:val="00826B9C"/>
    <w:rsid w:val="00826C51"/>
    <w:rsid w:val="00826FD7"/>
    <w:rsid w:val="00827CE2"/>
    <w:rsid w:val="00830B78"/>
    <w:rsid w:val="00830D62"/>
    <w:rsid w:val="008311D6"/>
    <w:rsid w:val="00831782"/>
    <w:rsid w:val="008320D0"/>
    <w:rsid w:val="0083261E"/>
    <w:rsid w:val="0083292B"/>
    <w:rsid w:val="00832C9D"/>
    <w:rsid w:val="008334D4"/>
    <w:rsid w:val="00833B4E"/>
    <w:rsid w:val="00834BBC"/>
    <w:rsid w:val="008368FD"/>
    <w:rsid w:val="00836D8E"/>
    <w:rsid w:val="00837EA5"/>
    <w:rsid w:val="00837EDA"/>
    <w:rsid w:val="00837F95"/>
    <w:rsid w:val="00841A12"/>
    <w:rsid w:val="00842934"/>
    <w:rsid w:val="00842B77"/>
    <w:rsid w:val="00842D24"/>
    <w:rsid w:val="00843CEA"/>
    <w:rsid w:val="008450E2"/>
    <w:rsid w:val="00845868"/>
    <w:rsid w:val="00845F94"/>
    <w:rsid w:val="00846411"/>
    <w:rsid w:val="00846F28"/>
    <w:rsid w:val="008477F1"/>
    <w:rsid w:val="00847897"/>
    <w:rsid w:val="00850A1A"/>
    <w:rsid w:val="00850C6B"/>
    <w:rsid w:val="00850FA1"/>
    <w:rsid w:val="00851649"/>
    <w:rsid w:val="00852939"/>
    <w:rsid w:val="00852AB6"/>
    <w:rsid w:val="00852ADD"/>
    <w:rsid w:val="00852B5D"/>
    <w:rsid w:val="00852DAE"/>
    <w:rsid w:val="00853069"/>
    <w:rsid w:val="008530A1"/>
    <w:rsid w:val="00853BAF"/>
    <w:rsid w:val="008558DF"/>
    <w:rsid w:val="008568A2"/>
    <w:rsid w:val="00857209"/>
    <w:rsid w:val="00857FAD"/>
    <w:rsid w:val="00861540"/>
    <w:rsid w:val="008615CE"/>
    <w:rsid w:val="00861E3F"/>
    <w:rsid w:val="0086282F"/>
    <w:rsid w:val="008628B5"/>
    <w:rsid w:val="00862CCE"/>
    <w:rsid w:val="00862DE3"/>
    <w:rsid w:val="00862F0A"/>
    <w:rsid w:val="0086301C"/>
    <w:rsid w:val="008631D4"/>
    <w:rsid w:val="0086350F"/>
    <w:rsid w:val="0086393C"/>
    <w:rsid w:val="00863B59"/>
    <w:rsid w:val="00864097"/>
    <w:rsid w:val="00865F91"/>
    <w:rsid w:val="00866014"/>
    <w:rsid w:val="008661D3"/>
    <w:rsid w:val="00866BD5"/>
    <w:rsid w:val="00866C6C"/>
    <w:rsid w:val="00870637"/>
    <w:rsid w:val="00871074"/>
    <w:rsid w:val="00872A24"/>
    <w:rsid w:val="00872C18"/>
    <w:rsid w:val="008734F5"/>
    <w:rsid w:val="0087376D"/>
    <w:rsid w:val="00874430"/>
    <w:rsid w:val="0087445B"/>
    <w:rsid w:val="00874B3C"/>
    <w:rsid w:val="00874ED9"/>
    <w:rsid w:val="00875138"/>
    <w:rsid w:val="00875ABD"/>
    <w:rsid w:val="00875F82"/>
    <w:rsid w:val="00876115"/>
    <w:rsid w:val="0087661C"/>
    <w:rsid w:val="008771EE"/>
    <w:rsid w:val="00877B11"/>
    <w:rsid w:val="00880087"/>
    <w:rsid w:val="00881184"/>
    <w:rsid w:val="008814AD"/>
    <w:rsid w:val="008818ED"/>
    <w:rsid w:val="00881B66"/>
    <w:rsid w:val="00882CF8"/>
    <w:rsid w:val="00882F77"/>
    <w:rsid w:val="008835D6"/>
    <w:rsid w:val="0088374D"/>
    <w:rsid w:val="008842F8"/>
    <w:rsid w:val="008848DA"/>
    <w:rsid w:val="00884AAF"/>
    <w:rsid w:val="0088508E"/>
    <w:rsid w:val="00886AE8"/>
    <w:rsid w:val="00886FAE"/>
    <w:rsid w:val="008874CF"/>
    <w:rsid w:val="00887E13"/>
    <w:rsid w:val="00890D8F"/>
    <w:rsid w:val="008914F7"/>
    <w:rsid w:val="0089160A"/>
    <w:rsid w:val="00891928"/>
    <w:rsid w:val="00892113"/>
    <w:rsid w:val="00892DB6"/>
    <w:rsid w:val="0089523C"/>
    <w:rsid w:val="00896171"/>
    <w:rsid w:val="008964F1"/>
    <w:rsid w:val="00896BFC"/>
    <w:rsid w:val="00897C79"/>
    <w:rsid w:val="008A1C7D"/>
    <w:rsid w:val="008A2A9B"/>
    <w:rsid w:val="008A2FB9"/>
    <w:rsid w:val="008A317E"/>
    <w:rsid w:val="008A318F"/>
    <w:rsid w:val="008A37DA"/>
    <w:rsid w:val="008A390E"/>
    <w:rsid w:val="008A3C3E"/>
    <w:rsid w:val="008A523F"/>
    <w:rsid w:val="008A5549"/>
    <w:rsid w:val="008A5BA0"/>
    <w:rsid w:val="008A6547"/>
    <w:rsid w:val="008A762C"/>
    <w:rsid w:val="008B090C"/>
    <w:rsid w:val="008B1DDF"/>
    <w:rsid w:val="008B1E35"/>
    <w:rsid w:val="008B4367"/>
    <w:rsid w:val="008B5FC8"/>
    <w:rsid w:val="008B693D"/>
    <w:rsid w:val="008B6EAD"/>
    <w:rsid w:val="008B77C0"/>
    <w:rsid w:val="008B7F13"/>
    <w:rsid w:val="008B7F49"/>
    <w:rsid w:val="008C07D6"/>
    <w:rsid w:val="008C1381"/>
    <w:rsid w:val="008C16C5"/>
    <w:rsid w:val="008C20DA"/>
    <w:rsid w:val="008C2747"/>
    <w:rsid w:val="008C2978"/>
    <w:rsid w:val="008C2FE4"/>
    <w:rsid w:val="008C3B31"/>
    <w:rsid w:val="008C3BB3"/>
    <w:rsid w:val="008C4A94"/>
    <w:rsid w:val="008C5B25"/>
    <w:rsid w:val="008C5DF2"/>
    <w:rsid w:val="008C6844"/>
    <w:rsid w:val="008C686B"/>
    <w:rsid w:val="008C6E4B"/>
    <w:rsid w:val="008C75B5"/>
    <w:rsid w:val="008C75C4"/>
    <w:rsid w:val="008D0372"/>
    <w:rsid w:val="008D0524"/>
    <w:rsid w:val="008D0B26"/>
    <w:rsid w:val="008D12B1"/>
    <w:rsid w:val="008D1E2E"/>
    <w:rsid w:val="008D1EBC"/>
    <w:rsid w:val="008D2A15"/>
    <w:rsid w:val="008D2F09"/>
    <w:rsid w:val="008D34A1"/>
    <w:rsid w:val="008D397F"/>
    <w:rsid w:val="008D3A46"/>
    <w:rsid w:val="008D5148"/>
    <w:rsid w:val="008D5F85"/>
    <w:rsid w:val="008D67E2"/>
    <w:rsid w:val="008D6F25"/>
    <w:rsid w:val="008E0010"/>
    <w:rsid w:val="008E01FC"/>
    <w:rsid w:val="008E0467"/>
    <w:rsid w:val="008E0C69"/>
    <w:rsid w:val="008E1552"/>
    <w:rsid w:val="008E2A6D"/>
    <w:rsid w:val="008E3F18"/>
    <w:rsid w:val="008E4E58"/>
    <w:rsid w:val="008E5CC5"/>
    <w:rsid w:val="008E6174"/>
    <w:rsid w:val="008E6211"/>
    <w:rsid w:val="008E642E"/>
    <w:rsid w:val="008E6947"/>
    <w:rsid w:val="008E780E"/>
    <w:rsid w:val="008E7984"/>
    <w:rsid w:val="008F0332"/>
    <w:rsid w:val="008F08FB"/>
    <w:rsid w:val="008F1CCC"/>
    <w:rsid w:val="008F2962"/>
    <w:rsid w:val="008F3235"/>
    <w:rsid w:val="008F3BFF"/>
    <w:rsid w:val="008F3F8F"/>
    <w:rsid w:val="008F4015"/>
    <w:rsid w:val="008F42A9"/>
    <w:rsid w:val="008F4507"/>
    <w:rsid w:val="008F4598"/>
    <w:rsid w:val="008F4E6D"/>
    <w:rsid w:val="008F603F"/>
    <w:rsid w:val="008F6133"/>
    <w:rsid w:val="00900E91"/>
    <w:rsid w:val="00901089"/>
    <w:rsid w:val="00901A3D"/>
    <w:rsid w:val="00901DB9"/>
    <w:rsid w:val="0090222E"/>
    <w:rsid w:val="009045B9"/>
    <w:rsid w:val="0090516F"/>
    <w:rsid w:val="00905CEF"/>
    <w:rsid w:val="00905F34"/>
    <w:rsid w:val="00905F82"/>
    <w:rsid w:val="009064F8"/>
    <w:rsid w:val="009079C2"/>
    <w:rsid w:val="009101B1"/>
    <w:rsid w:val="009125BD"/>
    <w:rsid w:val="00913CF9"/>
    <w:rsid w:val="00913E79"/>
    <w:rsid w:val="009166B6"/>
    <w:rsid w:val="00916F0A"/>
    <w:rsid w:val="00917756"/>
    <w:rsid w:val="00917DF6"/>
    <w:rsid w:val="0092079C"/>
    <w:rsid w:val="00920817"/>
    <w:rsid w:val="00921333"/>
    <w:rsid w:val="00921B46"/>
    <w:rsid w:val="00921E3B"/>
    <w:rsid w:val="00922D99"/>
    <w:rsid w:val="00923106"/>
    <w:rsid w:val="009232F0"/>
    <w:rsid w:val="00923C89"/>
    <w:rsid w:val="00924B83"/>
    <w:rsid w:val="00925046"/>
    <w:rsid w:val="00925082"/>
    <w:rsid w:val="0092641B"/>
    <w:rsid w:val="0092739C"/>
    <w:rsid w:val="00927B64"/>
    <w:rsid w:val="0093022E"/>
    <w:rsid w:val="009306EF"/>
    <w:rsid w:val="009327DE"/>
    <w:rsid w:val="00932DA9"/>
    <w:rsid w:val="00933428"/>
    <w:rsid w:val="0093363A"/>
    <w:rsid w:val="00934192"/>
    <w:rsid w:val="009351C1"/>
    <w:rsid w:val="00935FC7"/>
    <w:rsid w:val="00935FD3"/>
    <w:rsid w:val="00936222"/>
    <w:rsid w:val="00937A54"/>
    <w:rsid w:val="009406F9"/>
    <w:rsid w:val="00940DC8"/>
    <w:rsid w:val="00941DE9"/>
    <w:rsid w:val="00942DA1"/>
    <w:rsid w:val="0094388D"/>
    <w:rsid w:val="00944357"/>
    <w:rsid w:val="009450B3"/>
    <w:rsid w:val="0094546D"/>
    <w:rsid w:val="00945868"/>
    <w:rsid w:val="009460E9"/>
    <w:rsid w:val="0094700A"/>
    <w:rsid w:val="0094722B"/>
    <w:rsid w:val="00951A17"/>
    <w:rsid w:val="00951E6F"/>
    <w:rsid w:val="00954424"/>
    <w:rsid w:val="009544B3"/>
    <w:rsid w:val="00955CD6"/>
    <w:rsid w:val="00955EEA"/>
    <w:rsid w:val="009601C1"/>
    <w:rsid w:val="0096035C"/>
    <w:rsid w:val="00960E42"/>
    <w:rsid w:val="00961B63"/>
    <w:rsid w:val="009622A8"/>
    <w:rsid w:val="00962B6D"/>
    <w:rsid w:val="00963310"/>
    <w:rsid w:val="00964EE0"/>
    <w:rsid w:val="009667F5"/>
    <w:rsid w:val="009676C4"/>
    <w:rsid w:val="00967CCE"/>
    <w:rsid w:val="00972896"/>
    <w:rsid w:val="009732C2"/>
    <w:rsid w:val="00973AD0"/>
    <w:rsid w:val="00973B0E"/>
    <w:rsid w:val="0097421C"/>
    <w:rsid w:val="0097497A"/>
    <w:rsid w:val="009755B0"/>
    <w:rsid w:val="00975B05"/>
    <w:rsid w:val="00975F8B"/>
    <w:rsid w:val="009765F1"/>
    <w:rsid w:val="00976BEF"/>
    <w:rsid w:val="00976C58"/>
    <w:rsid w:val="00976CC0"/>
    <w:rsid w:val="00976F76"/>
    <w:rsid w:val="009773C6"/>
    <w:rsid w:val="00977E14"/>
    <w:rsid w:val="0098056A"/>
    <w:rsid w:val="00980885"/>
    <w:rsid w:val="00981417"/>
    <w:rsid w:val="00981452"/>
    <w:rsid w:val="00981826"/>
    <w:rsid w:val="00981904"/>
    <w:rsid w:val="00981A86"/>
    <w:rsid w:val="00981C0A"/>
    <w:rsid w:val="0098426C"/>
    <w:rsid w:val="009842F1"/>
    <w:rsid w:val="00984862"/>
    <w:rsid w:val="00984AD9"/>
    <w:rsid w:val="00985366"/>
    <w:rsid w:val="009861A6"/>
    <w:rsid w:val="00986475"/>
    <w:rsid w:val="009866A5"/>
    <w:rsid w:val="00986A13"/>
    <w:rsid w:val="00987976"/>
    <w:rsid w:val="009916E1"/>
    <w:rsid w:val="009919F8"/>
    <w:rsid w:val="00991F64"/>
    <w:rsid w:val="0099261A"/>
    <w:rsid w:val="009928FD"/>
    <w:rsid w:val="009931F5"/>
    <w:rsid w:val="0099349F"/>
    <w:rsid w:val="0099365C"/>
    <w:rsid w:val="009952E4"/>
    <w:rsid w:val="009960E8"/>
    <w:rsid w:val="0099654D"/>
    <w:rsid w:val="00997295"/>
    <w:rsid w:val="00997C52"/>
    <w:rsid w:val="009A0721"/>
    <w:rsid w:val="009A0984"/>
    <w:rsid w:val="009A0C6E"/>
    <w:rsid w:val="009A1B2F"/>
    <w:rsid w:val="009A1B65"/>
    <w:rsid w:val="009A1BA4"/>
    <w:rsid w:val="009A1FC0"/>
    <w:rsid w:val="009A2F2B"/>
    <w:rsid w:val="009A34C5"/>
    <w:rsid w:val="009A3EFE"/>
    <w:rsid w:val="009A3F21"/>
    <w:rsid w:val="009A45D3"/>
    <w:rsid w:val="009A4898"/>
    <w:rsid w:val="009A4FC3"/>
    <w:rsid w:val="009A563D"/>
    <w:rsid w:val="009A600A"/>
    <w:rsid w:val="009A7605"/>
    <w:rsid w:val="009A7910"/>
    <w:rsid w:val="009A7D86"/>
    <w:rsid w:val="009B07B1"/>
    <w:rsid w:val="009B07C1"/>
    <w:rsid w:val="009B188F"/>
    <w:rsid w:val="009B1EFE"/>
    <w:rsid w:val="009B1F85"/>
    <w:rsid w:val="009B22A8"/>
    <w:rsid w:val="009B3309"/>
    <w:rsid w:val="009B37CE"/>
    <w:rsid w:val="009B3892"/>
    <w:rsid w:val="009B39BA"/>
    <w:rsid w:val="009B3EFF"/>
    <w:rsid w:val="009B532D"/>
    <w:rsid w:val="009B6BB8"/>
    <w:rsid w:val="009C0284"/>
    <w:rsid w:val="009C07E9"/>
    <w:rsid w:val="009C1323"/>
    <w:rsid w:val="009C1616"/>
    <w:rsid w:val="009C2A18"/>
    <w:rsid w:val="009C2FF7"/>
    <w:rsid w:val="009C313F"/>
    <w:rsid w:val="009C384C"/>
    <w:rsid w:val="009C5BB8"/>
    <w:rsid w:val="009C5F16"/>
    <w:rsid w:val="009C636F"/>
    <w:rsid w:val="009C66F3"/>
    <w:rsid w:val="009C6B2D"/>
    <w:rsid w:val="009C6C64"/>
    <w:rsid w:val="009C6C91"/>
    <w:rsid w:val="009C70CA"/>
    <w:rsid w:val="009C71B6"/>
    <w:rsid w:val="009C7AD6"/>
    <w:rsid w:val="009D06B0"/>
    <w:rsid w:val="009D088C"/>
    <w:rsid w:val="009D0B95"/>
    <w:rsid w:val="009D0CBF"/>
    <w:rsid w:val="009D0DC9"/>
    <w:rsid w:val="009D1991"/>
    <w:rsid w:val="009D258E"/>
    <w:rsid w:val="009D2E88"/>
    <w:rsid w:val="009D3563"/>
    <w:rsid w:val="009D3E88"/>
    <w:rsid w:val="009D3F35"/>
    <w:rsid w:val="009D4422"/>
    <w:rsid w:val="009D485A"/>
    <w:rsid w:val="009D5072"/>
    <w:rsid w:val="009D6706"/>
    <w:rsid w:val="009D6B79"/>
    <w:rsid w:val="009D7F68"/>
    <w:rsid w:val="009E07B4"/>
    <w:rsid w:val="009E08F9"/>
    <w:rsid w:val="009E12C1"/>
    <w:rsid w:val="009E1BDF"/>
    <w:rsid w:val="009E1FC2"/>
    <w:rsid w:val="009E2DB0"/>
    <w:rsid w:val="009E2DB4"/>
    <w:rsid w:val="009E2E21"/>
    <w:rsid w:val="009E2E24"/>
    <w:rsid w:val="009E36A2"/>
    <w:rsid w:val="009E581E"/>
    <w:rsid w:val="009E5C46"/>
    <w:rsid w:val="009E5CE5"/>
    <w:rsid w:val="009E6BE7"/>
    <w:rsid w:val="009E6EA8"/>
    <w:rsid w:val="009E7A9D"/>
    <w:rsid w:val="009E7D2A"/>
    <w:rsid w:val="009F0F56"/>
    <w:rsid w:val="009F171A"/>
    <w:rsid w:val="009F1FDF"/>
    <w:rsid w:val="009F2E69"/>
    <w:rsid w:val="009F36CB"/>
    <w:rsid w:val="009F414D"/>
    <w:rsid w:val="009F46CC"/>
    <w:rsid w:val="009F48C1"/>
    <w:rsid w:val="009F4A81"/>
    <w:rsid w:val="009F4D5A"/>
    <w:rsid w:val="009F6ECC"/>
    <w:rsid w:val="00A01195"/>
    <w:rsid w:val="00A021E9"/>
    <w:rsid w:val="00A02656"/>
    <w:rsid w:val="00A02816"/>
    <w:rsid w:val="00A0291E"/>
    <w:rsid w:val="00A02B69"/>
    <w:rsid w:val="00A030F4"/>
    <w:rsid w:val="00A0399A"/>
    <w:rsid w:val="00A0427D"/>
    <w:rsid w:val="00A05073"/>
    <w:rsid w:val="00A05728"/>
    <w:rsid w:val="00A05BE8"/>
    <w:rsid w:val="00A05F5F"/>
    <w:rsid w:val="00A107A6"/>
    <w:rsid w:val="00A116B8"/>
    <w:rsid w:val="00A121F1"/>
    <w:rsid w:val="00A126C8"/>
    <w:rsid w:val="00A12837"/>
    <w:rsid w:val="00A13133"/>
    <w:rsid w:val="00A13551"/>
    <w:rsid w:val="00A137D6"/>
    <w:rsid w:val="00A13CAB"/>
    <w:rsid w:val="00A16366"/>
    <w:rsid w:val="00A16CFB"/>
    <w:rsid w:val="00A17AE3"/>
    <w:rsid w:val="00A20004"/>
    <w:rsid w:val="00A21445"/>
    <w:rsid w:val="00A21543"/>
    <w:rsid w:val="00A22C47"/>
    <w:rsid w:val="00A22D0B"/>
    <w:rsid w:val="00A22E48"/>
    <w:rsid w:val="00A23963"/>
    <w:rsid w:val="00A24183"/>
    <w:rsid w:val="00A25569"/>
    <w:rsid w:val="00A2637A"/>
    <w:rsid w:val="00A270BE"/>
    <w:rsid w:val="00A27317"/>
    <w:rsid w:val="00A27462"/>
    <w:rsid w:val="00A27A88"/>
    <w:rsid w:val="00A31A88"/>
    <w:rsid w:val="00A326E0"/>
    <w:rsid w:val="00A32A97"/>
    <w:rsid w:val="00A33996"/>
    <w:rsid w:val="00A34FBB"/>
    <w:rsid w:val="00A3707C"/>
    <w:rsid w:val="00A37223"/>
    <w:rsid w:val="00A406E3"/>
    <w:rsid w:val="00A41528"/>
    <w:rsid w:val="00A41610"/>
    <w:rsid w:val="00A421FA"/>
    <w:rsid w:val="00A42B17"/>
    <w:rsid w:val="00A4342B"/>
    <w:rsid w:val="00A43795"/>
    <w:rsid w:val="00A438A1"/>
    <w:rsid w:val="00A43E91"/>
    <w:rsid w:val="00A449FC"/>
    <w:rsid w:val="00A454E6"/>
    <w:rsid w:val="00A456E1"/>
    <w:rsid w:val="00A464CC"/>
    <w:rsid w:val="00A47B30"/>
    <w:rsid w:val="00A5064D"/>
    <w:rsid w:val="00A507D5"/>
    <w:rsid w:val="00A509B8"/>
    <w:rsid w:val="00A50B2C"/>
    <w:rsid w:val="00A515A5"/>
    <w:rsid w:val="00A51F21"/>
    <w:rsid w:val="00A52A9A"/>
    <w:rsid w:val="00A530C1"/>
    <w:rsid w:val="00A5364B"/>
    <w:rsid w:val="00A53E9A"/>
    <w:rsid w:val="00A54229"/>
    <w:rsid w:val="00A54E35"/>
    <w:rsid w:val="00A55443"/>
    <w:rsid w:val="00A5544D"/>
    <w:rsid w:val="00A5573F"/>
    <w:rsid w:val="00A55845"/>
    <w:rsid w:val="00A55CE0"/>
    <w:rsid w:val="00A56601"/>
    <w:rsid w:val="00A56E86"/>
    <w:rsid w:val="00A56F3A"/>
    <w:rsid w:val="00A578DA"/>
    <w:rsid w:val="00A57B43"/>
    <w:rsid w:val="00A60269"/>
    <w:rsid w:val="00A60494"/>
    <w:rsid w:val="00A6051D"/>
    <w:rsid w:val="00A61305"/>
    <w:rsid w:val="00A61B1A"/>
    <w:rsid w:val="00A622C3"/>
    <w:rsid w:val="00A6244D"/>
    <w:rsid w:val="00A63565"/>
    <w:rsid w:val="00A649F8"/>
    <w:rsid w:val="00A65112"/>
    <w:rsid w:val="00A65636"/>
    <w:rsid w:val="00A663E8"/>
    <w:rsid w:val="00A6649B"/>
    <w:rsid w:val="00A678C4"/>
    <w:rsid w:val="00A706C1"/>
    <w:rsid w:val="00A70BAA"/>
    <w:rsid w:val="00A70F12"/>
    <w:rsid w:val="00A710C1"/>
    <w:rsid w:val="00A71DD1"/>
    <w:rsid w:val="00A7265B"/>
    <w:rsid w:val="00A72A83"/>
    <w:rsid w:val="00A72FDF"/>
    <w:rsid w:val="00A74F98"/>
    <w:rsid w:val="00A75200"/>
    <w:rsid w:val="00A75415"/>
    <w:rsid w:val="00A75656"/>
    <w:rsid w:val="00A75727"/>
    <w:rsid w:val="00A75824"/>
    <w:rsid w:val="00A75901"/>
    <w:rsid w:val="00A75EC1"/>
    <w:rsid w:val="00A7748D"/>
    <w:rsid w:val="00A777CF"/>
    <w:rsid w:val="00A778DD"/>
    <w:rsid w:val="00A77C2F"/>
    <w:rsid w:val="00A8138A"/>
    <w:rsid w:val="00A813E1"/>
    <w:rsid w:val="00A81BD7"/>
    <w:rsid w:val="00A829DE"/>
    <w:rsid w:val="00A83C87"/>
    <w:rsid w:val="00A848E1"/>
    <w:rsid w:val="00A8631D"/>
    <w:rsid w:val="00A8742F"/>
    <w:rsid w:val="00A87E5B"/>
    <w:rsid w:val="00A903BA"/>
    <w:rsid w:val="00A91A90"/>
    <w:rsid w:val="00A91DD2"/>
    <w:rsid w:val="00A92D26"/>
    <w:rsid w:val="00A92D8A"/>
    <w:rsid w:val="00A96CF5"/>
    <w:rsid w:val="00A97166"/>
    <w:rsid w:val="00A97D07"/>
    <w:rsid w:val="00A97E39"/>
    <w:rsid w:val="00A97E96"/>
    <w:rsid w:val="00AA05C4"/>
    <w:rsid w:val="00AA0BFA"/>
    <w:rsid w:val="00AA0EF3"/>
    <w:rsid w:val="00AA246E"/>
    <w:rsid w:val="00AA5128"/>
    <w:rsid w:val="00AA5A65"/>
    <w:rsid w:val="00AA5BDB"/>
    <w:rsid w:val="00AA60DE"/>
    <w:rsid w:val="00AA63A0"/>
    <w:rsid w:val="00AA63F2"/>
    <w:rsid w:val="00AA6609"/>
    <w:rsid w:val="00AA6674"/>
    <w:rsid w:val="00AA7A4B"/>
    <w:rsid w:val="00AA7DE1"/>
    <w:rsid w:val="00AA7DE7"/>
    <w:rsid w:val="00AA7FCA"/>
    <w:rsid w:val="00AB0509"/>
    <w:rsid w:val="00AB06C6"/>
    <w:rsid w:val="00AB097A"/>
    <w:rsid w:val="00AB0AD3"/>
    <w:rsid w:val="00AB1210"/>
    <w:rsid w:val="00AB1540"/>
    <w:rsid w:val="00AB1D13"/>
    <w:rsid w:val="00AB2F12"/>
    <w:rsid w:val="00AB2F9A"/>
    <w:rsid w:val="00AB3132"/>
    <w:rsid w:val="00AB491D"/>
    <w:rsid w:val="00AB4A1D"/>
    <w:rsid w:val="00AB4D8F"/>
    <w:rsid w:val="00AB50EF"/>
    <w:rsid w:val="00AB53A7"/>
    <w:rsid w:val="00AB57B0"/>
    <w:rsid w:val="00AB58B8"/>
    <w:rsid w:val="00AB6080"/>
    <w:rsid w:val="00AB63E6"/>
    <w:rsid w:val="00AB6CF8"/>
    <w:rsid w:val="00AB6FA0"/>
    <w:rsid w:val="00AB7BC5"/>
    <w:rsid w:val="00AC136A"/>
    <w:rsid w:val="00AC168A"/>
    <w:rsid w:val="00AC1BA6"/>
    <w:rsid w:val="00AC1ED7"/>
    <w:rsid w:val="00AC1FB9"/>
    <w:rsid w:val="00AC2332"/>
    <w:rsid w:val="00AC47ED"/>
    <w:rsid w:val="00AC4B83"/>
    <w:rsid w:val="00AC58F8"/>
    <w:rsid w:val="00AC73BF"/>
    <w:rsid w:val="00AC788E"/>
    <w:rsid w:val="00AC7C17"/>
    <w:rsid w:val="00AD10BF"/>
    <w:rsid w:val="00AD1A97"/>
    <w:rsid w:val="00AD1FBA"/>
    <w:rsid w:val="00AD3A38"/>
    <w:rsid w:val="00AD3BB8"/>
    <w:rsid w:val="00AD3F09"/>
    <w:rsid w:val="00AD494C"/>
    <w:rsid w:val="00AD4ED2"/>
    <w:rsid w:val="00AD5059"/>
    <w:rsid w:val="00AD5A72"/>
    <w:rsid w:val="00AD61F7"/>
    <w:rsid w:val="00AD62C6"/>
    <w:rsid w:val="00AD681E"/>
    <w:rsid w:val="00AE0097"/>
    <w:rsid w:val="00AE01F3"/>
    <w:rsid w:val="00AE046A"/>
    <w:rsid w:val="00AE17A8"/>
    <w:rsid w:val="00AE1EBB"/>
    <w:rsid w:val="00AE1F03"/>
    <w:rsid w:val="00AE267B"/>
    <w:rsid w:val="00AE2CF1"/>
    <w:rsid w:val="00AE2EFB"/>
    <w:rsid w:val="00AE330C"/>
    <w:rsid w:val="00AE4366"/>
    <w:rsid w:val="00AE45F5"/>
    <w:rsid w:val="00AE4AA9"/>
    <w:rsid w:val="00AE58E3"/>
    <w:rsid w:val="00AE5FCC"/>
    <w:rsid w:val="00AE6784"/>
    <w:rsid w:val="00AE6AD5"/>
    <w:rsid w:val="00AE6D66"/>
    <w:rsid w:val="00AF07AA"/>
    <w:rsid w:val="00AF0C21"/>
    <w:rsid w:val="00AF16CE"/>
    <w:rsid w:val="00AF308F"/>
    <w:rsid w:val="00AF367E"/>
    <w:rsid w:val="00AF3A52"/>
    <w:rsid w:val="00AF45E0"/>
    <w:rsid w:val="00AF47F6"/>
    <w:rsid w:val="00AF51EF"/>
    <w:rsid w:val="00AF5EA5"/>
    <w:rsid w:val="00AF6601"/>
    <w:rsid w:val="00AF780D"/>
    <w:rsid w:val="00AF7FD7"/>
    <w:rsid w:val="00B0043D"/>
    <w:rsid w:val="00B01672"/>
    <w:rsid w:val="00B02012"/>
    <w:rsid w:val="00B024AA"/>
    <w:rsid w:val="00B0257D"/>
    <w:rsid w:val="00B02804"/>
    <w:rsid w:val="00B02902"/>
    <w:rsid w:val="00B02C2C"/>
    <w:rsid w:val="00B03ABB"/>
    <w:rsid w:val="00B0426C"/>
    <w:rsid w:val="00B04AF8"/>
    <w:rsid w:val="00B04BE2"/>
    <w:rsid w:val="00B057FD"/>
    <w:rsid w:val="00B05B4F"/>
    <w:rsid w:val="00B05FEB"/>
    <w:rsid w:val="00B06312"/>
    <w:rsid w:val="00B06B83"/>
    <w:rsid w:val="00B0790C"/>
    <w:rsid w:val="00B10363"/>
    <w:rsid w:val="00B10FC1"/>
    <w:rsid w:val="00B11D00"/>
    <w:rsid w:val="00B11EBE"/>
    <w:rsid w:val="00B13519"/>
    <w:rsid w:val="00B13587"/>
    <w:rsid w:val="00B144D4"/>
    <w:rsid w:val="00B14691"/>
    <w:rsid w:val="00B15A8F"/>
    <w:rsid w:val="00B15CEC"/>
    <w:rsid w:val="00B17162"/>
    <w:rsid w:val="00B17EBD"/>
    <w:rsid w:val="00B20444"/>
    <w:rsid w:val="00B21B7C"/>
    <w:rsid w:val="00B22CE4"/>
    <w:rsid w:val="00B23C24"/>
    <w:rsid w:val="00B23F62"/>
    <w:rsid w:val="00B24506"/>
    <w:rsid w:val="00B24CBE"/>
    <w:rsid w:val="00B26504"/>
    <w:rsid w:val="00B26835"/>
    <w:rsid w:val="00B26A9F"/>
    <w:rsid w:val="00B27293"/>
    <w:rsid w:val="00B27F49"/>
    <w:rsid w:val="00B302D7"/>
    <w:rsid w:val="00B30DB1"/>
    <w:rsid w:val="00B31DC1"/>
    <w:rsid w:val="00B321DA"/>
    <w:rsid w:val="00B3367F"/>
    <w:rsid w:val="00B34F59"/>
    <w:rsid w:val="00B35296"/>
    <w:rsid w:val="00B356D0"/>
    <w:rsid w:val="00B367EE"/>
    <w:rsid w:val="00B36A13"/>
    <w:rsid w:val="00B36CFD"/>
    <w:rsid w:val="00B379D9"/>
    <w:rsid w:val="00B37E90"/>
    <w:rsid w:val="00B37EBD"/>
    <w:rsid w:val="00B40196"/>
    <w:rsid w:val="00B41970"/>
    <w:rsid w:val="00B428BD"/>
    <w:rsid w:val="00B4477A"/>
    <w:rsid w:val="00B451C6"/>
    <w:rsid w:val="00B45810"/>
    <w:rsid w:val="00B45C90"/>
    <w:rsid w:val="00B464E5"/>
    <w:rsid w:val="00B46547"/>
    <w:rsid w:val="00B4678B"/>
    <w:rsid w:val="00B50707"/>
    <w:rsid w:val="00B5230F"/>
    <w:rsid w:val="00B52499"/>
    <w:rsid w:val="00B5273C"/>
    <w:rsid w:val="00B528FE"/>
    <w:rsid w:val="00B52B81"/>
    <w:rsid w:val="00B52E7F"/>
    <w:rsid w:val="00B533F5"/>
    <w:rsid w:val="00B53C06"/>
    <w:rsid w:val="00B55451"/>
    <w:rsid w:val="00B56BF6"/>
    <w:rsid w:val="00B60D68"/>
    <w:rsid w:val="00B60DED"/>
    <w:rsid w:val="00B6151F"/>
    <w:rsid w:val="00B6174E"/>
    <w:rsid w:val="00B61D72"/>
    <w:rsid w:val="00B6287F"/>
    <w:rsid w:val="00B63138"/>
    <w:rsid w:val="00B63E63"/>
    <w:rsid w:val="00B63F94"/>
    <w:rsid w:val="00B642EF"/>
    <w:rsid w:val="00B64867"/>
    <w:rsid w:val="00B64F6C"/>
    <w:rsid w:val="00B660D1"/>
    <w:rsid w:val="00B675AC"/>
    <w:rsid w:val="00B678D0"/>
    <w:rsid w:val="00B67BF6"/>
    <w:rsid w:val="00B7016C"/>
    <w:rsid w:val="00B70D3D"/>
    <w:rsid w:val="00B711D8"/>
    <w:rsid w:val="00B717F1"/>
    <w:rsid w:val="00B7217E"/>
    <w:rsid w:val="00B7233A"/>
    <w:rsid w:val="00B73982"/>
    <w:rsid w:val="00B7444A"/>
    <w:rsid w:val="00B74C90"/>
    <w:rsid w:val="00B764C7"/>
    <w:rsid w:val="00B806CD"/>
    <w:rsid w:val="00B8070D"/>
    <w:rsid w:val="00B8134A"/>
    <w:rsid w:val="00B822B5"/>
    <w:rsid w:val="00B83189"/>
    <w:rsid w:val="00B83349"/>
    <w:rsid w:val="00B8355A"/>
    <w:rsid w:val="00B8365F"/>
    <w:rsid w:val="00B843F3"/>
    <w:rsid w:val="00B8462A"/>
    <w:rsid w:val="00B859F2"/>
    <w:rsid w:val="00B862DC"/>
    <w:rsid w:val="00B867CF"/>
    <w:rsid w:val="00B86F12"/>
    <w:rsid w:val="00B87CD6"/>
    <w:rsid w:val="00B87F21"/>
    <w:rsid w:val="00B90972"/>
    <w:rsid w:val="00B90FD4"/>
    <w:rsid w:val="00B912C2"/>
    <w:rsid w:val="00B9378F"/>
    <w:rsid w:val="00B9380C"/>
    <w:rsid w:val="00B94638"/>
    <w:rsid w:val="00B947CA"/>
    <w:rsid w:val="00B94B4D"/>
    <w:rsid w:val="00B95190"/>
    <w:rsid w:val="00B95863"/>
    <w:rsid w:val="00B95E90"/>
    <w:rsid w:val="00BA0344"/>
    <w:rsid w:val="00BA1A31"/>
    <w:rsid w:val="00BA292A"/>
    <w:rsid w:val="00BA3685"/>
    <w:rsid w:val="00BA3C2F"/>
    <w:rsid w:val="00BA49BA"/>
    <w:rsid w:val="00BA4DD1"/>
    <w:rsid w:val="00BA50D4"/>
    <w:rsid w:val="00BA519D"/>
    <w:rsid w:val="00BA5F02"/>
    <w:rsid w:val="00BA704C"/>
    <w:rsid w:val="00BB0933"/>
    <w:rsid w:val="00BB1263"/>
    <w:rsid w:val="00BB14D8"/>
    <w:rsid w:val="00BB3176"/>
    <w:rsid w:val="00BB31BF"/>
    <w:rsid w:val="00BB370E"/>
    <w:rsid w:val="00BB4030"/>
    <w:rsid w:val="00BB6FDF"/>
    <w:rsid w:val="00BB79F0"/>
    <w:rsid w:val="00BB7C2F"/>
    <w:rsid w:val="00BB7F22"/>
    <w:rsid w:val="00BC0E19"/>
    <w:rsid w:val="00BC2CE0"/>
    <w:rsid w:val="00BC3343"/>
    <w:rsid w:val="00BC3F50"/>
    <w:rsid w:val="00BC4488"/>
    <w:rsid w:val="00BC4A21"/>
    <w:rsid w:val="00BC4EAE"/>
    <w:rsid w:val="00BC4F09"/>
    <w:rsid w:val="00BC5107"/>
    <w:rsid w:val="00BC5878"/>
    <w:rsid w:val="00BC58EF"/>
    <w:rsid w:val="00BC5B33"/>
    <w:rsid w:val="00BC7188"/>
    <w:rsid w:val="00BC7289"/>
    <w:rsid w:val="00BD04FA"/>
    <w:rsid w:val="00BD18D2"/>
    <w:rsid w:val="00BD29FA"/>
    <w:rsid w:val="00BD3226"/>
    <w:rsid w:val="00BD49E2"/>
    <w:rsid w:val="00BD4CE2"/>
    <w:rsid w:val="00BD58E7"/>
    <w:rsid w:val="00BD5BF4"/>
    <w:rsid w:val="00BD6549"/>
    <w:rsid w:val="00BD6A2B"/>
    <w:rsid w:val="00BD7DAC"/>
    <w:rsid w:val="00BE0851"/>
    <w:rsid w:val="00BE08C4"/>
    <w:rsid w:val="00BE144E"/>
    <w:rsid w:val="00BE1566"/>
    <w:rsid w:val="00BE2A2E"/>
    <w:rsid w:val="00BE309F"/>
    <w:rsid w:val="00BE3732"/>
    <w:rsid w:val="00BE3D19"/>
    <w:rsid w:val="00BE4771"/>
    <w:rsid w:val="00BE4835"/>
    <w:rsid w:val="00BE4857"/>
    <w:rsid w:val="00BE4BB1"/>
    <w:rsid w:val="00BE50F3"/>
    <w:rsid w:val="00BE5EEA"/>
    <w:rsid w:val="00BE653C"/>
    <w:rsid w:val="00BE67F0"/>
    <w:rsid w:val="00BE7757"/>
    <w:rsid w:val="00BE7E09"/>
    <w:rsid w:val="00BF07A9"/>
    <w:rsid w:val="00BF1C3B"/>
    <w:rsid w:val="00BF203A"/>
    <w:rsid w:val="00BF2995"/>
    <w:rsid w:val="00BF355D"/>
    <w:rsid w:val="00BF46A7"/>
    <w:rsid w:val="00BF4B73"/>
    <w:rsid w:val="00BF565B"/>
    <w:rsid w:val="00BF5E60"/>
    <w:rsid w:val="00BF6A23"/>
    <w:rsid w:val="00BF6F97"/>
    <w:rsid w:val="00BF7109"/>
    <w:rsid w:val="00BF7538"/>
    <w:rsid w:val="00C006EE"/>
    <w:rsid w:val="00C00721"/>
    <w:rsid w:val="00C00DF7"/>
    <w:rsid w:val="00C019B5"/>
    <w:rsid w:val="00C01BCF"/>
    <w:rsid w:val="00C02094"/>
    <w:rsid w:val="00C0405A"/>
    <w:rsid w:val="00C04218"/>
    <w:rsid w:val="00C047A2"/>
    <w:rsid w:val="00C04E65"/>
    <w:rsid w:val="00C05659"/>
    <w:rsid w:val="00C05B73"/>
    <w:rsid w:val="00C06001"/>
    <w:rsid w:val="00C0711D"/>
    <w:rsid w:val="00C101C1"/>
    <w:rsid w:val="00C10F74"/>
    <w:rsid w:val="00C1102B"/>
    <w:rsid w:val="00C110AE"/>
    <w:rsid w:val="00C11256"/>
    <w:rsid w:val="00C1134F"/>
    <w:rsid w:val="00C1140F"/>
    <w:rsid w:val="00C11EA8"/>
    <w:rsid w:val="00C12836"/>
    <w:rsid w:val="00C12E6D"/>
    <w:rsid w:val="00C12F34"/>
    <w:rsid w:val="00C130D4"/>
    <w:rsid w:val="00C13494"/>
    <w:rsid w:val="00C134DE"/>
    <w:rsid w:val="00C14602"/>
    <w:rsid w:val="00C146CE"/>
    <w:rsid w:val="00C148CE"/>
    <w:rsid w:val="00C1533C"/>
    <w:rsid w:val="00C15956"/>
    <w:rsid w:val="00C15A18"/>
    <w:rsid w:val="00C162F1"/>
    <w:rsid w:val="00C1677D"/>
    <w:rsid w:val="00C17816"/>
    <w:rsid w:val="00C17847"/>
    <w:rsid w:val="00C17CD4"/>
    <w:rsid w:val="00C20E6C"/>
    <w:rsid w:val="00C2137A"/>
    <w:rsid w:val="00C2282C"/>
    <w:rsid w:val="00C229FC"/>
    <w:rsid w:val="00C22C50"/>
    <w:rsid w:val="00C23085"/>
    <w:rsid w:val="00C23C4E"/>
    <w:rsid w:val="00C246A7"/>
    <w:rsid w:val="00C25136"/>
    <w:rsid w:val="00C256BA"/>
    <w:rsid w:val="00C25A21"/>
    <w:rsid w:val="00C262A8"/>
    <w:rsid w:val="00C26501"/>
    <w:rsid w:val="00C27513"/>
    <w:rsid w:val="00C30C8F"/>
    <w:rsid w:val="00C3153D"/>
    <w:rsid w:val="00C317C8"/>
    <w:rsid w:val="00C33414"/>
    <w:rsid w:val="00C33B79"/>
    <w:rsid w:val="00C33DD5"/>
    <w:rsid w:val="00C353BD"/>
    <w:rsid w:val="00C3543C"/>
    <w:rsid w:val="00C358DB"/>
    <w:rsid w:val="00C35A76"/>
    <w:rsid w:val="00C3686F"/>
    <w:rsid w:val="00C3797C"/>
    <w:rsid w:val="00C37A7D"/>
    <w:rsid w:val="00C37F8F"/>
    <w:rsid w:val="00C403C8"/>
    <w:rsid w:val="00C40429"/>
    <w:rsid w:val="00C4062D"/>
    <w:rsid w:val="00C40E40"/>
    <w:rsid w:val="00C41924"/>
    <w:rsid w:val="00C41B96"/>
    <w:rsid w:val="00C41D74"/>
    <w:rsid w:val="00C41FC5"/>
    <w:rsid w:val="00C4219C"/>
    <w:rsid w:val="00C424E5"/>
    <w:rsid w:val="00C42CF1"/>
    <w:rsid w:val="00C43960"/>
    <w:rsid w:val="00C44139"/>
    <w:rsid w:val="00C45485"/>
    <w:rsid w:val="00C4570F"/>
    <w:rsid w:val="00C47334"/>
    <w:rsid w:val="00C50E46"/>
    <w:rsid w:val="00C51230"/>
    <w:rsid w:val="00C516F1"/>
    <w:rsid w:val="00C524AD"/>
    <w:rsid w:val="00C525D0"/>
    <w:rsid w:val="00C533B5"/>
    <w:rsid w:val="00C54536"/>
    <w:rsid w:val="00C54A08"/>
    <w:rsid w:val="00C600A7"/>
    <w:rsid w:val="00C600E7"/>
    <w:rsid w:val="00C60C40"/>
    <w:rsid w:val="00C610EA"/>
    <w:rsid w:val="00C61468"/>
    <w:rsid w:val="00C6202C"/>
    <w:rsid w:val="00C629C8"/>
    <w:rsid w:val="00C62DE3"/>
    <w:rsid w:val="00C63451"/>
    <w:rsid w:val="00C63757"/>
    <w:rsid w:val="00C638B8"/>
    <w:rsid w:val="00C63A66"/>
    <w:rsid w:val="00C63A75"/>
    <w:rsid w:val="00C65498"/>
    <w:rsid w:val="00C65A6F"/>
    <w:rsid w:val="00C668B9"/>
    <w:rsid w:val="00C66BA1"/>
    <w:rsid w:val="00C67149"/>
    <w:rsid w:val="00C67252"/>
    <w:rsid w:val="00C676E4"/>
    <w:rsid w:val="00C67761"/>
    <w:rsid w:val="00C70864"/>
    <w:rsid w:val="00C70D6B"/>
    <w:rsid w:val="00C74BD5"/>
    <w:rsid w:val="00C75F5F"/>
    <w:rsid w:val="00C76136"/>
    <w:rsid w:val="00C771C5"/>
    <w:rsid w:val="00C77D72"/>
    <w:rsid w:val="00C8029C"/>
    <w:rsid w:val="00C802C9"/>
    <w:rsid w:val="00C80C3A"/>
    <w:rsid w:val="00C81AC4"/>
    <w:rsid w:val="00C823C2"/>
    <w:rsid w:val="00C8289A"/>
    <w:rsid w:val="00C828E9"/>
    <w:rsid w:val="00C82B12"/>
    <w:rsid w:val="00C8329E"/>
    <w:rsid w:val="00C83B78"/>
    <w:rsid w:val="00C83BB1"/>
    <w:rsid w:val="00C843E2"/>
    <w:rsid w:val="00C8746A"/>
    <w:rsid w:val="00C87DF4"/>
    <w:rsid w:val="00C913E3"/>
    <w:rsid w:val="00C920B0"/>
    <w:rsid w:val="00C9289D"/>
    <w:rsid w:val="00C93743"/>
    <w:rsid w:val="00C93A2A"/>
    <w:rsid w:val="00C942C2"/>
    <w:rsid w:val="00C94C40"/>
    <w:rsid w:val="00C9558D"/>
    <w:rsid w:val="00C955F1"/>
    <w:rsid w:val="00C95D8E"/>
    <w:rsid w:val="00C97138"/>
    <w:rsid w:val="00CA021D"/>
    <w:rsid w:val="00CA0D61"/>
    <w:rsid w:val="00CA1798"/>
    <w:rsid w:val="00CA2250"/>
    <w:rsid w:val="00CA276F"/>
    <w:rsid w:val="00CA2B61"/>
    <w:rsid w:val="00CA2FE4"/>
    <w:rsid w:val="00CA3497"/>
    <w:rsid w:val="00CA3D9B"/>
    <w:rsid w:val="00CA4293"/>
    <w:rsid w:val="00CA6175"/>
    <w:rsid w:val="00CA61B5"/>
    <w:rsid w:val="00CA6F1B"/>
    <w:rsid w:val="00CA7815"/>
    <w:rsid w:val="00CA7B3D"/>
    <w:rsid w:val="00CB0031"/>
    <w:rsid w:val="00CB04BA"/>
    <w:rsid w:val="00CB47DA"/>
    <w:rsid w:val="00CB5142"/>
    <w:rsid w:val="00CB540C"/>
    <w:rsid w:val="00CB5802"/>
    <w:rsid w:val="00CB6ECA"/>
    <w:rsid w:val="00CC07C9"/>
    <w:rsid w:val="00CC1A1F"/>
    <w:rsid w:val="00CC1F31"/>
    <w:rsid w:val="00CC1FE1"/>
    <w:rsid w:val="00CC24CC"/>
    <w:rsid w:val="00CC29E0"/>
    <w:rsid w:val="00CC3481"/>
    <w:rsid w:val="00CC435F"/>
    <w:rsid w:val="00CC46E2"/>
    <w:rsid w:val="00CC48F0"/>
    <w:rsid w:val="00CC4FD0"/>
    <w:rsid w:val="00CC5A83"/>
    <w:rsid w:val="00CC5D03"/>
    <w:rsid w:val="00CC7069"/>
    <w:rsid w:val="00CD1F84"/>
    <w:rsid w:val="00CD3B8C"/>
    <w:rsid w:val="00CD4409"/>
    <w:rsid w:val="00CD59E9"/>
    <w:rsid w:val="00CD5D6A"/>
    <w:rsid w:val="00CD5F6F"/>
    <w:rsid w:val="00CD61FA"/>
    <w:rsid w:val="00CD6D09"/>
    <w:rsid w:val="00CD77BF"/>
    <w:rsid w:val="00CD7BB1"/>
    <w:rsid w:val="00CE1028"/>
    <w:rsid w:val="00CE11EB"/>
    <w:rsid w:val="00CE1465"/>
    <w:rsid w:val="00CE17CC"/>
    <w:rsid w:val="00CE1BE2"/>
    <w:rsid w:val="00CE2F5F"/>
    <w:rsid w:val="00CE300B"/>
    <w:rsid w:val="00CE37F7"/>
    <w:rsid w:val="00CE3C56"/>
    <w:rsid w:val="00CE3DBD"/>
    <w:rsid w:val="00CE3F95"/>
    <w:rsid w:val="00CE4608"/>
    <w:rsid w:val="00CE5103"/>
    <w:rsid w:val="00CE5419"/>
    <w:rsid w:val="00CE61DF"/>
    <w:rsid w:val="00CE6F0A"/>
    <w:rsid w:val="00CE6FF2"/>
    <w:rsid w:val="00CE77C0"/>
    <w:rsid w:val="00CE7B64"/>
    <w:rsid w:val="00CF0037"/>
    <w:rsid w:val="00CF027C"/>
    <w:rsid w:val="00CF037C"/>
    <w:rsid w:val="00CF0D5B"/>
    <w:rsid w:val="00CF1D47"/>
    <w:rsid w:val="00CF1DD0"/>
    <w:rsid w:val="00CF2182"/>
    <w:rsid w:val="00CF328D"/>
    <w:rsid w:val="00CF3CA2"/>
    <w:rsid w:val="00CF42FF"/>
    <w:rsid w:val="00CF4F5E"/>
    <w:rsid w:val="00CF60EF"/>
    <w:rsid w:val="00CF67E3"/>
    <w:rsid w:val="00CF72D3"/>
    <w:rsid w:val="00D00597"/>
    <w:rsid w:val="00D01530"/>
    <w:rsid w:val="00D01BEC"/>
    <w:rsid w:val="00D02DD3"/>
    <w:rsid w:val="00D03552"/>
    <w:rsid w:val="00D0487A"/>
    <w:rsid w:val="00D06AC3"/>
    <w:rsid w:val="00D07957"/>
    <w:rsid w:val="00D1098E"/>
    <w:rsid w:val="00D10A53"/>
    <w:rsid w:val="00D10AB8"/>
    <w:rsid w:val="00D11042"/>
    <w:rsid w:val="00D11090"/>
    <w:rsid w:val="00D13014"/>
    <w:rsid w:val="00D1383C"/>
    <w:rsid w:val="00D13BF7"/>
    <w:rsid w:val="00D13E8A"/>
    <w:rsid w:val="00D1410B"/>
    <w:rsid w:val="00D14281"/>
    <w:rsid w:val="00D14599"/>
    <w:rsid w:val="00D151F0"/>
    <w:rsid w:val="00D1658B"/>
    <w:rsid w:val="00D17A5D"/>
    <w:rsid w:val="00D20B4B"/>
    <w:rsid w:val="00D221FA"/>
    <w:rsid w:val="00D223F5"/>
    <w:rsid w:val="00D24C48"/>
    <w:rsid w:val="00D25355"/>
    <w:rsid w:val="00D256E2"/>
    <w:rsid w:val="00D25BAE"/>
    <w:rsid w:val="00D264F5"/>
    <w:rsid w:val="00D26B24"/>
    <w:rsid w:val="00D26DAA"/>
    <w:rsid w:val="00D27334"/>
    <w:rsid w:val="00D300CF"/>
    <w:rsid w:val="00D302B7"/>
    <w:rsid w:val="00D308A0"/>
    <w:rsid w:val="00D30A1B"/>
    <w:rsid w:val="00D30CED"/>
    <w:rsid w:val="00D31E22"/>
    <w:rsid w:val="00D31F41"/>
    <w:rsid w:val="00D3206E"/>
    <w:rsid w:val="00D32A73"/>
    <w:rsid w:val="00D33663"/>
    <w:rsid w:val="00D34342"/>
    <w:rsid w:val="00D34948"/>
    <w:rsid w:val="00D35401"/>
    <w:rsid w:val="00D36D6F"/>
    <w:rsid w:val="00D37268"/>
    <w:rsid w:val="00D375D7"/>
    <w:rsid w:val="00D3795D"/>
    <w:rsid w:val="00D41576"/>
    <w:rsid w:val="00D439BD"/>
    <w:rsid w:val="00D4449B"/>
    <w:rsid w:val="00D4533F"/>
    <w:rsid w:val="00D454DD"/>
    <w:rsid w:val="00D45A5E"/>
    <w:rsid w:val="00D46A3D"/>
    <w:rsid w:val="00D46AE4"/>
    <w:rsid w:val="00D46D31"/>
    <w:rsid w:val="00D47832"/>
    <w:rsid w:val="00D50521"/>
    <w:rsid w:val="00D50E7F"/>
    <w:rsid w:val="00D51066"/>
    <w:rsid w:val="00D51119"/>
    <w:rsid w:val="00D52507"/>
    <w:rsid w:val="00D52A45"/>
    <w:rsid w:val="00D52B1B"/>
    <w:rsid w:val="00D53225"/>
    <w:rsid w:val="00D537CF"/>
    <w:rsid w:val="00D53E71"/>
    <w:rsid w:val="00D543E8"/>
    <w:rsid w:val="00D54BD7"/>
    <w:rsid w:val="00D54E99"/>
    <w:rsid w:val="00D54F88"/>
    <w:rsid w:val="00D55690"/>
    <w:rsid w:val="00D55AC3"/>
    <w:rsid w:val="00D56F46"/>
    <w:rsid w:val="00D60603"/>
    <w:rsid w:val="00D6123E"/>
    <w:rsid w:val="00D62CB7"/>
    <w:rsid w:val="00D653BA"/>
    <w:rsid w:val="00D661CE"/>
    <w:rsid w:val="00D66D39"/>
    <w:rsid w:val="00D67103"/>
    <w:rsid w:val="00D67658"/>
    <w:rsid w:val="00D70CE3"/>
    <w:rsid w:val="00D70F9F"/>
    <w:rsid w:val="00D70FEF"/>
    <w:rsid w:val="00D710C5"/>
    <w:rsid w:val="00D713C1"/>
    <w:rsid w:val="00D72842"/>
    <w:rsid w:val="00D73D33"/>
    <w:rsid w:val="00D74751"/>
    <w:rsid w:val="00D7659A"/>
    <w:rsid w:val="00D7659D"/>
    <w:rsid w:val="00D76C24"/>
    <w:rsid w:val="00D76F64"/>
    <w:rsid w:val="00D77605"/>
    <w:rsid w:val="00D77E73"/>
    <w:rsid w:val="00D80D70"/>
    <w:rsid w:val="00D816AA"/>
    <w:rsid w:val="00D81A54"/>
    <w:rsid w:val="00D84362"/>
    <w:rsid w:val="00D85035"/>
    <w:rsid w:val="00D850AD"/>
    <w:rsid w:val="00D85883"/>
    <w:rsid w:val="00D85F33"/>
    <w:rsid w:val="00D864E5"/>
    <w:rsid w:val="00D86721"/>
    <w:rsid w:val="00D87D85"/>
    <w:rsid w:val="00D90221"/>
    <w:rsid w:val="00D90296"/>
    <w:rsid w:val="00D90527"/>
    <w:rsid w:val="00D90CAF"/>
    <w:rsid w:val="00D916DF"/>
    <w:rsid w:val="00D9199C"/>
    <w:rsid w:val="00D92426"/>
    <w:rsid w:val="00D92764"/>
    <w:rsid w:val="00D940D6"/>
    <w:rsid w:val="00D94C24"/>
    <w:rsid w:val="00D951B3"/>
    <w:rsid w:val="00D9592E"/>
    <w:rsid w:val="00D96862"/>
    <w:rsid w:val="00DA0103"/>
    <w:rsid w:val="00DA0384"/>
    <w:rsid w:val="00DA0805"/>
    <w:rsid w:val="00DA088A"/>
    <w:rsid w:val="00DA203B"/>
    <w:rsid w:val="00DA3114"/>
    <w:rsid w:val="00DA35E6"/>
    <w:rsid w:val="00DA360E"/>
    <w:rsid w:val="00DA41A9"/>
    <w:rsid w:val="00DA42E6"/>
    <w:rsid w:val="00DA589B"/>
    <w:rsid w:val="00DA617C"/>
    <w:rsid w:val="00DA63AD"/>
    <w:rsid w:val="00DA6D7B"/>
    <w:rsid w:val="00DA7358"/>
    <w:rsid w:val="00DA7E1D"/>
    <w:rsid w:val="00DB02D7"/>
    <w:rsid w:val="00DB0706"/>
    <w:rsid w:val="00DB1158"/>
    <w:rsid w:val="00DB151E"/>
    <w:rsid w:val="00DB1947"/>
    <w:rsid w:val="00DB1A3D"/>
    <w:rsid w:val="00DB1AAB"/>
    <w:rsid w:val="00DB20A8"/>
    <w:rsid w:val="00DB22A5"/>
    <w:rsid w:val="00DB26B0"/>
    <w:rsid w:val="00DB30CA"/>
    <w:rsid w:val="00DB42CB"/>
    <w:rsid w:val="00DB61D7"/>
    <w:rsid w:val="00DB623D"/>
    <w:rsid w:val="00DB6A30"/>
    <w:rsid w:val="00DC0A8B"/>
    <w:rsid w:val="00DC1C74"/>
    <w:rsid w:val="00DC33FC"/>
    <w:rsid w:val="00DC38E8"/>
    <w:rsid w:val="00DC3D23"/>
    <w:rsid w:val="00DC416F"/>
    <w:rsid w:val="00DC4799"/>
    <w:rsid w:val="00DC4D55"/>
    <w:rsid w:val="00DC5A5F"/>
    <w:rsid w:val="00DC5D24"/>
    <w:rsid w:val="00DC66A1"/>
    <w:rsid w:val="00DC672B"/>
    <w:rsid w:val="00DC6D60"/>
    <w:rsid w:val="00DC6E31"/>
    <w:rsid w:val="00DC7AED"/>
    <w:rsid w:val="00DD0000"/>
    <w:rsid w:val="00DD0CEE"/>
    <w:rsid w:val="00DD16CA"/>
    <w:rsid w:val="00DD1841"/>
    <w:rsid w:val="00DD1AA5"/>
    <w:rsid w:val="00DD1E6B"/>
    <w:rsid w:val="00DD2EA0"/>
    <w:rsid w:val="00DD2EA8"/>
    <w:rsid w:val="00DD30F6"/>
    <w:rsid w:val="00DD36BC"/>
    <w:rsid w:val="00DD3F91"/>
    <w:rsid w:val="00DD4618"/>
    <w:rsid w:val="00DD604D"/>
    <w:rsid w:val="00DD6221"/>
    <w:rsid w:val="00DD7CEA"/>
    <w:rsid w:val="00DE1652"/>
    <w:rsid w:val="00DE2274"/>
    <w:rsid w:val="00DE2517"/>
    <w:rsid w:val="00DE3661"/>
    <w:rsid w:val="00DE3D1E"/>
    <w:rsid w:val="00DE4B79"/>
    <w:rsid w:val="00DE505A"/>
    <w:rsid w:val="00DE51A7"/>
    <w:rsid w:val="00DE58F5"/>
    <w:rsid w:val="00DE5AEF"/>
    <w:rsid w:val="00DE610F"/>
    <w:rsid w:val="00DE6963"/>
    <w:rsid w:val="00DE7065"/>
    <w:rsid w:val="00DE7864"/>
    <w:rsid w:val="00DF1EE8"/>
    <w:rsid w:val="00DF26D6"/>
    <w:rsid w:val="00DF2F2D"/>
    <w:rsid w:val="00DF3103"/>
    <w:rsid w:val="00DF4334"/>
    <w:rsid w:val="00DF434E"/>
    <w:rsid w:val="00DF497A"/>
    <w:rsid w:val="00DF5148"/>
    <w:rsid w:val="00DF5E40"/>
    <w:rsid w:val="00DF614D"/>
    <w:rsid w:val="00DF6A54"/>
    <w:rsid w:val="00DF6FE3"/>
    <w:rsid w:val="00DF70C8"/>
    <w:rsid w:val="00DF7A55"/>
    <w:rsid w:val="00E000F0"/>
    <w:rsid w:val="00E01119"/>
    <w:rsid w:val="00E01520"/>
    <w:rsid w:val="00E017A1"/>
    <w:rsid w:val="00E01CDD"/>
    <w:rsid w:val="00E02B7F"/>
    <w:rsid w:val="00E033F6"/>
    <w:rsid w:val="00E03E24"/>
    <w:rsid w:val="00E044F4"/>
    <w:rsid w:val="00E045A3"/>
    <w:rsid w:val="00E06C5B"/>
    <w:rsid w:val="00E06F87"/>
    <w:rsid w:val="00E06FBD"/>
    <w:rsid w:val="00E06FF4"/>
    <w:rsid w:val="00E07B9C"/>
    <w:rsid w:val="00E07D1A"/>
    <w:rsid w:val="00E10F5F"/>
    <w:rsid w:val="00E12482"/>
    <w:rsid w:val="00E1290D"/>
    <w:rsid w:val="00E13AF2"/>
    <w:rsid w:val="00E142CA"/>
    <w:rsid w:val="00E15F84"/>
    <w:rsid w:val="00E164D2"/>
    <w:rsid w:val="00E16A49"/>
    <w:rsid w:val="00E17607"/>
    <w:rsid w:val="00E177AF"/>
    <w:rsid w:val="00E17B11"/>
    <w:rsid w:val="00E20A2A"/>
    <w:rsid w:val="00E211D7"/>
    <w:rsid w:val="00E2248B"/>
    <w:rsid w:val="00E23D54"/>
    <w:rsid w:val="00E240F6"/>
    <w:rsid w:val="00E2455E"/>
    <w:rsid w:val="00E25320"/>
    <w:rsid w:val="00E2593D"/>
    <w:rsid w:val="00E25FC4"/>
    <w:rsid w:val="00E2663F"/>
    <w:rsid w:val="00E2704D"/>
    <w:rsid w:val="00E27A18"/>
    <w:rsid w:val="00E27EB9"/>
    <w:rsid w:val="00E27F85"/>
    <w:rsid w:val="00E30860"/>
    <w:rsid w:val="00E30BC2"/>
    <w:rsid w:val="00E31182"/>
    <w:rsid w:val="00E31CA4"/>
    <w:rsid w:val="00E3258E"/>
    <w:rsid w:val="00E32C57"/>
    <w:rsid w:val="00E32D82"/>
    <w:rsid w:val="00E32E57"/>
    <w:rsid w:val="00E32E6C"/>
    <w:rsid w:val="00E3360B"/>
    <w:rsid w:val="00E33F1D"/>
    <w:rsid w:val="00E34C6E"/>
    <w:rsid w:val="00E34D45"/>
    <w:rsid w:val="00E35F06"/>
    <w:rsid w:val="00E36535"/>
    <w:rsid w:val="00E36F98"/>
    <w:rsid w:val="00E3733E"/>
    <w:rsid w:val="00E376AC"/>
    <w:rsid w:val="00E378E0"/>
    <w:rsid w:val="00E37BF8"/>
    <w:rsid w:val="00E4058D"/>
    <w:rsid w:val="00E407A1"/>
    <w:rsid w:val="00E410ED"/>
    <w:rsid w:val="00E41A96"/>
    <w:rsid w:val="00E41E49"/>
    <w:rsid w:val="00E4301F"/>
    <w:rsid w:val="00E43848"/>
    <w:rsid w:val="00E43DF4"/>
    <w:rsid w:val="00E443F8"/>
    <w:rsid w:val="00E44AF7"/>
    <w:rsid w:val="00E46907"/>
    <w:rsid w:val="00E46E91"/>
    <w:rsid w:val="00E476C2"/>
    <w:rsid w:val="00E47D51"/>
    <w:rsid w:val="00E50DD3"/>
    <w:rsid w:val="00E510DF"/>
    <w:rsid w:val="00E5119C"/>
    <w:rsid w:val="00E51828"/>
    <w:rsid w:val="00E52117"/>
    <w:rsid w:val="00E53687"/>
    <w:rsid w:val="00E5389A"/>
    <w:rsid w:val="00E53A5A"/>
    <w:rsid w:val="00E5450C"/>
    <w:rsid w:val="00E54E57"/>
    <w:rsid w:val="00E54EC8"/>
    <w:rsid w:val="00E55152"/>
    <w:rsid w:val="00E559E3"/>
    <w:rsid w:val="00E55BCC"/>
    <w:rsid w:val="00E56EC7"/>
    <w:rsid w:val="00E56F43"/>
    <w:rsid w:val="00E60B7C"/>
    <w:rsid w:val="00E6368A"/>
    <w:rsid w:val="00E64F7E"/>
    <w:rsid w:val="00E6693B"/>
    <w:rsid w:val="00E66AA2"/>
    <w:rsid w:val="00E66C22"/>
    <w:rsid w:val="00E66EFC"/>
    <w:rsid w:val="00E66F57"/>
    <w:rsid w:val="00E67AFD"/>
    <w:rsid w:val="00E70B7B"/>
    <w:rsid w:val="00E70E3C"/>
    <w:rsid w:val="00E715B8"/>
    <w:rsid w:val="00E7187B"/>
    <w:rsid w:val="00E71EAD"/>
    <w:rsid w:val="00E72FEB"/>
    <w:rsid w:val="00E75624"/>
    <w:rsid w:val="00E7597D"/>
    <w:rsid w:val="00E80F84"/>
    <w:rsid w:val="00E81088"/>
    <w:rsid w:val="00E818E0"/>
    <w:rsid w:val="00E81B1F"/>
    <w:rsid w:val="00E82B2B"/>
    <w:rsid w:val="00E83002"/>
    <w:rsid w:val="00E8388E"/>
    <w:rsid w:val="00E83B02"/>
    <w:rsid w:val="00E8403D"/>
    <w:rsid w:val="00E84F72"/>
    <w:rsid w:val="00E84FD4"/>
    <w:rsid w:val="00E85203"/>
    <w:rsid w:val="00E852AD"/>
    <w:rsid w:val="00E85FD1"/>
    <w:rsid w:val="00E86708"/>
    <w:rsid w:val="00E86A7A"/>
    <w:rsid w:val="00E872B0"/>
    <w:rsid w:val="00E87551"/>
    <w:rsid w:val="00E87EF4"/>
    <w:rsid w:val="00E902C8"/>
    <w:rsid w:val="00E91668"/>
    <w:rsid w:val="00E921CE"/>
    <w:rsid w:val="00E92933"/>
    <w:rsid w:val="00E939C4"/>
    <w:rsid w:val="00E9411A"/>
    <w:rsid w:val="00E94FB4"/>
    <w:rsid w:val="00E95233"/>
    <w:rsid w:val="00E95E15"/>
    <w:rsid w:val="00E96CC7"/>
    <w:rsid w:val="00E96E81"/>
    <w:rsid w:val="00E9708D"/>
    <w:rsid w:val="00E971F7"/>
    <w:rsid w:val="00EA0A56"/>
    <w:rsid w:val="00EA1658"/>
    <w:rsid w:val="00EA1FAE"/>
    <w:rsid w:val="00EA2034"/>
    <w:rsid w:val="00EA2238"/>
    <w:rsid w:val="00EA47C9"/>
    <w:rsid w:val="00EA59AD"/>
    <w:rsid w:val="00EA5B0B"/>
    <w:rsid w:val="00EA5C30"/>
    <w:rsid w:val="00EA6BEC"/>
    <w:rsid w:val="00EA6E35"/>
    <w:rsid w:val="00EA7BF7"/>
    <w:rsid w:val="00EB0194"/>
    <w:rsid w:val="00EB05EA"/>
    <w:rsid w:val="00EB0A5B"/>
    <w:rsid w:val="00EB19AA"/>
    <w:rsid w:val="00EB1B26"/>
    <w:rsid w:val="00EB1E70"/>
    <w:rsid w:val="00EB2A6E"/>
    <w:rsid w:val="00EB3129"/>
    <w:rsid w:val="00EB3130"/>
    <w:rsid w:val="00EB3187"/>
    <w:rsid w:val="00EB3DB5"/>
    <w:rsid w:val="00EB40A6"/>
    <w:rsid w:val="00EB464B"/>
    <w:rsid w:val="00EB526A"/>
    <w:rsid w:val="00EB6E9A"/>
    <w:rsid w:val="00EB7237"/>
    <w:rsid w:val="00EB7323"/>
    <w:rsid w:val="00EB7B92"/>
    <w:rsid w:val="00EC010F"/>
    <w:rsid w:val="00EC0B07"/>
    <w:rsid w:val="00EC0CC2"/>
    <w:rsid w:val="00EC12A3"/>
    <w:rsid w:val="00EC1E53"/>
    <w:rsid w:val="00EC2D6E"/>
    <w:rsid w:val="00EC3186"/>
    <w:rsid w:val="00EC35A8"/>
    <w:rsid w:val="00EC35DD"/>
    <w:rsid w:val="00EC3B86"/>
    <w:rsid w:val="00EC3D9C"/>
    <w:rsid w:val="00EC43EC"/>
    <w:rsid w:val="00EC526A"/>
    <w:rsid w:val="00EC5B09"/>
    <w:rsid w:val="00EC5B42"/>
    <w:rsid w:val="00EC6534"/>
    <w:rsid w:val="00EC7061"/>
    <w:rsid w:val="00EC785E"/>
    <w:rsid w:val="00EC7D17"/>
    <w:rsid w:val="00ED08BB"/>
    <w:rsid w:val="00ED0B09"/>
    <w:rsid w:val="00ED14F8"/>
    <w:rsid w:val="00ED3949"/>
    <w:rsid w:val="00ED3BA0"/>
    <w:rsid w:val="00ED3D7D"/>
    <w:rsid w:val="00ED453E"/>
    <w:rsid w:val="00ED489F"/>
    <w:rsid w:val="00ED4A5B"/>
    <w:rsid w:val="00ED5173"/>
    <w:rsid w:val="00ED6F3F"/>
    <w:rsid w:val="00EE02FA"/>
    <w:rsid w:val="00EE0557"/>
    <w:rsid w:val="00EE0630"/>
    <w:rsid w:val="00EE0733"/>
    <w:rsid w:val="00EE1A09"/>
    <w:rsid w:val="00EE2305"/>
    <w:rsid w:val="00EE352A"/>
    <w:rsid w:val="00EE3808"/>
    <w:rsid w:val="00EE3EF6"/>
    <w:rsid w:val="00EE5431"/>
    <w:rsid w:val="00EE65F3"/>
    <w:rsid w:val="00EE6981"/>
    <w:rsid w:val="00EE7442"/>
    <w:rsid w:val="00EE7F4B"/>
    <w:rsid w:val="00EF00CE"/>
    <w:rsid w:val="00EF0ADA"/>
    <w:rsid w:val="00EF0AEF"/>
    <w:rsid w:val="00EF0D5E"/>
    <w:rsid w:val="00EF1F2C"/>
    <w:rsid w:val="00EF3C47"/>
    <w:rsid w:val="00EF5D9E"/>
    <w:rsid w:val="00EF6464"/>
    <w:rsid w:val="00EF79F8"/>
    <w:rsid w:val="00EF7ABE"/>
    <w:rsid w:val="00EF7E57"/>
    <w:rsid w:val="00F00D7B"/>
    <w:rsid w:val="00F00E11"/>
    <w:rsid w:val="00F01A07"/>
    <w:rsid w:val="00F0286D"/>
    <w:rsid w:val="00F0291A"/>
    <w:rsid w:val="00F02973"/>
    <w:rsid w:val="00F02C6D"/>
    <w:rsid w:val="00F02E26"/>
    <w:rsid w:val="00F044F4"/>
    <w:rsid w:val="00F04CA1"/>
    <w:rsid w:val="00F05086"/>
    <w:rsid w:val="00F055DC"/>
    <w:rsid w:val="00F05796"/>
    <w:rsid w:val="00F05FF9"/>
    <w:rsid w:val="00F061D9"/>
    <w:rsid w:val="00F062F1"/>
    <w:rsid w:val="00F06D16"/>
    <w:rsid w:val="00F07C78"/>
    <w:rsid w:val="00F07F53"/>
    <w:rsid w:val="00F110AA"/>
    <w:rsid w:val="00F11731"/>
    <w:rsid w:val="00F12E6A"/>
    <w:rsid w:val="00F13057"/>
    <w:rsid w:val="00F13098"/>
    <w:rsid w:val="00F13A3A"/>
    <w:rsid w:val="00F14AB5"/>
    <w:rsid w:val="00F14AFA"/>
    <w:rsid w:val="00F14D0F"/>
    <w:rsid w:val="00F15870"/>
    <w:rsid w:val="00F16062"/>
    <w:rsid w:val="00F170A3"/>
    <w:rsid w:val="00F174C8"/>
    <w:rsid w:val="00F1791D"/>
    <w:rsid w:val="00F17F47"/>
    <w:rsid w:val="00F2065C"/>
    <w:rsid w:val="00F20E27"/>
    <w:rsid w:val="00F20EA1"/>
    <w:rsid w:val="00F21299"/>
    <w:rsid w:val="00F218AF"/>
    <w:rsid w:val="00F22687"/>
    <w:rsid w:val="00F228F2"/>
    <w:rsid w:val="00F237B9"/>
    <w:rsid w:val="00F23C19"/>
    <w:rsid w:val="00F245C3"/>
    <w:rsid w:val="00F24DE1"/>
    <w:rsid w:val="00F25500"/>
    <w:rsid w:val="00F25C35"/>
    <w:rsid w:val="00F25D3E"/>
    <w:rsid w:val="00F2640C"/>
    <w:rsid w:val="00F2737A"/>
    <w:rsid w:val="00F30CDD"/>
    <w:rsid w:val="00F318BA"/>
    <w:rsid w:val="00F31921"/>
    <w:rsid w:val="00F35C0C"/>
    <w:rsid w:val="00F366A4"/>
    <w:rsid w:val="00F36E38"/>
    <w:rsid w:val="00F37709"/>
    <w:rsid w:val="00F37D3A"/>
    <w:rsid w:val="00F419B3"/>
    <w:rsid w:val="00F424FE"/>
    <w:rsid w:val="00F428FF"/>
    <w:rsid w:val="00F43002"/>
    <w:rsid w:val="00F43244"/>
    <w:rsid w:val="00F43C0F"/>
    <w:rsid w:val="00F44381"/>
    <w:rsid w:val="00F449D2"/>
    <w:rsid w:val="00F44EFD"/>
    <w:rsid w:val="00F45066"/>
    <w:rsid w:val="00F4728A"/>
    <w:rsid w:val="00F4770A"/>
    <w:rsid w:val="00F509BC"/>
    <w:rsid w:val="00F50B5D"/>
    <w:rsid w:val="00F50C48"/>
    <w:rsid w:val="00F52088"/>
    <w:rsid w:val="00F5252C"/>
    <w:rsid w:val="00F52836"/>
    <w:rsid w:val="00F52EA3"/>
    <w:rsid w:val="00F534E0"/>
    <w:rsid w:val="00F542F1"/>
    <w:rsid w:val="00F55175"/>
    <w:rsid w:val="00F55524"/>
    <w:rsid w:val="00F55890"/>
    <w:rsid w:val="00F559C2"/>
    <w:rsid w:val="00F56B4E"/>
    <w:rsid w:val="00F575A3"/>
    <w:rsid w:val="00F577E6"/>
    <w:rsid w:val="00F5790D"/>
    <w:rsid w:val="00F57BA4"/>
    <w:rsid w:val="00F57F49"/>
    <w:rsid w:val="00F602D6"/>
    <w:rsid w:val="00F60BBB"/>
    <w:rsid w:val="00F60D56"/>
    <w:rsid w:val="00F61B65"/>
    <w:rsid w:val="00F6267D"/>
    <w:rsid w:val="00F62906"/>
    <w:rsid w:val="00F62BC9"/>
    <w:rsid w:val="00F62D26"/>
    <w:rsid w:val="00F62DA1"/>
    <w:rsid w:val="00F6309C"/>
    <w:rsid w:val="00F634BA"/>
    <w:rsid w:val="00F650EE"/>
    <w:rsid w:val="00F65136"/>
    <w:rsid w:val="00F655CB"/>
    <w:rsid w:val="00F65999"/>
    <w:rsid w:val="00F70638"/>
    <w:rsid w:val="00F722B9"/>
    <w:rsid w:val="00F72552"/>
    <w:rsid w:val="00F72ADB"/>
    <w:rsid w:val="00F74438"/>
    <w:rsid w:val="00F7508E"/>
    <w:rsid w:val="00F754B7"/>
    <w:rsid w:val="00F756C5"/>
    <w:rsid w:val="00F7599B"/>
    <w:rsid w:val="00F75EA1"/>
    <w:rsid w:val="00F760F8"/>
    <w:rsid w:val="00F7684E"/>
    <w:rsid w:val="00F776E2"/>
    <w:rsid w:val="00F77BF6"/>
    <w:rsid w:val="00F77E47"/>
    <w:rsid w:val="00F80B82"/>
    <w:rsid w:val="00F81163"/>
    <w:rsid w:val="00F82E6E"/>
    <w:rsid w:val="00F832EE"/>
    <w:rsid w:val="00F836C6"/>
    <w:rsid w:val="00F841AD"/>
    <w:rsid w:val="00F85398"/>
    <w:rsid w:val="00F85C7E"/>
    <w:rsid w:val="00F86543"/>
    <w:rsid w:val="00F86553"/>
    <w:rsid w:val="00F90837"/>
    <w:rsid w:val="00F90993"/>
    <w:rsid w:val="00F921BD"/>
    <w:rsid w:val="00F93903"/>
    <w:rsid w:val="00F93957"/>
    <w:rsid w:val="00F9397A"/>
    <w:rsid w:val="00F94401"/>
    <w:rsid w:val="00F94F97"/>
    <w:rsid w:val="00F958FE"/>
    <w:rsid w:val="00F96BFB"/>
    <w:rsid w:val="00FA0FB9"/>
    <w:rsid w:val="00FA1903"/>
    <w:rsid w:val="00FA2F22"/>
    <w:rsid w:val="00FA3561"/>
    <w:rsid w:val="00FA5D5F"/>
    <w:rsid w:val="00FA66D3"/>
    <w:rsid w:val="00FA727E"/>
    <w:rsid w:val="00FA787D"/>
    <w:rsid w:val="00FB00BB"/>
    <w:rsid w:val="00FB0CFF"/>
    <w:rsid w:val="00FB0E2B"/>
    <w:rsid w:val="00FB135B"/>
    <w:rsid w:val="00FB22E0"/>
    <w:rsid w:val="00FB2357"/>
    <w:rsid w:val="00FB33F9"/>
    <w:rsid w:val="00FB342A"/>
    <w:rsid w:val="00FB5066"/>
    <w:rsid w:val="00FB59BF"/>
    <w:rsid w:val="00FB69A0"/>
    <w:rsid w:val="00FB6D51"/>
    <w:rsid w:val="00FC0661"/>
    <w:rsid w:val="00FC0856"/>
    <w:rsid w:val="00FC14AA"/>
    <w:rsid w:val="00FC2132"/>
    <w:rsid w:val="00FC257D"/>
    <w:rsid w:val="00FC26A2"/>
    <w:rsid w:val="00FC2B44"/>
    <w:rsid w:val="00FC3725"/>
    <w:rsid w:val="00FC4C11"/>
    <w:rsid w:val="00FC4CC8"/>
    <w:rsid w:val="00FC4DC6"/>
    <w:rsid w:val="00FC507D"/>
    <w:rsid w:val="00FC535F"/>
    <w:rsid w:val="00FC645A"/>
    <w:rsid w:val="00FC67CC"/>
    <w:rsid w:val="00FD01BD"/>
    <w:rsid w:val="00FD0B0C"/>
    <w:rsid w:val="00FD139E"/>
    <w:rsid w:val="00FD1F09"/>
    <w:rsid w:val="00FD3036"/>
    <w:rsid w:val="00FD44D8"/>
    <w:rsid w:val="00FD4EBE"/>
    <w:rsid w:val="00FD73F3"/>
    <w:rsid w:val="00FD7AA4"/>
    <w:rsid w:val="00FE03BE"/>
    <w:rsid w:val="00FE1FF8"/>
    <w:rsid w:val="00FE35D5"/>
    <w:rsid w:val="00FE4CC0"/>
    <w:rsid w:val="00FE5CAC"/>
    <w:rsid w:val="00FE62C3"/>
    <w:rsid w:val="00FE6E2B"/>
    <w:rsid w:val="00FF008D"/>
    <w:rsid w:val="00FF0330"/>
    <w:rsid w:val="00FF11F0"/>
    <w:rsid w:val="00FF185C"/>
    <w:rsid w:val="00FF1DC1"/>
    <w:rsid w:val="00FF22AF"/>
    <w:rsid w:val="00FF278C"/>
    <w:rsid w:val="00FF27B5"/>
    <w:rsid w:val="00FF452A"/>
    <w:rsid w:val="00FF49CA"/>
    <w:rsid w:val="00FF5552"/>
    <w:rsid w:val="00FF5BF1"/>
    <w:rsid w:val="00FF6B8B"/>
    <w:rsid w:val="00FF7F05"/>
    <w:rsid w:val="01180B1A"/>
    <w:rsid w:val="01556140"/>
    <w:rsid w:val="0169065F"/>
    <w:rsid w:val="019329D2"/>
    <w:rsid w:val="0198245E"/>
    <w:rsid w:val="01A5473C"/>
    <w:rsid w:val="01B56966"/>
    <w:rsid w:val="01B666C0"/>
    <w:rsid w:val="01BB03CB"/>
    <w:rsid w:val="01C12D51"/>
    <w:rsid w:val="01E74868"/>
    <w:rsid w:val="01E74ACC"/>
    <w:rsid w:val="01ED64F3"/>
    <w:rsid w:val="020B061F"/>
    <w:rsid w:val="02173256"/>
    <w:rsid w:val="021A4193"/>
    <w:rsid w:val="021A7F77"/>
    <w:rsid w:val="02560075"/>
    <w:rsid w:val="025B46E8"/>
    <w:rsid w:val="025E5570"/>
    <w:rsid w:val="0261487E"/>
    <w:rsid w:val="0262456B"/>
    <w:rsid w:val="026B140F"/>
    <w:rsid w:val="026C1AB2"/>
    <w:rsid w:val="0274471F"/>
    <w:rsid w:val="02782414"/>
    <w:rsid w:val="027C11BE"/>
    <w:rsid w:val="028D7189"/>
    <w:rsid w:val="028E4F47"/>
    <w:rsid w:val="0296725B"/>
    <w:rsid w:val="02A01893"/>
    <w:rsid w:val="02A841C4"/>
    <w:rsid w:val="02AC0EC8"/>
    <w:rsid w:val="02BC09DD"/>
    <w:rsid w:val="02CB4D2D"/>
    <w:rsid w:val="02CC550B"/>
    <w:rsid w:val="02D07F79"/>
    <w:rsid w:val="02D97A2B"/>
    <w:rsid w:val="02DC5CB3"/>
    <w:rsid w:val="02E307CF"/>
    <w:rsid w:val="02E62FD5"/>
    <w:rsid w:val="02F8486D"/>
    <w:rsid w:val="03095E15"/>
    <w:rsid w:val="031711B5"/>
    <w:rsid w:val="03175ED5"/>
    <w:rsid w:val="03222CA7"/>
    <w:rsid w:val="032E4A1C"/>
    <w:rsid w:val="03353D48"/>
    <w:rsid w:val="03597263"/>
    <w:rsid w:val="0361265C"/>
    <w:rsid w:val="03681C3C"/>
    <w:rsid w:val="03A5079A"/>
    <w:rsid w:val="03AB0F0F"/>
    <w:rsid w:val="03BD58D6"/>
    <w:rsid w:val="03C35D8D"/>
    <w:rsid w:val="03E06FD0"/>
    <w:rsid w:val="03E42709"/>
    <w:rsid w:val="0400767D"/>
    <w:rsid w:val="0403735E"/>
    <w:rsid w:val="040D583E"/>
    <w:rsid w:val="0416567B"/>
    <w:rsid w:val="044E593C"/>
    <w:rsid w:val="045142A5"/>
    <w:rsid w:val="04663D7B"/>
    <w:rsid w:val="046B2354"/>
    <w:rsid w:val="04714B20"/>
    <w:rsid w:val="047B0E94"/>
    <w:rsid w:val="047E62B8"/>
    <w:rsid w:val="04855105"/>
    <w:rsid w:val="04893C18"/>
    <w:rsid w:val="048E6DA9"/>
    <w:rsid w:val="048F0AFE"/>
    <w:rsid w:val="049671D5"/>
    <w:rsid w:val="04A32F8A"/>
    <w:rsid w:val="04C055FE"/>
    <w:rsid w:val="04C9670A"/>
    <w:rsid w:val="04D27CEA"/>
    <w:rsid w:val="04DA1708"/>
    <w:rsid w:val="04DA3982"/>
    <w:rsid w:val="04DD72E3"/>
    <w:rsid w:val="04ED0932"/>
    <w:rsid w:val="04F03879"/>
    <w:rsid w:val="04FC2E83"/>
    <w:rsid w:val="05012DD7"/>
    <w:rsid w:val="05017B46"/>
    <w:rsid w:val="050339C8"/>
    <w:rsid w:val="050D22F6"/>
    <w:rsid w:val="051260E5"/>
    <w:rsid w:val="052B2732"/>
    <w:rsid w:val="05386477"/>
    <w:rsid w:val="05400010"/>
    <w:rsid w:val="0553092A"/>
    <w:rsid w:val="056463C7"/>
    <w:rsid w:val="05735DA4"/>
    <w:rsid w:val="057D5D0B"/>
    <w:rsid w:val="05826D9A"/>
    <w:rsid w:val="059003FC"/>
    <w:rsid w:val="05B71BE0"/>
    <w:rsid w:val="05B739CA"/>
    <w:rsid w:val="05B85D71"/>
    <w:rsid w:val="05D55D5E"/>
    <w:rsid w:val="05E87F02"/>
    <w:rsid w:val="05EA7DDC"/>
    <w:rsid w:val="06027784"/>
    <w:rsid w:val="06164BD3"/>
    <w:rsid w:val="061D795C"/>
    <w:rsid w:val="061F1504"/>
    <w:rsid w:val="062B5C75"/>
    <w:rsid w:val="062C6DDC"/>
    <w:rsid w:val="06440E5A"/>
    <w:rsid w:val="064C13A1"/>
    <w:rsid w:val="065633EB"/>
    <w:rsid w:val="065C762A"/>
    <w:rsid w:val="066A4214"/>
    <w:rsid w:val="0670142E"/>
    <w:rsid w:val="06800158"/>
    <w:rsid w:val="06AB3BDA"/>
    <w:rsid w:val="06BF627D"/>
    <w:rsid w:val="06BF6A5D"/>
    <w:rsid w:val="06D61587"/>
    <w:rsid w:val="06DC0977"/>
    <w:rsid w:val="06DE1539"/>
    <w:rsid w:val="06F27500"/>
    <w:rsid w:val="06F50A69"/>
    <w:rsid w:val="072C54E4"/>
    <w:rsid w:val="0731103E"/>
    <w:rsid w:val="07481042"/>
    <w:rsid w:val="076369A2"/>
    <w:rsid w:val="07657C85"/>
    <w:rsid w:val="07753F60"/>
    <w:rsid w:val="07844763"/>
    <w:rsid w:val="07872CE7"/>
    <w:rsid w:val="078B6F7D"/>
    <w:rsid w:val="07972A1D"/>
    <w:rsid w:val="079926E5"/>
    <w:rsid w:val="079B478D"/>
    <w:rsid w:val="07A4385F"/>
    <w:rsid w:val="07A93D67"/>
    <w:rsid w:val="07B943D8"/>
    <w:rsid w:val="07BD5DBF"/>
    <w:rsid w:val="07BF77DD"/>
    <w:rsid w:val="07C5115E"/>
    <w:rsid w:val="07CB25FF"/>
    <w:rsid w:val="07CD1207"/>
    <w:rsid w:val="07CF35B6"/>
    <w:rsid w:val="07E14F7E"/>
    <w:rsid w:val="07EF468E"/>
    <w:rsid w:val="07F87DE0"/>
    <w:rsid w:val="07FF4D31"/>
    <w:rsid w:val="080D1E8A"/>
    <w:rsid w:val="080E608B"/>
    <w:rsid w:val="081756DA"/>
    <w:rsid w:val="082B1C77"/>
    <w:rsid w:val="082F3E47"/>
    <w:rsid w:val="0835226D"/>
    <w:rsid w:val="083849AF"/>
    <w:rsid w:val="084E39A6"/>
    <w:rsid w:val="086D796B"/>
    <w:rsid w:val="08C03565"/>
    <w:rsid w:val="08C33C87"/>
    <w:rsid w:val="08DE579F"/>
    <w:rsid w:val="09077801"/>
    <w:rsid w:val="09106EFC"/>
    <w:rsid w:val="096F45D4"/>
    <w:rsid w:val="09755D2F"/>
    <w:rsid w:val="098848E6"/>
    <w:rsid w:val="09B43D70"/>
    <w:rsid w:val="09DB0259"/>
    <w:rsid w:val="09E342D1"/>
    <w:rsid w:val="09F76469"/>
    <w:rsid w:val="0A3048AC"/>
    <w:rsid w:val="0A393DA8"/>
    <w:rsid w:val="0A461F3C"/>
    <w:rsid w:val="0A554696"/>
    <w:rsid w:val="0A5825D5"/>
    <w:rsid w:val="0A6177E7"/>
    <w:rsid w:val="0A7F6606"/>
    <w:rsid w:val="0A84084D"/>
    <w:rsid w:val="0A8852CF"/>
    <w:rsid w:val="0A8D7B8D"/>
    <w:rsid w:val="0A964BFA"/>
    <w:rsid w:val="0A972924"/>
    <w:rsid w:val="0AAD0649"/>
    <w:rsid w:val="0AB7256F"/>
    <w:rsid w:val="0ABD1A37"/>
    <w:rsid w:val="0ACD1CE1"/>
    <w:rsid w:val="0AD02C23"/>
    <w:rsid w:val="0AE018CB"/>
    <w:rsid w:val="0AF77769"/>
    <w:rsid w:val="0B1622F3"/>
    <w:rsid w:val="0B196461"/>
    <w:rsid w:val="0B2F54E8"/>
    <w:rsid w:val="0B431EA3"/>
    <w:rsid w:val="0B4D33F1"/>
    <w:rsid w:val="0B790E11"/>
    <w:rsid w:val="0B8056D9"/>
    <w:rsid w:val="0B934390"/>
    <w:rsid w:val="0BEE2E88"/>
    <w:rsid w:val="0BF3024D"/>
    <w:rsid w:val="0BF5457B"/>
    <w:rsid w:val="0C006D79"/>
    <w:rsid w:val="0C007A5B"/>
    <w:rsid w:val="0C0D4688"/>
    <w:rsid w:val="0C137037"/>
    <w:rsid w:val="0C351BB7"/>
    <w:rsid w:val="0C3F2D45"/>
    <w:rsid w:val="0C48085D"/>
    <w:rsid w:val="0C692CAD"/>
    <w:rsid w:val="0C700F92"/>
    <w:rsid w:val="0C946A5E"/>
    <w:rsid w:val="0C9A2B2D"/>
    <w:rsid w:val="0C9E1102"/>
    <w:rsid w:val="0CB2174E"/>
    <w:rsid w:val="0CB420DC"/>
    <w:rsid w:val="0CCA04AF"/>
    <w:rsid w:val="0CD429D0"/>
    <w:rsid w:val="0CD650A1"/>
    <w:rsid w:val="0CD86C08"/>
    <w:rsid w:val="0CE25D75"/>
    <w:rsid w:val="0CFA155A"/>
    <w:rsid w:val="0D004C93"/>
    <w:rsid w:val="0D0526BA"/>
    <w:rsid w:val="0D0874B9"/>
    <w:rsid w:val="0D3C60E0"/>
    <w:rsid w:val="0D57274B"/>
    <w:rsid w:val="0D650C37"/>
    <w:rsid w:val="0DA3593D"/>
    <w:rsid w:val="0DB732EF"/>
    <w:rsid w:val="0DBC4644"/>
    <w:rsid w:val="0DBC47C6"/>
    <w:rsid w:val="0DC108C7"/>
    <w:rsid w:val="0DC4533C"/>
    <w:rsid w:val="0DE7757C"/>
    <w:rsid w:val="0E00661D"/>
    <w:rsid w:val="0E2523D3"/>
    <w:rsid w:val="0E291CFB"/>
    <w:rsid w:val="0E2948E1"/>
    <w:rsid w:val="0E2A1FC8"/>
    <w:rsid w:val="0E357A8C"/>
    <w:rsid w:val="0E4077EF"/>
    <w:rsid w:val="0E4756E1"/>
    <w:rsid w:val="0E521483"/>
    <w:rsid w:val="0E5600F2"/>
    <w:rsid w:val="0E5B4877"/>
    <w:rsid w:val="0E613F23"/>
    <w:rsid w:val="0E6A22A4"/>
    <w:rsid w:val="0E72396F"/>
    <w:rsid w:val="0E7E2137"/>
    <w:rsid w:val="0E996911"/>
    <w:rsid w:val="0EA01FE8"/>
    <w:rsid w:val="0EBC1079"/>
    <w:rsid w:val="0EC87299"/>
    <w:rsid w:val="0ECA62D4"/>
    <w:rsid w:val="0ECC307F"/>
    <w:rsid w:val="0EDF7FC4"/>
    <w:rsid w:val="0EE42B24"/>
    <w:rsid w:val="0EE6399A"/>
    <w:rsid w:val="0EF172EB"/>
    <w:rsid w:val="0F132CE6"/>
    <w:rsid w:val="0F427144"/>
    <w:rsid w:val="0F4B635C"/>
    <w:rsid w:val="0F546367"/>
    <w:rsid w:val="0F5971A9"/>
    <w:rsid w:val="0F616F92"/>
    <w:rsid w:val="0F73174D"/>
    <w:rsid w:val="0F772EAA"/>
    <w:rsid w:val="0F784FB5"/>
    <w:rsid w:val="0F785333"/>
    <w:rsid w:val="0F8676D2"/>
    <w:rsid w:val="0FA6361E"/>
    <w:rsid w:val="0FC4644C"/>
    <w:rsid w:val="0FCB35C3"/>
    <w:rsid w:val="0FD22917"/>
    <w:rsid w:val="0FF137B6"/>
    <w:rsid w:val="0FF30760"/>
    <w:rsid w:val="0FF94B4B"/>
    <w:rsid w:val="100A79D5"/>
    <w:rsid w:val="101A223A"/>
    <w:rsid w:val="10201FC1"/>
    <w:rsid w:val="1020640F"/>
    <w:rsid w:val="10482F30"/>
    <w:rsid w:val="105E5C41"/>
    <w:rsid w:val="10631B5B"/>
    <w:rsid w:val="106C1138"/>
    <w:rsid w:val="106E3076"/>
    <w:rsid w:val="10735E28"/>
    <w:rsid w:val="1088747A"/>
    <w:rsid w:val="10933A1A"/>
    <w:rsid w:val="10953815"/>
    <w:rsid w:val="109A0F5B"/>
    <w:rsid w:val="10A45194"/>
    <w:rsid w:val="10BC1B14"/>
    <w:rsid w:val="10BF27EB"/>
    <w:rsid w:val="10CF50A9"/>
    <w:rsid w:val="10EC519C"/>
    <w:rsid w:val="10EF4030"/>
    <w:rsid w:val="10F1536D"/>
    <w:rsid w:val="10F27F80"/>
    <w:rsid w:val="10FF652D"/>
    <w:rsid w:val="11050D97"/>
    <w:rsid w:val="11142D86"/>
    <w:rsid w:val="111B3E01"/>
    <w:rsid w:val="11213EA8"/>
    <w:rsid w:val="113D1CA3"/>
    <w:rsid w:val="11432835"/>
    <w:rsid w:val="115348AA"/>
    <w:rsid w:val="11671785"/>
    <w:rsid w:val="116C1205"/>
    <w:rsid w:val="116D3ADA"/>
    <w:rsid w:val="11727F65"/>
    <w:rsid w:val="11826C6A"/>
    <w:rsid w:val="119065D9"/>
    <w:rsid w:val="11AE6A79"/>
    <w:rsid w:val="11D61CAA"/>
    <w:rsid w:val="11E7721B"/>
    <w:rsid w:val="11E9506F"/>
    <w:rsid w:val="11EE1F77"/>
    <w:rsid w:val="12072EA1"/>
    <w:rsid w:val="1207412A"/>
    <w:rsid w:val="121120CE"/>
    <w:rsid w:val="121C165A"/>
    <w:rsid w:val="121D1B58"/>
    <w:rsid w:val="12382EB4"/>
    <w:rsid w:val="123A52BC"/>
    <w:rsid w:val="124758C0"/>
    <w:rsid w:val="12563F47"/>
    <w:rsid w:val="12695089"/>
    <w:rsid w:val="126959DD"/>
    <w:rsid w:val="129F4623"/>
    <w:rsid w:val="12B96D41"/>
    <w:rsid w:val="12BF4080"/>
    <w:rsid w:val="12D35128"/>
    <w:rsid w:val="12E10D47"/>
    <w:rsid w:val="12FF3991"/>
    <w:rsid w:val="13066723"/>
    <w:rsid w:val="130E4375"/>
    <w:rsid w:val="130F3E82"/>
    <w:rsid w:val="131B272D"/>
    <w:rsid w:val="1322397E"/>
    <w:rsid w:val="1338365F"/>
    <w:rsid w:val="133A1F99"/>
    <w:rsid w:val="134F24D1"/>
    <w:rsid w:val="135F2F97"/>
    <w:rsid w:val="13600CB3"/>
    <w:rsid w:val="137E17B0"/>
    <w:rsid w:val="138F10CE"/>
    <w:rsid w:val="1392675C"/>
    <w:rsid w:val="139532F9"/>
    <w:rsid w:val="139E2427"/>
    <w:rsid w:val="13BB2C32"/>
    <w:rsid w:val="13C36F49"/>
    <w:rsid w:val="13CB385B"/>
    <w:rsid w:val="13D15807"/>
    <w:rsid w:val="13D853DB"/>
    <w:rsid w:val="13E5766F"/>
    <w:rsid w:val="13E6582D"/>
    <w:rsid w:val="13F145D4"/>
    <w:rsid w:val="1401565F"/>
    <w:rsid w:val="141254B3"/>
    <w:rsid w:val="14202E73"/>
    <w:rsid w:val="142D012C"/>
    <w:rsid w:val="14303889"/>
    <w:rsid w:val="1431010F"/>
    <w:rsid w:val="14463D5E"/>
    <w:rsid w:val="145F062C"/>
    <w:rsid w:val="14662664"/>
    <w:rsid w:val="147667E7"/>
    <w:rsid w:val="148F08B2"/>
    <w:rsid w:val="14A5590C"/>
    <w:rsid w:val="14AF64EE"/>
    <w:rsid w:val="14B8795C"/>
    <w:rsid w:val="14B97C4F"/>
    <w:rsid w:val="14C939D8"/>
    <w:rsid w:val="14D91526"/>
    <w:rsid w:val="14E723A1"/>
    <w:rsid w:val="14FA3656"/>
    <w:rsid w:val="14FB4178"/>
    <w:rsid w:val="14FE2CE1"/>
    <w:rsid w:val="15021A2E"/>
    <w:rsid w:val="150E47F9"/>
    <w:rsid w:val="150F5D5C"/>
    <w:rsid w:val="154C6ADD"/>
    <w:rsid w:val="154F0BB2"/>
    <w:rsid w:val="15621433"/>
    <w:rsid w:val="15726B7F"/>
    <w:rsid w:val="15755E45"/>
    <w:rsid w:val="15833954"/>
    <w:rsid w:val="15842905"/>
    <w:rsid w:val="15847D07"/>
    <w:rsid w:val="15892B60"/>
    <w:rsid w:val="15AE6574"/>
    <w:rsid w:val="15C02C3D"/>
    <w:rsid w:val="15D475FF"/>
    <w:rsid w:val="15EA273C"/>
    <w:rsid w:val="15F1746A"/>
    <w:rsid w:val="15FC044E"/>
    <w:rsid w:val="162C6439"/>
    <w:rsid w:val="166D5C91"/>
    <w:rsid w:val="166F6CB3"/>
    <w:rsid w:val="16730B55"/>
    <w:rsid w:val="16787AFE"/>
    <w:rsid w:val="168129A1"/>
    <w:rsid w:val="168D5CC1"/>
    <w:rsid w:val="16C3745D"/>
    <w:rsid w:val="16C70555"/>
    <w:rsid w:val="16D43D9D"/>
    <w:rsid w:val="16DD3690"/>
    <w:rsid w:val="16DE41CA"/>
    <w:rsid w:val="16E00C15"/>
    <w:rsid w:val="16F71208"/>
    <w:rsid w:val="16FB32A6"/>
    <w:rsid w:val="17017F86"/>
    <w:rsid w:val="170F7779"/>
    <w:rsid w:val="1720357C"/>
    <w:rsid w:val="17252504"/>
    <w:rsid w:val="17292E3E"/>
    <w:rsid w:val="174A444F"/>
    <w:rsid w:val="17610B4F"/>
    <w:rsid w:val="17664374"/>
    <w:rsid w:val="176A46BD"/>
    <w:rsid w:val="176C6C24"/>
    <w:rsid w:val="176E11C2"/>
    <w:rsid w:val="17771445"/>
    <w:rsid w:val="177E5132"/>
    <w:rsid w:val="178C2F23"/>
    <w:rsid w:val="17920BFD"/>
    <w:rsid w:val="17A0154D"/>
    <w:rsid w:val="17B35A66"/>
    <w:rsid w:val="17B55537"/>
    <w:rsid w:val="17C07C59"/>
    <w:rsid w:val="17D45763"/>
    <w:rsid w:val="17E32729"/>
    <w:rsid w:val="1804162A"/>
    <w:rsid w:val="18160E17"/>
    <w:rsid w:val="18187335"/>
    <w:rsid w:val="18251200"/>
    <w:rsid w:val="1833394E"/>
    <w:rsid w:val="183B2650"/>
    <w:rsid w:val="185A48ED"/>
    <w:rsid w:val="185D7391"/>
    <w:rsid w:val="186324A0"/>
    <w:rsid w:val="18633E47"/>
    <w:rsid w:val="1883086C"/>
    <w:rsid w:val="18876269"/>
    <w:rsid w:val="188A3673"/>
    <w:rsid w:val="18953D2D"/>
    <w:rsid w:val="189A181B"/>
    <w:rsid w:val="189E7942"/>
    <w:rsid w:val="18AA52DA"/>
    <w:rsid w:val="18BC23B6"/>
    <w:rsid w:val="18BF1EA7"/>
    <w:rsid w:val="18C46704"/>
    <w:rsid w:val="18D55226"/>
    <w:rsid w:val="18DB577D"/>
    <w:rsid w:val="18DC3664"/>
    <w:rsid w:val="18E731C8"/>
    <w:rsid w:val="18FB24C5"/>
    <w:rsid w:val="190653E0"/>
    <w:rsid w:val="191B6E9B"/>
    <w:rsid w:val="19496DA2"/>
    <w:rsid w:val="195F6442"/>
    <w:rsid w:val="196547FC"/>
    <w:rsid w:val="19813589"/>
    <w:rsid w:val="19B23C2F"/>
    <w:rsid w:val="19B83F22"/>
    <w:rsid w:val="19C867C9"/>
    <w:rsid w:val="19EC77E6"/>
    <w:rsid w:val="19EE6437"/>
    <w:rsid w:val="19EF37ED"/>
    <w:rsid w:val="1A0C111B"/>
    <w:rsid w:val="1A200C53"/>
    <w:rsid w:val="1A253CB6"/>
    <w:rsid w:val="1A46653A"/>
    <w:rsid w:val="1A6356AC"/>
    <w:rsid w:val="1A7F5449"/>
    <w:rsid w:val="1A830A51"/>
    <w:rsid w:val="1A831654"/>
    <w:rsid w:val="1A8B6100"/>
    <w:rsid w:val="1A8C739D"/>
    <w:rsid w:val="1A934634"/>
    <w:rsid w:val="1AB25834"/>
    <w:rsid w:val="1ABD238E"/>
    <w:rsid w:val="1ABF618E"/>
    <w:rsid w:val="1AC11938"/>
    <w:rsid w:val="1AC57BFC"/>
    <w:rsid w:val="1ACD710F"/>
    <w:rsid w:val="1AFC2F3E"/>
    <w:rsid w:val="1B0032DD"/>
    <w:rsid w:val="1B023D73"/>
    <w:rsid w:val="1B265D91"/>
    <w:rsid w:val="1B294970"/>
    <w:rsid w:val="1B2D7862"/>
    <w:rsid w:val="1B2E2157"/>
    <w:rsid w:val="1B3C1E31"/>
    <w:rsid w:val="1B452A3E"/>
    <w:rsid w:val="1B497116"/>
    <w:rsid w:val="1B515CBC"/>
    <w:rsid w:val="1B5D1240"/>
    <w:rsid w:val="1B650C3A"/>
    <w:rsid w:val="1B735669"/>
    <w:rsid w:val="1B855499"/>
    <w:rsid w:val="1BA3785E"/>
    <w:rsid w:val="1BC91626"/>
    <w:rsid w:val="1BF64A6B"/>
    <w:rsid w:val="1BFC2ACA"/>
    <w:rsid w:val="1BFF50A7"/>
    <w:rsid w:val="1C3A41E2"/>
    <w:rsid w:val="1C3C3C95"/>
    <w:rsid w:val="1C427EC4"/>
    <w:rsid w:val="1C450A26"/>
    <w:rsid w:val="1C535CAF"/>
    <w:rsid w:val="1C6335E7"/>
    <w:rsid w:val="1C785109"/>
    <w:rsid w:val="1C89436F"/>
    <w:rsid w:val="1C947335"/>
    <w:rsid w:val="1C970FD8"/>
    <w:rsid w:val="1CAB71A3"/>
    <w:rsid w:val="1CCE7826"/>
    <w:rsid w:val="1CE47F22"/>
    <w:rsid w:val="1CE75D1E"/>
    <w:rsid w:val="1D017037"/>
    <w:rsid w:val="1D116AB0"/>
    <w:rsid w:val="1D151861"/>
    <w:rsid w:val="1D1A42B2"/>
    <w:rsid w:val="1D31745E"/>
    <w:rsid w:val="1D3535E0"/>
    <w:rsid w:val="1D387F66"/>
    <w:rsid w:val="1D762E16"/>
    <w:rsid w:val="1D7E6160"/>
    <w:rsid w:val="1D912296"/>
    <w:rsid w:val="1D9219AE"/>
    <w:rsid w:val="1DB15A68"/>
    <w:rsid w:val="1DB631DA"/>
    <w:rsid w:val="1DC351FD"/>
    <w:rsid w:val="1DC77778"/>
    <w:rsid w:val="1DD03214"/>
    <w:rsid w:val="1DD16643"/>
    <w:rsid w:val="1DD84F0B"/>
    <w:rsid w:val="1DE27A9B"/>
    <w:rsid w:val="1DE3780C"/>
    <w:rsid w:val="1DE95F0B"/>
    <w:rsid w:val="1DF9733C"/>
    <w:rsid w:val="1E014285"/>
    <w:rsid w:val="1E022E1F"/>
    <w:rsid w:val="1E20277C"/>
    <w:rsid w:val="1E27270A"/>
    <w:rsid w:val="1E3625DC"/>
    <w:rsid w:val="1E5033D7"/>
    <w:rsid w:val="1E5D6DE0"/>
    <w:rsid w:val="1E982F7E"/>
    <w:rsid w:val="1EA54846"/>
    <w:rsid w:val="1EAB1368"/>
    <w:rsid w:val="1EB66BE5"/>
    <w:rsid w:val="1EC76A61"/>
    <w:rsid w:val="1ED14EAE"/>
    <w:rsid w:val="1ED327CC"/>
    <w:rsid w:val="1EF32FC4"/>
    <w:rsid w:val="1F070CE6"/>
    <w:rsid w:val="1F1A27BC"/>
    <w:rsid w:val="1F212D73"/>
    <w:rsid w:val="1F374741"/>
    <w:rsid w:val="1F443440"/>
    <w:rsid w:val="1F4B4B5D"/>
    <w:rsid w:val="1F4F53ED"/>
    <w:rsid w:val="1F700094"/>
    <w:rsid w:val="1F7C63FB"/>
    <w:rsid w:val="1F7C73E9"/>
    <w:rsid w:val="1F7E1486"/>
    <w:rsid w:val="1F8F2E84"/>
    <w:rsid w:val="1FA9789A"/>
    <w:rsid w:val="1FB93F0C"/>
    <w:rsid w:val="1FC508AF"/>
    <w:rsid w:val="1FCE1187"/>
    <w:rsid w:val="1FCE34FB"/>
    <w:rsid w:val="1FDB49E7"/>
    <w:rsid w:val="1FF43752"/>
    <w:rsid w:val="1FF55B03"/>
    <w:rsid w:val="20201F0B"/>
    <w:rsid w:val="202C579C"/>
    <w:rsid w:val="20340A84"/>
    <w:rsid w:val="204125F3"/>
    <w:rsid w:val="2050481D"/>
    <w:rsid w:val="20B24861"/>
    <w:rsid w:val="20C07CFC"/>
    <w:rsid w:val="20DB0467"/>
    <w:rsid w:val="21427C63"/>
    <w:rsid w:val="21476759"/>
    <w:rsid w:val="21577F8C"/>
    <w:rsid w:val="217030B5"/>
    <w:rsid w:val="218B0B78"/>
    <w:rsid w:val="219927A2"/>
    <w:rsid w:val="219A172E"/>
    <w:rsid w:val="21B16030"/>
    <w:rsid w:val="21C43E14"/>
    <w:rsid w:val="221973C3"/>
    <w:rsid w:val="2220168E"/>
    <w:rsid w:val="22297A6A"/>
    <w:rsid w:val="222A51CD"/>
    <w:rsid w:val="2241662B"/>
    <w:rsid w:val="22703FCD"/>
    <w:rsid w:val="227D5948"/>
    <w:rsid w:val="228E7A3D"/>
    <w:rsid w:val="229E48DB"/>
    <w:rsid w:val="22A400DB"/>
    <w:rsid w:val="22C10357"/>
    <w:rsid w:val="22CD3CFA"/>
    <w:rsid w:val="22CF23D8"/>
    <w:rsid w:val="22D879BD"/>
    <w:rsid w:val="22DC5355"/>
    <w:rsid w:val="22E33E95"/>
    <w:rsid w:val="22F5017B"/>
    <w:rsid w:val="23015402"/>
    <w:rsid w:val="23293597"/>
    <w:rsid w:val="233F7861"/>
    <w:rsid w:val="23404877"/>
    <w:rsid w:val="234436D4"/>
    <w:rsid w:val="23602485"/>
    <w:rsid w:val="23AE768F"/>
    <w:rsid w:val="23B2552B"/>
    <w:rsid w:val="23B871F4"/>
    <w:rsid w:val="23CE7D4E"/>
    <w:rsid w:val="23DA2A5C"/>
    <w:rsid w:val="23E15A7C"/>
    <w:rsid w:val="23F3612C"/>
    <w:rsid w:val="23F94C40"/>
    <w:rsid w:val="23FC6230"/>
    <w:rsid w:val="24381B37"/>
    <w:rsid w:val="243F44EB"/>
    <w:rsid w:val="244E0ACE"/>
    <w:rsid w:val="24502F21"/>
    <w:rsid w:val="24596409"/>
    <w:rsid w:val="245E2574"/>
    <w:rsid w:val="246E68C2"/>
    <w:rsid w:val="247A6233"/>
    <w:rsid w:val="248A0A3D"/>
    <w:rsid w:val="2492158E"/>
    <w:rsid w:val="249C4CCC"/>
    <w:rsid w:val="24B44534"/>
    <w:rsid w:val="24D64800"/>
    <w:rsid w:val="24ED238C"/>
    <w:rsid w:val="24F82DC0"/>
    <w:rsid w:val="25021151"/>
    <w:rsid w:val="25102BF1"/>
    <w:rsid w:val="253F4153"/>
    <w:rsid w:val="25544D4D"/>
    <w:rsid w:val="25621593"/>
    <w:rsid w:val="256967EE"/>
    <w:rsid w:val="25704DEB"/>
    <w:rsid w:val="257E11FC"/>
    <w:rsid w:val="258153D6"/>
    <w:rsid w:val="25876256"/>
    <w:rsid w:val="258B7976"/>
    <w:rsid w:val="25B013C5"/>
    <w:rsid w:val="25BC6EFF"/>
    <w:rsid w:val="25CA498C"/>
    <w:rsid w:val="25CD6B14"/>
    <w:rsid w:val="25D5758C"/>
    <w:rsid w:val="25E2163A"/>
    <w:rsid w:val="26020DC2"/>
    <w:rsid w:val="260A701A"/>
    <w:rsid w:val="260D2A37"/>
    <w:rsid w:val="26127B0A"/>
    <w:rsid w:val="261951DA"/>
    <w:rsid w:val="261C01B1"/>
    <w:rsid w:val="26201B2D"/>
    <w:rsid w:val="262D6C65"/>
    <w:rsid w:val="26390EE6"/>
    <w:rsid w:val="263C0693"/>
    <w:rsid w:val="26431D89"/>
    <w:rsid w:val="264439EB"/>
    <w:rsid w:val="26481DD3"/>
    <w:rsid w:val="264C012F"/>
    <w:rsid w:val="265327A3"/>
    <w:rsid w:val="26541209"/>
    <w:rsid w:val="26550D4A"/>
    <w:rsid w:val="26695602"/>
    <w:rsid w:val="266A13BF"/>
    <w:rsid w:val="267607C5"/>
    <w:rsid w:val="267765D8"/>
    <w:rsid w:val="26795443"/>
    <w:rsid w:val="267F4B54"/>
    <w:rsid w:val="26883DEE"/>
    <w:rsid w:val="268A7862"/>
    <w:rsid w:val="268E0511"/>
    <w:rsid w:val="2695048E"/>
    <w:rsid w:val="269E5056"/>
    <w:rsid w:val="26A762E6"/>
    <w:rsid w:val="26C378D8"/>
    <w:rsid w:val="26D347FA"/>
    <w:rsid w:val="26DB5CDF"/>
    <w:rsid w:val="26E20FC4"/>
    <w:rsid w:val="26E764DF"/>
    <w:rsid w:val="27017F84"/>
    <w:rsid w:val="270C05A6"/>
    <w:rsid w:val="27176EF2"/>
    <w:rsid w:val="27190D17"/>
    <w:rsid w:val="273B094A"/>
    <w:rsid w:val="275E6C69"/>
    <w:rsid w:val="276533BD"/>
    <w:rsid w:val="276E5B22"/>
    <w:rsid w:val="27725103"/>
    <w:rsid w:val="277A49A3"/>
    <w:rsid w:val="277F2F2D"/>
    <w:rsid w:val="279F5F01"/>
    <w:rsid w:val="27AB00D3"/>
    <w:rsid w:val="27AE1C11"/>
    <w:rsid w:val="27B506FD"/>
    <w:rsid w:val="27B76B3D"/>
    <w:rsid w:val="27B86B31"/>
    <w:rsid w:val="27C55588"/>
    <w:rsid w:val="27C85DDF"/>
    <w:rsid w:val="27DB73A6"/>
    <w:rsid w:val="27DD7769"/>
    <w:rsid w:val="28072FE7"/>
    <w:rsid w:val="281A0EA7"/>
    <w:rsid w:val="281D483C"/>
    <w:rsid w:val="28223631"/>
    <w:rsid w:val="28261F89"/>
    <w:rsid w:val="28290077"/>
    <w:rsid w:val="284C2F7F"/>
    <w:rsid w:val="28634B07"/>
    <w:rsid w:val="286819AC"/>
    <w:rsid w:val="287D5D79"/>
    <w:rsid w:val="28896A8E"/>
    <w:rsid w:val="288C3F5F"/>
    <w:rsid w:val="289A4D5E"/>
    <w:rsid w:val="28A64D85"/>
    <w:rsid w:val="28A7096E"/>
    <w:rsid w:val="28B27397"/>
    <w:rsid w:val="28BC58E0"/>
    <w:rsid w:val="28D0768F"/>
    <w:rsid w:val="28D85424"/>
    <w:rsid w:val="28EE1927"/>
    <w:rsid w:val="28F70CFA"/>
    <w:rsid w:val="28F96F63"/>
    <w:rsid w:val="291677C4"/>
    <w:rsid w:val="29361D11"/>
    <w:rsid w:val="2937372F"/>
    <w:rsid w:val="296307CB"/>
    <w:rsid w:val="298E56A9"/>
    <w:rsid w:val="299B69F4"/>
    <w:rsid w:val="29AF5C11"/>
    <w:rsid w:val="29B13F8D"/>
    <w:rsid w:val="29B142EC"/>
    <w:rsid w:val="29B9651E"/>
    <w:rsid w:val="29BA649E"/>
    <w:rsid w:val="29BF36A5"/>
    <w:rsid w:val="29C41D6F"/>
    <w:rsid w:val="29DD03DE"/>
    <w:rsid w:val="29DD54B5"/>
    <w:rsid w:val="29E6568D"/>
    <w:rsid w:val="29EB1CD1"/>
    <w:rsid w:val="29F73B17"/>
    <w:rsid w:val="29FC7C4B"/>
    <w:rsid w:val="2A020879"/>
    <w:rsid w:val="2A0F04BE"/>
    <w:rsid w:val="2A0F2939"/>
    <w:rsid w:val="2A160998"/>
    <w:rsid w:val="2A281B58"/>
    <w:rsid w:val="2A302E0A"/>
    <w:rsid w:val="2A3E5D4F"/>
    <w:rsid w:val="2A476437"/>
    <w:rsid w:val="2A707723"/>
    <w:rsid w:val="2A871EA7"/>
    <w:rsid w:val="2ABC587B"/>
    <w:rsid w:val="2AD417B0"/>
    <w:rsid w:val="2AE01862"/>
    <w:rsid w:val="2B033641"/>
    <w:rsid w:val="2B040C40"/>
    <w:rsid w:val="2B085C15"/>
    <w:rsid w:val="2B1C3B49"/>
    <w:rsid w:val="2B425A6E"/>
    <w:rsid w:val="2B58796E"/>
    <w:rsid w:val="2B6E768A"/>
    <w:rsid w:val="2B7F7BDA"/>
    <w:rsid w:val="2B8A0E4C"/>
    <w:rsid w:val="2B8C1B11"/>
    <w:rsid w:val="2B9C0A68"/>
    <w:rsid w:val="2BA61A1D"/>
    <w:rsid w:val="2BA867C7"/>
    <w:rsid w:val="2BAC5628"/>
    <w:rsid w:val="2BAF21A8"/>
    <w:rsid w:val="2BB55A35"/>
    <w:rsid w:val="2BB85A31"/>
    <w:rsid w:val="2BBA7A9E"/>
    <w:rsid w:val="2BBD0B4F"/>
    <w:rsid w:val="2BBE1B4A"/>
    <w:rsid w:val="2BCB74D6"/>
    <w:rsid w:val="2BCF3C8F"/>
    <w:rsid w:val="2BD14A92"/>
    <w:rsid w:val="2BD60582"/>
    <w:rsid w:val="2BD97E7D"/>
    <w:rsid w:val="2BDB0A78"/>
    <w:rsid w:val="2BF300C8"/>
    <w:rsid w:val="2C0171DD"/>
    <w:rsid w:val="2C146A11"/>
    <w:rsid w:val="2C452415"/>
    <w:rsid w:val="2C487536"/>
    <w:rsid w:val="2C4A2442"/>
    <w:rsid w:val="2C4C6272"/>
    <w:rsid w:val="2C4F1936"/>
    <w:rsid w:val="2C534B72"/>
    <w:rsid w:val="2C584364"/>
    <w:rsid w:val="2C6369EB"/>
    <w:rsid w:val="2C722240"/>
    <w:rsid w:val="2C786664"/>
    <w:rsid w:val="2C7D3493"/>
    <w:rsid w:val="2C815051"/>
    <w:rsid w:val="2C8213ED"/>
    <w:rsid w:val="2C8661BB"/>
    <w:rsid w:val="2C957320"/>
    <w:rsid w:val="2C9C33A8"/>
    <w:rsid w:val="2CB35738"/>
    <w:rsid w:val="2CB5323B"/>
    <w:rsid w:val="2CB77A62"/>
    <w:rsid w:val="2CD43500"/>
    <w:rsid w:val="2CD61F47"/>
    <w:rsid w:val="2CE55A9A"/>
    <w:rsid w:val="2D0068BE"/>
    <w:rsid w:val="2D0C576E"/>
    <w:rsid w:val="2D1B5BD1"/>
    <w:rsid w:val="2D1E3DE7"/>
    <w:rsid w:val="2D24719C"/>
    <w:rsid w:val="2D3D6372"/>
    <w:rsid w:val="2D40315E"/>
    <w:rsid w:val="2D651214"/>
    <w:rsid w:val="2D765569"/>
    <w:rsid w:val="2D793DE8"/>
    <w:rsid w:val="2D8A43D9"/>
    <w:rsid w:val="2D9670EE"/>
    <w:rsid w:val="2D9818DA"/>
    <w:rsid w:val="2D990AC0"/>
    <w:rsid w:val="2DB63F1A"/>
    <w:rsid w:val="2DD352DD"/>
    <w:rsid w:val="2DD965EF"/>
    <w:rsid w:val="2DE82D56"/>
    <w:rsid w:val="2DEE0B8D"/>
    <w:rsid w:val="2E020414"/>
    <w:rsid w:val="2E0448B6"/>
    <w:rsid w:val="2E2B1447"/>
    <w:rsid w:val="2E2E07C6"/>
    <w:rsid w:val="2E3479AD"/>
    <w:rsid w:val="2E3E70F8"/>
    <w:rsid w:val="2E4F5130"/>
    <w:rsid w:val="2E5401F6"/>
    <w:rsid w:val="2E5D7697"/>
    <w:rsid w:val="2E6276C2"/>
    <w:rsid w:val="2E74001E"/>
    <w:rsid w:val="2E8C113C"/>
    <w:rsid w:val="2E964CBB"/>
    <w:rsid w:val="2EB24D71"/>
    <w:rsid w:val="2EBA0CEE"/>
    <w:rsid w:val="2ECD4896"/>
    <w:rsid w:val="2F022B10"/>
    <w:rsid w:val="2F0F1BCB"/>
    <w:rsid w:val="2F135F73"/>
    <w:rsid w:val="2F1B3B1F"/>
    <w:rsid w:val="2F4857F8"/>
    <w:rsid w:val="2F5271DE"/>
    <w:rsid w:val="2F5A0E01"/>
    <w:rsid w:val="2F68699C"/>
    <w:rsid w:val="2F7075FF"/>
    <w:rsid w:val="2F714561"/>
    <w:rsid w:val="2F8877BB"/>
    <w:rsid w:val="2F9110F1"/>
    <w:rsid w:val="2F954526"/>
    <w:rsid w:val="2F990904"/>
    <w:rsid w:val="2F9A77B6"/>
    <w:rsid w:val="2FA266C8"/>
    <w:rsid w:val="2FB91D02"/>
    <w:rsid w:val="2FD00438"/>
    <w:rsid w:val="2FDC600F"/>
    <w:rsid w:val="2FF41FDB"/>
    <w:rsid w:val="300C6536"/>
    <w:rsid w:val="301E39AF"/>
    <w:rsid w:val="302202B4"/>
    <w:rsid w:val="30440DDC"/>
    <w:rsid w:val="30633A22"/>
    <w:rsid w:val="306840DF"/>
    <w:rsid w:val="30732FA0"/>
    <w:rsid w:val="307367A9"/>
    <w:rsid w:val="309A6F98"/>
    <w:rsid w:val="30A825CC"/>
    <w:rsid w:val="30AC3211"/>
    <w:rsid w:val="30C708AE"/>
    <w:rsid w:val="30C93B1B"/>
    <w:rsid w:val="30CD7EFD"/>
    <w:rsid w:val="30D81337"/>
    <w:rsid w:val="30DC6155"/>
    <w:rsid w:val="30EB2352"/>
    <w:rsid w:val="30ED3E75"/>
    <w:rsid w:val="30F11232"/>
    <w:rsid w:val="310840B9"/>
    <w:rsid w:val="312070FD"/>
    <w:rsid w:val="312646F3"/>
    <w:rsid w:val="312B6DFE"/>
    <w:rsid w:val="31366EB5"/>
    <w:rsid w:val="313C1E8F"/>
    <w:rsid w:val="31470291"/>
    <w:rsid w:val="314C7C36"/>
    <w:rsid w:val="315E064B"/>
    <w:rsid w:val="31625D70"/>
    <w:rsid w:val="316817BE"/>
    <w:rsid w:val="316D5522"/>
    <w:rsid w:val="31854368"/>
    <w:rsid w:val="3196684B"/>
    <w:rsid w:val="319861B3"/>
    <w:rsid w:val="31A44824"/>
    <w:rsid w:val="31A81525"/>
    <w:rsid w:val="31AB124D"/>
    <w:rsid w:val="31AF4AD3"/>
    <w:rsid w:val="31D47C7D"/>
    <w:rsid w:val="32021F2A"/>
    <w:rsid w:val="32230959"/>
    <w:rsid w:val="322F2E0A"/>
    <w:rsid w:val="32315B05"/>
    <w:rsid w:val="3236199F"/>
    <w:rsid w:val="32417D30"/>
    <w:rsid w:val="32517748"/>
    <w:rsid w:val="326A6BC5"/>
    <w:rsid w:val="32705150"/>
    <w:rsid w:val="32850B95"/>
    <w:rsid w:val="32871064"/>
    <w:rsid w:val="329769CF"/>
    <w:rsid w:val="32A126F5"/>
    <w:rsid w:val="32A575F8"/>
    <w:rsid w:val="32B97894"/>
    <w:rsid w:val="32C17ED1"/>
    <w:rsid w:val="32C97D96"/>
    <w:rsid w:val="32CA3AB7"/>
    <w:rsid w:val="32CF5105"/>
    <w:rsid w:val="32D4231F"/>
    <w:rsid w:val="32D82E27"/>
    <w:rsid w:val="32F742BF"/>
    <w:rsid w:val="331114A6"/>
    <w:rsid w:val="3323411E"/>
    <w:rsid w:val="33274B51"/>
    <w:rsid w:val="333746BC"/>
    <w:rsid w:val="333851C0"/>
    <w:rsid w:val="334274B8"/>
    <w:rsid w:val="33427BB6"/>
    <w:rsid w:val="33437504"/>
    <w:rsid w:val="338610C0"/>
    <w:rsid w:val="3392223A"/>
    <w:rsid w:val="33AB27AA"/>
    <w:rsid w:val="33C87900"/>
    <w:rsid w:val="33D6036E"/>
    <w:rsid w:val="33DB6E4B"/>
    <w:rsid w:val="33F04CFA"/>
    <w:rsid w:val="34045566"/>
    <w:rsid w:val="3415676A"/>
    <w:rsid w:val="34364D8F"/>
    <w:rsid w:val="34372572"/>
    <w:rsid w:val="34406596"/>
    <w:rsid w:val="344D7C8A"/>
    <w:rsid w:val="346B298C"/>
    <w:rsid w:val="346E327D"/>
    <w:rsid w:val="348957C0"/>
    <w:rsid w:val="3491331C"/>
    <w:rsid w:val="349409D7"/>
    <w:rsid w:val="3496165E"/>
    <w:rsid w:val="34AD7CFB"/>
    <w:rsid w:val="34B30686"/>
    <w:rsid w:val="34B51B07"/>
    <w:rsid w:val="34B8221B"/>
    <w:rsid w:val="34BC558B"/>
    <w:rsid w:val="34DB3F45"/>
    <w:rsid w:val="34E15227"/>
    <w:rsid w:val="34E7705E"/>
    <w:rsid w:val="34E94A98"/>
    <w:rsid w:val="3506258D"/>
    <w:rsid w:val="3507608E"/>
    <w:rsid w:val="351967D4"/>
    <w:rsid w:val="35525B4F"/>
    <w:rsid w:val="355F1FA0"/>
    <w:rsid w:val="35613834"/>
    <w:rsid w:val="356B29F4"/>
    <w:rsid w:val="358B0861"/>
    <w:rsid w:val="35913D09"/>
    <w:rsid w:val="35B87F3A"/>
    <w:rsid w:val="35DC1A3E"/>
    <w:rsid w:val="35E05D63"/>
    <w:rsid w:val="35EB691D"/>
    <w:rsid w:val="35F440B6"/>
    <w:rsid w:val="35FB6702"/>
    <w:rsid w:val="36062C97"/>
    <w:rsid w:val="36262973"/>
    <w:rsid w:val="362D48EF"/>
    <w:rsid w:val="362D4E28"/>
    <w:rsid w:val="36317647"/>
    <w:rsid w:val="363D204E"/>
    <w:rsid w:val="365349FF"/>
    <w:rsid w:val="369928D3"/>
    <w:rsid w:val="36A02CAD"/>
    <w:rsid w:val="36A94DDA"/>
    <w:rsid w:val="36B6623F"/>
    <w:rsid w:val="36C268A3"/>
    <w:rsid w:val="36C36BD5"/>
    <w:rsid w:val="36D5431D"/>
    <w:rsid w:val="36DA57BB"/>
    <w:rsid w:val="36DD1E21"/>
    <w:rsid w:val="36E623E4"/>
    <w:rsid w:val="36FF3E66"/>
    <w:rsid w:val="370A5DF7"/>
    <w:rsid w:val="3722283C"/>
    <w:rsid w:val="37651382"/>
    <w:rsid w:val="378B0188"/>
    <w:rsid w:val="37911D1E"/>
    <w:rsid w:val="37A126A3"/>
    <w:rsid w:val="37AD2CDE"/>
    <w:rsid w:val="37C77473"/>
    <w:rsid w:val="37C879AB"/>
    <w:rsid w:val="37CF2F7D"/>
    <w:rsid w:val="37D2382C"/>
    <w:rsid w:val="37E30C8A"/>
    <w:rsid w:val="37E96237"/>
    <w:rsid w:val="37EA0D2B"/>
    <w:rsid w:val="38021B0D"/>
    <w:rsid w:val="38097006"/>
    <w:rsid w:val="3810197F"/>
    <w:rsid w:val="38164E4D"/>
    <w:rsid w:val="38464D87"/>
    <w:rsid w:val="386462D7"/>
    <w:rsid w:val="38821599"/>
    <w:rsid w:val="3894435E"/>
    <w:rsid w:val="389E342F"/>
    <w:rsid w:val="38A930BC"/>
    <w:rsid w:val="38AF210E"/>
    <w:rsid w:val="38B9365C"/>
    <w:rsid w:val="38C03495"/>
    <w:rsid w:val="38FF04A6"/>
    <w:rsid w:val="391E7D57"/>
    <w:rsid w:val="39241B86"/>
    <w:rsid w:val="394C04A3"/>
    <w:rsid w:val="396C0E37"/>
    <w:rsid w:val="39751B78"/>
    <w:rsid w:val="39841A6A"/>
    <w:rsid w:val="39897BCB"/>
    <w:rsid w:val="39A0641B"/>
    <w:rsid w:val="39A82BF6"/>
    <w:rsid w:val="39A8639B"/>
    <w:rsid w:val="39B8270F"/>
    <w:rsid w:val="39E61EBA"/>
    <w:rsid w:val="39F62569"/>
    <w:rsid w:val="3A2A1F43"/>
    <w:rsid w:val="3A3E0A25"/>
    <w:rsid w:val="3A5B326E"/>
    <w:rsid w:val="3A647D60"/>
    <w:rsid w:val="3A7C337E"/>
    <w:rsid w:val="3A972672"/>
    <w:rsid w:val="3A9E4404"/>
    <w:rsid w:val="3A9F169B"/>
    <w:rsid w:val="3AA056B4"/>
    <w:rsid w:val="3AA94B12"/>
    <w:rsid w:val="3AB331C1"/>
    <w:rsid w:val="3AB80B0A"/>
    <w:rsid w:val="3ADE11C8"/>
    <w:rsid w:val="3B137724"/>
    <w:rsid w:val="3B1D2719"/>
    <w:rsid w:val="3B2B1626"/>
    <w:rsid w:val="3B305D10"/>
    <w:rsid w:val="3B336194"/>
    <w:rsid w:val="3B3813C2"/>
    <w:rsid w:val="3B3876E0"/>
    <w:rsid w:val="3B3F3464"/>
    <w:rsid w:val="3B493D0C"/>
    <w:rsid w:val="3B4B085A"/>
    <w:rsid w:val="3B5A356F"/>
    <w:rsid w:val="3B5D38D0"/>
    <w:rsid w:val="3B69616A"/>
    <w:rsid w:val="3B724859"/>
    <w:rsid w:val="3B9169CA"/>
    <w:rsid w:val="3B922EDF"/>
    <w:rsid w:val="3BAB6843"/>
    <w:rsid w:val="3BAC751F"/>
    <w:rsid w:val="3BAD0342"/>
    <w:rsid w:val="3BAF3BA3"/>
    <w:rsid w:val="3BAF7E68"/>
    <w:rsid w:val="3BB865B6"/>
    <w:rsid w:val="3BD75D64"/>
    <w:rsid w:val="3BD77473"/>
    <w:rsid w:val="3BE329DE"/>
    <w:rsid w:val="3BE72890"/>
    <w:rsid w:val="3BE92C13"/>
    <w:rsid w:val="3BEB0739"/>
    <w:rsid w:val="3BF61BE5"/>
    <w:rsid w:val="3C0876C8"/>
    <w:rsid w:val="3C0E6550"/>
    <w:rsid w:val="3C107F22"/>
    <w:rsid w:val="3C12543D"/>
    <w:rsid w:val="3C197AA2"/>
    <w:rsid w:val="3C277A20"/>
    <w:rsid w:val="3C3025F0"/>
    <w:rsid w:val="3C353AFB"/>
    <w:rsid w:val="3C440A09"/>
    <w:rsid w:val="3C526A0A"/>
    <w:rsid w:val="3C5F6A31"/>
    <w:rsid w:val="3C6D6DDF"/>
    <w:rsid w:val="3C7503A5"/>
    <w:rsid w:val="3C926E07"/>
    <w:rsid w:val="3C9E2BAC"/>
    <w:rsid w:val="3CA54DD0"/>
    <w:rsid w:val="3CAC1509"/>
    <w:rsid w:val="3CBE19FF"/>
    <w:rsid w:val="3CBE7BFC"/>
    <w:rsid w:val="3CC365B8"/>
    <w:rsid w:val="3CC46F1C"/>
    <w:rsid w:val="3CCA47F2"/>
    <w:rsid w:val="3CCF49A4"/>
    <w:rsid w:val="3CD33363"/>
    <w:rsid w:val="3CDD4A52"/>
    <w:rsid w:val="3CF86584"/>
    <w:rsid w:val="3D16519D"/>
    <w:rsid w:val="3D1D31AD"/>
    <w:rsid w:val="3D1F6385"/>
    <w:rsid w:val="3D3C52E7"/>
    <w:rsid w:val="3D4418F4"/>
    <w:rsid w:val="3D6F7148"/>
    <w:rsid w:val="3D7D3752"/>
    <w:rsid w:val="3D821FF8"/>
    <w:rsid w:val="3D845D4A"/>
    <w:rsid w:val="3D865A5D"/>
    <w:rsid w:val="3DA10C7F"/>
    <w:rsid w:val="3DBD73FD"/>
    <w:rsid w:val="3DCF0787"/>
    <w:rsid w:val="3DE20498"/>
    <w:rsid w:val="3DE5040B"/>
    <w:rsid w:val="3DE522A2"/>
    <w:rsid w:val="3DEC3227"/>
    <w:rsid w:val="3DFF5BA7"/>
    <w:rsid w:val="3E10797C"/>
    <w:rsid w:val="3E126451"/>
    <w:rsid w:val="3E260F74"/>
    <w:rsid w:val="3E2A6463"/>
    <w:rsid w:val="3E2D51B7"/>
    <w:rsid w:val="3E3101D2"/>
    <w:rsid w:val="3E31464D"/>
    <w:rsid w:val="3E3519F4"/>
    <w:rsid w:val="3E435AE5"/>
    <w:rsid w:val="3E48029F"/>
    <w:rsid w:val="3E703177"/>
    <w:rsid w:val="3E7F4377"/>
    <w:rsid w:val="3E8567C1"/>
    <w:rsid w:val="3E8803DF"/>
    <w:rsid w:val="3E976956"/>
    <w:rsid w:val="3EC16630"/>
    <w:rsid w:val="3ED23E32"/>
    <w:rsid w:val="3EEA2F2A"/>
    <w:rsid w:val="3EED7561"/>
    <w:rsid w:val="3EF1129F"/>
    <w:rsid w:val="3EF17D6F"/>
    <w:rsid w:val="3EFD31AF"/>
    <w:rsid w:val="3F091C3F"/>
    <w:rsid w:val="3F0A4783"/>
    <w:rsid w:val="3F1D32FF"/>
    <w:rsid w:val="3F45718A"/>
    <w:rsid w:val="3F5145ED"/>
    <w:rsid w:val="3F541D09"/>
    <w:rsid w:val="3F685DEA"/>
    <w:rsid w:val="3F6C4166"/>
    <w:rsid w:val="3F7C4F50"/>
    <w:rsid w:val="3F811406"/>
    <w:rsid w:val="3F963A26"/>
    <w:rsid w:val="3FA46FB0"/>
    <w:rsid w:val="3FB66B56"/>
    <w:rsid w:val="3FDB22EF"/>
    <w:rsid w:val="3FE0174F"/>
    <w:rsid w:val="3FE03678"/>
    <w:rsid w:val="3FF449D7"/>
    <w:rsid w:val="3FFA7E63"/>
    <w:rsid w:val="3FFC1E1C"/>
    <w:rsid w:val="3FFD1AD0"/>
    <w:rsid w:val="3FFF491C"/>
    <w:rsid w:val="400C63A1"/>
    <w:rsid w:val="400D3F63"/>
    <w:rsid w:val="401761AF"/>
    <w:rsid w:val="40273F8A"/>
    <w:rsid w:val="403609F5"/>
    <w:rsid w:val="403A0347"/>
    <w:rsid w:val="403C32D4"/>
    <w:rsid w:val="404A3EC7"/>
    <w:rsid w:val="404A77D2"/>
    <w:rsid w:val="404F60E0"/>
    <w:rsid w:val="4058634B"/>
    <w:rsid w:val="40680762"/>
    <w:rsid w:val="407735E6"/>
    <w:rsid w:val="407B3A38"/>
    <w:rsid w:val="408A57AC"/>
    <w:rsid w:val="409018AF"/>
    <w:rsid w:val="4091231A"/>
    <w:rsid w:val="409D5FB3"/>
    <w:rsid w:val="40A12411"/>
    <w:rsid w:val="40A40D05"/>
    <w:rsid w:val="40AB2E39"/>
    <w:rsid w:val="40B77932"/>
    <w:rsid w:val="40BF780F"/>
    <w:rsid w:val="40C068FD"/>
    <w:rsid w:val="40C960D3"/>
    <w:rsid w:val="40D6364F"/>
    <w:rsid w:val="40DB0111"/>
    <w:rsid w:val="40DF720C"/>
    <w:rsid w:val="40EC510F"/>
    <w:rsid w:val="40F2566D"/>
    <w:rsid w:val="40F33CD2"/>
    <w:rsid w:val="40FD67A8"/>
    <w:rsid w:val="411E2466"/>
    <w:rsid w:val="411F385E"/>
    <w:rsid w:val="41251231"/>
    <w:rsid w:val="41267024"/>
    <w:rsid w:val="41293340"/>
    <w:rsid w:val="412A52B7"/>
    <w:rsid w:val="41342D59"/>
    <w:rsid w:val="413C37E5"/>
    <w:rsid w:val="41426296"/>
    <w:rsid w:val="414B524F"/>
    <w:rsid w:val="415E5D23"/>
    <w:rsid w:val="4168282C"/>
    <w:rsid w:val="41697D08"/>
    <w:rsid w:val="41872D43"/>
    <w:rsid w:val="41AC2357"/>
    <w:rsid w:val="41B04689"/>
    <w:rsid w:val="41B431DB"/>
    <w:rsid w:val="41CB1AF5"/>
    <w:rsid w:val="41E778B0"/>
    <w:rsid w:val="41EC2F23"/>
    <w:rsid w:val="41F318DA"/>
    <w:rsid w:val="41F44DDD"/>
    <w:rsid w:val="41F632AB"/>
    <w:rsid w:val="4205602F"/>
    <w:rsid w:val="420926A8"/>
    <w:rsid w:val="420E475E"/>
    <w:rsid w:val="42144998"/>
    <w:rsid w:val="421B0469"/>
    <w:rsid w:val="42254ACB"/>
    <w:rsid w:val="423505E1"/>
    <w:rsid w:val="42353E10"/>
    <w:rsid w:val="423B4ADA"/>
    <w:rsid w:val="424336BE"/>
    <w:rsid w:val="424B2271"/>
    <w:rsid w:val="4258020C"/>
    <w:rsid w:val="427907BF"/>
    <w:rsid w:val="429F227D"/>
    <w:rsid w:val="42A95BF9"/>
    <w:rsid w:val="42AB568C"/>
    <w:rsid w:val="42AC635A"/>
    <w:rsid w:val="42B00E5C"/>
    <w:rsid w:val="42B25AB2"/>
    <w:rsid w:val="42FC5124"/>
    <w:rsid w:val="43051CC2"/>
    <w:rsid w:val="43194545"/>
    <w:rsid w:val="432A1B96"/>
    <w:rsid w:val="43311BFD"/>
    <w:rsid w:val="43367314"/>
    <w:rsid w:val="433C187A"/>
    <w:rsid w:val="43420B70"/>
    <w:rsid w:val="435F0417"/>
    <w:rsid w:val="436F7684"/>
    <w:rsid w:val="43764E2E"/>
    <w:rsid w:val="43897AC2"/>
    <w:rsid w:val="43E12BAA"/>
    <w:rsid w:val="43E23ABE"/>
    <w:rsid w:val="43EB4717"/>
    <w:rsid w:val="43EF0FFD"/>
    <w:rsid w:val="440426ED"/>
    <w:rsid w:val="440F4776"/>
    <w:rsid w:val="44143703"/>
    <w:rsid w:val="44380E90"/>
    <w:rsid w:val="444159F1"/>
    <w:rsid w:val="44451961"/>
    <w:rsid w:val="44741F34"/>
    <w:rsid w:val="44872FC9"/>
    <w:rsid w:val="44881D6E"/>
    <w:rsid w:val="448D4A83"/>
    <w:rsid w:val="448D5606"/>
    <w:rsid w:val="44971C1B"/>
    <w:rsid w:val="449C0AE3"/>
    <w:rsid w:val="44B53314"/>
    <w:rsid w:val="44BF2D73"/>
    <w:rsid w:val="44C4079D"/>
    <w:rsid w:val="44C8564B"/>
    <w:rsid w:val="44DC74A2"/>
    <w:rsid w:val="44DD5A2E"/>
    <w:rsid w:val="44E9570A"/>
    <w:rsid w:val="44EA63E7"/>
    <w:rsid w:val="44F90D29"/>
    <w:rsid w:val="44FD4E04"/>
    <w:rsid w:val="44FE4994"/>
    <w:rsid w:val="450C4042"/>
    <w:rsid w:val="45146732"/>
    <w:rsid w:val="45147150"/>
    <w:rsid w:val="451941B8"/>
    <w:rsid w:val="452B429C"/>
    <w:rsid w:val="45393E57"/>
    <w:rsid w:val="456772C3"/>
    <w:rsid w:val="456E267D"/>
    <w:rsid w:val="45702A2B"/>
    <w:rsid w:val="457C00FD"/>
    <w:rsid w:val="4580556A"/>
    <w:rsid w:val="459431EE"/>
    <w:rsid w:val="459B31D0"/>
    <w:rsid w:val="45A3381B"/>
    <w:rsid w:val="45D16BF2"/>
    <w:rsid w:val="45D34DE4"/>
    <w:rsid w:val="45DF5DF0"/>
    <w:rsid w:val="45E8576F"/>
    <w:rsid w:val="45FC5F77"/>
    <w:rsid w:val="4604488D"/>
    <w:rsid w:val="46184820"/>
    <w:rsid w:val="46191F2F"/>
    <w:rsid w:val="461F4AA7"/>
    <w:rsid w:val="46302BFD"/>
    <w:rsid w:val="463368B7"/>
    <w:rsid w:val="46393734"/>
    <w:rsid w:val="464276DA"/>
    <w:rsid w:val="464B659D"/>
    <w:rsid w:val="46581398"/>
    <w:rsid w:val="465D0485"/>
    <w:rsid w:val="46694B2B"/>
    <w:rsid w:val="467813BC"/>
    <w:rsid w:val="46A964DE"/>
    <w:rsid w:val="46D41310"/>
    <w:rsid w:val="46D71F11"/>
    <w:rsid w:val="46E83CDA"/>
    <w:rsid w:val="46EB2FCD"/>
    <w:rsid w:val="46F10D88"/>
    <w:rsid w:val="46F661E4"/>
    <w:rsid w:val="46FA4032"/>
    <w:rsid w:val="47037BA7"/>
    <w:rsid w:val="4711367B"/>
    <w:rsid w:val="47146932"/>
    <w:rsid w:val="4716148D"/>
    <w:rsid w:val="471808F7"/>
    <w:rsid w:val="471A30F3"/>
    <w:rsid w:val="47211B42"/>
    <w:rsid w:val="472504F8"/>
    <w:rsid w:val="47282841"/>
    <w:rsid w:val="472B10A2"/>
    <w:rsid w:val="4747214E"/>
    <w:rsid w:val="4757612E"/>
    <w:rsid w:val="477760D5"/>
    <w:rsid w:val="477B2488"/>
    <w:rsid w:val="478F0B12"/>
    <w:rsid w:val="47A536AD"/>
    <w:rsid w:val="47A923B9"/>
    <w:rsid w:val="47B61C55"/>
    <w:rsid w:val="47BE4776"/>
    <w:rsid w:val="47CB222D"/>
    <w:rsid w:val="47DE1152"/>
    <w:rsid w:val="47DE57BB"/>
    <w:rsid w:val="47EF13C6"/>
    <w:rsid w:val="48123521"/>
    <w:rsid w:val="48164FEB"/>
    <w:rsid w:val="48292EC4"/>
    <w:rsid w:val="482F6D3C"/>
    <w:rsid w:val="484B1E04"/>
    <w:rsid w:val="485B3227"/>
    <w:rsid w:val="485C4BE5"/>
    <w:rsid w:val="48792BEE"/>
    <w:rsid w:val="487E4055"/>
    <w:rsid w:val="489A72EA"/>
    <w:rsid w:val="48AB22C8"/>
    <w:rsid w:val="48B1188E"/>
    <w:rsid w:val="48B13DF3"/>
    <w:rsid w:val="48BC53EB"/>
    <w:rsid w:val="48C50C7E"/>
    <w:rsid w:val="48C81747"/>
    <w:rsid w:val="48E161EB"/>
    <w:rsid w:val="49011849"/>
    <w:rsid w:val="4912133E"/>
    <w:rsid w:val="4912171D"/>
    <w:rsid w:val="49251702"/>
    <w:rsid w:val="49437081"/>
    <w:rsid w:val="49750BC6"/>
    <w:rsid w:val="497A203E"/>
    <w:rsid w:val="498127D2"/>
    <w:rsid w:val="49824F68"/>
    <w:rsid w:val="49D1575D"/>
    <w:rsid w:val="49D15F6B"/>
    <w:rsid w:val="49D438AE"/>
    <w:rsid w:val="49D86CD6"/>
    <w:rsid w:val="49F1006A"/>
    <w:rsid w:val="4A0D1B22"/>
    <w:rsid w:val="4A211667"/>
    <w:rsid w:val="4A230DAF"/>
    <w:rsid w:val="4A387522"/>
    <w:rsid w:val="4A3D47A0"/>
    <w:rsid w:val="4A521FA1"/>
    <w:rsid w:val="4A536F35"/>
    <w:rsid w:val="4A596A40"/>
    <w:rsid w:val="4A5E02F2"/>
    <w:rsid w:val="4A6664DD"/>
    <w:rsid w:val="4A6E1243"/>
    <w:rsid w:val="4A754B47"/>
    <w:rsid w:val="4A822DC3"/>
    <w:rsid w:val="4A835E59"/>
    <w:rsid w:val="4A86408C"/>
    <w:rsid w:val="4A9F144E"/>
    <w:rsid w:val="4AA219EE"/>
    <w:rsid w:val="4AA257D8"/>
    <w:rsid w:val="4AA268B0"/>
    <w:rsid w:val="4AAF7DED"/>
    <w:rsid w:val="4AEB0E78"/>
    <w:rsid w:val="4AFB1B32"/>
    <w:rsid w:val="4B0E6BEC"/>
    <w:rsid w:val="4B187071"/>
    <w:rsid w:val="4B233407"/>
    <w:rsid w:val="4B2E39CD"/>
    <w:rsid w:val="4B3A6F0B"/>
    <w:rsid w:val="4B6B65A7"/>
    <w:rsid w:val="4B707823"/>
    <w:rsid w:val="4B726F56"/>
    <w:rsid w:val="4B83478B"/>
    <w:rsid w:val="4B881DE5"/>
    <w:rsid w:val="4B8C50D1"/>
    <w:rsid w:val="4BA20023"/>
    <w:rsid w:val="4BAB2063"/>
    <w:rsid w:val="4BC875F1"/>
    <w:rsid w:val="4BD233D5"/>
    <w:rsid w:val="4BD47BCE"/>
    <w:rsid w:val="4BDF1B0C"/>
    <w:rsid w:val="4BF27303"/>
    <w:rsid w:val="4C04758C"/>
    <w:rsid w:val="4C086ED3"/>
    <w:rsid w:val="4C1635B0"/>
    <w:rsid w:val="4C215104"/>
    <w:rsid w:val="4C294F8C"/>
    <w:rsid w:val="4C3F68CB"/>
    <w:rsid w:val="4C63431C"/>
    <w:rsid w:val="4C63596A"/>
    <w:rsid w:val="4C69714A"/>
    <w:rsid w:val="4C7D1C55"/>
    <w:rsid w:val="4C9F4436"/>
    <w:rsid w:val="4CB86805"/>
    <w:rsid w:val="4CC0684C"/>
    <w:rsid w:val="4CC94969"/>
    <w:rsid w:val="4D04603A"/>
    <w:rsid w:val="4D0847C8"/>
    <w:rsid w:val="4D184888"/>
    <w:rsid w:val="4D1A506F"/>
    <w:rsid w:val="4D1E366B"/>
    <w:rsid w:val="4D314CE5"/>
    <w:rsid w:val="4D4A6816"/>
    <w:rsid w:val="4D4D1254"/>
    <w:rsid w:val="4D6D402A"/>
    <w:rsid w:val="4D707C2C"/>
    <w:rsid w:val="4DB33C28"/>
    <w:rsid w:val="4DC3607C"/>
    <w:rsid w:val="4DC934A3"/>
    <w:rsid w:val="4DCE4BBC"/>
    <w:rsid w:val="4DDA5ECB"/>
    <w:rsid w:val="4E001070"/>
    <w:rsid w:val="4E0D09E3"/>
    <w:rsid w:val="4E100E0C"/>
    <w:rsid w:val="4E1A5811"/>
    <w:rsid w:val="4E2171E2"/>
    <w:rsid w:val="4E290DEA"/>
    <w:rsid w:val="4E393351"/>
    <w:rsid w:val="4E4D546F"/>
    <w:rsid w:val="4E5C454B"/>
    <w:rsid w:val="4E5E123E"/>
    <w:rsid w:val="4E61585E"/>
    <w:rsid w:val="4E6F014C"/>
    <w:rsid w:val="4E821AC1"/>
    <w:rsid w:val="4E8A3ACD"/>
    <w:rsid w:val="4E9121A3"/>
    <w:rsid w:val="4E920EE8"/>
    <w:rsid w:val="4E94223C"/>
    <w:rsid w:val="4EA315B1"/>
    <w:rsid w:val="4EA334D8"/>
    <w:rsid w:val="4F0A6CD0"/>
    <w:rsid w:val="4F0E2841"/>
    <w:rsid w:val="4F39579C"/>
    <w:rsid w:val="4F3B7EBF"/>
    <w:rsid w:val="4F662E42"/>
    <w:rsid w:val="4F6C34E7"/>
    <w:rsid w:val="4F8C3B89"/>
    <w:rsid w:val="4FAC3E02"/>
    <w:rsid w:val="4FAD5783"/>
    <w:rsid w:val="4FB65B4C"/>
    <w:rsid w:val="4FC745B9"/>
    <w:rsid w:val="4FD07142"/>
    <w:rsid w:val="4FD072CA"/>
    <w:rsid w:val="4FD23C92"/>
    <w:rsid w:val="4FD33502"/>
    <w:rsid w:val="4FE05C03"/>
    <w:rsid w:val="500F5574"/>
    <w:rsid w:val="501A73E7"/>
    <w:rsid w:val="502A15D8"/>
    <w:rsid w:val="502C7114"/>
    <w:rsid w:val="50357D7D"/>
    <w:rsid w:val="503806DC"/>
    <w:rsid w:val="504B5ACC"/>
    <w:rsid w:val="505F606E"/>
    <w:rsid w:val="50607C1B"/>
    <w:rsid w:val="50715259"/>
    <w:rsid w:val="50873195"/>
    <w:rsid w:val="50882BDA"/>
    <w:rsid w:val="50896655"/>
    <w:rsid w:val="509E566B"/>
    <w:rsid w:val="50A225AF"/>
    <w:rsid w:val="50A464F4"/>
    <w:rsid w:val="50A55EF2"/>
    <w:rsid w:val="50A67BA9"/>
    <w:rsid w:val="50AF7B2F"/>
    <w:rsid w:val="50BF136F"/>
    <w:rsid w:val="50C5039C"/>
    <w:rsid w:val="50C77DAE"/>
    <w:rsid w:val="50D83189"/>
    <w:rsid w:val="50DC02C2"/>
    <w:rsid w:val="50E956D4"/>
    <w:rsid w:val="50EE1A52"/>
    <w:rsid w:val="50F554E9"/>
    <w:rsid w:val="510252DB"/>
    <w:rsid w:val="510F1C91"/>
    <w:rsid w:val="511F641F"/>
    <w:rsid w:val="512E0E26"/>
    <w:rsid w:val="512E4678"/>
    <w:rsid w:val="51354D5A"/>
    <w:rsid w:val="51361FFF"/>
    <w:rsid w:val="513653E6"/>
    <w:rsid w:val="514041E4"/>
    <w:rsid w:val="51504D0A"/>
    <w:rsid w:val="515701E8"/>
    <w:rsid w:val="5164091A"/>
    <w:rsid w:val="518F583E"/>
    <w:rsid w:val="519969AB"/>
    <w:rsid w:val="51AC22C1"/>
    <w:rsid w:val="51B22A95"/>
    <w:rsid w:val="51BB0BE8"/>
    <w:rsid w:val="51C24F4D"/>
    <w:rsid w:val="51C328E8"/>
    <w:rsid w:val="51C615D7"/>
    <w:rsid w:val="51D964E4"/>
    <w:rsid w:val="51DD06CC"/>
    <w:rsid w:val="51E37A59"/>
    <w:rsid w:val="51E92575"/>
    <w:rsid w:val="51FC3136"/>
    <w:rsid w:val="5202206C"/>
    <w:rsid w:val="521D5470"/>
    <w:rsid w:val="521E3FF3"/>
    <w:rsid w:val="521F12FB"/>
    <w:rsid w:val="522C4D69"/>
    <w:rsid w:val="524408CC"/>
    <w:rsid w:val="52440D85"/>
    <w:rsid w:val="52503447"/>
    <w:rsid w:val="526B2FB1"/>
    <w:rsid w:val="527C5CC1"/>
    <w:rsid w:val="527D4E6F"/>
    <w:rsid w:val="528648C0"/>
    <w:rsid w:val="52880FB8"/>
    <w:rsid w:val="529F1A0C"/>
    <w:rsid w:val="52A03397"/>
    <w:rsid w:val="52B15165"/>
    <w:rsid w:val="52B27F46"/>
    <w:rsid w:val="52BF0780"/>
    <w:rsid w:val="52C129A5"/>
    <w:rsid w:val="52C75E27"/>
    <w:rsid w:val="52D96EA6"/>
    <w:rsid w:val="52F80DC9"/>
    <w:rsid w:val="52FE451B"/>
    <w:rsid w:val="5308530D"/>
    <w:rsid w:val="530A0C93"/>
    <w:rsid w:val="530F1BCF"/>
    <w:rsid w:val="530F40D3"/>
    <w:rsid w:val="531D20FD"/>
    <w:rsid w:val="53325CD2"/>
    <w:rsid w:val="533A5C60"/>
    <w:rsid w:val="534121A2"/>
    <w:rsid w:val="537312E8"/>
    <w:rsid w:val="5376698C"/>
    <w:rsid w:val="537B664F"/>
    <w:rsid w:val="538F59F6"/>
    <w:rsid w:val="5391176E"/>
    <w:rsid w:val="53C72F56"/>
    <w:rsid w:val="542B0ABC"/>
    <w:rsid w:val="5440159C"/>
    <w:rsid w:val="54433422"/>
    <w:rsid w:val="544D04FE"/>
    <w:rsid w:val="544F309F"/>
    <w:rsid w:val="546008AD"/>
    <w:rsid w:val="549924CB"/>
    <w:rsid w:val="549D5D5C"/>
    <w:rsid w:val="549E05E7"/>
    <w:rsid w:val="54A24757"/>
    <w:rsid w:val="54E52C92"/>
    <w:rsid w:val="54EB4EAE"/>
    <w:rsid w:val="54F3141A"/>
    <w:rsid w:val="54F44E33"/>
    <w:rsid w:val="54F478A4"/>
    <w:rsid w:val="55002113"/>
    <w:rsid w:val="550F6DEF"/>
    <w:rsid w:val="552703EE"/>
    <w:rsid w:val="552A00CC"/>
    <w:rsid w:val="552B20B7"/>
    <w:rsid w:val="553B6008"/>
    <w:rsid w:val="553C2FC1"/>
    <w:rsid w:val="555B2034"/>
    <w:rsid w:val="556A1073"/>
    <w:rsid w:val="558333C1"/>
    <w:rsid w:val="55BB289D"/>
    <w:rsid w:val="55C9645F"/>
    <w:rsid w:val="55D818D6"/>
    <w:rsid w:val="55DB0F91"/>
    <w:rsid w:val="55DD0A7D"/>
    <w:rsid w:val="55E32B88"/>
    <w:rsid w:val="55F305A6"/>
    <w:rsid w:val="560A5808"/>
    <w:rsid w:val="560C01BB"/>
    <w:rsid w:val="56307E67"/>
    <w:rsid w:val="563A312A"/>
    <w:rsid w:val="56426050"/>
    <w:rsid w:val="56500609"/>
    <w:rsid w:val="565A5DC7"/>
    <w:rsid w:val="565C6BA3"/>
    <w:rsid w:val="567129BD"/>
    <w:rsid w:val="56771937"/>
    <w:rsid w:val="567C4958"/>
    <w:rsid w:val="567F6737"/>
    <w:rsid w:val="568F2767"/>
    <w:rsid w:val="56920D90"/>
    <w:rsid w:val="569C673B"/>
    <w:rsid w:val="56A106AC"/>
    <w:rsid w:val="56C77D41"/>
    <w:rsid w:val="56CB3A71"/>
    <w:rsid w:val="56D32535"/>
    <w:rsid w:val="56F15F69"/>
    <w:rsid w:val="56FE711B"/>
    <w:rsid w:val="571B40C8"/>
    <w:rsid w:val="571F7091"/>
    <w:rsid w:val="572E4BCE"/>
    <w:rsid w:val="573135BD"/>
    <w:rsid w:val="573A2391"/>
    <w:rsid w:val="57663D50"/>
    <w:rsid w:val="57711B4D"/>
    <w:rsid w:val="57776AA4"/>
    <w:rsid w:val="577E39C3"/>
    <w:rsid w:val="577E4A64"/>
    <w:rsid w:val="57803BF0"/>
    <w:rsid w:val="57931AE1"/>
    <w:rsid w:val="57A218CA"/>
    <w:rsid w:val="57A87AFB"/>
    <w:rsid w:val="57B74973"/>
    <w:rsid w:val="57BC3EBC"/>
    <w:rsid w:val="57C55255"/>
    <w:rsid w:val="57E04A72"/>
    <w:rsid w:val="57E33DE9"/>
    <w:rsid w:val="57EB31E9"/>
    <w:rsid w:val="58077CD4"/>
    <w:rsid w:val="580D5CD0"/>
    <w:rsid w:val="58114BCD"/>
    <w:rsid w:val="58127EAB"/>
    <w:rsid w:val="58140C56"/>
    <w:rsid w:val="58276B45"/>
    <w:rsid w:val="58296CED"/>
    <w:rsid w:val="583A2175"/>
    <w:rsid w:val="5862610E"/>
    <w:rsid w:val="587C6644"/>
    <w:rsid w:val="5888724A"/>
    <w:rsid w:val="58AD6080"/>
    <w:rsid w:val="58D43EA7"/>
    <w:rsid w:val="58D52280"/>
    <w:rsid w:val="58F855A4"/>
    <w:rsid w:val="591567A8"/>
    <w:rsid w:val="59172982"/>
    <w:rsid w:val="59224F0F"/>
    <w:rsid w:val="593037D7"/>
    <w:rsid w:val="59313F3B"/>
    <w:rsid w:val="59653ED2"/>
    <w:rsid w:val="596B6014"/>
    <w:rsid w:val="59751359"/>
    <w:rsid w:val="59883D67"/>
    <w:rsid w:val="59AA0AAD"/>
    <w:rsid w:val="59BB5797"/>
    <w:rsid w:val="59EB3188"/>
    <w:rsid w:val="59F2424D"/>
    <w:rsid w:val="59F258F7"/>
    <w:rsid w:val="5A29423C"/>
    <w:rsid w:val="5A2B333A"/>
    <w:rsid w:val="5A367DF2"/>
    <w:rsid w:val="5A3E0AF7"/>
    <w:rsid w:val="5A4968FF"/>
    <w:rsid w:val="5A4A017C"/>
    <w:rsid w:val="5A4E2E04"/>
    <w:rsid w:val="5A5A3450"/>
    <w:rsid w:val="5A5B4D9A"/>
    <w:rsid w:val="5A647BDD"/>
    <w:rsid w:val="5A6B6C64"/>
    <w:rsid w:val="5A867F2F"/>
    <w:rsid w:val="5A8B345C"/>
    <w:rsid w:val="5AB363F3"/>
    <w:rsid w:val="5AB93E89"/>
    <w:rsid w:val="5ABE1C88"/>
    <w:rsid w:val="5AC72CC5"/>
    <w:rsid w:val="5AFF2DB3"/>
    <w:rsid w:val="5B0608E3"/>
    <w:rsid w:val="5B1F56C3"/>
    <w:rsid w:val="5B200E5C"/>
    <w:rsid w:val="5B3771F1"/>
    <w:rsid w:val="5B561796"/>
    <w:rsid w:val="5B63349D"/>
    <w:rsid w:val="5B79110E"/>
    <w:rsid w:val="5B9B377A"/>
    <w:rsid w:val="5BA0695B"/>
    <w:rsid w:val="5BA3448D"/>
    <w:rsid w:val="5BA34735"/>
    <w:rsid w:val="5BB1523B"/>
    <w:rsid w:val="5BBD71F2"/>
    <w:rsid w:val="5BED18E7"/>
    <w:rsid w:val="5BF23219"/>
    <w:rsid w:val="5BF31AD6"/>
    <w:rsid w:val="5BF9002E"/>
    <w:rsid w:val="5C09191E"/>
    <w:rsid w:val="5C0B1699"/>
    <w:rsid w:val="5C430D0C"/>
    <w:rsid w:val="5C475999"/>
    <w:rsid w:val="5C494564"/>
    <w:rsid w:val="5C495B5D"/>
    <w:rsid w:val="5C5F63CC"/>
    <w:rsid w:val="5C676A8F"/>
    <w:rsid w:val="5C712CEE"/>
    <w:rsid w:val="5C7A36E7"/>
    <w:rsid w:val="5C8D34E9"/>
    <w:rsid w:val="5C9B5759"/>
    <w:rsid w:val="5CA661BE"/>
    <w:rsid w:val="5CAF052B"/>
    <w:rsid w:val="5CB1629C"/>
    <w:rsid w:val="5CB96055"/>
    <w:rsid w:val="5CCC01E2"/>
    <w:rsid w:val="5CE8749D"/>
    <w:rsid w:val="5CEF731D"/>
    <w:rsid w:val="5D0D5BEB"/>
    <w:rsid w:val="5D102E39"/>
    <w:rsid w:val="5D1D5347"/>
    <w:rsid w:val="5D2C1385"/>
    <w:rsid w:val="5D2D3C10"/>
    <w:rsid w:val="5D302EDA"/>
    <w:rsid w:val="5D315554"/>
    <w:rsid w:val="5D4B49FC"/>
    <w:rsid w:val="5D703ED3"/>
    <w:rsid w:val="5D8462D2"/>
    <w:rsid w:val="5D876422"/>
    <w:rsid w:val="5DB04E97"/>
    <w:rsid w:val="5DBE0162"/>
    <w:rsid w:val="5DCF41F8"/>
    <w:rsid w:val="5DE46196"/>
    <w:rsid w:val="5DEC7EBF"/>
    <w:rsid w:val="5DF237B4"/>
    <w:rsid w:val="5DFF555E"/>
    <w:rsid w:val="5E0C0060"/>
    <w:rsid w:val="5E0E0F6A"/>
    <w:rsid w:val="5E14191A"/>
    <w:rsid w:val="5E386880"/>
    <w:rsid w:val="5E4863F0"/>
    <w:rsid w:val="5E4E2603"/>
    <w:rsid w:val="5E507A46"/>
    <w:rsid w:val="5E512BA9"/>
    <w:rsid w:val="5E5A03C3"/>
    <w:rsid w:val="5E68156F"/>
    <w:rsid w:val="5E686287"/>
    <w:rsid w:val="5E704249"/>
    <w:rsid w:val="5E721032"/>
    <w:rsid w:val="5E725399"/>
    <w:rsid w:val="5E802B0B"/>
    <w:rsid w:val="5E9A3FC1"/>
    <w:rsid w:val="5EB81E46"/>
    <w:rsid w:val="5EBA601D"/>
    <w:rsid w:val="5EC33192"/>
    <w:rsid w:val="5ED40B65"/>
    <w:rsid w:val="5ED81849"/>
    <w:rsid w:val="5EE6519E"/>
    <w:rsid w:val="5EFC6FEB"/>
    <w:rsid w:val="5EFF4434"/>
    <w:rsid w:val="5F0F1D36"/>
    <w:rsid w:val="5F1C4D7E"/>
    <w:rsid w:val="5F2E7065"/>
    <w:rsid w:val="5F355DB6"/>
    <w:rsid w:val="5F5209F8"/>
    <w:rsid w:val="5F5226F9"/>
    <w:rsid w:val="5F530B3B"/>
    <w:rsid w:val="5F635DC8"/>
    <w:rsid w:val="5F7E021A"/>
    <w:rsid w:val="5F81463B"/>
    <w:rsid w:val="5F8355BC"/>
    <w:rsid w:val="5F846736"/>
    <w:rsid w:val="5F942D12"/>
    <w:rsid w:val="5F976163"/>
    <w:rsid w:val="5FA314DA"/>
    <w:rsid w:val="5FCF1954"/>
    <w:rsid w:val="5FD547E6"/>
    <w:rsid w:val="60036BB3"/>
    <w:rsid w:val="600823ED"/>
    <w:rsid w:val="600919BA"/>
    <w:rsid w:val="600A3F4F"/>
    <w:rsid w:val="60101E3D"/>
    <w:rsid w:val="601E2116"/>
    <w:rsid w:val="60494D74"/>
    <w:rsid w:val="604E17F4"/>
    <w:rsid w:val="60606443"/>
    <w:rsid w:val="60717970"/>
    <w:rsid w:val="609662A4"/>
    <w:rsid w:val="60A315F3"/>
    <w:rsid w:val="60BB5DD9"/>
    <w:rsid w:val="60C06A13"/>
    <w:rsid w:val="60EA2FF4"/>
    <w:rsid w:val="60EB5790"/>
    <w:rsid w:val="61082F90"/>
    <w:rsid w:val="610B452A"/>
    <w:rsid w:val="610D776E"/>
    <w:rsid w:val="61162A46"/>
    <w:rsid w:val="61424B96"/>
    <w:rsid w:val="61500132"/>
    <w:rsid w:val="615C6CBE"/>
    <w:rsid w:val="61641C99"/>
    <w:rsid w:val="61652AFB"/>
    <w:rsid w:val="616D0DE9"/>
    <w:rsid w:val="618260B8"/>
    <w:rsid w:val="61897F29"/>
    <w:rsid w:val="61AA758F"/>
    <w:rsid w:val="61C575C8"/>
    <w:rsid w:val="61C86526"/>
    <w:rsid w:val="61E11B13"/>
    <w:rsid w:val="61E460D4"/>
    <w:rsid w:val="61F338BF"/>
    <w:rsid w:val="62097C9D"/>
    <w:rsid w:val="620D7526"/>
    <w:rsid w:val="62250D4D"/>
    <w:rsid w:val="622B048D"/>
    <w:rsid w:val="62345478"/>
    <w:rsid w:val="623F498E"/>
    <w:rsid w:val="625C2AAE"/>
    <w:rsid w:val="62616ABC"/>
    <w:rsid w:val="626836B0"/>
    <w:rsid w:val="62856942"/>
    <w:rsid w:val="62907D75"/>
    <w:rsid w:val="629E4172"/>
    <w:rsid w:val="62A54F1F"/>
    <w:rsid w:val="62AF2D2F"/>
    <w:rsid w:val="62D12F89"/>
    <w:rsid w:val="62D3780E"/>
    <w:rsid w:val="62EC6150"/>
    <w:rsid w:val="631F076E"/>
    <w:rsid w:val="63310230"/>
    <w:rsid w:val="63612F0B"/>
    <w:rsid w:val="63952790"/>
    <w:rsid w:val="63A31630"/>
    <w:rsid w:val="63B75221"/>
    <w:rsid w:val="63C21069"/>
    <w:rsid w:val="63CE27D8"/>
    <w:rsid w:val="63F932C5"/>
    <w:rsid w:val="63FD3070"/>
    <w:rsid w:val="6400607E"/>
    <w:rsid w:val="6403103E"/>
    <w:rsid w:val="640D45E0"/>
    <w:rsid w:val="64107237"/>
    <w:rsid w:val="64171BB9"/>
    <w:rsid w:val="645C76B6"/>
    <w:rsid w:val="6470473A"/>
    <w:rsid w:val="647B7C5D"/>
    <w:rsid w:val="647C7ED5"/>
    <w:rsid w:val="64882719"/>
    <w:rsid w:val="649A0079"/>
    <w:rsid w:val="64A23965"/>
    <w:rsid w:val="64EE228F"/>
    <w:rsid w:val="64FE574A"/>
    <w:rsid w:val="652803A1"/>
    <w:rsid w:val="6536223E"/>
    <w:rsid w:val="653D52B2"/>
    <w:rsid w:val="654254C3"/>
    <w:rsid w:val="65572A9A"/>
    <w:rsid w:val="655A3891"/>
    <w:rsid w:val="65711E24"/>
    <w:rsid w:val="6577407A"/>
    <w:rsid w:val="657E4F08"/>
    <w:rsid w:val="657F4BCB"/>
    <w:rsid w:val="658F02D3"/>
    <w:rsid w:val="65911419"/>
    <w:rsid w:val="65A078D0"/>
    <w:rsid w:val="65B24CEA"/>
    <w:rsid w:val="65B32266"/>
    <w:rsid w:val="65E54F88"/>
    <w:rsid w:val="65FC33BF"/>
    <w:rsid w:val="662A2A3B"/>
    <w:rsid w:val="662A4E93"/>
    <w:rsid w:val="66525E47"/>
    <w:rsid w:val="666148D1"/>
    <w:rsid w:val="666D654A"/>
    <w:rsid w:val="666E3CE8"/>
    <w:rsid w:val="667752EC"/>
    <w:rsid w:val="668B199B"/>
    <w:rsid w:val="668F05DE"/>
    <w:rsid w:val="66B77536"/>
    <w:rsid w:val="66C7733B"/>
    <w:rsid w:val="66C80EE3"/>
    <w:rsid w:val="66C96F26"/>
    <w:rsid w:val="66E17EAB"/>
    <w:rsid w:val="66EA2A00"/>
    <w:rsid w:val="66F559E3"/>
    <w:rsid w:val="66FC78D2"/>
    <w:rsid w:val="67191920"/>
    <w:rsid w:val="6735767C"/>
    <w:rsid w:val="673858DF"/>
    <w:rsid w:val="675B7897"/>
    <w:rsid w:val="675F206D"/>
    <w:rsid w:val="676404B9"/>
    <w:rsid w:val="676752FD"/>
    <w:rsid w:val="677B47B7"/>
    <w:rsid w:val="67826F48"/>
    <w:rsid w:val="678A2B0F"/>
    <w:rsid w:val="67927BBC"/>
    <w:rsid w:val="6796367F"/>
    <w:rsid w:val="67C86443"/>
    <w:rsid w:val="67C87F78"/>
    <w:rsid w:val="67DB0FA6"/>
    <w:rsid w:val="680E09F2"/>
    <w:rsid w:val="68113F78"/>
    <w:rsid w:val="681440EA"/>
    <w:rsid w:val="68200E09"/>
    <w:rsid w:val="683351FB"/>
    <w:rsid w:val="684958BF"/>
    <w:rsid w:val="6853303E"/>
    <w:rsid w:val="68600B71"/>
    <w:rsid w:val="68695E40"/>
    <w:rsid w:val="686B73FF"/>
    <w:rsid w:val="6871776D"/>
    <w:rsid w:val="687F14FF"/>
    <w:rsid w:val="688651C2"/>
    <w:rsid w:val="68A22C23"/>
    <w:rsid w:val="68A46AF3"/>
    <w:rsid w:val="68A75386"/>
    <w:rsid w:val="68B67474"/>
    <w:rsid w:val="68E72104"/>
    <w:rsid w:val="68E9380F"/>
    <w:rsid w:val="69234312"/>
    <w:rsid w:val="69244F55"/>
    <w:rsid w:val="692846C1"/>
    <w:rsid w:val="692D1EC0"/>
    <w:rsid w:val="69364132"/>
    <w:rsid w:val="69422C5E"/>
    <w:rsid w:val="69497CC3"/>
    <w:rsid w:val="695B664F"/>
    <w:rsid w:val="698B62BD"/>
    <w:rsid w:val="69EA1DDB"/>
    <w:rsid w:val="6A082C2D"/>
    <w:rsid w:val="6A123A03"/>
    <w:rsid w:val="6A232FA8"/>
    <w:rsid w:val="6A271C37"/>
    <w:rsid w:val="6A372C18"/>
    <w:rsid w:val="6A5D329A"/>
    <w:rsid w:val="6A62486A"/>
    <w:rsid w:val="6A665CC1"/>
    <w:rsid w:val="6A6E274D"/>
    <w:rsid w:val="6A6E3451"/>
    <w:rsid w:val="6A7526C5"/>
    <w:rsid w:val="6A8A0DE2"/>
    <w:rsid w:val="6A8A23D9"/>
    <w:rsid w:val="6A922CE9"/>
    <w:rsid w:val="6AA47B81"/>
    <w:rsid w:val="6AAE771A"/>
    <w:rsid w:val="6AC4416A"/>
    <w:rsid w:val="6AE5157E"/>
    <w:rsid w:val="6AE77D65"/>
    <w:rsid w:val="6AFE68A0"/>
    <w:rsid w:val="6AFF6D0F"/>
    <w:rsid w:val="6B022808"/>
    <w:rsid w:val="6B06756B"/>
    <w:rsid w:val="6B084622"/>
    <w:rsid w:val="6B0869A4"/>
    <w:rsid w:val="6B2E0290"/>
    <w:rsid w:val="6B5D12ED"/>
    <w:rsid w:val="6B754942"/>
    <w:rsid w:val="6B8D723B"/>
    <w:rsid w:val="6B947A56"/>
    <w:rsid w:val="6BA8784A"/>
    <w:rsid w:val="6BB00AB2"/>
    <w:rsid w:val="6BB17BFE"/>
    <w:rsid w:val="6BEF4424"/>
    <w:rsid w:val="6BF55514"/>
    <w:rsid w:val="6BF73226"/>
    <w:rsid w:val="6C063F42"/>
    <w:rsid w:val="6C1B7B81"/>
    <w:rsid w:val="6C2567A7"/>
    <w:rsid w:val="6C2955C5"/>
    <w:rsid w:val="6C3C4515"/>
    <w:rsid w:val="6C420798"/>
    <w:rsid w:val="6C496C32"/>
    <w:rsid w:val="6C5914A2"/>
    <w:rsid w:val="6C5A4BD3"/>
    <w:rsid w:val="6C6D0318"/>
    <w:rsid w:val="6C826356"/>
    <w:rsid w:val="6C88775B"/>
    <w:rsid w:val="6C8C1166"/>
    <w:rsid w:val="6CB80F0F"/>
    <w:rsid w:val="6CC83FFB"/>
    <w:rsid w:val="6CCC3278"/>
    <w:rsid w:val="6CD01DB9"/>
    <w:rsid w:val="6CD24037"/>
    <w:rsid w:val="6CD64342"/>
    <w:rsid w:val="6CDC170B"/>
    <w:rsid w:val="6CE611BE"/>
    <w:rsid w:val="6CF0330A"/>
    <w:rsid w:val="6D024CF4"/>
    <w:rsid w:val="6D17317B"/>
    <w:rsid w:val="6D316543"/>
    <w:rsid w:val="6D3A46F0"/>
    <w:rsid w:val="6D5A4776"/>
    <w:rsid w:val="6D655032"/>
    <w:rsid w:val="6D7E48A9"/>
    <w:rsid w:val="6D823013"/>
    <w:rsid w:val="6DA30A00"/>
    <w:rsid w:val="6DA96DDC"/>
    <w:rsid w:val="6DB24AD1"/>
    <w:rsid w:val="6DCC18C9"/>
    <w:rsid w:val="6DDD0932"/>
    <w:rsid w:val="6DDE4A58"/>
    <w:rsid w:val="6DE20064"/>
    <w:rsid w:val="6DE7710E"/>
    <w:rsid w:val="6DE92424"/>
    <w:rsid w:val="6E1A5085"/>
    <w:rsid w:val="6E242B16"/>
    <w:rsid w:val="6E2B5F9D"/>
    <w:rsid w:val="6E567C9F"/>
    <w:rsid w:val="6E8403F6"/>
    <w:rsid w:val="6E8E490C"/>
    <w:rsid w:val="6E952410"/>
    <w:rsid w:val="6E9A0985"/>
    <w:rsid w:val="6EA63EC8"/>
    <w:rsid w:val="6EA85DFD"/>
    <w:rsid w:val="6EBD1C7B"/>
    <w:rsid w:val="6EC95E08"/>
    <w:rsid w:val="6EDA5B74"/>
    <w:rsid w:val="6EEA709C"/>
    <w:rsid w:val="6EFE0985"/>
    <w:rsid w:val="6F007722"/>
    <w:rsid w:val="6F0B6421"/>
    <w:rsid w:val="6F1F1325"/>
    <w:rsid w:val="6F212ADD"/>
    <w:rsid w:val="6F331363"/>
    <w:rsid w:val="6F33735D"/>
    <w:rsid w:val="6F543096"/>
    <w:rsid w:val="6F6D3A37"/>
    <w:rsid w:val="6F6E2D13"/>
    <w:rsid w:val="6F7E17F9"/>
    <w:rsid w:val="6F892E0D"/>
    <w:rsid w:val="6FB53789"/>
    <w:rsid w:val="6FC56A53"/>
    <w:rsid w:val="6FCA1E38"/>
    <w:rsid w:val="6FDC595C"/>
    <w:rsid w:val="6FE516D9"/>
    <w:rsid w:val="6FF60695"/>
    <w:rsid w:val="6FF92768"/>
    <w:rsid w:val="6FFF2BBE"/>
    <w:rsid w:val="70040AAC"/>
    <w:rsid w:val="70192DFC"/>
    <w:rsid w:val="701A40CF"/>
    <w:rsid w:val="70294ED3"/>
    <w:rsid w:val="703C5FF4"/>
    <w:rsid w:val="704978B1"/>
    <w:rsid w:val="704F17D1"/>
    <w:rsid w:val="70553DF8"/>
    <w:rsid w:val="70875F7B"/>
    <w:rsid w:val="70903A9D"/>
    <w:rsid w:val="709F7C14"/>
    <w:rsid w:val="70A038B7"/>
    <w:rsid w:val="70A62291"/>
    <w:rsid w:val="70CB7764"/>
    <w:rsid w:val="70F56853"/>
    <w:rsid w:val="71091CB0"/>
    <w:rsid w:val="710D040A"/>
    <w:rsid w:val="711260B6"/>
    <w:rsid w:val="71256EB3"/>
    <w:rsid w:val="713D789C"/>
    <w:rsid w:val="71451A1F"/>
    <w:rsid w:val="714F129E"/>
    <w:rsid w:val="714F76E9"/>
    <w:rsid w:val="717A163C"/>
    <w:rsid w:val="71834994"/>
    <w:rsid w:val="71940950"/>
    <w:rsid w:val="71A83FC1"/>
    <w:rsid w:val="71C91C3A"/>
    <w:rsid w:val="71F20D22"/>
    <w:rsid w:val="723E3FE8"/>
    <w:rsid w:val="72413E29"/>
    <w:rsid w:val="72456250"/>
    <w:rsid w:val="724C4E78"/>
    <w:rsid w:val="724F06C0"/>
    <w:rsid w:val="725122B1"/>
    <w:rsid w:val="72534367"/>
    <w:rsid w:val="7255106F"/>
    <w:rsid w:val="725666F5"/>
    <w:rsid w:val="725B5B2D"/>
    <w:rsid w:val="7265040D"/>
    <w:rsid w:val="726C5885"/>
    <w:rsid w:val="72864218"/>
    <w:rsid w:val="72956780"/>
    <w:rsid w:val="72A1796C"/>
    <w:rsid w:val="72B954FB"/>
    <w:rsid w:val="72CD7B8C"/>
    <w:rsid w:val="72D17CEA"/>
    <w:rsid w:val="72DC3AFD"/>
    <w:rsid w:val="72E9309C"/>
    <w:rsid w:val="72F0605F"/>
    <w:rsid w:val="72F17AAC"/>
    <w:rsid w:val="72F5541E"/>
    <w:rsid w:val="72FF629D"/>
    <w:rsid w:val="730C28F7"/>
    <w:rsid w:val="73135513"/>
    <w:rsid w:val="731B1A9F"/>
    <w:rsid w:val="736E23AF"/>
    <w:rsid w:val="73757C3C"/>
    <w:rsid w:val="738B66E1"/>
    <w:rsid w:val="73A04AE1"/>
    <w:rsid w:val="73C66DBA"/>
    <w:rsid w:val="73CC69B7"/>
    <w:rsid w:val="73D25872"/>
    <w:rsid w:val="73E07443"/>
    <w:rsid w:val="73ED7223"/>
    <w:rsid w:val="73F11447"/>
    <w:rsid w:val="73F327C7"/>
    <w:rsid w:val="73FB0445"/>
    <w:rsid w:val="74050794"/>
    <w:rsid w:val="740D4FB5"/>
    <w:rsid w:val="741F2CE8"/>
    <w:rsid w:val="743715FC"/>
    <w:rsid w:val="74632EE0"/>
    <w:rsid w:val="74800A09"/>
    <w:rsid w:val="748A581C"/>
    <w:rsid w:val="749D6042"/>
    <w:rsid w:val="74A2478D"/>
    <w:rsid w:val="74BA691F"/>
    <w:rsid w:val="74CC0400"/>
    <w:rsid w:val="74CF1C9F"/>
    <w:rsid w:val="74D07D76"/>
    <w:rsid w:val="74D2653F"/>
    <w:rsid w:val="74E7018A"/>
    <w:rsid w:val="74E92D60"/>
    <w:rsid w:val="75001D43"/>
    <w:rsid w:val="75164238"/>
    <w:rsid w:val="75292A92"/>
    <w:rsid w:val="752B365F"/>
    <w:rsid w:val="752C6F96"/>
    <w:rsid w:val="753447C9"/>
    <w:rsid w:val="75375864"/>
    <w:rsid w:val="75494133"/>
    <w:rsid w:val="7572476B"/>
    <w:rsid w:val="757C07D3"/>
    <w:rsid w:val="75894FE7"/>
    <w:rsid w:val="759D1102"/>
    <w:rsid w:val="759F7AE1"/>
    <w:rsid w:val="75B97744"/>
    <w:rsid w:val="75D67789"/>
    <w:rsid w:val="75D75803"/>
    <w:rsid w:val="75D94865"/>
    <w:rsid w:val="75DA0F67"/>
    <w:rsid w:val="75F07D8C"/>
    <w:rsid w:val="75F5118C"/>
    <w:rsid w:val="760254F7"/>
    <w:rsid w:val="76342EE7"/>
    <w:rsid w:val="76373F9F"/>
    <w:rsid w:val="764B7067"/>
    <w:rsid w:val="766C6E1B"/>
    <w:rsid w:val="76750B66"/>
    <w:rsid w:val="767856CA"/>
    <w:rsid w:val="76BD4CB3"/>
    <w:rsid w:val="76C37481"/>
    <w:rsid w:val="76F51E90"/>
    <w:rsid w:val="76FC709B"/>
    <w:rsid w:val="7701490B"/>
    <w:rsid w:val="770420D4"/>
    <w:rsid w:val="772B279D"/>
    <w:rsid w:val="77347C51"/>
    <w:rsid w:val="775038E7"/>
    <w:rsid w:val="77544FA8"/>
    <w:rsid w:val="776B26B9"/>
    <w:rsid w:val="77752B8E"/>
    <w:rsid w:val="77764390"/>
    <w:rsid w:val="777C7831"/>
    <w:rsid w:val="77812E09"/>
    <w:rsid w:val="778A219E"/>
    <w:rsid w:val="778A7BCA"/>
    <w:rsid w:val="778D5A70"/>
    <w:rsid w:val="77AD62C7"/>
    <w:rsid w:val="77C2031D"/>
    <w:rsid w:val="77C614A7"/>
    <w:rsid w:val="77DA4BE2"/>
    <w:rsid w:val="77F0211E"/>
    <w:rsid w:val="77F04FE9"/>
    <w:rsid w:val="78003773"/>
    <w:rsid w:val="78126B52"/>
    <w:rsid w:val="781C5CB2"/>
    <w:rsid w:val="78236E52"/>
    <w:rsid w:val="784C53E2"/>
    <w:rsid w:val="784F78EB"/>
    <w:rsid w:val="78616AA7"/>
    <w:rsid w:val="78673DC0"/>
    <w:rsid w:val="78701E26"/>
    <w:rsid w:val="78770268"/>
    <w:rsid w:val="789001BE"/>
    <w:rsid w:val="78995985"/>
    <w:rsid w:val="789D0F44"/>
    <w:rsid w:val="78A505D6"/>
    <w:rsid w:val="78B56D85"/>
    <w:rsid w:val="78C62EF6"/>
    <w:rsid w:val="78C630D4"/>
    <w:rsid w:val="78DA4592"/>
    <w:rsid w:val="78E77B5F"/>
    <w:rsid w:val="78F3682E"/>
    <w:rsid w:val="790A5305"/>
    <w:rsid w:val="790D7B86"/>
    <w:rsid w:val="791F0593"/>
    <w:rsid w:val="7920460E"/>
    <w:rsid w:val="7927626E"/>
    <w:rsid w:val="792A6932"/>
    <w:rsid w:val="792B16C7"/>
    <w:rsid w:val="792D6052"/>
    <w:rsid w:val="79436B42"/>
    <w:rsid w:val="79461F0D"/>
    <w:rsid w:val="7946323B"/>
    <w:rsid w:val="794964C4"/>
    <w:rsid w:val="794D5B4C"/>
    <w:rsid w:val="7955034B"/>
    <w:rsid w:val="79584959"/>
    <w:rsid w:val="797177C8"/>
    <w:rsid w:val="79725F50"/>
    <w:rsid w:val="797D3FF1"/>
    <w:rsid w:val="797F5D65"/>
    <w:rsid w:val="79813ADE"/>
    <w:rsid w:val="79905B80"/>
    <w:rsid w:val="79A4224E"/>
    <w:rsid w:val="79B16F2D"/>
    <w:rsid w:val="79B22B0F"/>
    <w:rsid w:val="79B22DE9"/>
    <w:rsid w:val="79D96637"/>
    <w:rsid w:val="7A082774"/>
    <w:rsid w:val="7A1066ED"/>
    <w:rsid w:val="7A1B7CE2"/>
    <w:rsid w:val="7A25577E"/>
    <w:rsid w:val="7A2F56B9"/>
    <w:rsid w:val="7A6003FC"/>
    <w:rsid w:val="7A6658B2"/>
    <w:rsid w:val="7A675DDD"/>
    <w:rsid w:val="7A6A3E8A"/>
    <w:rsid w:val="7A6F5FA1"/>
    <w:rsid w:val="7A6F776C"/>
    <w:rsid w:val="7A71106F"/>
    <w:rsid w:val="7A7A49F7"/>
    <w:rsid w:val="7A7C2F6F"/>
    <w:rsid w:val="7A856607"/>
    <w:rsid w:val="7A8F4065"/>
    <w:rsid w:val="7AAA2EF6"/>
    <w:rsid w:val="7AAC3A88"/>
    <w:rsid w:val="7AAD5345"/>
    <w:rsid w:val="7AB40921"/>
    <w:rsid w:val="7ABB5634"/>
    <w:rsid w:val="7AEA222C"/>
    <w:rsid w:val="7AED74F4"/>
    <w:rsid w:val="7AF741CD"/>
    <w:rsid w:val="7B072762"/>
    <w:rsid w:val="7B0E39EF"/>
    <w:rsid w:val="7B0F3A5E"/>
    <w:rsid w:val="7B1965C0"/>
    <w:rsid w:val="7B1B14EE"/>
    <w:rsid w:val="7B425A3F"/>
    <w:rsid w:val="7B58687E"/>
    <w:rsid w:val="7B5E29DA"/>
    <w:rsid w:val="7B6A44CF"/>
    <w:rsid w:val="7B6D3E0C"/>
    <w:rsid w:val="7B912401"/>
    <w:rsid w:val="7BA14395"/>
    <w:rsid w:val="7BA80898"/>
    <w:rsid w:val="7BB11419"/>
    <w:rsid w:val="7BBB4EA6"/>
    <w:rsid w:val="7BBE463E"/>
    <w:rsid w:val="7BC36771"/>
    <w:rsid w:val="7BD55FB5"/>
    <w:rsid w:val="7BDC361F"/>
    <w:rsid w:val="7BE16742"/>
    <w:rsid w:val="7BE22277"/>
    <w:rsid w:val="7BF9686F"/>
    <w:rsid w:val="7C17751A"/>
    <w:rsid w:val="7C1A449E"/>
    <w:rsid w:val="7C247A0F"/>
    <w:rsid w:val="7C5B5CD3"/>
    <w:rsid w:val="7C60334E"/>
    <w:rsid w:val="7C6C12BD"/>
    <w:rsid w:val="7C7052F0"/>
    <w:rsid w:val="7C743857"/>
    <w:rsid w:val="7C8A3007"/>
    <w:rsid w:val="7C9417E0"/>
    <w:rsid w:val="7CA02F04"/>
    <w:rsid w:val="7CB15751"/>
    <w:rsid w:val="7CB85B38"/>
    <w:rsid w:val="7CBF511F"/>
    <w:rsid w:val="7CC5429F"/>
    <w:rsid w:val="7CD57245"/>
    <w:rsid w:val="7CDA0992"/>
    <w:rsid w:val="7CDB5685"/>
    <w:rsid w:val="7CE137F8"/>
    <w:rsid w:val="7D0B22A7"/>
    <w:rsid w:val="7D2E6E76"/>
    <w:rsid w:val="7D367981"/>
    <w:rsid w:val="7D376633"/>
    <w:rsid w:val="7D3E0825"/>
    <w:rsid w:val="7D44741E"/>
    <w:rsid w:val="7D5248D3"/>
    <w:rsid w:val="7D554062"/>
    <w:rsid w:val="7D5E677D"/>
    <w:rsid w:val="7D653ADC"/>
    <w:rsid w:val="7D696FC9"/>
    <w:rsid w:val="7D7D48C1"/>
    <w:rsid w:val="7D867E46"/>
    <w:rsid w:val="7D877CBF"/>
    <w:rsid w:val="7D89672B"/>
    <w:rsid w:val="7D92434B"/>
    <w:rsid w:val="7D977DA2"/>
    <w:rsid w:val="7DA2461C"/>
    <w:rsid w:val="7DAC0744"/>
    <w:rsid w:val="7DAF7C8C"/>
    <w:rsid w:val="7DB22223"/>
    <w:rsid w:val="7DB6742A"/>
    <w:rsid w:val="7DBB3598"/>
    <w:rsid w:val="7DC055C5"/>
    <w:rsid w:val="7DCA1631"/>
    <w:rsid w:val="7DD70EAB"/>
    <w:rsid w:val="7DDE72E2"/>
    <w:rsid w:val="7DEC03E3"/>
    <w:rsid w:val="7DEC1CAA"/>
    <w:rsid w:val="7DF051F2"/>
    <w:rsid w:val="7DF154BA"/>
    <w:rsid w:val="7DFC271F"/>
    <w:rsid w:val="7E2B4DE7"/>
    <w:rsid w:val="7E2D1F10"/>
    <w:rsid w:val="7E384309"/>
    <w:rsid w:val="7E394D59"/>
    <w:rsid w:val="7E480F94"/>
    <w:rsid w:val="7E501A5A"/>
    <w:rsid w:val="7E512745"/>
    <w:rsid w:val="7E516999"/>
    <w:rsid w:val="7E5E479A"/>
    <w:rsid w:val="7E666DA6"/>
    <w:rsid w:val="7E77762F"/>
    <w:rsid w:val="7E7B342B"/>
    <w:rsid w:val="7E8111D8"/>
    <w:rsid w:val="7E876FDB"/>
    <w:rsid w:val="7EAE65C3"/>
    <w:rsid w:val="7EC115BD"/>
    <w:rsid w:val="7ECF6A7A"/>
    <w:rsid w:val="7EDE37B3"/>
    <w:rsid w:val="7EE76E1C"/>
    <w:rsid w:val="7EFF56EF"/>
    <w:rsid w:val="7F01079E"/>
    <w:rsid w:val="7F044E95"/>
    <w:rsid w:val="7F075EAF"/>
    <w:rsid w:val="7F0E395F"/>
    <w:rsid w:val="7F284D52"/>
    <w:rsid w:val="7F3E17EF"/>
    <w:rsid w:val="7F457BEA"/>
    <w:rsid w:val="7F4735CF"/>
    <w:rsid w:val="7F4A7714"/>
    <w:rsid w:val="7F52348C"/>
    <w:rsid w:val="7F57751E"/>
    <w:rsid w:val="7F59568B"/>
    <w:rsid w:val="7F604BC8"/>
    <w:rsid w:val="7F60712F"/>
    <w:rsid w:val="7F6301D6"/>
    <w:rsid w:val="7F7E679B"/>
    <w:rsid w:val="7F7F450B"/>
    <w:rsid w:val="7F80415D"/>
    <w:rsid w:val="7F9E4157"/>
    <w:rsid w:val="7FAC155A"/>
    <w:rsid w:val="7FB91D8A"/>
    <w:rsid w:val="7FBD748D"/>
    <w:rsid w:val="7FC15718"/>
    <w:rsid w:val="7FC23EAF"/>
    <w:rsid w:val="7FC47812"/>
    <w:rsid w:val="7FF172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0"/>
    <w:qFormat/>
    <w:uiPriority w:val="0"/>
    <w:pPr>
      <w:keepNext/>
      <w:keepLines/>
      <w:spacing w:before="120" w:after="120"/>
      <w:jc w:val="center"/>
      <w:outlineLvl w:val="0"/>
    </w:pPr>
    <w:rPr>
      <w:b/>
      <w:spacing w:val="20"/>
      <w:kern w:val="44"/>
      <w:sz w:val="32"/>
    </w:rPr>
  </w:style>
  <w:style w:type="paragraph" w:styleId="3">
    <w:name w:val="heading 2"/>
    <w:basedOn w:val="1"/>
    <w:next w:val="1"/>
    <w:link w:val="57"/>
    <w:unhideWhenUsed/>
    <w:qFormat/>
    <w:uiPriority w:val="0"/>
    <w:pPr>
      <w:keepNext/>
      <w:keepLines/>
      <w:spacing w:before="240" w:line="400" w:lineRule="exact"/>
      <w:outlineLvl w:val="1"/>
    </w:pPr>
    <w:rPr>
      <w:rFonts w:ascii="Arial" w:hAnsi="Arial"/>
      <w:b/>
      <w:color w:val="000000"/>
      <w:spacing w:val="40"/>
      <w:sz w:val="32"/>
    </w:rPr>
  </w:style>
  <w:style w:type="paragraph" w:styleId="4">
    <w:name w:val="heading 3"/>
    <w:basedOn w:val="1"/>
    <w:next w:val="1"/>
    <w:link w:val="95"/>
    <w:unhideWhenUsed/>
    <w:qFormat/>
    <w:uiPriority w:val="0"/>
    <w:pPr>
      <w:keepNext/>
      <w:keepLines/>
      <w:spacing w:before="60" w:after="60" w:line="400" w:lineRule="exact"/>
      <w:ind w:firstLine="510"/>
      <w:outlineLvl w:val="2"/>
    </w:pPr>
    <w:rPr>
      <w:rFonts w:ascii="宋体"/>
      <w:b/>
      <w:sz w:val="24"/>
    </w:rPr>
  </w:style>
  <w:style w:type="paragraph" w:styleId="5">
    <w:name w:val="heading 4"/>
    <w:basedOn w:val="1"/>
    <w:next w:val="1"/>
    <w:link w:val="149"/>
    <w:unhideWhenUsed/>
    <w:qFormat/>
    <w:uiPriority w:val="9"/>
    <w:pPr>
      <w:tabs>
        <w:tab w:val="left" w:pos="2155"/>
      </w:tabs>
      <w:adjustRightInd w:val="0"/>
      <w:spacing w:before="120" w:line="360" w:lineRule="auto"/>
      <w:ind w:left="2155" w:hanging="1078"/>
      <w:textAlignment w:val="baseline"/>
      <w:outlineLvl w:val="3"/>
    </w:pPr>
    <w:rPr>
      <w:rFonts w:ascii="Arial" w:hAnsi="Arial" w:eastAsia="黑体"/>
      <w:kern w:val="0"/>
      <w:sz w:val="28"/>
    </w:rPr>
  </w:style>
  <w:style w:type="paragraph" w:styleId="6">
    <w:name w:val="heading 5"/>
    <w:basedOn w:val="1"/>
    <w:next w:val="1"/>
    <w:link w:val="150"/>
    <w:unhideWhenUsed/>
    <w:qFormat/>
    <w:uiPriority w:val="0"/>
    <w:pPr>
      <w:keepNext/>
      <w:keepLines/>
      <w:adjustRightInd w:val="0"/>
      <w:spacing w:before="280" w:after="290" w:line="376" w:lineRule="atLeast"/>
      <w:textAlignment w:val="baseline"/>
      <w:outlineLvl w:val="4"/>
    </w:pPr>
    <w:rPr>
      <w:b/>
      <w:kern w:val="0"/>
      <w:sz w:val="28"/>
      <w:szCs w:val="24"/>
    </w:rPr>
  </w:style>
  <w:style w:type="paragraph" w:styleId="7">
    <w:name w:val="heading 6"/>
    <w:basedOn w:val="1"/>
    <w:next w:val="1"/>
    <w:link w:val="151"/>
    <w:unhideWhenUsed/>
    <w:qFormat/>
    <w:uiPriority w:val="0"/>
    <w:pPr>
      <w:keepNext/>
      <w:keepLines/>
      <w:ind w:firstLine="200" w:firstLineChars="200"/>
      <w:outlineLvl w:val="5"/>
    </w:pPr>
    <w:rPr>
      <w:rFonts w:ascii="Arial" w:hAnsi="Arial" w:cstheme="minorBidi"/>
      <w:sz w:val="24"/>
      <w:szCs w:val="24"/>
    </w:rPr>
  </w:style>
  <w:style w:type="paragraph" w:styleId="8">
    <w:name w:val="heading 7"/>
    <w:basedOn w:val="1"/>
    <w:next w:val="1"/>
    <w:link w:val="152"/>
    <w:unhideWhenUsed/>
    <w:qFormat/>
    <w:uiPriority w:val="0"/>
    <w:pPr>
      <w:keepNext/>
      <w:keepLines/>
      <w:numPr>
        <w:ilvl w:val="6"/>
        <w:numId w:val="1"/>
      </w:numPr>
      <w:spacing w:before="240" w:after="64" w:line="317" w:lineRule="auto"/>
      <w:outlineLvl w:val="6"/>
    </w:pPr>
    <w:rPr>
      <w:rFonts w:ascii="Arial" w:hAnsi="Arial" w:cstheme="minorBidi"/>
      <w:b/>
      <w:sz w:val="24"/>
      <w:szCs w:val="24"/>
    </w:rPr>
  </w:style>
  <w:style w:type="paragraph" w:styleId="9">
    <w:name w:val="heading 8"/>
    <w:basedOn w:val="1"/>
    <w:next w:val="1"/>
    <w:link w:val="153"/>
    <w:unhideWhenUsed/>
    <w:qFormat/>
    <w:uiPriority w:val="0"/>
    <w:pPr>
      <w:keepNext/>
      <w:keepLines/>
      <w:numPr>
        <w:ilvl w:val="7"/>
        <w:numId w:val="1"/>
      </w:numPr>
      <w:spacing w:before="240" w:after="64" w:line="317" w:lineRule="auto"/>
      <w:outlineLvl w:val="7"/>
    </w:pPr>
    <w:rPr>
      <w:rFonts w:ascii="Arial" w:hAnsi="Arial" w:cstheme="minorBidi"/>
      <w:b/>
      <w:sz w:val="22"/>
      <w:szCs w:val="24"/>
    </w:rPr>
  </w:style>
  <w:style w:type="paragraph" w:styleId="10">
    <w:name w:val="heading 9"/>
    <w:basedOn w:val="1"/>
    <w:next w:val="1"/>
    <w:link w:val="154"/>
    <w:unhideWhenUsed/>
    <w:qFormat/>
    <w:uiPriority w:val="0"/>
    <w:pPr>
      <w:keepNext/>
      <w:keepLines/>
      <w:numPr>
        <w:ilvl w:val="8"/>
        <w:numId w:val="1"/>
      </w:numPr>
      <w:spacing w:before="240" w:after="64" w:line="317" w:lineRule="auto"/>
      <w:outlineLvl w:val="8"/>
    </w:pPr>
    <w:rPr>
      <w:rFonts w:ascii="Arial" w:hAnsi="Arial" w:eastAsia="黑体" w:cstheme="minorBidi"/>
      <w:sz w:val="24"/>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ind w:left="1260"/>
      <w:jc w:val="left"/>
    </w:pPr>
    <w:rPr>
      <w:sz w:val="18"/>
      <w:szCs w:val="18"/>
    </w:rPr>
  </w:style>
  <w:style w:type="paragraph" w:styleId="12">
    <w:name w:val="Normal Indent"/>
    <w:basedOn w:val="1"/>
    <w:next w:val="1"/>
    <w:semiHidden/>
    <w:unhideWhenUsed/>
    <w:qFormat/>
    <w:uiPriority w:val="99"/>
    <w:pPr>
      <w:ind w:firstLine="420"/>
    </w:pPr>
  </w:style>
  <w:style w:type="paragraph" w:styleId="13">
    <w:name w:val="Document Map"/>
    <w:basedOn w:val="1"/>
    <w:qFormat/>
    <w:uiPriority w:val="99"/>
    <w:pPr>
      <w:shd w:val="clear" w:color="auto" w:fill="000080"/>
    </w:pPr>
  </w:style>
  <w:style w:type="paragraph" w:styleId="14">
    <w:name w:val="annotation text"/>
    <w:basedOn w:val="1"/>
    <w:link w:val="166"/>
    <w:unhideWhenUsed/>
    <w:qFormat/>
    <w:uiPriority w:val="99"/>
    <w:pPr>
      <w:jc w:val="left"/>
    </w:pPr>
  </w:style>
  <w:style w:type="paragraph" w:styleId="15">
    <w:name w:val="Body Text 3"/>
    <w:basedOn w:val="1"/>
    <w:semiHidden/>
    <w:unhideWhenUsed/>
    <w:qFormat/>
    <w:uiPriority w:val="99"/>
    <w:pPr>
      <w:spacing w:after="120"/>
    </w:pPr>
    <w:rPr>
      <w:sz w:val="16"/>
      <w:szCs w:val="16"/>
    </w:rPr>
  </w:style>
  <w:style w:type="paragraph" w:styleId="16">
    <w:name w:val="Body Text"/>
    <w:basedOn w:val="1"/>
    <w:next w:val="1"/>
    <w:link w:val="60"/>
    <w:semiHidden/>
    <w:unhideWhenUsed/>
    <w:qFormat/>
    <w:uiPriority w:val="99"/>
    <w:rPr>
      <w:rFonts w:ascii="宋体"/>
      <w:sz w:val="24"/>
    </w:rPr>
  </w:style>
  <w:style w:type="paragraph" w:styleId="17">
    <w:name w:val="Body Text Indent"/>
    <w:basedOn w:val="1"/>
    <w:link w:val="63"/>
    <w:semiHidden/>
    <w:unhideWhenUsed/>
    <w:qFormat/>
    <w:uiPriority w:val="99"/>
    <w:pPr>
      <w:spacing w:line="460" w:lineRule="exact"/>
      <w:ind w:firstLine="510"/>
    </w:pPr>
  </w:style>
  <w:style w:type="paragraph" w:styleId="18">
    <w:name w:val="toc 5"/>
    <w:basedOn w:val="1"/>
    <w:next w:val="1"/>
    <w:unhideWhenUsed/>
    <w:qFormat/>
    <w:uiPriority w:val="39"/>
    <w:pPr>
      <w:ind w:left="840"/>
      <w:jc w:val="left"/>
    </w:pPr>
    <w:rPr>
      <w:sz w:val="18"/>
      <w:szCs w:val="18"/>
    </w:rPr>
  </w:style>
  <w:style w:type="paragraph" w:styleId="19">
    <w:name w:val="toc 3"/>
    <w:basedOn w:val="1"/>
    <w:next w:val="1"/>
    <w:unhideWhenUsed/>
    <w:qFormat/>
    <w:uiPriority w:val="39"/>
    <w:pPr>
      <w:ind w:left="420"/>
      <w:jc w:val="left"/>
    </w:pPr>
    <w:rPr>
      <w:i/>
      <w:iCs/>
      <w:sz w:val="20"/>
    </w:rPr>
  </w:style>
  <w:style w:type="paragraph" w:styleId="20">
    <w:name w:val="Plain Text"/>
    <w:basedOn w:val="1"/>
    <w:next w:val="1"/>
    <w:link w:val="158"/>
    <w:qFormat/>
    <w:uiPriority w:val="0"/>
    <w:rPr>
      <w:rFonts w:ascii="宋体"/>
    </w:rPr>
  </w:style>
  <w:style w:type="paragraph" w:styleId="21">
    <w:name w:val="toc 8"/>
    <w:basedOn w:val="1"/>
    <w:next w:val="1"/>
    <w:semiHidden/>
    <w:unhideWhenUsed/>
    <w:qFormat/>
    <w:uiPriority w:val="39"/>
    <w:pPr>
      <w:ind w:left="1470"/>
      <w:jc w:val="left"/>
    </w:pPr>
    <w:rPr>
      <w:sz w:val="18"/>
      <w:szCs w:val="18"/>
    </w:rPr>
  </w:style>
  <w:style w:type="paragraph" w:styleId="22">
    <w:name w:val="Date"/>
    <w:basedOn w:val="1"/>
    <w:next w:val="1"/>
    <w:link w:val="165"/>
    <w:semiHidden/>
    <w:unhideWhenUsed/>
    <w:qFormat/>
    <w:uiPriority w:val="99"/>
    <w:rPr>
      <w:kern w:val="0"/>
      <w:sz w:val="28"/>
    </w:rPr>
  </w:style>
  <w:style w:type="paragraph" w:styleId="23">
    <w:name w:val="Body Text Indent 2"/>
    <w:basedOn w:val="1"/>
    <w:link w:val="96"/>
    <w:semiHidden/>
    <w:unhideWhenUsed/>
    <w:qFormat/>
    <w:uiPriority w:val="99"/>
    <w:pPr>
      <w:spacing w:line="500" w:lineRule="exact"/>
      <w:ind w:firstLine="510"/>
    </w:pPr>
    <w:rPr>
      <w:rFonts w:ascii="宋体"/>
      <w:sz w:val="24"/>
    </w:rPr>
  </w:style>
  <w:style w:type="paragraph" w:styleId="24">
    <w:name w:val="Balloon Text"/>
    <w:basedOn w:val="1"/>
    <w:link w:val="157"/>
    <w:semiHidden/>
    <w:unhideWhenUsed/>
    <w:qFormat/>
    <w:uiPriority w:val="99"/>
    <w:rPr>
      <w:sz w:val="18"/>
      <w:szCs w:val="18"/>
    </w:rPr>
  </w:style>
  <w:style w:type="paragraph" w:styleId="25">
    <w:name w:val="footer"/>
    <w:basedOn w:val="1"/>
    <w:link w:val="155"/>
    <w:qFormat/>
    <w:uiPriority w:val="99"/>
    <w:pPr>
      <w:tabs>
        <w:tab w:val="center" w:pos="4153"/>
        <w:tab w:val="right" w:pos="8306"/>
      </w:tabs>
      <w:snapToGrid w:val="0"/>
      <w:jc w:val="left"/>
    </w:pPr>
    <w:rPr>
      <w:sz w:val="18"/>
    </w:rPr>
  </w:style>
  <w:style w:type="paragraph" w:styleId="26">
    <w:name w:val="header"/>
    <w:basedOn w:val="1"/>
    <w:link w:val="156"/>
    <w:qFormat/>
    <w:uiPriority w:val="99"/>
    <w:pPr>
      <w:pBdr>
        <w:bottom w:val="single" w:color="auto" w:sz="6" w:space="1"/>
      </w:pBdr>
      <w:tabs>
        <w:tab w:val="center" w:pos="4153"/>
        <w:tab w:val="right" w:pos="8306"/>
      </w:tabs>
      <w:snapToGrid w:val="0"/>
      <w:jc w:val="center"/>
    </w:pPr>
    <w:rPr>
      <w:sz w:val="18"/>
    </w:rPr>
  </w:style>
  <w:style w:type="paragraph" w:styleId="27">
    <w:name w:val="toc 1"/>
    <w:basedOn w:val="1"/>
    <w:next w:val="1"/>
    <w:unhideWhenUsed/>
    <w:qFormat/>
    <w:uiPriority w:val="39"/>
    <w:pPr>
      <w:tabs>
        <w:tab w:val="right" w:leader="dot" w:pos="9663"/>
      </w:tabs>
      <w:spacing w:before="120" w:after="120"/>
      <w:jc w:val="left"/>
    </w:pPr>
    <w:rPr>
      <w:b/>
      <w:bCs/>
      <w:caps/>
      <w:sz w:val="28"/>
      <w:szCs w:val="28"/>
    </w:rPr>
  </w:style>
  <w:style w:type="paragraph" w:styleId="28">
    <w:name w:val="toc 4"/>
    <w:basedOn w:val="1"/>
    <w:next w:val="1"/>
    <w:unhideWhenUsed/>
    <w:qFormat/>
    <w:uiPriority w:val="39"/>
    <w:pPr>
      <w:ind w:left="630"/>
      <w:jc w:val="left"/>
    </w:pPr>
    <w:rPr>
      <w:sz w:val="18"/>
      <w:szCs w:val="18"/>
    </w:rPr>
  </w:style>
  <w:style w:type="paragraph" w:styleId="2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0">
    <w:name w:val="toc 6"/>
    <w:basedOn w:val="1"/>
    <w:next w:val="1"/>
    <w:semiHidden/>
    <w:unhideWhenUsed/>
    <w:qFormat/>
    <w:uiPriority w:val="39"/>
    <w:pPr>
      <w:ind w:left="1050"/>
      <w:jc w:val="left"/>
    </w:pPr>
    <w:rPr>
      <w:sz w:val="18"/>
      <w:szCs w:val="18"/>
    </w:rPr>
  </w:style>
  <w:style w:type="paragraph" w:styleId="31">
    <w:name w:val="Body Text Indent 3"/>
    <w:basedOn w:val="1"/>
    <w:semiHidden/>
    <w:unhideWhenUsed/>
    <w:qFormat/>
    <w:uiPriority w:val="99"/>
    <w:pPr>
      <w:spacing w:line="500" w:lineRule="exact"/>
      <w:ind w:firstLine="510"/>
    </w:pPr>
    <w:rPr>
      <w:rFonts w:ascii="宋体"/>
      <w:color w:val="000000"/>
      <w:sz w:val="26"/>
    </w:rPr>
  </w:style>
  <w:style w:type="paragraph" w:styleId="32">
    <w:name w:val="table of figures"/>
    <w:basedOn w:val="1"/>
    <w:next w:val="1"/>
    <w:semiHidden/>
    <w:unhideWhenUsed/>
    <w:qFormat/>
    <w:uiPriority w:val="99"/>
    <w:pPr>
      <w:ind w:left="840" w:hanging="420"/>
    </w:pPr>
  </w:style>
  <w:style w:type="paragraph" w:styleId="33">
    <w:name w:val="toc 2"/>
    <w:basedOn w:val="1"/>
    <w:next w:val="1"/>
    <w:unhideWhenUsed/>
    <w:qFormat/>
    <w:uiPriority w:val="39"/>
    <w:pPr>
      <w:ind w:left="210"/>
      <w:jc w:val="left"/>
    </w:pPr>
    <w:rPr>
      <w:smallCaps/>
      <w:sz w:val="20"/>
    </w:rPr>
  </w:style>
  <w:style w:type="paragraph" w:styleId="34">
    <w:name w:val="toc 9"/>
    <w:basedOn w:val="1"/>
    <w:next w:val="1"/>
    <w:semiHidden/>
    <w:unhideWhenUsed/>
    <w:qFormat/>
    <w:uiPriority w:val="39"/>
    <w:pPr>
      <w:ind w:left="1680"/>
      <w:jc w:val="left"/>
    </w:pPr>
    <w:rPr>
      <w:sz w:val="18"/>
      <w:szCs w:val="18"/>
    </w:rPr>
  </w:style>
  <w:style w:type="paragraph" w:styleId="35">
    <w:name w:val="Body Text 2"/>
    <w:basedOn w:val="1"/>
    <w:link w:val="180"/>
    <w:qFormat/>
    <w:uiPriority w:val="0"/>
    <w:pPr>
      <w:spacing w:after="120" w:line="480" w:lineRule="auto"/>
    </w:pPr>
    <w:rPr>
      <w:rFonts w:ascii="宋体"/>
      <w:snapToGrid w:val="0"/>
      <w:kern w:val="21"/>
      <w:szCs w:val="24"/>
    </w:rPr>
  </w:style>
  <w:style w:type="paragraph" w:styleId="3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7">
    <w:name w:val="Normal (Web)"/>
    <w:basedOn w:val="1"/>
    <w:link w:val="141"/>
    <w:semiHidden/>
    <w:unhideWhenUsed/>
    <w:qFormat/>
    <w:uiPriority w:val="99"/>
    <w:pPr>
      <w:widowControl/>
      <w:spacing w:before="100" w:beforeAutospacing="1" w:after="100" w:afterAutospacing="1"/>
      <w:jc w:val="left"/>
    </w:pPr>
    <w:rPr>
      <w:rFonts w:ascii="宋体" w:hAnsi="宋体"/>
      <w:kern w:val="0"/>
      <w:sz w:val="24"/>
      <w:szCs w:val="24"/>
    </w:rPr>
  </w:style>
  <w:style w:type="paragraph" w:styleId="38">
    <w:name w:val="Title"/>
    <w:basedOn w:val="1"/>
    <w:next w:val="1"/>
    <w:qFormat/>
    <w:uiPriority w:val="0"/>
    <w:pPr>
      <w:spacing w:beforeLines="50" w:after="100" w:afterAutospacing="1" w:line="600" w:lineRule="exact"/>
      <w:jc w:val="center"/>
    </w:pPr>
    <w:rPr>
      <w:b/>
      <w:sz w:val="32"/>
      <w:szCs w:val="32"/>
    </w:rPr>
  </w:style>
  <w:style w:type="paragraph" w:styleId="39">
    <w:name w:val="annotation subject"/>
    <w:basedOn w:val="14"/>
    <w:next w:val="14"/>
    <w:link w:val="167"/>
    <w:semiHidden/>
    <w:unhideWhenUsed/>
    <w:qFormat/>
    <w:uiPriority w:val="99"/>
    <w:rPr>
      <w:b/>
      <w:bCs/>
    </w:rPr>
  </w:style>
  <w:style w:type="paragraph" w:styleId="40">
    <w:name w:val="Body Text First Indent"/>
    <w:basedOn w:val="16"/>
    <w:qFormat/>
    <w:uiPriority w:val="0"/>
    <w:pPr>
      <w:spacing w:line="312" w:lineRule="auto"/>
      <w:ind w:firstLine="420"/>
    </w:p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22"/>
    <w:rPr>
      <w:b/>
      <w:bCs/>
    </w:rPr>
  </w:style>
  <w:style w:type="character" w:styleId="45">
    <w:name w:val="page number"/>
    <w:basedOn w:val="43"/>
    <w:semiHidden/>
    <w:unhideWhenUsed/>
    <w:qFormat/>
    <w:uiPriority w:val="99"/>
  </w:style>
  <w:style w:type="character" w:styleId="46">
    <w:name w:val="FollowedHyperlink"/>
    <w:basedOn w:val="43"/>
    <w:semiHidden/>
    <w:unhideWhenUsed/>
    <w:qFormat/>
    <w:uiPriority w:val="99"/>
    <w:rPr>
      <w:rFonts w:hint="eastAsia" w:ascii="宋体" w:hAnsi="宋体" w:eastAsia="宋体" w:cs="宋体"/>
      <w:color w:val="0033CC"/>
      <w:sz w:val="18"/>
      <w:szCs w:val="18"/>
      <w:u w:val="none"/>
    </w:rPr>
  </w:style>
  <w:style w:type="character" w:styleId="47">
    <w:name w:val="Emphasis"/>
    <w:basedOn w:val="43"/>
    <w:qFormat/>
    <w:uiPriority w:val="20"/>
    <w:rPr>
      <w:i/>
    </w:rPr>
  </w:style>
  <w:style w:type="character" w:styleId="48">
    <w:name w:val="HTML Definition"/>
    <w:basedOn w:val="43"/>
    <w:semiHidden/>
    <w:unhideWhenUsed/>
    <w:qFormat/>
    <w:uiPriority w:val="99"/>
    <w:rPr>
      <w:i/>
    </w:rPr>
  </w:style>
  <w:style w:type="character" w:styleId="49">
    <w:name w:val="Hyperlink"/>
    <w:basedOn w:val="43"/>
    <w:unhideWhenUsed/>
    <w:qFormat/>
    <w:uiPriority w:val="99"/>
    <w:rPr>
      <w:rFonts w:hint="eastAsia" w:ascii="宋体" w:hAnsi="宋体" w:eastAsia="宋体" w:cs="宋体"/>
      <w:color w:val="0033CC"/>
      <w:sz w:val="18"/>
      <w:szCs w:val="18"/>
      <w:u w:val="none"/>
    </w:rPr>
  </w:style>
  <w:style w:type="character" w:styleId="50">
    <w:name w:val="HTML Code"/>
    <w:basedOn w:val="43"/>
    <w:semiHidden/>
    <w:unhideWhenUsed/>
    <w:qFormat/>
    <w:uiPriority w:val="99"/>
    <w:rPr>
      <w:rFonts w:hint="default" w:ascii="Consolas" w:hAnsi="Consolas" w:eastAsia="Consolas" w:cs="Consolas"/>
      <w:color w:val="C7254E"/>
      <w:sz w:val="21"/>
      <w:szCs w:val="21"/>
      <w:shd w:val="clear" w:color="auto" w:fill="F9F2F4"/>
    </w:rPr>
  </w:style>
  <w:style w:type="character" w:styleId="51">
    <w:name w:val="annotation reference"/>
    <w:semiHidden/>
    <w:unhideWhenUsed/>
    <w:qFormat/>
    <w:uiPriority w:val="99"/>
    <w:rPr>
      <w:sz w:val="21"/>
      <w:szCs w:val="21"/>
    </w:rPr>
  </w:style>
  <w:style w:type="character" w:styleId="52">
    <w:name w:val="HTML Keyboard"/>
    <w:basedOn w:val="43"/>
    <w:semiHidden/>
    <w:unhideWhenUsed/>
    <w:qFormat/>
    <w:uiPriority w:val="99"/>
    <w:rPr>
      <w:rFonts w:hint="default" w:ascii="Consolas" w:hAnsi="Consolas" w:eastAsia="Consolas" w:cs="Consolas"/>
      <w:vanish/>
      <w:color w:val="FFFFFF"/>
      <w:sz w:val="21"/>
      <w:szCs w:val="21"/>
      <w:shd w:val="clear" w:color="auto" w:fill="333333"/>
    </w:rPr>
  </w:style>
  <w:style w:type="character" w:styleId="53">
    <w:name w:val="HTML Sample"/>
    <w:basedOn w:val="43"/>
    <w:semiHidden/>
    <w:unhideWhenUsed/>
    <w:qFormat/>
    <w:uiPriority w:val="99"/>
    <w:rPr>
      <w:rFonts w:ascii="Consolas" w:hAnsi="Consolas" w:eastAsia="Consolas" w:cs="Consolas"/>
      <w:sz w:val="21"/>
      <w:szCs w:val="21"/>
    </w:rPr>
  </w:style>
  <w:style w:type="character" w:customStyle="1" w:styleId="54">
    <w:name w:val="标题 1 Char"/>
    <w:basedOn w:val="43"/>
    <w:qFormat/>
    <w:uiPriority w:val="0"/>
    <w:rPr>
      <w:rFonts w:ascii="Arial" w:hAnsi="Arial" w:eastAsia="宋体" w:cs="Times New Roman"/>
      <w:b/>
      <w:kern w:val="44"/>
      <w:sz w:val="32"/>
      <w:szCs w:val="24"/>
    </w:rPr>
  </w:style>
  <w:style w:type="paragraph" w:customStyle="1" w:styleId="55">
    <w:name w:val="正常"/>
    <w:basedOn w:val="56"/>
    <w:qFormat/>
    <w:uiPriority w:val="0"/>
    <w:rPr>
      <w:sz w:val="24"/>
    </w:rPr>
  </w:style>
  <w:style w:type="paragraph" w:customStyle="1" w:styleId="56">
    <w:name w:val="小正常"/>
    <w:basedOn w:val="1"/>
    <w:qFormat/>
    <w:uiPriority w:val="0"/>
    <w:rPr>
      <w:sz w:val="20"/>
    </w:rPr>
  </w:style>
  <w:style w:type="character" w:customStyle="1" w:styleId="57">
    <w:name w:val="标题 2 字符1"/>
    <w:basedOn w:val="43"/>
    <w:link w:val="3"/>
    <w:qFormat/>
    <w:uiPriority w:val="0"/>
    <w:rPr>
      <w:rFonts w:ascii="Arial" w:hAnsi="Arial" w:eastAsia="宋体" w:cs="Times New Roman"/>
      <w:b/>
      <w:sz w:val="30"/>
      <w:szCs w:val="24"/>
    </w:rPr>
  </w:style>
  <w:style w:type="character" w:customStyle="1" w:styleId="58">
    <w:name w:val="style131"/>
    <w:qFormat/>
    <w:uiPriority w:val="0"/>
    <w:rPr>
      <w:sz w:val="18"/>
      <w:szCs w:val="18"/>
    </w:rPr>
  </w:style>
  <w:style w:type="character" w:customStyle="1" w:styleId="59">
    <w:name w:val="标题 4 字符"/>
    <w:qFormat/>
    <w:uiPriority w:val="0"/>
    <w:rPr>
      <w:rFonts w:ascii="Arial" w:hAnsi="Arial" w:eastAsia="黑体"/>
      <w:sz w:val="28"/>
    </w:rPr>
  </w:style>
  <w:style w:type="character" w:customStyle="1" w:styleId="60">
    <w:name w:val="正文文本 字符"/>
    <w:link w:val="16"/>
    <w:qFormat/>
    <w:uiPriority w:val="0"/>
    <w:rPr>
      <w:rFonts w:ascii="宋体"/>
      <w:kern w:val="2"/>
      <w:sz w:val="24"/>
    </w:rPr>
  </w:style>
  <w:style w:type="character" w:customStyle="1" w:styleId="61">
    <w:name w:val="GW-正文 Char"/>
    <w:link w:val="62"/>
    <w:qFormat/>
    <w:uiPriority w:val="0"/>
    <w:rPr>
      <w:rFonts w:eastAsia="仿宋_GB2312"/>
      <w:kern w:val="2"/>
      <w:sz w:val="24"/>
      <w:szCs w:val="24"/>
    </w:rPr>
  </w:style>
  <w:style w:type="paragraph" w:customStyle="1" w:styleId="62">
    <w:name w:val="GW-正文"/>
    <w:basedOn w:val="1"/>
    <w:link w:val="61"/>
    <w:qFormat/>
    <w:uiPriority w:val="0"/>
    <w:pPr>
      <w:spacing w:line="360" w:lineRule="auto"/>
      <w:ind w:firstLine="200" w:firstLineChars="200"/>
    </w:pPr>
    <w:rPr>
      <w:rFonts w:eastAsia="仿宋_GB2312"/>
      <w:sz w:val="24"/>
      <w:szCs w:val="24"/>
    </w:rPr>
  </w:style>
  <w:style w:type="character" w:customStyle="1" w:styleId="63">
    <w:name w:val="正文文本缩进 字符"/>
    <w:link w:val="17"/>
    <w:qFormat/>
    <w:uiPriority w:val="0"/>
    <w:rPr>
      <w:kern w:val="2"/>
      <w:sz w:val="21"/>
    </w:rPr>
  </w:style>
  <w:style w:type="character" w:customStyle="1" w:styleId="64">
    <w:name w:val="纯文本 字符"/>
    <w:qFormat/>
    <w:uiPriority w:val="99"/>
    <w:rPr>
      <w:rFonts w:ascii="宋体" w:eastAsia="宋体"/>
      <w:kern w:val="2"/>
      <w:sz w:val="21"/>
      <w:lang w:val="en-US" w:eastAsia="zh-CN" w:bidi="ar-SA"/>
    </w:rPr>
  </w:style>
  <w:style w:type="paragraph" w:customStyle="1" w:styleId="65">
    <w:name w:val="Char"/>
    <w:basedOn w:val="1"/>
    <w:qFormat/>
    <w:uiPriority w:val="0"/>
    <w:pPr>
      <w:widowControl/>
      <w:spacing w:after="160" w:line="240" w:lineRule="exact"/>
      <w:jc w:val="left"/>
    </w:pPr>
    <w:rPr>
      <w:rFonts w:ascii="Verdana" w:hAnsi="Verdana"/>
      <w:kern w:val="0"/>
      <w:sz w:val="20"/>
      <w:lang w:eastAsia="en-US"/>
    </w:rPr>
  </w:style>
  <w:style w:type="paragraph" w:customStyle="1" w:styleId="66">
    <w:name w:val="正文 New New New"/>
    <w:qFormat/>
    <w:uiPriority w:val="0"/>
    <w:pPr>
      <w:jc w:val="both"/>
    </w:pPr>
    <w:rPr>
      <w:rFonts w:ascii="Times New Roman" w:hAnsi="Times New Roman" w:eastAsia="宋体" w:cs="Times New Roman"/>
      <w:kern w:val="2"/>
      <w:sz w:val="21"/>
      <w:lang w:val="en-US" w:eastAsia="zh-CN" w:bidi="ar-SA"/>
    </w:rPr>
  </w:style>
  <w:style w:type="paragraph" w:customStyle="1" w:styleId="67">
    <w:name w:val="修订1"/>
    <w:semiHidden/>
    <w:qFormat/>
    <w:uiPriority w:val="99"/>
    <w:rPr>
      <w:rFonts w:ascii="Times New Roman" w:hAnsi="Times New Roman" w:eastAsia="宋体" w:cs="Times New Roman"/>
      <w:kern w:val="2"/>
      <w:sz w:val="21"/>
      <w:lang w:val="en-US" w:eastAsia="zh-CN" w:bidi="ar-SA"/>
    </w:rPr>
  </w:style>
  <w:style w:type="paragraph" w:customStyle="1" w:styleId="68">
    <w:name w:val="Char Char Char Char"/>
    <w:basedOn w:val="1"/>
    <w:qFormat/>
    <w:uiPriority w:val="0"/>
    <w:rPr>
      <w:szCs w:val="24"/>
    </w:rPr>
  </w:style>
  <w:style w:type="paragraph" w:customStyle="1" w:styleId="69">
    <w:name w:val="目录"/>
    <w:basedOn w:val="1"/>
    <w:qFormat/>
    <w:uiPriority w:val="0"/>
    <w:pPr>
      <w:widowControl/>
      <w:jc w:val="center"/>
    </w:pPr>
    <w:rPr>
      <w:rFonts w:ascii="宋体"/>
      <w:b/>
      <w:kern w:val="0"/>
      <w:sz w:val="36"/>
    </w:rPr>
  </w:style>
  <w:style w:type="paragraph" w:customStyle="1" w:styleId="7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1">
    <w:name w:val="子弹１"/>
    <w:basedOn w:val="72"/>
    <w:qFormat/>
    <w:uiPriority w:val="0"/>
    <w:pPr>
      <w:tabs>
        <w:tab w:val="left" w:pos="873"/>
        <w:tab w:val="left" w:pos="1134"/>
        <w:tab w:val="right" w:pos="9356"/>
      </w:tabs>
    </w:pPr>
  </w:style>
  <w:style w:type="paragraph" w:customStyle="1" w:styleId="72">
    <w:name w:val="子弹"/>
    <w:basedOn w:val="1"/>
    <w:qFormat/>
    <w:uiPriority w:val="0"/>
    <w:pPr>
      <w:tabs>
        <w:tab w:val="left" w:pos="1134"/>
        <w:tab w:val="right" w:pos="9356"/>
      </w:tabs>
      <w:ind w:left="720" w:hanging="360"/>
    </w:pPr>
    <w:rPr>
      <w:rFonts w:ascii="新宋体" w:hAnsi="新宋体" w:eastAsia="新宋体"/>
      <w:sz w:val="28"/>
      <w:szCs w:val="28"/>
    </w:rPr>
  </w:style>
  <w:style w:type="paragraph" w:customStyle="1" w:styleId="7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
    <w:name w:val="列出段落1"/>
    <w:basedOn w:val="1"/>
    <w:qFormat/>
    <w:uiPriority w:val="34"/>
    <w:pPr>
      <w:ind w:firstLine="420" w:firstLineChars="200"/>
    </w:pPr>
    <w:rPr>
      <w:szCs w:val="24"/>
    </w:rPr>
  </w:style>
  <w:style w:type="paragraph" w:customStyle="1" w:styleId="7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6">
    <w:name w:val="Char Char Char Char1"/>
    <w:basedOn w:val="13"/>
    <w:qFormat/>
    <w:uiPriority w:val="0"/>
    <w:pPr>
      <w:adjustRightInd w:val="0"/>
      <w:snapToGrid w:val="0"/>
      <w:spacing w:line="360" w:lineRule="auto"/>
    </w:pPr>
    <w:rPr>
      <w:rFonts w:ascii="Tahoma" w:hAnsi="Tahoma"/>
      <w:sz w:val="24"/>
      <w:szCs w:val="24"/>
    </w:rPr>
  </w:style>
  <w:style w:type="paragraph" w:customStyle="1" w:styleId="77">
    <w:name w:val="默认段落字体 Para Char Char Char Char"/>
    <w:basedOn w:val="1"/>
    <w:qFormat/>
    <w:uiPriority w:val="0"/>
    <w:rPr>
      <w:szCs w:val="24"/>
    </w:rPr>
  </w:style>
  <w:style w:type="paragraph" w:customStyle="1" w:styleId="78">
    <w:name w:val="Char Char1"/>
    <w:basedOn w:val="1"/>
    <w:qFormat/>
    <w:uiPriority w:val="0"/>
    <w:pPr>
      <w:widowControl/>
      <w:spacing w:after="160" w:line="240" w:lineRule="exact"/>
      <w:jc w:val="left"/>
    </w:pPr>
    <w:rPr>
      <w:rFonts w:ascii="Verdana" w:hAnsi="Verdana" w:eastAsia="仿宋_GB2312"/>
      <w:kern w:val="0"/>
      <w:sz w:val="20"/>
      <w:lang w:eastAsia="en-US"/>
    </w:rPr>
  </w:style>
  <w:style w:type="paragraph" w:customStyle="1" w:styleId="79">
    <w:name w:val="列出段落11"/>
    <w:basedOn w:val="1"/>
    <w:qFormat/>
    <w:uiPriority w:val="0"/>
    <w:pPr>
      <w:ind w:firstLine="420" w:firstLineChars="200"/>
    </w:pPr>
    <w:rPr>
      <w:rFonts w:ascii="Calibri" w:hAnsi="Calibri"/>
      <w:szCs w:val="22"/>
    </w:rPr>
  </w:style>
  <w:style w:type="paragraph" w:customStyle="1" w:styleId="80">
    <w:name w:val="Char1"/>
    <w:basedOn w:val="1"/>
    <w:qFormat/>
    <w:uiPriority w:val="0"/>
    <w:rPr>
      <w:rFonts w:ascii="Tahoma" w:hAnsi="Tahoma"/>
      <w:sz w:val="24"/>
    </w:rPr>
  </w:style>
  <w:style w:type="paragraph" w:customStyle="1" w:styleId="81">
    <w:name w:val="样式1"/>
    <w:basedOn w:val="3"/>
    <w:qFormat/>
    <w:uiPriority w:val="0"/>
    <w:pPr>
      <w:adjustRightInd w:val="0"/>
      <w:spacing w:line="416" w:lineRule="atLeast"/>
      <w:jc w:val="left"/>
      <w:textAlignment w:val="baseline"/>
    </w:pPr>
    <w:rPr>
      <w:rFonts w:eastAsia="黑体"/>
      <w:spacing w:val="0"/>
      <w:kern w:val="0"/>
      <w:sz w:val="30"/>
    </w:rPr>
  </w:style>
  <w:style w:type="character" w:customStyle="1" w:styleId="82">
    <w:name w:val="批注框文本 字符"/>
    <w:qFormat/>
    <w:uiPriority w:val="0"/>
    <w:rPr>
      <w:kern w:val="2"/>
      <w:sz w:val="18"/>
      <w:szCs w:val="18"/>
    </w:rPr>
  </w:style>
  <w:style w:type="character" w:customStyle="1" w:styleId="83">
    <w:name w:val="grame"/>
    <w:basedOn w:val="43"/>
    <w:qFormat/>
    <w:uiPriority w:val="0"/>
  </w:style>
  <w:style w:type="character" w:customStyle="1" w:styleId="84">
    <w:name w:val="标题 5 字符"/>
    <w:basedOn w:val="43"/>
    <w:qFormat/>
    <w:uiPriority w:val="0"/>
    <w:rPr>
      <w:b/>
      <w:sz w:val="28"/>
      <w:szCs w:val="24"/>
    </w:rPr>
  </w:style>
  <w:style w:type="character" w:customStyle="1" w:styleId="85">
    <w:name w:val="日期 字符"/>
    <w:qFormat/>
    <w:uiPriority w:val="0"/>
    <w:rPr>
      <w:sz w:val="28"/>
    </w:rPr>
  </w:style>
  <w:style w:type="paragraph" w:customStyle="1" w:styleId="86">
    <w:name w:v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7">
    <w:name w:val="孙普文字 Char"/>
    <w:qFormat/>
    <w:uiPriority w:val="0"/>
    <w:rPr>
      <w:rFonts w:ascii="宋体" w:hAnsi="Times New Roman" w:eastAsia="宋体" w:cs="Times New Roman"/>
      <w:szCs w:val="20"/>
    </w:rPr>
  </w:style>
  <w:style w:type="character" w:customStyle="1" w:styleId="88">
    <w:name w:val="页脚 字符"/>
    <w:qFormat/>
    <w:uiPriority w:val="99"/>
    <w:rPr>
      <w:kern w:val="2"/>
      <w:sz w:val="18"/>
    </w:rPr>
  </w:style>
  <w:style w:type="character" w:customStyle="1" w:styleId="89">
    <w:name w:val="不明显强调1"/>
    <w:qFormat/>
    <w:uiPriority w:val="0"/>
    <w:rPr>
      <w:rFonts w:eastAsia="仿宋_GB2312"/>
      <w:iCs/>
      <w:color w:val="auto"/>
      <w:sz w:val="24"/>
    </w:rPr>
  </w:style>
  <w:style w:type="character" w:customStyle="1" w:styleId="90">
    <w:name w:val="标题 1 字符"/>
    <w:link w:val="2"/>
    <w:qFormat/>
    <w:uiPriority w:val="0"/>
    <w:rPr>
      <w:b/>
      <w:spacing w:val="20"/>
      <w:kern w:val="44"/>
      <w:sz w:val="32"/>
    </w:rPr>
  </w:style>
  <w:style w:type="character" w:customStyle="1" w:styleId="91">
    <w:name w:val="标题 3 字符"/>
    <w:qFormat/>
    <w:uiPriority w:val="0"/>
    <w:rPr>
      <w:rFonts w:ascii="宋体"/>
      <w:b/>
      <w:kern w:val="2"/>
      <w:sz w:val="24"/>
    </w:rPr>
  </w:style>
  <w:style w:type="character" w:customStyle="1" w:styleId="92">
    <w:name w:val="标题 3 Char1"/>
    <w:qFormat/>
    <w:uiPriority w:val="0"/>
    <w:rPr>
      <w:rFonts w:eastAsia="宋体"/>
      <w:b/>
      <w:bCs/>
      <w:kern w:val="2"/>
      <w:sz w:val="32"/>
      <w:szCs w:val="32"/>
      <w:lang w:val="en-US" w:eastAsia="zh-CN" w:bidi="ar-SA"/>
    </w:rPr>
  </w:style>
  <w:style w:type="character" w:customStyle="1" w:styleId="93">
    <w:name w:val="short_text1"/>
    <w:qFormat/>
    <w:uiPriority w:val="0"/>
    <w:rPr>
      <w:sz w:val="26"/>
      <w:szCs w:val="26"/>
    </w:rPr>
  </w:style>
  <w:style w:type="character" w:customStyle="1" w:styleId="94">
    <w:name w:val="标题 2 字符"/>
    <w:qFormat/>
    <w:uiPriority w:val="0"/>
    <w:rPr>
      <w:rFonts w:ascii="Arial" w:hAnsi="Arial"/>
      <w:b/>
      <w:color w:val="000000"/>
      <w:spacing w:val="40"/>
      <w:kern w:val="2"/>
      <w:sz w:val="32"/>
    </w:rPr>
  </w:style>
  <w:style w:type="character" w:customStyle="1" w:styleId="95">
    <w:name w:val="标题 3 字符1"/>
    <w:basedOn w:val="43"/>
    <w:link w:val="4"/>
    <w:qFormat/>
    <w:uiPriority w:val="0"/>
    <w:rPr>
      <w:rFonts w:eastAsia="宋体"/>
      <w:b/>
      <w:bCs/>
      <w:kern w:val="2"/>
      <w:sz w:val="32"/>
      <w:szCs w:val="32"/>
      <w:lang w:val="en-US" w:eastAsia="zh-CN" w:bidi="ar-SA"/>
    </w:rPr>
  </w:style>
  <w:style w:type="character" w:customStyle="1" w:styleId="96">
    <w:name w:val="正文文本缩进 2 字符"/>
    <w:link w:val="23"/>
    <w:qFormat/>
    <w:uiPriority w:val="0"/>
    <w:rPr>
      <w:rFonts w:ascii="宋体"/>
      <w:kern w:val="2"/>
      <w:sz w:val="24"/>
    </w:rPr>
  </w:style>
  <w:style w:type="character" w:customStyle="1" w:styleId="97">
    <w:name w:val="纯文本 Char2"/>
    <w:qFormat/>
    <w:uiPriority w:val="99"/>
    <w:rPr>
      <w:rFonts w:ascii="宋体" w:eastAsia="宋体"/>
      <w:kern w:val="2"/>
      <w:sz w:val="21"/>
      <w:lang w:val="en-US" w:eastAsia="zh-CN" w:bidi="ar-SA"/>
    </w:rPr>
  </w:style>
  <w:style w:type="character" w:customStyle="1" w:styleId="98">
    <w:name w:val="纯文本 Char1"/>
    <w:qFormat/>
    <w:uiPriority w:val="0"/>
    <w:rPr>
      <w:rFonts w:ascii="宋体" w:eastAsia="宋体"/>
      <w:kern w:val="2"/>
      <w:sz w:val="21"/>
      <w:lang w:val="en-US" w:eastAsia="zh-CN" w:bidi="ar-SA"/>
    </w:rPr>
  </w:style>
  <w:style w:type="paragraph" w:customStyle="1" w:styleId="99">
    <w:name w:val="抬头"/>
    <w:basedOn w:val="1"/>
    <w:qFormat/>
    <w:uiPriority w:val="0"/>
    <w:pPr>
      <w:spacing w:beforeLines="50" w:line="360" w:lineRule="auto"/>
    </w:pPr>
    <w:rPr>
      <w:rFonts w:ascii="宋体"/>
      <w:sz w:val="24"/>
      <w:szCs w:val="24"/>
    </w:rPr>
  </w:style>
  <w:style w:type="paragraph" w:customStyle="1" w:styleId="100">
    <w:name w:val="5"/>
    <w:basedOn w:val="1"/>
    <w:qFormat/>
    <w:uiPriority w:val="0"/>
    <w:pPr>
      <w:tabs>
        <w:tab w:val="right" w:pos="-2120"/>
      </w:tabs>
      <w:snapToGrid w:val="0"/>
    </w:pPr>
    <w:rPr>
      <w:rFonts w:ascii="Tahoma" w:hAnsi="Tahoma"/>
      <w:spacing w:val="6"/>
      <w:sz w:val="24"/>
    </w:rPr>
  </w:style>
  <w:style w:type="paragraph" w:customStyle="1" w:styleId="101">
    <w:name w:val="表格"/>
    <w:basedOn w:val="1"/>
    <w:qFormat/>
    <w:uiPriority w:val="0"/>
    <w:pPr>
      <w:tabs>
        <w:tab w:val="left" w:pos="1200"/>
      </w:tabs>
      <w:spacing w:line="500" w:lineRule="exact"/>
      <w:jc w:val="center"/>
    </w:pPr>
    <w:rPr>
      <w:rFonts w:ascii="宋体"/>
      <w:sz w:val="24"/>
      <w:szCs w:val="18"/>
    </w:rPr>
  </w:style>
  <w:style w:type="paragraph" w:customStyle="1" w:styleId="102">
    <w:name w:val="xl23"/>
    <w:next w:val="34"/>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03">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105">
    <w:name w:val="Absatz2AL"/>
    <w:basedOn w:val="16"/>
    <w:next w:val="1"/>
    <w:qFormat/>
    <w:uiPriority w:val="0"/>
    <w:pPr>
      <w:widowControl/>
      <w:overflowPunct w:val="0"/>
      <w:autoSpaceDE w:val="0"/>
      <w:autoSpaceDN w:val="0"/>
      <w:adjustRightInd w:val="0"/>
      <w:textAlignment w:val="baseline"/>
    </w:pPr>
    <w:rPr>
      <w:rFonts w:ascii="Times New Roman" w:eastAsia="楷体_GB2312"/>
      <w:kern w:val="0"/>
      <w:lang w:val="de-DE" w:eastAsia="de-DE"/>
    </w:rPr>
  </w:style>
  <w:style w:type="paragraph" w:customStyle="1" w:styleId="106">
    <w:name w:val="_Style 1"/>
    <w:basedOn w:val="1"/>
    <w:qFormat/>
    <w:uiPriority w:val="34"/>
    <w:pPr>
      <w:spacing w:line="276" w:lineRule="auto"/>
      <w:ind w:left="720"/>
      <w:contextualSpacing/>
    </w:pPr>
    <w:rPr>
      <w:rFonts w:ascii="Calibri" w:hAnsi="Calibri"/>
      <w:szCs w:val="24"/>
    </w:rPr>
  </w:style>
  <w:style w:type="paragraph" w:customStyle="1" w:styleId="107">
    <w:name w:val="Char Char Char"/>
    <w:basedOn w:val="1"/>
    <w:qFormat/>
    <w:uiPriority w:val="0"/>
    <w:pPr>
      <w:ind w:firstLine="200" w:firstLineChars="200"/>
    </w:pPr>
    <w:rPr>
      <w:sz w:val="24"/>
      <w:szCs w:val="24"/>
    </w:rPr>
  </w:style>
  <w:style w:type="paragraph" w:customStyle="1" w:styleId="108">
    <w:name w:val="样式2"/>
    <w:basedOn w:val="1"/>
    <w:qFormat/>
    <w:uiPriority w:val="0"/>
    <w:pPr>
      <w:spacing w:line="360" w:lineRule="auto"/>
    </w:pPr>
    <w:rPr>
      <w:rFonts w:ascii="Century Gothic" w:hAnsi="Century Gothic" w:eastAsia="黑体"/>
      <w:b/>
      <w:sz w:val="32"/>
      <w:szCs w:val="30"/>
    </w:rPr>
  </w:style>
  <w:style w:type="paragraph" w:customStyle="1" w:styleId="109">
    <w:name w:val="Char13"/>
    <w:basedOn w:val="1"/>
    <w:qFormat/>
    <w:uiPriority w:val="0"/>
    <w:rPr>
      <w:szCs w:val="24"/>
    </w:rPr>
  </w:style>
  <w:style w:type="paragraph" w:customStyle="1" w:styleId="110">
    <w:name w:val="缺省文本"/>
    <w:basedOn w:val="1"/>
    <w:qFormat/>
    <w:uiPriority w:val="0"/>
    <w:pPr>
      <w:autoSpaceDE w:val="0"/>
      <w:autoSpaceDN w:val="0"/>
      <w:adjustRightInd w:val="0"/>
      <w:jc w:val="left"/>
    </w:pPr>
    <w:rPr>
      <w:kern w:val="0"/>
      <w:sz w:val="24"/>
    </w:rPr>
  </w:style>
  <w:style w:type="paragraph" w:customStyle="1" w:styleId="111">
    <w:name w:val="正文五号"/>
    <w:basedOn w:val="1"/>
    <w:qFormat/>
    <w:uiPriority w:val="0"/>
    <w:rPr>
      <w:rFonts w:ascii="宋体" w:eastAsia="仿宋_GB2312"/>
    </w:rPr>
  </w:style>
  <w:style w:type="paragraph" w:customStyle="1" w:styleId="112">
    <w:name w:val="Char Char1 Char Char"/>
    <w:basedOn w:val="1"/>
    <w:qFormat/>
    <w:uiPriority w:val="0"/>
    <w:pPr>
      <w:tabs>
        <w:tab w:val="left" w:pos="360"/>
      </w:tabs>
    </w:pPr>
  </w:style>
  <w:style w:type="paragraph" w:customStyle="1" w:styleId="11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spacing w:val="0"/>
      <w:kern w:val="0"/>
      <w:sz w:val="28"/>
      <w:szCs w:val="28"/>
    </w:rPr>
  </w:style>
  <w:style w:type="paragraph" w:customStyle="1" w:styleId="114">
    <w:name w:val="_Style 2"/>
    <w:basedOn w:val="1"/>
    <w:qFormat/>
    <w:uiPriority w:val="99"/>
    <w:pPr>
      <w:ind w:firstLine="420" w:firstLineChars="200"/>
    </w:pPr>
    <w:rPr>
      <w:szCs w:val="21"/>
    </w:rPr>
  </w:style>
  <w:style w:type="paragraph" w:customStyle="1" w:styleId="115">
    <w:name w:val="修订2"/>
    <w:hidden/>
    <w:semiHidden/>
    <w:qFormat/>
    <w:uiPriority w:val="99"/>
    <w:rPr>
      <w:rFonts w:ascii="Times New Roman" w:hAnsi="Times New Roman" w:eastAsia="宋体" w:cs="Times New Roman"/>
      <w:kern w:val="2"/>
      <w:sz w:val="21"/>
      <w:lang w:val="en-US" w:eastAsia="zh-CN" w:bidi="ar-SA"/>
    </w:rPr>
  </w:style>
  <w:style w:type="paragraph" w:customStyle="1" w:styleId="116">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117">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118">
    <w:name w:val="修订5"/>
    <w:hidden/>
    <w:unhideWhenUsed/>
    <w:qFormat/>
    <w:uiPriority w:val="99"/>
    <w:rPr>
      <w:rFonts w:ascii="Times New Roman" w:hAnsi="Times New Roman" w:eastAsia="宋体" w:cs="Times New Roman"/>
      <w:kern w:val="2"/>
      <w:sz w:val="21"/>
      <w:lang w:val="en-US" w:eastAsia="zh-CN" w:bidi="ar-SA"/>
    </w:rPr>
  </w:style>
  <w:style w:type="character" w:customStyle="1" w:styleId="119">
    <w:name w:val="无"/>
    <w:qFormat/>
    <w:uiPriority w:val="0"/>
  </w:style>
  <w:style w:type="paragraph" w:customStyle="1" w:styleId="120">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121">
    <w:name w:val="列出段落2"/>
    <w:basedOn w:val="1"/>
    <w:unhideWhenUsed/>
    <w:qFormat/>
    <w:uiPriority w:val="99"/>
    <w:pPr>
      <w:ind w:firstLine="420" w:firstLineChars="200"/>
    </w:pPr>
  </w:style>
  <w:style w:type="character" w:customStyle="1" w:styleId="122">
    <w:name w:val="hover1"/>
    <w:basedOn w:val="43"/>
    <w:qFormat/>
    <w:uiPriority w:val="0"/>
    <w:rPr>
      <w:shd w:val="clear" w:color="auto" w:fill="EEEEEE"/>
    </w:rPr>
  </w:style>
  <w:style w:type="character" w:customStyle="1" w:styleId="123">
    <w:name w:val="hour_am"/>
    <w:basedOn w:val="43"/>
    <w:qFormat/>
    <w:uiPriority w:val="0"/>
  </w:style>
  <w:style w:type="character" w:customStyle="1" w:styleId="124">
    <w:name w:val="icon"/>
    <w:basedOn w:val="43"/>
    <w:qFormat/>
    <w:uiPriority w:val="0"/>
  </w:style>
  <w:style w:type="character" w:customStyle="1" w:styleId="125">
    <w:name w:val="old"/>
    <w:basedOn w:val="43"/>
    <w:qFormat/>
    <w:uiPriority w:val="0"/>
    <w:rPr>
      <w:color w:val="999999"/>
    </w:rPr>
  </w:style>
  <w:style w:type="character" w:customStyle="1" w:styleId="126">
    <w:name w:val="hour_pm"/>
    <w:basedOn w:val="43"/>
    <w:qFormat/>
    <w:uiPriority w:val="0"/>
  </w:style>
  <w:style w:type="character" w:customStyle="1" w:styleId="127">
    <w:name w:val="glyphicon6"/>
    <w:basedOn w:val="43"/>
    <w:qFormat/>
    <w:uiPriority w:val="0"/>
  </w:style>
  <w:style w:type="character" w:customStyle="1" w:styleId="128">
    <w:name w:val="indent"/>
    <w:basedOn w:val="43"/>
    <w:qFormat/>
    <w:uiPriority w:val="0"/>
  </w:style>
  <w:style w:type="paragraph" w:customStyle="1" w:styleId="129">
    <w:name w:val="_Style 114"/>
    <w:basedOn w:val="1"/>
    <w:next w:val="1"/>
    <w:qFormat/>
    <w:uiPriority w:val="0"/>
    <w:pPr>
      <w:pBdr>
        <w:bottom w:val="single" w:color="auto" w:sz="6" w:space="1"/>
      </w:pBdr>
      <w:jc w:val="center"/>
    </w:pPr>
    <w:rPr>
      <w:rFonts w:ascii="Arial"/>
      <w:vanish/>
      <w:sz w:val="16"/>
    </w:rPr>
  </w:style>
  <w:style w:type="paragraph" w:customStyle="1" w:styleId="130">
    <w:name w:val="_Style 115"/>
    <w:basedOn w:val="1"/>
    <w:next w:val="1"/>
    <w:qFormat/>
    <w:uiPriority w:val="0"/>
    <w:pPr>
      <w:pBdr>
        <w:top w:val="single" w:color="auto" w:sz="6" w:space="1"/>
      </w:pBdr>
      <w:jc w:val="center"/>
    </w:pPr>
    <w:rPr>
      <w:rFonts w:ascii="Arial"/>
      <w:vanish/>
      <w:sz w:val="16"/>
    </w:rPr>
  </w:style>
  <w:style w:type="character" w:customStyle="1" w:styleId="131">
    <w:name w:val="glyphicon"/>
    <w:basedOn w:val="43"/>
    <w:qFormat/>
    <w:uiPriority w:val="0"/>
  </w:style>
  <w:style w:type="character" w:customStyle="1" w:styleId="132">
    <w:name w:val="hover"/>
    <w:basedOn w:val="43"/>
    <w:qFormat/>
    <w:uiPriority w:val="0"/>
    <w:rPr>
      <w:shd w:val="clear" w:color="auto" w:fill="EEEEEE"/>
    </w:rPr>
  </w:style>
  <w:style w:type="paragraph" w:customStyle="1" w:styleId="133">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134">
    <w:name w:val="font01"/>
    <w:basedOn w:val="43"/>
    <w:qFormat/>
    <w:uiPriority w:val="0"/>
    <w:rPr>
      <w:rFonts w:hint="eastAsia" w:ascii="宋体" w:hAnsi="宋体" w:eastAsia="宋体" w:cs="宋体"/>
      <w:color w:val="000000"/>
      <w:sz w:val="20"/>
      <w:szCs w:val="20"/>
      <w:u w:val="none"/>
    </w:rPr>
  </w:style>
  <w:style w:type="character" w:customStyle="1" w:styleId="135">
    <w:name w:val="hps"/>
    <w:qFormat/>
    <w:uiPriority w:val="0"/>
  </w:style>
  <w:style w:type="character" w:customStyle="1" w:styleId="136">
    <w:name w:val="font91"/>
    <w:qFormat/>
    <w:uiPriority w:val="0"/>
    <w:rPr>
      <w:rFonts w:hint="eastAsia" w:ascii="宋体" w:hAnsi="宋体" w:eastAsia="宋体" w:cs="宋体"/>
      <w:color w:val="000000"/>
      <w:sz w:val="20"/>
      <w:szCs w:val="20"/>
      <w:u w:val="none"/>
    </w:rPr>
  </w:style>
  <w:style w:type="character" w:customStyle="1" w:styleId="137">
    <w:name w:val="font41"/>
    <w:basedOn w:val="43"/>
    <w:qFormat/>
    <w:uiPriority w:val="0"/>
    <w:rPr>
      <w:rFonts w:hint="default" w:ascii="Times New Roman" w:hAnsi="Times New Roman" w:cs="Times New Roman"/>
      <w:color w:val="000000"/>
      <w:sz w:val="24"/>
      <w:szCs w:val="24"/>
      <w:u w:val="none"/>
    </w:rPr>
  </w:style>
  <w:style w:type="character" w:customStyle="1" w:styleId="138">
    <w:name w:val="font71"/>
    <w:qFormat/>
    <w:uiPriority w:val="0"/>
    <w:rPr>
      <w:rFonts w:hint="eastAsia" w:ascii="宋体" w:hAnsi="宋体" w:eastAsia="宋体" w:cs="宋体"/>
      <w:color w:val="000000"/>
      <w:sz w:val="24"/>
      <w:szCs w:val="24"/>
      <w:u w:val="none"/>
    </w:rPr>
  </w:style>
  <w:style w:type="character" w:customStyle="1" w:styleId="139">
    <w:name w:val="font51"/>
    <w:basedOn w:val="43"/>
    <w:qFormat/>
    <w:uiPriority w:val="0"/>
    <w:rPr>
      <w:rFonts w:hint="eastAsia" w:ascii="宋体" w:hAnsi="宋体" w:eastAsia="宋体" w:cs="宋体"/>
      <w:b/>
      <w:color w:val="000000"/>
      <w:sz w:val="20"/>
      <w:szCs w:val="20"/>
      <w:u w:val="none"/>
    </w:rPr>
  </w:style>
  <w:style w:type="character" w:customStyle="1" w:styleId="140">
    <w:name w:val="font61"/>
    <w:qFormat/>
    <w:uiPriority w:val="0"/>
    <w:rPr>
      <w:rFonts w:hint="eastAsia" w:ascii="宋体" w:hAnsi="宋体" w:eastAsia="宋体" w:cs="宋体"/>
      <w:i/>
      <w:color w:val="000000"/>
      <w:sz w:val="20"/>
      <w:szCs w:val="20"/>
      <w:u w:val="none"/>
    </w:rPr>
  </w:style>
  <w:style w:type="character" w:customStyle="1" w:styleId="141">
    <w:name w:val="普通(网站) 字符"/>
    <w:link w:val="37"/>
    <w:qFormat/>
    <w:uiPriority w:val="0"/>
    <w:rPr>
      <w:rFonts w:ascii="宋体" w:hAnsi="宋体"/>
      <w:sz w:val="24"/>
      <w:szCs w:val="24"/>
    </w:rPr>
  </w:style>
  <w:style w:type="paragraph" w:styleId="142">
    <w:name w:val="List Paragraph"/>
    <w:basedOn w:val="1"/>
    <w:link w:val="146"/>
    <w:unhideWhenUsed/>
    <w:qFormat/>
    <w:uiPriority w:val="34"/>
    <w:pPr>
      <w:ind w:firstLine="420" w:firstLineChars="200"/>
    </w:pPr>
  </w:style>
  <w:style w:type="character" w:customStyle="1" w:styleId="143">
    <w:name w:val="批注文字 字符"/>
    <w:basedOn w:val="43"/>
    <w:qFormat/>
    <w:uiPriority w:val="99"/>
    <w:rPr>
      <w:kern w:val="2"/>
      <w:sz w:val="21"/>
    </w:rPr>
  </w:style>
  <w:style w:type="paragraph" w:customStyle="1" w:styleId="144">
    <w:name w:val="彩色列表 - 强调文字颜色 11"/>
    <w:basedOn w:val="1"/>
    <w:qFormat/>
    <w:uiPriority w:val="0"/>
    <w:pPr>
      <w:ind w:firstLine="420" w:firstLineChars="200"/>
    </w:pPr>
    <w:rPr>
      <w:rFonts w:ascii="Cambria" w:hAnsi="Cambria"/>
      <w:sz w:val="24"/>
      <w:szCs w:val="24"/>
    </w:rPr>
  </w:style>
  <w:style w:type="character" w:customStyle="1" w:styleId="145">
    <w:name w:val="页眉 字符"/>
    <w:basedOn w:val="43"/>
    <w:qFormat/>
    <w:uiPriority w:val="99"/>
    <w:rPr>
      <w:kern w:val="2"/>
      <w:sz w:val="18"/>
    </w:rPr>
  </w:style>
  <w:style w:type="character" w:customStyle="1" w:styleId="146">
    <w:name w:val="列表段落 字符"/>
    <w:link w:val="142"/>
    <w:qFormat/>
    <w:uiPriority w:val="0"/>
    <w:rPr>
      <w:kern w:val="2"/>
      <w:sz w:val="21"/>
    </w:rPr>
  </w:style>
  <w:style w:type="paragraph" w:customStyle="1" w:styleId="147">
    <w:name w:val="Other|1"/>
    <w:basedOn w:val="1"/>
    <w:qFormat/>
    <w:uiPriority w:val="0"/>
    <w:pPr>
      <w:spacing w:line="420" w:lineRule="auto"/>
    </w:pPr>
    <w:rPr>
      <w:rFonts w:ascii="宋体" w:hAnsi="宋体" w:cs="宋体"/>
      <w:u w:val="single"/>
      <w:lang w:val="zh-TW" w:eastAsia="zh-TW" w:bidi="zh-TW"/>
    </w:rPr>
  </w:style>
  <w:style w:type="paragraph" w:customStyle="1" w:styleId="148">
    <w:name w:val="自定义正文"/>
    <w:basedOn w:val="1"/>
    <w:link w:val="160"/>
    <w:qFormat/>
    <w:uiPriority w:val="0"/>
    <w:pPr>
      <w:spacing w:before="120" w:after="60" w:line="400" w:lineRule="exact"/>
      <w:ind w:firstLine="200" w:firstLineChars="200"/>
      <w:jc w:val="left"/>
    </w:pPr>
    <w:rPr>
      <w:szCs w:val="24"/>
    </w:rPr>
  </w:style>
  <w:style w:type="character" w:customStyle="1" w:styleId="149">
    <w:name w:val="标题 4 字符1"/>
    <w:basedOn w:val="43"/>
    <w:link w:val="5"/>
    <w:qFormat/>
    <w:uiPriority w:val="9"/>
    <w:rPr>
      <w:rFonts w:ascii="Arial" w:hAnsi="Arial" w:eastAsia="宋体" w:cs="Times New Roman"/>
      <w:sz w:val="24"/>
      <w:szCs w:val="24"/>
    </w:rPr>
  </w:style>
  <w:style w:type="character" w:customStyle="1" w:styleId="150">
    <w:name w:val="标题 5 字符1"/>
    <w:basedOn w:val="43"/>
    <w:link w:val="6"/>
    <w:qFormat/>
    <w:uiPriority w:val="0"/>
    <w:rPr>
      <w:rFonts w:ascii="Arial" w:hAnsi="Arial" w:eastAsia="宋体" w:cs="Times New Roman"/>
      <w:sz w:val="24"/>
      <w:szCs w:val="24"/>
    </w:rPr>
  </w:style>
  <w:style w:type="character" w:customStyle="1" w:styleId="151">
    <w:name w:val="标题 6 字符"/>
    <w:basedOn w:val="43"/>
    <w:link w:val="7"/>
    <w:qFormat/>
    <w:uiPriority w:val="0"/>
    <w:rPr>
      <w:rFonts w:ascii="Times New Roman" w:hAnsi="Times New Roman" w:eastAsia="宋体" w:cs="Times New Roman"/>
      <w:szCs w:val="24"/>
    </w:rPr>
  </w:style>
  <w:style w:type="character" w:customStyle="1" w:styleId="152">
    <w:name w:val="标题 7 字符"/>
    <w:basedOn w:val="43"/>
    <w:link w:val="8"/>
    <w:qFormat/>
    <w:uiPriority w:val="0"/>
    <w:rPr>
      <w:rFonts w:ascii="Times New Roman" w:hAnsi="Times New Roman" w:eastAsia="宋体" w:cs="Times New Roman"/>
      <w:b/>
      <w:szCs w:val="24"/>
    </w:rPr>
  </w:style>
  <w:style w:type="character" w:customStyle="1" w:styleId="153">
    <w:name w:val="标题 8 字符"/>
    <w:basedOn w:val="43"/>
    <w:link w:val="9"/>
    <w:qFormat/>
    <w:uiPriority w:val="0"/>
    <w:rPr>
      <w:rFonts w:ascii="Times New Roman" w:hAnsi="Times New Roman" w:eastAsia="宋体" w:cs="Times New Roman"/>
      <w:b/>
      <w:sz w:val="22"/>
      <w:szCs w:val="24"/>
    </w:rPr>
  </w:style>
  <w:style w:type="character" w:customStyle="1" w:styleId="154">
    <w:name w:val="标题 9 字符"/>
    <w:basedOn w:val="43"/>
    <w:link w:val="10"/>
    <w:qFormat/>
    <w:uiPriority w:val="0"/>
    <w:rPr>
      <w:rFonts w:ascii="Times New Roman" w:hAnsi="Times New Roman" w:eastAsia="黑体" w:cs="Times New Roman"/>
      <w:szCs w:val="24"/>
    </w:rPr>
  </w:style>
  <w:style w:type="character" w:customStyle="1" w:styleId="155">
    <w:name w:val="页脚 字符1"/>
    <w:basedOn w:val="43"/>
    <w:link w:val="25"/>
    <w:qFormat/>
    <w:uiPriority w:val="99"/>
    <w:rPr>
      <w:rFonts w:ascii="Times New Roman" w:hAnsi="Times New Roman" w:eastAsia="宋体" w:cs="Times New Roman"/>
      <w:sz w:val="18"/>
      <w:szCs w:val="24"/>
    </w:rPr>
  </w:style>
  <w:style w:type="character" w:customStyle="1" w:styleId="156">
    <w:name w:val="页眉 字符1"/>
    <w:basedOn w:val="43"/>
    <w:link w:val="26"/>
    <w:qFormat/>
    <w:uiPriority w:val="0"/>
    <w:rPr>
      <w:rFonts w:ascii="Times New Roman" w:hAnsi="Times New Roman" w:eastAsia="宋体" w:cs="Times New Roman"/>
      <w:sz w:val="18"/>
      <w:szCs w:val="24"/>
    </w:rPr>
  </w:style>
  <w:style w:type="character" w:customStyle="1" w:styleId="157">
    <w:name w:val="批注框文本 字符1"/>
    <w:basedOn w:val="43"/>
    <w:link w:val="24"/>
    <w:semiHidden/>
    <w:qFormat/>
    <w:uiPriority w:val="99"/>
    <w:rPr>
      <w:rFonts w:ascii="Times New Roman" w:hAnsi="Times New Roman" w:eastAsia="宋体" w:cs="Times New Roman"/>
      <w:sz w:val="18"/>
      <w:szCs w:val="18"/>
    </w:rPr>
  </w:style>
  <w:style w:type="character" w:customStyle="1" w:styleId="158">
    <w:name w:val="纯文本 字符1"/>
    <w:basedOn w:val="43"/>
    <w:link w:val="20"/>
    <w:qFormat/>
    <w:uiPriority w:val="0"/>
    <w:rPr>
      <w:rFonts w:ascii="宋体" w:hAnsi="Courier New" w:eastAsia="宋体" w:cs="Times New Roman"/>
      <w:szCs w:val="24"/>
      <w:lang w:val="zh-CN"/>
    </w:rPr>
  </w:style>
  <w:style w:type="paragraph" w:customStyle="1" w:styleId="159">
    <w:name w:val="表格正文"/>
    <w:basedOn w:val="1"/>
    <w:qFormat/>
    <w:uiPriority w:val="0"/>
    <w:pPr>
      <w:spacing w:line="240" w:lineRule="atLeast"/>
    </w:pPr>
    <w:rPr>
      <w:rFonts w:eastAsia="楷体_GB2312"/>
      <w:sz w:val="24"/>
      <w:szCs w:val="24"/>
    </w:rPr>
  </w:style>
  <w:style w:type="character" w:customStyle="1" w:styleId="160">
    <w:name w:val="自定义正文 Char Char"/>
    <w:link w:val="148"/>
    <w:qFormat/>
    <w:uiPriority w:val="0"/>
    <w:rPr>
      <w:rFonts w:ascii="Times New Roman" w:hAnsi="Times New Roman" w:eastAsia="宋体" w:cs="Times New Roman"/>
      <w:szCs w:val="24"/>
    </w:rPr>
  </w:style>
  <w:style w:type="paragraph" w:customStyle="1" w:styleId="161">
    <w:name w:val="图片"/>
    <w:basedOn w:val="1"/>
    <w:link w:val="162"/>
    <w:qFormat/>
    <w:uiPriority w:val="0"/>
    <w:pPr>
      <w:jc w:val="center"/>
    </w:pPr>
    <w:rPr>
      <w:rFonts w:ascii="仿宋_GB2312" w:eastAsia="仿宋_GB2312" w:cs="宋体"/>
      <w:color w:val="0D0D0D" w:themeColor="text1" w:themeTint="F2"/>
      <w:sz w:val="24"/>
      <w14:textFill>
        <w14:solidFill>
          <w14:schemeClr w14:val="tx1">
            <w14:lumMod w14:val="95000"/>
            <w14:lumOff w14:val="5000"/>
          </w14:schemeClr>
        </w14:solidFill>
      </w14:textFill>
    </w:rPr>
  </w:style>
  <w:style w:type="character" w:customStyle="1" w:styleId="162">
    <w:name w:val="图片 字符"/>
    <w:basedOn w:val="43"/>
    <w:link w:val="161"/>
    <w:qFormat/>
    <w:uiPriority w:val="0"/>
    <w:rPr>
      <w:rFonts w:ascii="仿宋_GB2312" w:hAnsi="Times New Roman" w:eastAsia="仿宋_GB2312" w:cs="宋体"/>
      <w:color w:val="0D0D0D" w:themeColor="text1" w:themeTint="F2"/>
      <w:szCs w:val="20"/>
      <w14:textFill>
        <w14:solidFill>
          <w14:schemeClr w14:val="tx1">
            <w14:lumMod w14:val="95000"/>
            <w14:lumOff w14:val="5000"/>
          </w14:schemeClr>
        </w14:solidFill>
      </w14:textFill>
    </w:rPr>
  </w:style>
  <w:style w:type="paragraph" w:customStyle="1" w:styleId="163">
    <w:name w:val="学分制正文样式"/>
    <w:basedOn w:val="1"/>
    <w:link w:val="164"/>
    <w:qFormat/>
    <w:uiPriority w:val="0"/>
    <w:pPr>
      <w:spacing w:line="360" w:lineRule="auto"/>
      <w:ind w:firstLine="560" w:firstLineChars="200"/>
      <w:jc w:val="left"/>
    </w:pPr>
    <w:rPr>
      <w:rFonts w:ascii="宋体" w:hAnsi="宋体" w:cs="宋体"/>
      <w:bCs/>
      <w:sz w:val="28"/>
      <w:szCs w:val="22"/>
    </w:rPr>
  </w:style>
  <w:style w:type="character" w:customStyle="1" w:styleId="164">
    <w:name w:val="学分制正文样式 字符"/>
    <w:basedOn w:val="43"/>
    <w:link w:val="163"/>
    <w:qFormat/>
    <w:uiPriority w:val="0"/>
    <w:rPr>
      <w:rFonts w:ascii="宋体" w:hAnsi="宋体" w:eastAsia="宋体" w:cs="宋体"/>
      <w:bCs/>
      <w:sz w:val="28"/>
    </w:rPr>
  </w:style>
  <w:style w:type="character" w:customStyle="1" w:styleId="165">
    <w:name w:val="日期 字符1"/>
    <w:basedOn w:val="43"/>
    <w:link w:val="22"/>
    <w:semiHidden/>
    <w:qFormat/>
    <w:uiPriority w:val="99"/>
    <w:rPr>
      <w:rFonts w:ascii="Times New Roman" w:hAnsi="Times New Roman" w:eastAsia="宋体" w:cs="Times New Roman"/>
    </w:rPr>
  </w:style>
  <w:style w:type="character" w:customStyle="1" w:styleId="166">
    <w:name w:val="批注文字 字符1"/>
    <w:basedOn w:val="43"/>
    <w:link w:val="14"/>
    <w:qFormat/>
    <w:uiPriority w:val="99"/>
    <w:rPr>
      <w:rFonts w:ascii="Times New Roman" w:hAnsi="Times New Roman" w:eastAsia="宋体" w:cs="Times New Roman"/>
    </w:rPr>
  </w:style>
  <w:style w:type="character" w:customStyle="1" w:styleId="167">
    <w:name w:val="批注主题 字符"/>
    <w:basedOn w:val="166"/>
    <w:link w:val="39"/>
    <w:semiHidden/>
    <w:qFormat/>
    <w:uiPriority w:val="99"/>
    <w:rPr>
      <w:rFonts w:ascii="Times New Roman" w:hAnsi="Times New Roman" w:eastAsia="宋体" w:cs="Times New Roman"/>
      <w:b/>
      <w:bCs/>
    </w:rPr>
  </w:style>
  <w:style w:type="paragraph" w:styleId="168">
    <w:name w:val="Intense Quote"/>
    <w:basedOn w:val="1"/>
    <w:next w:val="1"/>
    <w:link w:val="169"/>
    <w:qFormat/>
    <w:uiPriority w:val="30"/>
    <w:pPr>
      <w:pBdr>
        <w:bottom w:val="single" w:color="4F81BD" w:themeColor="accent1" w:sz="4" w:space="4"/>
      </w:pBdr>
      <w:spacing w:before="200" w:after="280"/>
      <w:ind w:left="936" w:right="936"/>
    </w:pPr>
    <w:rPr>
      <w:rFonts w:ascii="Arial" w:hAnsi="Arial" w:cstheme="minorBidi"/>
      <w:b/>
      <w:bCs/>
      <w:i/>
      <w:iCs/>
      <w:color w:val="4F81BD" w:themeColor="accent1"/>
      <w:sz w:val="24"/>
      <w:szCs w:val="22"/>
      <w14:textFill>
        <w14:solidFill>
          <w14:schemeClr w14:val="accent1"/>
        </w14:solidFill>
      </w14:textFill>
    </w:rPr>
  </w:style>
  <w:style w:type="character" w:customStyle="1" w:styleId="169">
    <w:name w:val="明显引用 字符"/>
    <w:basedOn w:val="43"/>
    <w:link w:val="168"/>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170">
    <w:name w:val="font21"/>
    <w:basedOn w:val="43"/>
    <w:qFormat/>
    <w:uiPriority w:val="0"/>
    <w:rPr>
      <w:rFonts w:hint="eastAsia" w:ascii="宋体" w:hAnsi="宋体" w:eastAsia="宋体" w:cs="宋体"/>
      <w:color w:val="000000"/>
      <w:sz w:val="18"/>
      <w:szCs w:val="18"/>
      <w:u w:val="none"/>
    </w:rPr>
  </w:style>
  <w:style w:type="paragraph" w:customStyle="1" w:styleId="171">
    <w:name w:val="图表目录1"/>
    <w:basedOn w:val="1"/>
    <w:next w:val="1"/>
    <w:qFormat/>
    <w:uiPriority w:val="0"/>
    <w:pPr>
      <w:ind w:left="200" w:leftChars="200" w:hanging="200" w:hangingChars="200"/>
    </w:pPr>
    <w:rPr>
      <w:rFonts w:ascii="Calibri" w:hAnsi="Calibri" w:eastAsia="仿宋_GB2312" w:cs="宋体"/>
      <w:sz w:val="32"/>
      <w:szCs w:val="32"/>
    </w:rPr>
  </w:style>
  <w:style w:type="character" w:customStyle="1" w:styleId="172">
    <w:name w:val="font11"/>
    <w:basedOn w:val="43"/>
    <w:qFormat/>
    <w:uiPriority w:val="0"/>
    <w:rPr>
      <w:rFonts w:hint="default" w:ascii="Calibri" w:hAnsi="Calibri" w:cs="Calibri"/>
      <w:color w:val="000000"/>
      <w:sz w:val="21"/>
      <w:szCs w:val="21"/>
      <w:u w:val="none"/>
    </w:rPr>
  </w:style>
  <w:style w:type="character" w:customStyle="1" w:styleId="173">
    <w:name w:val="font31"/>
    <w:basedOn w:val="43"/>
    <w:qFormat/>
    <w:uiPriority w:val="0"/>
    <w:rPr>
      <w:rFonts w:hint="eastAsia" w:ascii="宋体" w:hAnsi="宋体" w:eastAsia="宋体" w:cs="宋体"/>
      <w:color w:val="000000"/>
      <w:sz w:val="18"/>
      <w:szCs w:val="18"/>
      <w:u w:val="none"/>
    </w:rPr>
  </w:style>
  <w:style w:type="paragraph" w:customStyle="1" w:styleId="174">
    <w:name w:val="WPSOffice手动目录 1"/>
    <w:qFormat/>
    <w:uiPriority w:val="0"/>
    <w:rPr>
      <w:rFonts w:ascii="Times New Roman" w:hAnsi="Times New Roman" w:eastAsia="宋体" w:cs="Times New Roman"/>
      <w:lang w:val="en-US" w:eastAsia="zh-CN" w:bidi="ar-SA"/>
    </w:rPr>
  </w:style>
  <w:style w:type="paragraph" w:customStyle="1" w:styleId="17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6">
    <w:name w:val="zhang"/>
    <w:basedOn w:val="1"/>
    <w:qFormat/>
    <w:uiPriority w:val="0"/>
    <w:pPr>
      <w:spacing w:before="100" w:beforeAutospacing="1" w:after="100" w:afterAutospacing="1"/>
    </w:pPr>
    <w:rPr>
      <w:rFonts w:ascii="宋体" w:hAnsi="宋体" w:cs="宋体"/>
      <w:b/>
      <w:bCs/>
      <w:smallCaps/>
      <w:color w:val="000000"/>
    </w:rPr>
  </w:style>
  <w:style w:type="character" w:customStyle="1" w:styleId="177">
    <w:name w:val="标题 Char"/>
    <w:qFormat/>
    <w:uiPriority w:val="10"/>
    <w:rPr>
      <w:rFonts w:ascii="Cambria" w:hAnsi="Cambria" w:cs="Times New Roman"/>
      <w:b/>
      <w:bCs/>
      <w:sz w:val="32"/>
      <w:szCs w:val="32"/>
    </w:rPr>
  </w:style>
  <w:style w:type="character" w:customStyle="1" w:styleId="178">
    <w:name w:val="副标题 Char"/>
    <w:qFormat/>
    <w:uiPriority w:val="11"/>
    <w:rPr>
      <w:rFonts w:ascii="Cambria" w:hAnsi="Cambria"/>
      <w:b/>
      <w:bCs/>
      <w:kern w:val="28"/>
      <w:sz w:val="32"/>
      <w:szCs w:val="32"/>
    </w:rPr>
  </w:style>
  <w:style w:type="paragraph" w:customStyle="1" w:styleId="179">
    <w:name w:val="Table Text"/>
    <w:basedOn w:val="1"/>
    <w:semiHidden/>
    <w:qFormat/>
    <w:uiPriority w:val="0"/>
    <w:rPr>
      <w:rFonts w:ascii="仿宋" w:hAnsi="仿宋" w:eastAsia="仿宋" w:cs="仿宋"/>
      <w:sz w:val="24"/>
      <w:lang w:eastAsia="en-US"/>
    </w:rPr>
  </w:style>
  <w:style w:type="character" w:customStyle="1" w:styleId="180">
    <w:name w:val="正文文本 2 字符"/>
    <w:basedOn w:val="43"/>
    <w:link w:val="35"/>
    <w:qFormat/>
    <w:uiPriority w:val="0"/>
    <w:rPr>
      <w:rFonts w:ascii="宋体"/>
      <w:snapToGrid w:val="0"/>
      <w:kern w:val="21"/>
      <w:sz w:val="21"/>
      <w:szCs w:val="24"/>
    </w:rPr>
  </w:style>
  <w:style w:type="paragraph" w:customStyle="1" w:styleId="181">
    <w:name w:val="List Paragraph1"/>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A6DC4-12A2-454D-A96A-46F2AD63A6B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139</Pages>
  <Words>84705</Words>
  <Characters>90908</Characters>
  <Lines>125</Lines>
  <Paragraphs>183</Paragraphs>
  <TotalTime>20</TotalTime>
  <ScaleCrop>false</ScaleCrop>
  <LinksUpToDate>false</LinksUpToDate>
  <CharactersWithSpaces>91755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2025-11-10T10:59:00Z</dcterms:created>
  <dc:creator>h</dc:creator>
  <cp:lastModifiedBy>云南冠睿-田</cp:lastModifiedBy>
  <cp:lastPrinted>2022-04-06T02:16:00Z</cp:lastPrinted>
  <dcterms:modified xsi:type="dcterms:W3CDTF">2025-11-20T11:19:24Z</dcterms:modified>
  <dc:title>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7DA8D126C0B54897973E88781BEDA9B2_13</vt:lpwstr>
  </property>
  <property fmtid="{D5CDD505-2E9C-101B-9397-08002B2CF9AE}" pid="4" name="KSOTemplateDocerSaveRecord">
    <vt:lpwstr>eyJoZGlkIjoiY2Y1MGRlNzU5NTdmZmJkNzEzOTE1NmJiNTE2ZjYzMjYiLCJ1c2VySWQiOiI1MjgyMjQzNzAifQ==</vt:lpwstr>
  </property>
</Properties>
</file>