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06C72DAE">
      <w:pPr>
        <w:jc w:val="center"/>
        <w:rPr>
          <w:rFonts w:hint="eastAsia" w:ascii="黑体" w:hAnsi="黑体" w:eastAsia="黑体"/>
          <w:color w:val="auto"/>
          <w:spacing w:val="5760"/>
          <w:w w:val="100"/>
          <w:kern w:val="0"/>
          <w:sz w:val="36"/>
          <w:szCs w:val="36"/>
          <w:highlight w:val="none"/>
          <w:fitText w:val="6120" w:id="-1002138880"/>
          <w:lang w:val="en-US" w:eastAsia="zh-CN"/>
        </w:rPr>
      </w:pPr>
    </w:p>
    <w:p w14:paraId="0B001271">
      <w:pPr>
        <w:jc w:val="center"/>
        <w:rPr>
          <w:rFonts w:hint="eastAsia" w:ascii="宋体" w:hAnsi="宋体" w:eastAsia="宋体" w:cs="宋体"/>
          <w:b/>
          <w:bCs/>
          <w:color w:val="auto"/>
          <w:kern w:val="0"/>
          <w:sz w:val="60"/>
          <w:szCs w:val="60"/>
          <w:highlight w:val="none"/>
          <w:lang w:val="en-US" w:eastAsia="zh-CN"/>
        </w:rPr>
      </w:pPr>
      <w:r>
        <w:rPr>
          <w:rFonts w:hint="eastAsia" w:cs="宋体"/>
          <w:b/>
          <w:bCs/>
          <w:i w:val="0"/>
          <w:iCs w:val="0"/>
          <w:color w:val="auto"/>
          <w:kern w:val="0"/>
          <w:sz w:val="60"/>
          <w:szCs w:val="60"/>
          <w:highlight w:val="none"/>
          <w:lang w:val="en-US" w:eastAsia="zh-CN"/>
        </w:rPr>
        <w:t>新疆维吾尔自治区住房公积金业务信息系统运维服务项目</w:t>
      </w:r>
    </w:p>
    <w:p w14:paraId="011A7E77">
      <w:pPr>
        <w:jc w:val="center"/>
        <w:rPr>
          <w:rFonts w:hint="eastAsia" w:ascii="宋体" w:hAnsi="宋体" w:eastAsia="宋体" w:cs="宋体"/>
          <w:b/>
          <w:bCs/>
          <w:color w:val="auto"/>
          <w:kern w:val="0"/>
          <w:sz w:val="60"/>
          <w:szCs w:val="60"/>
          <w:highlight w:val="none"/>
          <w:lang w:val="en-US" w:eastAsia="zh-CN"/>
        </w:rPr>
      </w:pPr>
    </w:p>
    <w:p w14:paraId="5DC44D9A">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公开招标文件</w:t>
      </w:r>
      <w:bookmarkStart w:id="0" w:name="_Hlk164181180"/>
    </w:p>
    <w:bookmarkEnd w:id="0"/>
    <w:p w14:paraId="7757DFAA">
      <w:pPr>
        <w:spacing w:line="240" w:lineRule="auto"/>
        <w:jc w:val="center"/>
        <w:rPr>
          <w:rFonts w:ascii="黑体" w:hAnsi="黑体" w:eastAsia="黑体"/>
          <w:color w:val="auto"/>
          <w:sz w:val="52"/>
          <w:szCs w:val="52"/>
          <w:highlight w:val="none"/>
        </w:rPr>
      </w:pPr>
    </w:p>
    <w:p w14:paraId="67E856E7">
      <w:pPr>
        <w:spacing w:line="240" w:lineRule="auto"/>
        <w:jc w:val="center"/>
        <w:rPr>
          <w:rFonts w:ascii="黑体" w:hAnsi="黑体" w:eastAsia="黑体"/>
          <w:color w:val="auto"/>
          <w:sz w:val="52"/>
          <w:szCs w:val="52"/>
          <w:highlight w:val="none"/>
        </w:rPr>
      </w:pPr>
    </w:p>
    <w:p w14:paraId="6E97F6A4">
      <w:pPr>
        <w:spacing w:line="240" w:lineRule="auto"/>
        <w:jc w:val="center"/>
        <w:rPr>
          <w:rFonts w:ascii="黑体" w:hAnsi="黑体" w:eastAsia="黑体"/>
          <w:color w:val="auto"/>
          <w:sz w:val="52"/>
          <w:szCs w:val="52"/>
          <w:highlight w:val="none"/>
        </w:rPr>
      </w:pPr>
    </w:p>
    <w:p w14:paraId="3BB6C11B">
      <w:pPr>
        <w:spacing w:line="240" w:lineRule="auto"/>
        <w:jc w:val="center"/>
        <w:rPr>
          <w:rFonts w:ascii="黑体" w:hAnsi="黑体" w:eastAsia="黑体"/>
          <w:color w:val="auto"/>
          <w:sz w:val="52"/>
          <w:szCs w:val="52"/>
          <w:highlight w:val="none"/>
        </w:rPr>
      </w:pPr>
    </w:p>
    <w:p w14:paraId="2C4C4C19">
      <w:pPr>
        <w:pStyle w:val="2"/>
        <w:rPr>
          <w:rFonts w:ascii="黑体" w:hAnsi="黑体" w:eastAsia="黑体"/>
          <w:color w:val="auto"/>
          <w:sz w:val="52"/>
          <w:szCs w:val="52"/>
          <w:highlight w:val="none"/>
        </w:rPr>
      </w:pPr>
    </w:p>
    <w:p w14:paraId="0712CE27">
      <w:pPr>
        <w:ind w:left="420" w:leftChars="175"/>
        <w:rPr>
          <w:rFonts w:hint="default" w:cs="宋体"/>
          <w:i w:val="0"/>
          <w:iCs w:val="0"/>
          <w:color w:val="auto"/>
          <w:sz w:val="36"/>
          <w:szCs w:val="36"/>
          <w:highlight w:val="none"/>
          <w:lang w:val="en-US" w:eastAsia="zh-CN"/>
        </w:rPr>
      </w:pPr>
      <w:r>
        <w:rPr>
          <w:rFonts w:hint="eastAsia" w:ascii="宋体" w:hAnsi="宋体" w:eastAsia="宋体" w:cs="宋体"/>
          <w:i w:val="0"/>
          <w:iCs w:val="0"/>
          <w:color w:val="auto"/>
          <w:sz w:val="36"/>
          <w:szCs w:val="36"/>
          <w:highlight w:val="none"/>
        </w:rPr>
        <w:t>项目编号：</w:t>
      </w:r>
      <w:r>
        <w:rPr>
          <w:rFonts w:hint="eastAsia" w:cs="宋体"/>
          <w:i w:val="0"/>
          <w:iCs w:val="0"/>
          <w:color w:val="auto"/>
          <w:sz w:val="36"/>
          <w:szCs w:val="36"/>
          <w:highlight w:val="none"/>
          <w:lang w:val="en-US" w:eastAsia="zh-CN"/>
        </w:rPr>
        <w:t>XSY-2025-Z-151</w:t>
      </w:r>
    </w:p>
    <w:p w14:paraId="244C721C">
      <w:pPr>
        <w:ind w:left="2220" w:leftChars="175" w:hanging="1800" w:hangingChars="500"/>
        <w:rPr>
          <w:rFonts w:hint="default" w:ascii="宋体" w:hAnsi="宋体" w:eastAsia="宋体" w:cs="宋体"/>
          <w:i w:val="0"/>
          <w:iCs w:val="0"/>
          <w:color w:val="auto"/>
          <w:sz w:val="36"/>
          <w:szCs w:val="36"/>
          <w:highlight w:val="none"/>
          <w:lang w:val="en-US" w:eastAsia="zh-CN"/>
        </w:rPr>
      </w:pPr>
      <w:r>
        <w:rPr>
          <w:rFonts w:hint="eastAsia" w:ascii="宋体" w:hAnsi="宋体" w:eastAsia="宋体" w:cs="宋体"/>
          <w:i w:val="0"/>
          <w:iCs w:val="0"/>
          <w:color w:val="auto"/>
          <w:sz w:val="36"/>
          <w:szCs w:val="36"/>
          <w:highlight w:val="none"/>
        </w:rPr>
        <w:t>项目名称：</w:t>
      </w:r>
      <w:r>
        <w:rPr>
          <w:rFonts w:hint="eastAsia" w:cs="宋体"/>
          <w:i w:val="0"/>
          <w:iCs w:val="0"/>
          <w:color w:val="auto"/>
          <w:sz w:val="36"/>
          <w:szCs w:val="36"/>
          <w:highlight w:val="none"/>
          <w:lang w:val="en-US" w:eastAsia="zh-CN"/>
        </w:rPr>
        <w:t>新疆维吾尔自治区住房公积金业务信息系统运维服务项目</w:t>
      </w:r>
    </w:p>
    <w:p w14:paraId="55620E86">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采</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购</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人：</w:t>
      </w:r>
      <w:r>
        <w:rPr>
          <w:rFonts w:hint="eastAsia" w:cs="宋体"/>
          <w:i w:val="0"/>
          <w:iCs w:val="0"/>
          <w:color w:val="auto"/>
          <w:sz w:val="36"/>
          <w:szCs w:val="36"/>
          <w:highlight w:val="none"/>
          <w:lang w:val="en-US" w:eastAsia="zh-CN"/>
        </w:rPr>
        <w:t>新疆维吾尔自治区住房和城乡建设厅</w:t>
      </w:r>
    </w:p>
    <w:p w14:paraId="18283BD7">
      <w:pPr>
        <w:ind w:left="420" w:leftChars="175"/>
        <w:rPr>
          <w:rFonts w:hint="default" w:ascii="宋体" w:hAnsi="宋体" w:eastAsia="宋体" w:cs="宋体"/>
          <w:i w:val="0"/>
          <w:iCs w:val="0"/>
          <w:color w:val="auto"/>
          <w:sz w:val="36"/>
          <w:szCs w:val="36"/>
          <w:highlight w:val="none"/>
          <w:lang w:val="en-US" w:eastAsia="zh-CN"/>
        </w:rPr>
      </w:pPr>
      <w:r>
        <w:rPr>
          <w:rFonts w:hint="eastAsia" w:ascii="宋体" w:hAnsi="宋体" w:eastAsia="宋体" w:cs="宋体"/>
          <w:i w:val="0"/>
          <w:iCs w:val="0"/>
          <w:color w:val="auto"/>
          <w:sz w:val="36"/>
          <w:szCs w:val="36"/>
          <w:highlight w:val="none"/>
        </w:rPr>
        <w:t>采购代理机构：</w:t>
      </w:r>
      <w:r>
        <w:rPr>
          <w:rFonts w:hint="eastAsia" w:cs="宋体"/>
          <w:i w:val="0"/>
          <w:iCs w:val="0"/>
          <w:color w:val="auto"/>
          <w:sz w:val="36"/>
          <w:szCs w:val="36"/>
          <w:highlight w:val="none"/>
          <w:u w:val="none"/>
          <w:lang w:val="en-US" w:eastAsia="zh-CN"/>
        </w:rPr>
        <w:t>新疆星圣源工程项目管理有限公司</w:t>
      </w:r>
    </w:p>
    <w:p w14:paraId="3F99DE29">
      <w:pPr>
        <w:jc w:val="center"/>
        <w:rPr>
          <w:rFonts w:hint="eastAsia" w:ascii="宋体" w:hAnsi="宋体" w:eastAsia="宋体" w:cs="宋体"/>
          <w:b/>
          <w:bCs/>
          <w:color w:val="auto"/>
          <w:sz w:val="36"/>
          <w:szCs w:val="36"/>
          <w:highlight w:val="none"/>
        </w:rPr>
        <w:sectPr>
          <w:headerReference r:id="rId5" w:type="default"/>
          <w:footerReference r:id="rId6" w:type="default"/>
          <w:pgSz w:w="11906" w:h="16838"/>
          <w:pgMar w:top="1440" w:right="1800" w:bottom="1440" w:left="1800" w:header="851" w:footer="765"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1454D4D3">
      <w:pPr>
        <w:pStyle w:val="23"/>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p w14:paraId="1C7063FA">
      <w:pPr>
        <w:pStyle w:val="23"/>
        <w:tabs>
          <w:tab w:val="right" w:leader="dot" w:pos="8306"/>
        </w:tabs>
        <w:rPr>
          <w:rFonts w:hint="eastAsia" w:ascii="宋体" w:hAnsi="宋体" w:eastAsia="宋体" w:cs="宋体"/>
          <w:sz w:val="24"/>
          <w:szCs w:val="24"/>
        </w:rPr>
      </w:pPr>
      <w:bookmarkStart w:id="1" w:name="_Toc155185859"/>
      <w:bookmarkStart w:id="2" w:name="_Toc8881"/>
      <w:bookmarkStart w:id="3" w:name="_Hlk130458318"/>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_Toc10052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_Toc10052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E78C9FB">
      <w:pPr>
        <w:pStyle w:val="23"/>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_Toc10665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_Toc10665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737CE85">
      <w:pPr>
        <w:pStyle w:val="23"/>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_Toc1640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_Toc1640 \h </w:instrText>
      </w:r>
      <w:r>
        <w:rPr>
          <w:rFonts w:hint="eastAsia" w:ascii="宋体" w:hAnsi="宋体" w:eastAsia="宋体" w:cs="宋体"/>
          <w:sz w:val="24"/>
          <w:szCs w:val="24"/>
        </w:rPr>
        <w:fldChar w:fldCharType="separate"/>
      </w:r>
      <w:r>
        <w:rPr>
          <w:rFonts w:hint="eastAsia" w:ascii="宋体" w:hAnsi="宋体" w:eastAsia="宋体" w:cs="宋体"/>
          <w:sz w:val="24"/>
          <w:szCs w:val="24"/>
        </w:rPr>
        <w:t>- 34 -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AF8C250">
      <w:pPr>
        <w:pStyle w:val="23"/>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_Toc9106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第四章 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_Toc9106 \h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 </w:t>
      </w:r>
      <w:r>
        <w:rPr>
          <w:rFonts w:hint="eastAsia" w:ascii="宋体" w:eastAsia="宋体" w:cs="宋体"/>
          <w:sz w:val="24"/>
          <w:szCs w:val="24"/>
          <w:lang w:val="en-US" w:eastAsia="zh-CN"/>
        </w:rPr>
        <w:t>54</w:t>
      </w:r>
      <w:r>
        <w:rPr>
          <w:rFonts w:hint="eastAsia" w:ascii="宋体" w:hAnsi="宋体" w:eastAsia="宋体" w:cs="宋体"/>
          <w:sz w:val="24"/>
          <w:szCs w:val="24"/>
        </w:rPr>
        <w:t xml:space="preserve">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68FDB8B">
      <w:pPr>
        <w:pStyle w:val="23"/>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_Toc21586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第五章 评标方法及标准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_Toc21586 \h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 </w:t>
      </w:r>
      <w:r>
        <w:rPr>
          <w:rFonts w:hint="eastAsia" w:ascii="宋体" w:eastAsia="宋体" w:cs="宋体"/>
          <w:sz w:val="24"/>
          <w:szCs w:val="24"/>
          <w:lang w:val="en-US" w:eastAsia="zh-CN"/>
        </w:rPr>
        <w:t>57</w:t>
      </w:r>
      <w:r>
        <w:rPr>
          <w:rFonts w:hint="eastAsia" w:ascii="宋体" w:hAnsi="宋体" w:eastAsia="宋体" w:cs="宋体"/>
          <w:sz w:val="24"/>
          <w:szCs w:val="24"/>
        </w:rPr>
        <w:t xml:space="preserve">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3CEA40D">
      <w:pPr>
        <w:pStyle w:val="23"/>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zh-CN" w:eastAsia="zh-CN"/>
        </w:rPr>
        <w:t>第六章 合同草案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_Toc520 \h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 </w:t>
      </w:r>
      <w:r>
        <w:rPr>
          <w:rFonts w:hint="eastAsia" w:ascii="宋体" w:eastAsia="宋体" w:cs="宋体"/>
          <w:sz w:val="24"/>
          <w:szCs w:val="24"/>
          <w:lang w:val="en-US" w:eastAsia="zh-CN"/>
        </w:rPr>
        <w:t>67</w:t>
      </w:r>
      <w:r>
        <w:rPr>
          <w:rFonts w:hint="eastAsia" w:ascii="宋体" w:hAnsi="宋体" w:eastAsia="宋体" w:cs="宋体"/>
          <w:sz w:val="24"/>
          <w:szCs w:val="24"/>
        </w:rPr>
        <w:t xml:space="preserve">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5BEEF37">
      <w:pPr>
        <w:pStyle w:val="23"/>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_Toc28408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第七章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_Toc28408 \h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 </w:t>
      </w:r>
      <w:r>
        <w:rPr>
          <w:rFonts w:hint="eastAsia" w:ascii="宋体" w:eastAsia="宋体" w:cs="宋体"/>
          <w:sz w:val="24"/>
          <w:szCs w:val="24"/>
          <w:lang w:val="en-US" w:eastAsia="zh-CN"/>
        </w:rPr>
        <w:t>76</w:t>
      </w:r>
      <w:r>
        <w:rPr>
          <w:rFonts w:hint="eastAsia" w:ascii="宋体" w:hAnsi="宋体" w:eastAsia="宋体" w:cs="宋体"/>
          <w:sz w:val="24"/>
          <w:szCs w:val="24"/>
        </w:rPr>
        <w:t xml:space="preserve">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CCFC3B0">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Cs w:val="24"/>
          <w:highlight w:val="none"/>
        </w:rPr>
        <w:sectPr>
          <w:pgSz w:w="11906" w:h="16838"/>
          <w:pgMar w:top="1440" w:right="1800" w:bottom="1440" w:left="1800" w:header="851" w:footer="765"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eastAsia" w:ascii="宋体" w:hAnsi="宋体" w:eastAsia="宋体" w:cs="宋体"/>
          <w:color w:val="auto"/>
          <w:sz w:val="24"/>
          <w:szCs w:val="24"/>
          <w:highlight w:val="none"/>
        </w:rPr>
        <w:fldChar w:fldCharType="end"/>
      </w:r>
    </w:p>
    <w:p w14:paraId="29DD1FCB">
      <w:pPr>
        <w:pStyle w:val="3"/>
        <w:bidi w:val="0"/>
        <w:rPr>
          <w:rFonts w:hint="eastAsia" w:ascii="宋体" w:hAnsi="宋体" w:eastAsia="宋体" w:cs="宋体"/>
          <w:lang w:val="en-US" w:eastAsia="zh-CN"/>
        </w:rPr>
      </w:pPr>
      <w:bookmarkStart w:id="4" w:name="_Toc16151"/>
      <w:bookmarkStart w:id="5" w:name="_Toc10052"/>
      <w:r>
        <w:rPr>
          <w:rFonts w:hint="eastAsia" w:ascii="宋体" w:hAnsi="宋体" w:eastAsia="宋体" w:cs="宋体"/>
          <w:lang w:val="en-US" w:eastAsia="zh-CN"/>
        </w:rPr>
        <w:t xml:space="preserve">第一章 </w:t>
      </w:r>
      <w:bookmarkEnd w:id="1"/>
      <w:r>
        <w:rPr>
          <w:rFonts w:hint="eastAsia" w:ascii="宋体" w:hAnsi="宋体" w:eastAsia="宋体" w:cs="宋体"/>
          <w:lang w:val="en-US" w:eastAsia="zh-CN"/>
        </w:rPr>
        <w:t>招标公告</w:t>
      </w:r>
      <w:bookmarkEnd w:id="2"/>
      <w:bookmarkEnd w:id="4"/>
      <w:bookmarkEnd w:id="5"/>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6" w:name="_Toc576"/>
            <w:bookmarkStart w:id="7" w:name="_Toc32473"/>
            <w:bookmarkStart w:id="8" w:name="_Toc26706"/>
            <w:bookmarkStart w:id="9" w:name="_Toc155185860"/>
            <w:bookmarkStart w:id="10" w:name="_Toc109899829"/>
            <w:bookmarkStart w:id="11" w:name="_Toc35393798"/>
            <w:bookmarkStart w:id="12" w:name="_Toc28359089"/>
            <w:bookmarkStart w:id="13" w:name="_Toc109900248"/>
            <w:bookmarkStart w:id="14" w:name="_Toc44583628"/>
            <w:bookmarkStart w:id="15" w:name="_Toc109899410"/>
            <w:bookmarkStart w:id="16" w:name="_Toc140132745"/>
            <w:bookmarkStart w:id="17" w:name="_Toc28359012"/>
            <w:bookmarkStart w:id="18" w:name="_Toc35393629"/>
            <w:r>
              <w:rPr>
                <w:rFonts w:hint="eastAsia"/>
                <w:color w:val="auto"/>
                <w:sz w:val="24"/>
                <w:szCs w:val="24"/>
                <w:highlight w:val="none"/>
                <w:lang w:val="en-US" w:eastAsia="zh-CN"/>
              </w:rPr>
              <w:t>项目概况：</w:t>
            </w:r>
            <w:bookmarkEnd w:id="6"/>
            <w:bookmarkEnd w:id="7"/>
            <w:bookmarkEnd w:id="8"/>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 w:val="0"/>
                <w:iCs w:val="0"/>
                <w:color w:val="auto"/>
                <w:kern w:val="2"/>
                <w:sz w:val="24"/>
                <w:szCs w:val="24"/>
                <w:highlight w:val="none"/>
                <w:u w:val="single"/>
                <w:shd w:val="clear" w:color="auto" w:fill="FFFFFF" w:themeFill="background1"/>
                <w:lang w:val="hr-HR" w:eastAsia="zh-CN" w:bidi="ar-SA"/>
              </w:rPr>
              <w:t>新疆维吾尔自治区住房公积金业务信息系统运维服务项目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w:t>
            </w:r>
            <w:r>
              <w:rPr>
                <w:rFonts w:hint="eastAsia" w:ascii="宋体" w:hAnsi="宋体" w:eastAsia="宋体" w:cs="宋体"/>
                <w:sz w:val="24"/>
                <w:szCs w:val="24"/>
                <w:u w:val="single"/>
              </w:rPr>
              <w:t>政采云平台http://www.zcygov.cn/</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green"/>
                <w:u w:val="single"/>
                <w:lang w:val="en-US" w:eastAsia="zh-CN" w:bidi="ar-SA"/>
              </w:rPr>
              <w:t>2025</w:t>
            </w:r>
            <w:r>
              <w:rPr>
                <w:rFonts w:hint="default" w:ascii="宋体" w:hAnsi="宋体" w:eastAsia="宋体" w:cstheme="minorBidi"/>
                <w:i w:val="0"/>
                <w:iCs w:val="0"/>
                <w:color w:val="auto"/>
                <w:kern w:val="2"/>
                <w:sz w:val="24"/>
                <w:szCs w:val="22"/>
                <w:highlight w:val="green"/>
                <w:u w:val="single"/>
                <w:lang w:val="en-US" w:eastAsia="zh-CN" w:bidi="ar-SA"/>
              </w:rPr>
              <w:t>年</w:t>
            </w:r>
            <w:r>
              <w:rPr>
                <w:rFonts w:hint="eastAsia" w:cstheme="minorBidi"/>
                <w:i w:val="0"/>
                <w:iCs w:val="0"/>
                <w:color w:val="auto"/>
                <w:kern w:val="2"/>
                <w:sz w:val="24"/>
                <w:szCs w:val="22"/>
                <w:highlight w:val="green"/>
                <w:u w:val="single"/>
                <w:lang w:val="en-US" w:eastAsia="zh-CN" w:bidi="ar-SA"/>
              </w:rPr>
              <w:t>11</w:t>
            </w:r>
            <w:r>
              <w:rPr>
                <w:rFonts w:hint="default" w:ascii="宋体" w:hAnsi="宋体" w:eastAsia="宋体" w:cstheme="minorBidi"/>
                <w:i w:val="0"/>
                <w:iCs w:val="0"/>
                <w:color w:val="auto"/>
                <w:kern w:val="2"/>
                <w:sz w:val="24"/>
                <w:szCs w:val="22"/>
                <w:highlight w:val="green"/>
                <w:u w:val="single"/>
                <w:lang w:val="en-US" w:eastAsia="zh-CN" w:bidi="ar-SA"/>
              </w:rPr>
              <w:t>月</w:t>
            </w:r>
            <w:r>
              <w:rPr>
                <w:rFonts w:hint="eastAsia" w:cstheme="minorBidi"/>
                <w:i w:val="0"/>
                <w:iCs w:val="0"/>
                <w:color w:val="auto"/>
                <w:kern w:val="2"/>
                <w:sz w:val="24"/>
                <w:szCs w:val="22"/>
                <w:highlight w:val="green"/>
                <w:u w:val="single"/>
                <w:lang w:val="en-US" w:eastAsia="zh-CN" w:bidi="ar-SA"/>
              </w:rPr>
              <w:t>19</w:t>
            </w:r>
            <w:r>
              <w:rPr>
                <w:rFonts w:hint="default" w:ascii="宋体" w:hAnsi="宋体" w:eastAsia="宋体" w:cstheme="minorBidi"/>
                <w:i w:val="0"/>
                <w:iCs w:val="0"/>
                <w:color w:val="auto"/>
                <w:kern w:val="2"/>
                <w:sz w:val="24"/>
                <w:szCs w:val="22"/>
                <w:highlight w:val="green"/>
                <w:u w:val="single"/>
                <w:lang w:val="en-US" w:eastAsia="zh-CN" w:bidi="ar-SA"/>
              </w:rPr>
              <w:t>日</w:t>
            </w:r>
            <w:r>
              <w:rPr>
                <w:rFonts w:hint="eastAsia" w:cstheme="minorBidi"/>
                <w:i w:val="0"/>
                <w:iCs w:val="0"/>
                <w:color w:val="auto"/>
                <w:kern w:val="2"/>
                <w:sz w:val="24"/>
                <w:szCs w:val="22"/>
                <w:highlight w:val="green"/>
                <w:u w:val="single"/>
                <w:lang w:val="en-US" w:eastAsia="zh-CN" w:bidi="ar-SA"/>
              </w:rPr>
              <w:t>11时00</w:t>
            </w:r>
            <w:r>
              <w:rPr>
                <w:rFonts w:hint="default" w:ascii="宋体" w:hAnsi="宋体" w:eastAsia="宋体" w:cstheme="minorBidi"/>
                <w:i w:val="0"/>
                <w:iCs w:val="0"/>
                <w:color w:val="auto"/>
                <w:kern w:val="2"/>
                <w:sz w:val="24"/>
                <w:szCs w:val="22"/>
                <w:highlight w:val="green"/>
                <w:u w:val="single"/>
                <w:lang w:val="en-US"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9" w:name="_Toc29167"/>
      <w:r>
        <w:rPr>
          <w:rFonts w:hint="eastAsia" w:ascii="宋体" w:hAnsi="宋体" w:eastAsia="宋体" w:cs="宋体"/>
          <w:b/>
          <w:bCs/>
          <w:color w:val="auto"/>
          <w:kern w:val="2"/>
          <w:sz w:val="24"/>
          <w:szCs w:val="24"/>
          <w:highlight w:val="none"/>
          <w:lang w:val="hr-HR" w:eastAsia="zh-CN" w:bidi="ar-SA"/>
        </w:rPr>
        <w:t>一、项目基本情况</w:t>
      </w:r>
      <w:bookmarkEnd w:id="9"/>
      <w:bookmarkEnd w:id="10"/>
      <w:bookmarkEnd w:id="11"/>
      <w:bookmarkEnd w:id="12"/>
      <w:bookmarkEnd w:id="13"/>
      <w:bookmarkEnd w:id="14"/>
      <w:bookmarkEnd w:id="15"/>
      <w:bookmarkEnd w:id="16"/>
      <w:bookmarkEnd w:id="17"/>
      <w:bookmarkEnd w:id="18"/>
      <w:bookmarkEnd w:id="19"/>
    </w:p>
    <w:p w14:paraId="590E39A6">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1.项目编号：</w:t>
      </w:r>
      <w:r>
        <w:rPr>
          <w:rFonts w:hint="eastAsia" w:cs="宋体"/>
          <w:color w:val="auto"/>
          <w:sz w:val="24"/>
          <w:szCs w:val="24"/>
          <w:highlight w:val="none"/>
          <w:lang w:val="hr-HR" w:eastAsia="zh-CN"/>
        </w:rPr>
        <w:t>XSY-2025-Z-151</w:t>
      </w:r>
    </w:p>
    <w:p w14:paraId="544AA4B7">
      <w:pPr>
        <w:pStyle w:val="39"/>
        <w:spacing w:line="360" w:lineRule="auto"/>
        <w:ind w:left="1920" w:leftChars="200" w:hanging="1440" w:hangingChars="60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cs="宋体"/>
          <w:color w:val="auto"/>
          <w:sz w:val="24"/>
          <w:szCs w:val="24"/>
          <w:highlight w:val="none"/>
          <w:lang w:val="hr-HR" w:eastAsia="zh-CN"/>
        </w:rPr>
        <w:t>新疆维吾尔自治区住房公积金业务</w:t>
      </w:r>
      <w:r>
        <w:rPr>
          <w:rFonts w:hint="eastAsia" w:cs="宋体"/>
          <w:color w:val="auto"/>
          <w:sz w:val="24"/>
          <w:szCs w:val="24"/>
          <w:highlight w:val="none"/>
          <w:lang w:val="en-US" w:eastAsia="zh-CN"/>
        </w:rPr>
        <w:t>信息</w:t>
      </w:r>
      <w:r>
        <w:rPr>
          <w:rFonts w:hint="eastAsia" w:cs="宋体"/>
          <w:color w:val="auto"/>
          <w:sz w:val="24"/>
          <w:szCs w:val="24"/>
          <w:highlight w:val="none"/>
          <w:lang w:val="hr-HR" w:eastAsia="zh-CN"/>
        </w:rPr>
        <w:t>系统</w:t>
      </w:r>
      <w:r>
        <w:rPr>
          <w:rFonts w:hint="eastAsia" w:cs="宋体"/>
          <w:color w:val="auto"/>
          <w:sz w:val="24"/>
          <w:szCs w:val="24"/>
          <w:highlight w:val="none"/>
          <w:lang w:val="en-US" w:eastAsia="zh-CN"/>
        </w:rPr>
        <w:t>运维服务项目</w:t>
      </w:r>
    </w:p>
    <w:p w14:paraId="3CE35A7E">
      <w:pPr>
        <w:pStyle w:val="39"/>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78A90596">
      <w:pPr>
        <w:pStyle w:val="39"/>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2200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hr-HR"/>
        </w:rPr>
        <w:t>万元</w:t>
      </w:r>
      <w:r>
        <w:rPr>
          <w:rFonts w:hint="eastAsia" w:cs="宋体"/>
          <w:color w:val="auto"/>
          <w:sz w:val="24"/>
          <w:szCs w:val="24"/>
          <w:highlight w:val="none"/>
          <w:lang w:val="en-US" w:eastAsia="zh-CN"/>
        </w:rPr>
        <w:t>/年</w:t>
      </w:r>
    </w:p>
    <w:p w14:paraId="7851BE2C">
      <w:pPr>
        <w:pStyle w:val="39"/>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lang w:val="hr-HR"/>
        </w:rPr>
        <w:t xml:space="preserve"> </w:t>
      </w:r>
      <w:r>
        <w:rPr>
          <w:rFonts w:hint="eastAsia" w:cs="宋体"/>
          <w:color w:val="auto"/>
          <w:sz w:val="24"/>
          <w:szCs w:val="24"/>
          <w:highlight w:val="none"/>
          <w:u w:val="single"/>
          <w:lang w:val="en-US" w:eastAsia="zh-CN"/>
        </w:rPr>
        <w:t>2200</w:t>
      </w:r>
      <w:r>
        <w:rPr>
          <w:rFonts w:hint="eastAsia" w:ascii="宋体" w:hAnsi="宋体" w:eastAsia="宋体" w:cs="宋体"/>
          <w:color w:val="auto"/>
          <w:sz w:val="24"/>
          <w:szCs w:val="24"/>
          <w:highlight w:val="none"/>
          <w:u w:val="single"/>
          <w:lang w:val="hr-HR"/>
        </w:rPr>
        <w:t xml:space="preserve"> </w:t>
      </w:r>
      <w:r>
        <w:rPr>
          <w:rFonts w:hint="eastAsia" w:ascii="宋体" w:hAnsi="宋体" w:eastAsia="宋体" w:cs="宋体"/>
          <w:color w:val="auto"/>
          <w:sz w:val="24"/>
          <w:szCs w:val="24"/>
          <w:highlight w:val="none"/>
        </w:rPr>
        <w:t>万元</w:t>
      </w:r>
      <w:r>
        <w:rPr>
          <w:rFonts w:hint="eastAsia" w:cs="宋体"/>
          <w:color w:val="auto"/>
          <w:sz w:val="24"/>
          <w:szCs w:val="24"/>
          <w:highlight w:val="none"/>
          <w:lang w:val="en-US" w:eastAsia="zh-CN"/>
        </w:rPr>
        <w:t>/年</w:t>
      </w:r>
    </w:p>
    <w:p w14:paraId="242750DC">
      <w:pPr>
        <w:pStyle w:val="39"/>
        <w:spacing w:line="360" w:lineRule="auto"/>
        <w:ind w:left="1920" w:leftChars="200" w:hanging="1440" w:hangingChars="6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cs="宋体"/>
          <w:color w:val="auto"/>
          <w:sz w:val="24"/>
          <w:szCs w:val="24"/>
          <w:highlight w:val="none"/>
          <w:lang w:val="hr-HR" w:eastAsia="zh-CN"/>
        </w:rPr>
        <w:t>新疆维吾尔自治区住房公积金业务</w:t>
      </w:r>
      <w:r>
        <w:rPr>
          <w:rFonts w:hint="eastAsia" w:cs="宋体"/>
          <w:color w:val="auto"/>
          <w:sz w:val="24"/>
          <w:szCs w:val="24"/>
          <w:highlight w:val="none"/>
          <w:lang w:val="en-US" w:eastAsia="zh-CN"/>
        </w:rPr>
        <w:t>信息</w:t>
      </w:r>
      <w:r>
        <w:rPr>
          <w:rFonts w:hint="eastAsia" w:cs="宋体"/>
          <w:color w:val="auto"/>
          <w:sz w:val="24"/>
          <w:szCs w:val="24"/>
          <w:highlight w:val="none"/>
          <w:lang w:val="hr-HR" w:eastAsia="zh-CN"/>
        </w:rPr>
        <w:t>系统</w:t>
      </w:r>
      <w:r>
        <w:rPr>
          <w:rFonts w:hint="eastAsia" w:cs="宋体"/>
          <w:color w:val="auto"/>
          <w:sz w:val="24"/>
          <w:szCs w:val="24"/>
          <w:highlight w:val="none"/>
          <w:lang w:val="en-US" w:eastAsia="zh-CN"/>
        </w:rPr>
        <w:t>运维服务</w:t>
      </w:r>
      <w:r>
        <w:rPr>
          <w:rFonts w:hint="eastAsia" w:ascii="宋体" w:hAnsi="宋体" w:eastAsia="宋体" w:cs="宋体"/>
          <w:color w:val="auto"/>
          <w:sz w:val="24"/>
          <w:szCs w:val="24"/>
          <w:highlight w:val="none"/>
          <w:lang w:val="hr-HR" w:eastAsia="zh-CN"/>
        </w:rPr>
        <w:t>，详见第三章 采购需求。</w:t>
      </w:r>
    </w:p>
    <w:p w14:paraId="56FBF6DA">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履行期限：</w:t>
      </w:r>
      <w:r>
        <w:rPr>
          <w:rFonts w:hint="eastAsia" w:cs="宋体"/>
          <w:i w:val="0"/>
          <w:iCs w:val="0"/>
          <w:color w:val="auto"/>
          <w:sz w:val="24"/>
          <w:szCs w:val="24"/>
          <w:highlight w:val="none"/>
          <w:u w:val="single"/>
          <w:lang w:val="en-US" w:eastAsia="zh-CN"/>
        </w:rPr>
        <w:t xml:space="preserve"> 3年（具体以合同约定的时间为准）。</w:t>
      </w:r>
    </w:p>
    <w:p w14:paraId="4B098642">
      <w:pPr>
        <w:pStyle w:val="39"/>
        <w:spacing w:line="360" w:lineRule="auto"/>
        <w:rPr>
          <w:rFonts w:hint="eastAsia" w:ascii="宋体" w:hAnsi="宋体" w:eastAsia="宋体" w:cs="宋体"/>
          <w:color w:val="auto"/>
          <w:sz w:val="24"/>
          <w:szCs w:val="24"/>
          <w:highlight w:val="none"/>
          <w:lang w:val="en-US" w:eastAsia="zh-CN"/>
        </w:rPr>
      </w:pPr>
      <w:bookmarkStart w:id="20" w:name="_Toc28359013"/>
      <w:bookmarkStart w:id="21" w:name="_Toc35393799"/>
      <w:bookmarkStart w:id="22" w:name="_Toc35393630"/>
      <w:bookmarkStart w:id="23" w:name="_Toc28359090"/>
      <w:bookmarkStart w:id="24" w:name="_Toc44583629"/>
      <w:r>
        <w:rPr>
          <w:rFonts w:hint="eastAsia" w:ascii="宋体" w:hAnsi="宋体" w:eastAsia="宋体" w:cs="宋体"/>
          <w:color w:val="auto"/>
          <w:sz w:val="24"/>
          <w:szCs w:val="24"/>
          <w:highlight w:val="none"/>
          <w:lang w:val="en-US" w:eastAsia="zh-CN"/>
        </w:rPr>
        <w:t>8.</w:t>
      </w:r>
      <w:bookmarkStart w:id="25" w:name="_Hlk162011358"/>
      <w:r>
        <w:rPr>
          <w:rFonts w:hint="eastAsia" w:ascii="宋体" w:hAnsi="宋体" w:eastAsia="宋体" w:cs="宋体"/>
          <w:color w:val="auto"/>
          <w:sz w:val="24"/>
          <w:szCs w:val="24"/>
          <w:highlight w:val="none"/>
          <w:lang w:val="en-US" w:eastAsia="zh-CN"/>
        </w:rPr>
        <w:t>本项目是否接受联合体投标：□是</w:t>
      </w:r>
      <w:bookmarkEnd w:id="25"/>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6" w:name="_Toc32632"/>
      <w:bookmarkStart w:id="27" w:name="_Toc109899411"/>
      <w:bookmarkStart w:id="28" w:name="_Toc109900249"/>
      <w:bookmarkStart w:id="29" w:name="_Toc140132746"/>
      <w:bookmarkStart w:id="30" w:name="_Toc155185861"/>
      <w:bookmarkStart w:id="31" w:name="_Toc10989983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0"/>
      <w:bookmarkEnd w:id="21"/>
      <w:bookmarkEnd w:id="22"/>
      <w:bookmarkEnd w:id="23"/>
      <w:bookmarkEnd w:id="24"/>
      <w:bookmarkEnd w:id="26"/>
      <w:bookmarkEnd w:id="27"/>
      <w:bookmarkEnd w:id="28"/>
      <w:bookmarkEnd w:id="29"/>
      <w:bookmarkEnd w:id="30"/>
      <w:bookmarkEnd w:id="3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2" w:name="_Hlk89807755"/>
      <w:bookmarkStart w:id="33" w:name="_Toc35393800"/>
      <w:bookmarkStart w:id="34" w:name="_Toc28359014"/>
      <w:bookmarkStart w:id="35" w:name="_Toc28359091"/>
      <w:bookmarkStart w:id="36" w:name="_Toc44583630"/>
      <w:bookmarkStart w:id="37" w:name="_Toc35393631"/>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i w:val="0"/>
          <w:iCs w:val="0"/>
          <w:color w:val="auto"/>
          <w:sz w:val="24"/>
          <w:szCs w:val="24"/>
          <w:highlight w:val="none"/>
          <w:u w:val="single"/>
          <w:lang w:val="en-US" w:eastAsia="zh-CN"/>
        </w:rPr>
        <w:t>本项目</w:t>
      </w:r>
      <w:r>
        <w:rPr>
          <w:rFonts w:hint="eastAsia" w:cs="宋体"/>
          <w:i w:val="0"/>
          <w:iCs w:val="0"/>
          <w:color w:val="auto"/>
          <w:sz w:val="24"/>
          <w:szCs w:val="24"/>
          <w:highlight w:val="none"/>
          <w:u w:val="single"/>
          <w:lang w:val="en-US" w:eastAsia="zh-CN"/>
        </w:rPr>
        <w:t>不</w:t>
      </w:r>
      <w:r>
        <w:rPr>
          <w:rFonts w:hint="eastAsia" w:ascii="宋体" w:hAnsi="宋体" w:eastAsia="宋体" w:cs="宋体"/>
          <w:i w:val="0"/>
          <w:iCs w:val="0"/>
          <w:color w:val="auto"/>
          <w:sz w:val="24"/>
          <w:szCs w:val="24"/>
          <w:highlight w:val="none"/>
          <w:u w:val="single"/>
          <w:lang w:val="en-US" w:eastAsia="zh-CN"/>
        </w:rPr>
        <w:t>专门面向</w:t>
      </w:r>
      <w:r>
        <w:rPr>
          <w:rFonts w:hint="eastAsia" w:cs="宋体"/>
          <w:i w:val="0"/>
          <w:iCs w:val="0"/>
          <w:color w:val="auto"/>
          <w:sz w:val="24"/>
          <w:szCs w:val="24"/>
          <w:highlight w:val="none"/>
          <w:u w:val="single"/>
          <w:lang w:val="en-US" w:eastAsia="zh-CN"/>
        </w:rPr>
        <w:t>中小</w:t>
      </w:r>
      <w:r>
        <w:rPr>
          <w:rFonts w:hint="eastAsia" w:ascii="宋体" w:hAnsi="宋体" w:eastAsia="宋体" w:cs="宋体"/>
          <w:i w:val="0"/>
          <w:iCs w:val="0"/>
          <w:color w:val="auto"/>
          <w:sz w:val="24"/>
          <w:szCs w:val="24"/>
          <w:highlight w:val="none"/>
          <w:u w:val="single"/>
          <w:lang w:val="en-US" w:eastAsia="zh-CN"/>
        </w:rPr>
        <w:t xml:space="preserve">企业采购，投标人所提供服务的承接商为小型、微型企业的，给予10%的价格扣除。中小企业划分标准所属行业为：软件和信息技术服务业。 </w:t>
      </w:r>
    </w:p>
    <w:p w14:paraId="7FF629D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3.本项目的特定资格要求：3.1 法定代表人或单位负责人为同一人或者存在直接控股、管理关系的不同供应商，不得参加同一合同项下的政府采购活动。</w:t>
      </w:r>
    </w:p>
    <w:p w14:paraId="1B6E5E4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除单一来源采购项目外，为采购项目提供整体设计、规范编制或者项目管理、监理、检测等服务的供应商，不得再参加该采购项目的其他采购活动。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3.3 供应商的信用行为：在资格审查阶段经查询，未被列入“失信被执行人”、“重大税收违法失信主体”、“政府采购严重违法失信行为记录名单”其中之一。如有以上不良信用记录之一的，其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32"/>
    <w:p w14:paraId="17F1ED4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8" w:name="_Toc27149"/>
      <w:bookmarkStart w:id="39" w:name="_Toc109899412"/>
      <w:bookmarkStart w:id="40" w:name="_Toc140132747"/>
      <w:bookmarkStart w:id="41" w:name="_Toc109900250"/>
      <w:bookmarkStart w:id="42" w:name="_Toc109899831"/>
      <w:bookmarkStart w:id="43" w:name="_Toc155185862"/>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bCs/>
          <w:color w:val="auto"/>
          <w:kern w:val="2"/>
          <w:sz w:val="24"/>
          <w:szCs w:val="24"/>
          <w:highlight w:val="none"/>
          <w:lang w:val="hr-HR" w:eastAsia="zh-CN" w:bidi="ar-SA"/>
        </w:rPr>
        <w:t xml:space="preserve"> </w:t>
      </w:r>
    </w:p>
    <w:p w14:paraId="7F0135DE">
      <w:pPr>
        <w:pStyle w:val="39"/>
        <w:spacing w:line="360" w:lineRule="auto"/>
        <w:rPr>
          <w:rFonts w:hint="eastAsia" w:ascii="宋体" w:hAnsi="宋体" w:eastAsia="宋体" w:cs="宋体"/>
          <w:color w:val="auto"/>
          <w:sz w:val="24"/>
          <w:szCs w:val="24"/>
          <w:highlight w:val="none"/>
          <w:lang w:val="hr-HR"/>
        </w:rPr>
      </w:pPr>
      <w:bookmarkStart w:id="44" w:name="_Hlk130457234"/>
      <w:bookmarkStart w:id="45" w:name="_Toc28359015"/>
      <w:bookmarkStart w:id="46" w:name="_Toc28359092"/>
      <w:bookmarkStart w:id="47" w:name="_Hlk130457327"/>
      <w:bookmarkStart w:id="48" w:name="_Toc35393632"/>
      <w:bookmarkStart w:id="49" w:name="_Hlk130457261"/>
      <w:bookmarkStart w:id="50" w:name="_Toc35393801"/>
      <w:r>
        <w:rPr>
          <w:rFonts w:hint="eastAsia" w:ascii="宋体" w:hAnsi="宋体" w:eastAsia="宋体" w:cs="宋体"/>
          <w:color w:val="auto"/>
          <w:sz w:val="24"/>
          <w:szCs w:val="24"/>
          <w:highlight w:val="none"/>
          <w:lang w:val="hr-HR"/>
        </w:rPr>
        <w:t>1.时间：</w:t>
      </w:r>
      <w:r>
        <w:rPr>
          <w:rFonts w:hint="eastAsia" w:cs="宋体"/>
          <w:i w:val="0"/>
          <w:iCs w:val="0"/>
          <w:color w:val="auto"/>
          <w:sz w:val="24"/>
          <w:szCs w:val="24"/>
          <w:highlight w:val="cyan"/>
          <w:u w:val="single"/>
          <w:lang w:val="en-US" w:eastAsia="zh-CN"/>
        </w:rPr>
        <w:t>2025</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10</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24</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cyan"/>
          <w:u w:val="none"/>
        </w:rPr>
        <w:t>至</w:t>
      </w:r>
      <w:r>
        <w:rPr>
          <w:rFonts w:hint="eastAsia" w:cs="宋体"/>
          <w:i w:val="0"/>
          <w:iCs w:val="0"/>
          <w:color w:val="auto"/>
          <w:sz w:val="24"/>
          <w:szCs w:val="24"/>
          <w:highlight w:val="cyan"/>
          <w:u w:val="single"/>
          <w:lang w:val="en-US" w:eastAsia="zh-CN"/>
        </w:rPr>
        <w:t>2025</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10</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31</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none"/>
          <w:u w:val="none"/>
        </w:rPr>
        <w:t>，每天上午</w:t>
      </w:r>
      <w:r>
        <w:rPr>
          <w:rFonts w:hint="eastAsia" w:cs="宋体"/>
          <w:i w:val="0"/>
          <w:iCs w:val="0"/>
          <w:color w:val="auto"/>
          <w:sz w:val="24"/>
          <w:szCs w:val="24"/>
          <w:highlight w:val="none"/>
          <w:u w:val="single"/>
          <w:lang w:val="en-US" w:eastAsia="zh-CN"/>
        </w:rPr>
        <w:t>10:00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none"/>
        </w:rPr>
        <w:t>，下午</w:t>
      </w:r>
      <w:r>
        <w:rPr>
          <w:rFonts w:hint="eastAsia" w:cs="宋体"/>
          <w:i w:val="0"/>
          <w:iCs w:val="0"/>
          <w:color w:val="auto"/>
          <w:sz w:val="24"/>
          <w:szCs w:val="24"/>
          <w:highlight w:val="none"/>
          <w:u w:val="single"/>
          <w:lang w:val="en-US" w:eastAsia="zh-CN"/>
        </w:rPr>
        <w:t>15:00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19:00</w:t>
      </w:r>
      <w:r>
        <w:rPr>
          <w:rFonts w:hint="eastAsia" w:ascii="宋体" w:hAnsi="宋体" w:eastAsia="宋体" w:cs="宋体"/>
          <w:i w:val="0"/>
          <w:iCs w:val="0"/>
          <w:color w:val="auto"/>
          <w:sz w:val="24"/>
          <w:szCs w:val="24"/>
          <w:highlight w:val="none"/>
          <w:u w:val="none"/>
        </w:rPr>
        <w:t>（北京时间，法定节假日除外）</w:t>
      </w:r>
      <w:r>
        <w:rPr>
          <w:rFonts w:hint="eastAsia" w:ascii="宋体" w:hAnsi="宋体" w:eastAsia="宋体" w:cs="宋体"/>
          <w:color w:val="auto"/>
          <w:sz w:val="24"/>
          <w:szCs w:val="24"/>
          <w:highlight w:val="none"/>
          <w:lang w:val="hr-HR"/>
        </w:rPr>
        <w:t>。</w:t>
      </w:r>
    </w:p>
    <w:bookmarkEnd w:id="44"/>
    <w:p w14:paraId="34FD69CE">
      <w:pPr>
        <w:pStyle w:val="39"/>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51" w:name="_Hlk89807779"/>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highlight w:val="none"/>
          <w:lang w:val="en-US"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w:t>
      </w:r>
      <w:bookmarkEnd w:id="51"/>
    </w:p>
    <w:p w14:paraId="5DDD414F">
      <w:pPr>
        <w:pStyle w:val="39"/>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highlight w:val="none"/>
          <w:lang w:val="en-US" w:eastAsia="zh-CN"/>
        </w:rPr>
        <w:t>http://www.ccgp-xinjiang.gov.cn/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42A40251">
      <w:pPr>
        <w:pStyle w:val="39"/>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45"/>
    <w:bookmarkEnd w:id="46"/>
    <w:bookmarkEnd w:id="47"/>
    <w:bookmarkEnd w:id="48"/>
    <w:bookmarkEnd w:id="49"/>
    <w:bookmarkEnd w:id="50"/>
    <w:p w14:paraId="62F5362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2" w:name="_Toc140132748"/>
      <w:bookmarkStart w:id="53" w:name="_Toc109899413"/>
      <w:bookmarkStart w:id="54" w:name="_Toc109899832"/>
      <w:bookmarkStart w:id="55" w:name="_Toc155185863"/>
      <w:bookmarkStart w:id="56" w:name="_Toc109900251"/>
      <w:bookmarkStart w:id="57" w:name="_Toc13809"/>
      <w:bookmarkStart w:id="58" w:name="_Hlk130457395"/>
      <w:bookmarkStart w:id="59" w:name="_Toc35393634"/>
      <w:bookmarkStart w:id="60" w:name="_Toc35393803"/>
      <w:bookmarkStart w:id="61" w:name="_Toc28359094"/>
      <w:bookmarkStart w:id="62" w:name="_Toc44583633"/>
      <w:bookmarkStart w:id="63" w:name="_Toc28359017"/>
      <w:r>
        <w:rPr>
          <w:rFonts w:hint="eastAsia" w:ascii="宋体" w:hAnsi="宋体" w:eastAsia="宋体" w:cs="宋体"/>
          <w:b/>
          <w:bCs/>
          <w:color w:val="auto"/>
          <w:kern w:val="2"/>
          <w:sz w:val="24"/>
          <w:szCs w:val="24"/>
          <w:highlight w:val="none"/>
          <w:lang w:val="en-US" w:eastAsia="zh-CN" w:bidi="ar-SA"/>
        </w:rPr>
        <w:t>四、</w:t>
      </w:r>
      <w:bookmarkEnd w:id="52"/>
      <w:bookmarkEnd w:id="53"/>
      <w:bookmarkEnd w:id="54"/>
      <w:bookmarkEnd w:id="55"/>
      <w:bookmarkEnd w:id="56"/>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7"/>
    </w:p>
    <w:p w14:paraId="2D110B47">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cs="宋体"/>
          <w:i w:val="0"/>
          <w:iCs w:val="0"/>
          <w:color w:val="auto"/>
          <w:sz w:val="24"/>
          <w:szCs w:val="24"/>
          <w:highlight w:val="green"/>
          <w:u w:val="single"/>
          <w:lang w:val="en-US" w:eastAsia="zh-CN"/>
        </w:rPr>
        <w:t>2025</w:t>
      </w:r>
      <w:r>
        <w:rPr>
          <w:rFonts w:hint="eastAsia" w:ascii="宋体" w:hAnsi="宋体" w:eastAsia="宋体" w:cs="宋体"/>
          <w:i w:val="0"/>
          <w:iCs w:val="0"/>
          <w:color w:val="auto"/>
          <w:sz w:val="24"/>
          <w:szCs w:val="24"/>
          <w:highlight w:val="green"/>
          <w:u w:val="single"/>
        </w:rPr>
        <w:t>年</w:t>
      </w:r>
      <w:r>
        <w:rPr>
          <w:rFonts w:hint="eastAsia" w:cs="宋体"/>
          <w:i w:val="0"/>
          <w:iCs w:val="0"/>
          <w:color w:val="auto"/>
          <w:sz w:val="24"/>
          <w:szCs w:val="24"/>
          <w:highlight w:val="green"/>
          <w:u w:val="single"/>
          <w:lang w:val="en-US" w:eastAsia="zh-CN"/>
        </w:rPr>
        <w:t>11</w:t>
      </w:r>
      <w:r>
        <w:rPr>
          <w:rFonts w:hint="eastAsia" w:ascii="宋体" w:hAnsi="宋体" w:eastAsia="宋体" w:cs="宋体"/>
          <w:i w:val="0"/>
          <w:iCs w:val="0"/>
          <w:color w:val="auto"/>
          <w:sz w:val="24"/>
          <w:szCs w:val="24"/>
          <w:highlight w:val="green"/>
          <w:u w:val="single"/>
        </w:rPr>
        <w:t>月</w:t>
      </w:r>
      <w:r>
        <w:rPr>
          <w:rFonts w:hint="eastAsia" w:cs="宋体"/>
          <w:i w:val="0"/>
          <w:iCs w:val="0"/>
          <w:color w:val="auto"/>
          <w:sz w:val="24"/>
          <w:szCs w:val="24"/>
          <w:highlight w:val="green"/>
          <w:u w:val="single"/>
          <w:lang w:val="en-US" w:eastAsia="zh-CN"/>
        </w:rPr>
        <w:t>19</w:t>
      </w:r>
      <w:r>
        <w:rPr>
          <w:rFonts w:hint="eastAsia" w:ascii="宋体" w:hAnsi="宋体" w:eastAsia="宋体" w:cs="宋体"/>
          <w:i w:val="0"/>
          <w:iCs w:val="0"/>
          <w:color w:val="auto"/>
          <w:sz w:val="24"/>
          <w:szCs w:val="24"/>
          <w:highlight w:val="green"/>
          <w:u w:val="single"/>
        </w:rPr>
        <w:t>日</w:t>
      </w:r>
      <w:r>
        <w:rPr>
          <w:rFonts w:hint="eastAsia" w:cs="宋体"/>
          <w:i w:val="0"/>
          <w:iCs w:val="0"/>
          <w:color w:val="auto"/>
          <w:sz w:val="24"/>
          <w:szCs w:val="24"/>
          <w:highlight w:val="green"/>
          <w:u w:val="single"/>
          <w:lang w:val="en-US" w:eastAsia="zh-CN"/>
        </w:rPr>
        <w:t>11</w:t>
      </w:r>
      <w:r>
        <w:rPr>
          <w:rFonts w:hint="eastAsia" w:ascii="宋体" w:hAnsi="宋体" w:eastAsia="宋体" w:cs="宋体"/>
          <w:i w:val="0"/>
          <w:iCs w:val="0"/>
          <w:color w:val="auto"/>
          <w:sz w:val="24"/>
          <w:szCs w:val="24"/>
          <w:highlight w:val="green"/>
          <w:u w:val="single"/>
        </w:rPr>
        <w:t>时</w:t>
      </w:r>
      <w:r>
        <w:rPr>
          <w:rFonts w:hint="eastAsia" w:cs="宋体"/>
          <w:i w:val="0"/>
          <w:iCs w:val="0"/>
          <w:color w:val="auto"/>
          <w:sz w:val="24"/>
          <w:szCs w:val="24"/>
          <w:highlight w:val="green"/>
          <w:u w:val="single"/>
          <w:lang w:val="en-US" w:eastAsia="zh-CN"/>
        </w:rPr>
        <w:t>00</w:t>
      </w:r>
      <w:r>
        <w:rPr>
          <w:rFonts w:hint="eastAsia" w:ascii="宋体" w:hAnsi="宋体" w:eastAsia="宋体" w:cs="宋体"/>
          <w:i w:val="0"/>
          <w:iCs w:val="0"/>
          <w:color w:val="auto"/>
          <w:sz w:val="24"/>
          <w:szCs w:val="24"/>
          <w:highlight w:val="green"/>
          <w:u w:val="single"/>
        </w:rPr>
        <w:t>分</w:t>
      </w:r>
      <w:r>
        <w:rPr>
          <w:rFonts w:hint="eastAsia" w:ascii="宋体" w:hAnsi="宋体" w:eastAsia="宋体" w:cs="宋体"/>
          <w:i w:val="0"/>
          <w:iCs w:val="0"/>
          <w:color w:val="auto"/>
          <w:sz w:val="24"/>
          <w:szCs w:val="24"/>
          <w:highlight w:val="none"/>
        </w:rPr>
        <w:t>（北京时间）</w:t>
      </w:r>
      <w:r>
        <w:rPr>
          <w:rFonts w:hint="eastAsia" w:ascii="宋体" w:hAnsi="宋体" w:eastAsia="宋体" w:cs="宋体"/>
          <w:color w:val="auto"/>
          <w:sz w:val="24"/>
          <w:szCs w:val="24"/>
          <w:highlight w:val="none"/>
        </w:rPr>
        <w:t>。</w:t>
      </w:r>
    </w:p>
    <w:p w14:paraId="51B173F3">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64" w:name="_Hlk89807823"/>
      <w:r>
        <w:rPr>
          <w:rFonts w:hint="eastAsia" w:ascii="宋体" w:hAnsi="宋体" w:eastAsia="宋体" w:cs="宋体"/>
          <w:color w:val="auto"/>
          <w:sz w:val="24"/>
          <w:szCs w:val="24"/>
          <w:highlight w:val="none"/>
        </w:rPr>
        <w:t>在</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政府采购电子交易云平台（网址：</w:t>
      </w:r>
      <w:r>
        <w:rPr>
          <w:rFonts w:hint="eastAsia" w:ascii="宋体" w:hAnsi="宋体" w:eastAsia="宋体" w:cs="宋体"/>
          <w:color w:val="auto"/>
          <w:sz w:val="24"/>
          <w:highlight w:val="none"/>
          <w:lang w:val="en-US" w:eastAsia="zh-CN"/>
        </w:rPr>
        <w:t>http://www.ccgp-xinjiang.gov.cn/</w:t>
      </w:r>
      <w:r>
        <w:rPr>
          <w:rFonts w:hint="eastAsia" w:ascii="宋体" w:hAnsi="宋体" w:eastAsia="宋体" w:cs="宋体"/>
          <w:color w:val="auto"/>
          <w:sz w:val="24"/>
          <w:szCs w:val="24"/>
          <w:highlight w:val="none"/>
        </w:rPr>
        <w:t>）进入“项目采购”应用，在投标文件上传菜单中选择项目进行上传。</w:t>
      </w:r>
      <w:bookmarkEnd w:id="64"/>
    </w:p>
    <w:p w14:paraId="276D3E17">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w:t>
      </w:r>
      <w:r>
        <w:rPr>
          <w:rFonts w:hint="eastAsia" w:ascii="宋体" w:hAnsi="宋体" w:eastAsia="宋体" w:cs="宋体"/>
          <w:color w:val="auto"/>
          <w:sz w:val="24"/>
          <w:highlight w:val="none"/>
          <w:lang w:val="en-US" w:eastAsia="zh-CN"/>
        </w:rPr>
        <w:t>http://www.ccgp-xinjiang.gov.cn/</w:t>
      </w:r>
      <w:r>
        <w:rPr>
          <w:rFonts w:hint="eastAsia" w:ascii="宋体" w:hAnsi="宋体" w:eastAsia="宋体" w:cs="宋体"/>
          <w:color w:val="auto"/>
          <w:sz w:val="24"/>
          <w:szCs w:val="24"/>
          <w:highlight w:val="none"/>
          <w:lang w:val="en-US"/>
        </w:rPr>
        <w:t>，进入项目采购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58"/>
    <w:p w14:paraId="679A69E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5" w:name="_Toc140132749"/>
      <w:bookmarkStart w:id="66" w:name="_Toc109899833"/>
      <w:bookmarkStart w:id="67" w:name="_Toc155185864"/>
      <w:bookmarkStart w:id="68" w:name="_Toc109900252"/>
      <w:bookmarkStart w:id="69" w:name="_Toc8144"/>
      <w:bookmarkStart w:id="70" w:name="_Toc109899414"/>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9"/>
      <w:bookmarkEnd w:id="60"/>
      <w:bookmarkEnd w:id="61"/>
      <w:bookmarkEnd w:id="62"/>
      <w:bookmarkEnd w:id="63"/>
      <w:bookmarkEnd w:id="65"/>
      <w:bookmarkEnd w:id="66"/>
      <w:bookmarkEnd w:id="67"/>
      <w:bookmarkEnd w:id="68"/>
      <w:bookmarkEnd w:id="69"/>
      <w:bookmarkEnd w:id="70"/>
    </w:p>
    <w:p w14:paraId="32028F42">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1" w:name="_Toc35393804"/>
      <w:bookmarkStart w:id="72" w:name="_Toc140132750"/>
      <w:bookmarkStart w:id="73" w:name="_Toc155185865"/>
      <w:bookmarkStart w:id="74" w:name="_Toc109900253"/>
      <w:bookmarkStart w:id="75" w:name="_Toc109899415"/>
      <w:bookmarkStart w:id="76" w:name="_Toc109899834"/>
      <w:bookmarkStart w:id="77" w:name="_Toc44583634"/>
      <w:bookmarkStart w:id="78" w:name="_Toc35393635"/>
      <w:bookmarkStart w:id="79" w:name="_Toc26687"/>
      <w:bookmarkStart w:id="80" w:name="_Toc35393637"/>
      <w:bookmarkStart w:id="81" w:name="_Toc28359096"/>
      <w:bookmarkStart w:id="82" w:name="_Toc35393806"/>
      <w:bookmarkStart w:id="83" w:name="_Toc28359019"/>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1"/>
      <w:bookmarkEnd w:id="72"/>
      <w:bookmarkEnd w:id="73"/>
      <w:bookmarkEnd w:id="74"/>
      <w:bookmarkEnd w:id="75"/>
      <w:bookmarkEnd w:id="76"/>
      <w:bookmarkEnd w:id="77"/>
      <w:bookmarkEnd w:id="78"/>
      <w:bookmarkEnd w:id="79"/>
    </w:p>
    <w:p w14:paraId="41081063">
      <w:pPr>
        <w:pStyle w:val="39"/>
        <w:pageBreakBefore w:val="0"/>
        <w:widowControl w:val="0"/>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1、本项目实行网上投标，采用电子投标文件。</w:t>
      </w:r>
    </w:p>
    <w:p w14:paraId="071FF66F">
      <w:pPr>
        <w:pStyle w:val="39"/>
        <w:pageBreakBefore w:val="0"/>
        <w:widowControl w:val="0"/>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079B069">
      <w:pPr>
        <w:pStyle w:val="39"/>
        <w:pageBreakBefore w:val="0"/>
        <w:widowControl w:val="0"/>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303252EC">
      <w:pPr>
        <w:pStyle w:val="39"/>
        <w:pageBreakBefore w:val="0"/>
        <w:widowControl w:val="0"/>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4、其他事项： </w:t>
      </w:r>
    </w:p>
    <w:p w14:paraId="6327D4DC">
      <w:pPr>
        <w:pStyle w:val="39"/>
        <w:pageBreakBefore w:val="0"/>
        <w:widowControl w:val="0"/>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（1）</w:t>
      </w:r>
      <w:r>
        <w:rPr>
          <w:rFonts w:hint="eastAsia" w:ascii="宋体" w:hAnsi="宋体" w:eastAsia="宋体" w:cs="宋体"/>
          <w:color w:val="auto"/>
          <w:sz w:val="24"/>
          <w:highlight w:val="none"/>
          <w:lang w:val="en-US" w:eastAsia="zh-CN"/>
        </w:rPr>
        <w:t>本项目实行电子招投标，供应商须登录政采云平台申请获取采购文件，并需要使用CA锁，登录政采云电子投标客户端制作投标文件，若供应商参与投标,自行承担与投标有关的一切费用。</w:t>
      </w:r>
    </w:p>
    <w:p w14:paraId="459B2322">
      <w:pPr>
        <w:pStyle w:val="39"/>
        <w:pageBreakBefore w:val="0"/>
        <w:widowControl w:val="0"/>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（2）</w:t>
      </w:r>
      <w:r>
        <w:rPr>
          <w:rFonts w:hint="eastAsia" w:ascii="宋体" w:hAnsi="宋体" w:eastAsia="宋体" w:cs="宋体"/>
          <w:color w:val="auto"/>
          <w:sz w:val="24"/>
          <w:highlight w:val="none"/>
          <w:lang w:val="en-US" w:eastAsia="zh-CN"/>
        </w:rPr>
        <w:t>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cs="宋体"/>
          <w:color w:val="auto"/>
          <w:sz w:val="24"/>
          <w:highlight w:val="none"/>
          <w:lang w:val="en-US" w:eastAsia="zh-CN"/>
        </w:rPr>
        <w:t>。</w:t>
      </w:r>
    </w:p>
    <w:p w14:paraId="10E8E99C">
      <w:pPr>
        <w:pStyle w:val="39"/>
        <w:pageBreakBefore w:val="0"/>
        <w:widowControl w:val="0"/>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供应商可前往新疆政府采购网（http://www.ccgp-xinjiang.gov.cn/）下载专区，下载政采云电子投标客户端，安装完成后，可通过账号密码或CA登录客户端进行投标文件制作。</w:t>
      </w:r>
    </w:p>
    <w:p w14:paraId="0A7D3DED">
      <w:pPr>
        <w:pStyle w:val="39"/>
        <w:pageBreakBefore w:val="0"/>
        <w:widowControl w:val="0"/>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（4）</w:t>
      </w:r>
      <w:r>
        <w:rPr>
          <w:rFonts w:hint="eastAsia" w:ascii="宋体" w:hAnsi="宋体" w:eastAsia="宋体" w:cs="宋体"/>
          <w:color w:val="auto"/>
          <w:sz w:val="24"/>
          <w:highlight w:val="none"/>
          <w:lang w:val="en-US" w:eastAsia="zh-CN"/>
        </w:rPr>
        <w:t>供应商在开标时须携带制作加密电子投标文件所使用的CA锁，电脑须提前配置好浏览器，以便开标时在线解密。</w:t>
      </w:r>
    </w:p>
    <w:p w14:paraId="34AAF104">
      <w:pPr>
        <w:pStyle w:val="39"/>
        <w:spacing w:line="360" w:lineRule="auto"/>
        <w:rPr>
          <w:rFonts w:hint="eastAsia" w:ascii="宋体" w:hAnsi="宋体" w:eastAsia="宋体" w:cs="宋体"/>
          <w:color w:val="auto"/>
          <w:sz w:val="24"/>
          <w:szCs w:val="24"/>
          <w:highlight w:val="none"/>
          <w:lang w:val="en-US" w:eastAsia="zh-CN"/>
        </w:rPr>
      </w:pPr>
      <w:r>
        <w:rPr>
          <w:rFonts w:hint="eastAsia" w:cs="宋体"/>
          <w:color w:val="auto"/>
          <w:sz w:val="24"/>
          <w:highlight w:val="none"/>
          <w:lang w:val="en-US" w:eastAsia="zh-CN"/>
        </w:rPr>
        <w:t>（5）</w:t>
      </w:r>
      <w:r>
        <w:rPr>
          <w:rFonts w:hint="eastAsia" w:ascii="宋体" w:hAnsi="宋体" w:eastAsia="宋体" w:cs="宋体"/>
          <w:color w:val="auto"/>
          <w:sz w:val="24"/>
          <w:highlight w:val="none"/>
          <w:lang w:val="en-US" w:eastAsia="zh-CN"/>
        </w:rPr>
        <w:t>投标供应商应当在投标截止时间前，将生成的“电子加密投标文件”上传递交至“政府采购云平台”，投标截止时间以后上传递交的投标文件将被“政府采购云平台”拒收</w:t>
      </w:r>
      <w:r>
        <w:rPr>
          <w:rFonts w:hint="eastAsia" w:ascii="宋体" w:hAnsi="宋体" w:eastAsia="宋体" w:cs="宋体"/>
          <w:color w:val="auto"/>
          <w:sz w:val="24"/>
          <w:szCs w:val="24"/>
          <w:highlight w:val="none"/>
          <w:lang w:val="en-US" w:eastAsia="zh-CN"/>
        </w:rPr>
        <w:t>。</w:t>
      </w:r>
    </w:p>
    <w:bookmarkEnd w:id="3"/>
    <w:bookmarkEnd w:id="80"/>
    <w:bookmarkEnd w:id="81"/>
    <w:bookmarkEnd w:id="82"/>
    <w:bookmarkEnd w:id="83"/>
    <w:p w14:paraId="723251B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4" w:name="_Toc28359095"/>
      <w:bookmarkStart w:id="85" w:name="_Toc109899835"/>
      <w:bookmarkStart w:id="86" w:name="_Toc109900254"/>
      <w:bookmarkStart w:id="87" w:name="_Toc44583635"/>
      <w:bookmarkStart w:id="88" w:name="_Toc109899416"/>
      <w:bookmarkStart w:id="89" w:name="_Toc35393805"/>
      <w:bookmarkStart w:id="90" w:name="_Toc35393636"/>
      <w:bookmarkStart w:id="91" w:name="_Toc140132751"/>
      <w:bookmarkStart w:id="92" w:name="_Toc28359018"/>
      <w:bookmarkStart w:id="93" w:name="_Toc155185866"/>
      <w:bookmarkStart w:id="94" w:name="_Toc28862"/>
      <w:r>
        <w:rPr>
          <w:rFonts w:hint="eastAsia" w:ascii="宋体" w:hAnsi="宋体" w:eastAsia="宋体" w:cs="宋体"/>
          <w:b/>
          <w:bCs/>
          <w:color w:val="auto"/>
          <w:kern w:val="2"/>
          <w:sz w:val="24"/>
          <w:szCs w:val="24"/>
          <w:highlight w:val="none"/>
          <w:lang w:val="en-US" w:eastAsia="zh-CN" w:bidi="ar-SA"/>
        </w:rPr>
        <w:t>七、</w:t>
      </w:r>
      <w:bookmarkEnd w:id="84"/>
      <w:bookmarkEnd w:id="85"/>
      <w:bookmarkEnd w:id="86"/>
      <w:bookmarkEnd w:id="87"/>
      <w:bookmarkEnd w:id="88"/>
      <w:bookmarkEnd w:id="89"/>
      <w:bookmarkEnd w:id="90"/>
      <w:bookmarkEnd w:id="91"/>
      <w:bookmarkEnd w:id="92"/>
      <w:bookmarkEnd w:id="93"/>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4"/>
    </w:p>
    <w:p w14:paraId="7B213880">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5C9C4F67">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bookmarkStart w:id="95" w:name="_Toc28359097"/>
      <w:bookmarkStart w:id="96" w:name="_Toc35393638"/>
      <w:bookmarkStart w:id="97" w:name="_Toc28359020"/>
      <w:bookmarkStart w:id="98" w:name="_Toc35393807"/>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lang w:val="en-US" w:eastAsia="zh-CN"/>
        </w:rPr>
        <w:t xml:space="preserve"> </w:t>
      </w:r>
      <w:r>
        <w:rPr>
          <w:rFonts w:hint="eastAsia" w:cs="宋体"/>
          <w:color w:val="auto"/>
          <w:sz w:val="24"/>
          <w:highlight w:val="none"/>
          <w:u w:val="single"/>
          <w:lang w:val="en-US" w:eastAsia="zh-CN"/>
        </w:rPr>
        <w:t>新疆维吾尔自治区住房和城乡建设厅</w:t>
      </w:r>
      <w:r>
        <w:rPr>
          <w:rFonts w:hint="eastAsia" w:ascii="宋体" w:hAnsi="宋体" w:eastAsia="宋体" w:cs="宋体"/>
          <w:color w:val="auto"/>
          <w:sz w:val="24"/>
          <w:highlight w:val="none"/>
          <w:u w:val="single"/>
          <w:lang w:val="en-US" w:eastAsia="zh-CN"/>
        </w:rPr>
        <w:t xml:space="preserve"> </w:t>
      </w:r>
    </w:p>
    <w:p w14:paraId="271D12FE">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乌鲁木齐市中山路462号人民广场联合大厦A座23</w:t>
      </w:r>
      <w:r>
        <w:rPr>
          <w:rFonts w:hint="eastAsia" w:cs="宋体"/>
          <w:color w:val="auto"/>
          <w:sz w:val="24"/>
          <w:highlight w:val="none"/>
          <w:u w:val="single"/>
          <w:lang w:val="en-US" w:eastAsia="zh-CN"/>
        </w:rPr>
        <w:t>层</w:t>
      </w:r>
      <w:r>
        <w:rPr>
          <w:rFonts w:hint="eastAsia" w:ascii="宋体" w:hAnsi="宋体" w:eastAsia="宋体" w:cs="宋体"/>
          <w:color w:val="auto"/>
          <w:sz w:val="24"/>
          <w:highlight w:val="none"/>
          <w:u w:val="single"/>
        </w:rPr>
        <w:t xml:space="preserve"> </w:t>
      </w:r>
    </w:p>
    <w:p w14:paraId="5CAE85E9">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bookmarkStart w:id="99" w:name="_Hlk46775675"/>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王</w:t>
      </w:r>
      <w:r>
        <w:rPr>
          <w:rFonts w:hint="eastAsia" w:cs="宋体"/>
          <w:color w:val="auto"/>
          <w:sz w:val="24"/>
          <w:highlight w:val="none"/>
          <w:u w:val="single"/>
          <w:lang w:val="en-US" w:eastAsia="zh-CN"/>
        </w:rPr>
        <w:t>飞</w:t>
      </w:r>
      <w:r>
        <w:rPr>
          <w:rFonts w:hint="eastAsia" w:cs="宋体"/>
          <w:color w:val="auto"/>
          <w:sz w:val="24"/>
          <w:highlight w:val="none"/>
          <w:u w:val="single"/>
          <w:lang w:eastAsia="zh-CN"/>
        </w:rPr>
        <w:t>、</w:t>
      </w:r>
      <w:r>
        <w:rPr>
          <w:rFonts w:hint="eastAsia" w:cs="宋体"/>
          <w:color w:val="auto"/>
          <w:sz w:val="24"/>
          <w:highlight w:val="none"/>
          <w:u w:val="single"/>
          <w:lang w:val="en-US" w:eastAsia="zh-CN"/>
        </w:rPr>
        <w:t>0991-2815602</w:t>
      </w:r>
      <w:r>
        <w:rPr>
          <w:rFonts w:hint="eastAsia" w:ascii="宋体" w:hAnsi="宋体" w:eastAsia="宋体" w:cs="宋体"/>
          <w:color w:val="auto"/>
          <w:sz w:val="24"/>
          <w:highlight w:val="none"/>
          <w:u w:val="single"/>
        </w:rPr>
        <w:t xml:space="preserve"> </w:t>
      </w:r>
    </w:p>
    <w:bookmarkEnd w:id="99"/>
    <w:p w14:paraId="5DDC5322">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95"/>
      <w:bookmarkEnd w:id="96"/>
      <w:bookmarkEnd w:id="97"/>
      <w:bookmarkEnd w:id="98"/>
    </w:p>
    <w:p w14:paraId="69D72775">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bookmarkStart w:id="100" w:name="_Toc28359021"/>
      <w:bookmarkStart w:id="101" w:name="_Toc28359098"/>
      <w:bookmarkStart w:id="102" w:name="_Toc35393808"/>
      <w:bookmarkStart w:id="103" w:name="_Toc35393639"/>
      <w:r>
        <w:rPr>
          <w:rFonts w:hint="eastAsia" w:ascii="宋体" w:hAnsi="宋体" w:eastAsia="宋体" w:cs="宋体"/>
          <w:color w:val="auto"/>
          <w:sz w:val="24"/>
          <w:highlight w:val="none"/>
          <w:lang w:val="en-US" w:eastAsia="zh-CN"/>
        </w:rPr>
        <w:t>名称：</w:t>
      </w:r>
      <w:r>
        <w:rPr>
          <w:rFonts w:hint="eastAsia" w:ascii="宋体" w:hAnsi="宋体" w:eastAsia="宋体" w:cs="宋体"/>
          <w:color w:val="auto"/>
          <w:sz w:val="24"/>
          <w:highlight w:val="none"/>
          <w:u w:val="single"/>
          <w:lang w:val="en-US" w:eastAsia="zh-CN"/>
        </w:rPr>
        <w:t xml:space="preserve"> 新疆星圣源工程项目管理有限公司 </w:t>
      </w:r>
    </w:p>
    <w:p w14:paraId="4108706B">
      <w:pPr>
        <w:pStyle w:val="39"/>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w:t>
      </w:r>
      <w:r>
        <w:rPr>
          <w:rFonts w:hint="eastAsia" w:ascii="宋体" w:hAnsi="宋体" w:eastAsia="宋体" w:cs="宋体"/>
          <w:color w:val="auto"/>
          <w:sz w:val="24"/>
          <w:highlight w:val="none"/>
          <w:u w:val="single"/>
          <w:lang w:val="en-US" w:eastAsia="zh-CN"/>
        </w:rPr>
        <w:t xml:space="preserve"> 新疆乌鲁木齐市沙依巴克区奇台路658号德汇万达E2写字楼1703-02室 </w:t>
      </w:r>
    </w:p>
    <w:p w14:paraId="5DA49867">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w:t>
      </w:r>
      <w:r>
        <w:rPr>
          <w:rFonts w:hint="eastAsia" w:ascii="宋体" w:hAnsi="宋体" w:eastAsia="宋体" w:cs="宋体"/>
          <w:color w:val="auto"/>
          <w:sz w:val="24"/>
          <w:highlight w:val="none"/>
          <w:u w:val="single"/>
          <w:lang w:val="en-US" w:eastAsia="zh-CN"/>
        </w:rPr>
        <w:t xml:space="preserve"> 0991-5803779 </w:t>
      </w:r>
    </w:p>
    <w:p w14:paraId="3D50EAA6">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项目联系方式</w:t>
      </w:r>
    </w:p>
    <w:bookmarkEnd w:id="100"/>
    <w:bookmarkEnd w:id="101"/>
    <w:bookmarkEnd w:id="102"/>
    <w:bookmarkEnd w:id="103"/>
    <w:p w14:paraId="7FAA00C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lang w:val="en-US" w:eastAsia="zh-CN"/>
        </w:rPr>
        <w:t xml:space="preserve"> 杨工 </w:t>
      </w:r>
      <w:r>
        <w:rPr>
          <w:rFonts w:hint="eastAsia" w:cs="宋体"/>
          <w:color w:val="auto"/>
          <w:sz w:val="24"/>
          <w:highlight w:val="none"/>
          <w:u w:val="none"/>
          <w:lang w:val="en-US" w:eastAsia="zh-CN"/>
        </w:rPr>
        <w:t xml:space="preserve">                </w:t>
      </w:r>
    </w:p>
    <w:p w14:paraId="06A948F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电话：</w:t>
      </w:r>
      <w:r>
        <w:rPr>
          <w:rFonts w:hint="eastAsia" w:ascii="宋体" w:hAnsi="宋体" w:eastAsia="宋体" w:cs="宋体"/>
          <w:color w:val="auto"/>
          <w:sz w:val="24"/>
          <w:highlight w:val="none"/>
          <w:u w:val="single"/>
          <w:lang w:val="en-US" w:eastAsia="zh-CN"/>
        </w:rPr>
        <w:t xml:space="preserve"> 0991-5803779 </w:t>
      </w:r>
    </w:p>
    <w:p w14:paraId="6A56ADB8">
      <w:pPr>
        <w:pStyle w:val="3"/>
        <w:bidi w:val="0"/>
        <w:rPr>
          <w:rFonts w:hint="eastAsia" w:ascii="宋体" w:hAnsi="宋体" w:eastAsia="宋体" w:cs="宋体"/>
          <w:lang w:val="en-US" w:eastAsia="zh-CN"/>
        </w:rPr>
      </w:pPr>
      <w:bookmarkStart w:id="104" w:name="_Toc155185867"/>
      <w:bookmarkStart w:id="105" w:name="_Toc30316"/>
      <w:bookmarkStart w:id="106" w:name="_Toc5645"/>
      <w:bookmarkStart w:id="107" w:name="_Toc10665"/>
      <w:r>
        <w:rPr>
          <w:rFonts w:hint="eastAsia" w:ascii="宋体" w:hAnsi="宋体" w:eastAsia="宋体" w:cs="宋体"/>
          <w:lang w:val="en-US" w:eastAsia="zh-CN"/>
        </w:rPr>
        <w:t>第二章 投标人须知</w:t>
      </w:r>
      <w:bookmarkEnd w:id="104"/>
      <w:bookmarkEnd w:id="105"/>
      <w:bookmarkEnd w:id="106"/>
      <w:bookmarkEnd w:id="107"/>
    </w:p>
    <w:p w14:paraId="75B7953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8" w:name="_Toc155185868"/>
      <w:bookmarkStart w:id="109" w:name="_Toc3203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08"/>
      <w:bookmarkEnd w:id="109"/>
    </w:p>
    <w:p w14:paraId="7F3ACB7A">
      <w:pPr>
        <w:pStyle w:val="39"/>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32"/>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D9DB5F0">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6700" w:type="dxa"/>
            <w:shd w:val="clear" w:color="auto" w:fill="auto"/>
            <w:vAlign w:val="center"/>
          </w:tcPr>
          <w:p w14:paraId="15D5290A">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u w:val="single"/>
                <w:lang w:val="en-US" w:eastAsia="zh-CN" w:bidi="ar-SA"/>
              </w:rPr>
              <w:t>新疆维吾尔自治区住房公积金业务信息系统运维服务，详见“第三章 项目采购需求”。</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1"/>
              <w:rPr>
                <w:rFonts w:hint="eastAsia" w:ascii="宋体" w:hAnsi="宋体" w:eastAsia="宋体" w:cs="宋体"/>
                <w:color w:val="auto"/>
                <w:sz w:val="24"/>
                <w:szCs w:val="24"/>
                <w:highlight w:val="none"/>
              </w:rPr>
            </w:pPr>
            <w:bookmarkStart w:id="110" w:name="_Hlk143529175"/>
            <w:r>
              <w:rPr>
                <w:rFonts w:hint="eastAsia" w:ascii="宋体" w:hAnsi="宋体" w:eastAsia="宋体" w:cs="宋体"/>
                <w:color w:val="auto"/>
                <w:sz w:val="24"/>
                <w:szCs w:val="24"/>
                <w:highlight w:val="none"/>
              </w:rPr>
              <w:t>现场考察</w:t>
            </w:r>
            <w:bookmarkEnd w:id="110"/>
          </w:p>
        </w:tc>
        <w:tc>
          <w:tcPr>
            <w:tcW w:w="6700" w:type="dxa"/>
            <w:vAlign w:val="center"/>
          </w:tcPr>
          <w:p w14:paraId="36549596">
            <w:pPr>
              <w:pStyle w:val="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2238EF6A">
            <w:pPr>
              <w:pStyle w:val="5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047A7004">
            <w:pPr>
              <w:pStyle w:val="51"/>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2025年**月**日至2025年**月**日</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FBC6B14">
            <w:pPr>
              <w:pStyle w:val="51"/>
              <w:ind w:firstLine="240" w:firstLineChars="100"/>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联系方式</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22E645A0">
            <w:pPr>
              <w:pStyle w:val="51"/>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18D1DF3">
            <w:pPr>
              <w:pStyle w:val="51"/>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7419497D">
            <w:pPr>
              <w:pStyle w:val="5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C679FC8">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3C884172">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BD0D88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4E285D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i w:val="0"/>
                <w:iCs w:val="0"/>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220000元；大写：贰拾贰万元整</w:t>
            </w:r>
            <w:r>
              <w:rPr>
                <w:rFonts w:hint="eastAsia" w:ascii="宋体" w:hAnsi="宋体" w:cs="宋体"/>
                <w:i w:val="0"/>
                <w:iCs w:val="0"/>
                <w:color w:val="auto"/>
                <w:sz w:val="24"/>
                <w:szCs w:val="24"/>
                <w:highlight w:val="none"/>
                <w:lang w:eastAsia="zh-CN"/>
              </w:rPr>
              <w:t>）</w:t>
            </w:r>
          </w:p>
          <w:p w14:paraId="34F4AD6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67F67DC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20AA85D4">
            <w:pPr>
              <w:pStyle w:val="5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保证金收受人信息</w:t>
            </w:r>
            <w:r>
              <w:rPr>
                <w:rFonts w:hint="eastAsia" w:ascii="宋体" w:hAnsi="宋体" w:eastAsia="宋体" w:cs="宋体"/>
                <w:i w:val="0"/>
                <w:iCs w:val="0"/>
                <w:color w:val="auto"/>
                <w:sz w:val="24"/>
                <w:szCs w:val="24"/>
                <w:highlight w:val="none"/>
              </w:rPr>
              <w:t xml:space="preserve">： </w:t>
            </w:r>
          </w:p>
          <w:p w14:paraId="780799C6">
            <w:pPr>
              <w:pStyle w:val="5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账户名：新疆星圣源工程项目管理有限公司</w:t>
            </w:r>
          </w:p>
          <w:p w14:paraId="38FA95EC">
            <w:pPr>
              <w:pStyle w:val="5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开户行：乌鲁木齐银行黄河支行</w:t>
            </w:r>
          </w:p>
          <w:p w14:paraId="648321AA">
            <w:pPr>
              <w:pStyle w:val="5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行号：313881000490</w:t>
            </w:r>
          </w:p>
          <w:p w14:paraId="6AB94639">
            <w:pPr>
              <w:pStyle w:val="5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账号：0000020080110031013587</w:t>
            </w:r>
            <w:r>
              <w:rPr>
                <w:rFonts w:hint="eastAsia" w:ascii="宋体" w:hAnsi="宋体" w:eastAsia="宋体" w:cs="宋体"/>
                <w:i w:val="0"/>
                <w:iCs w:val="0"/>
                <w:color w:val="auto"/>
                <w:sz w:val="24"/>
                <w:szCs w:val="24"/>
                <w:highlight w:val="none"/>
              </w:rPr>
              <w:t xml:space="preserve">                                        </w:t>
            </w:r>
          </w:p>
          <w:p w14:paraId="370DE8E9">
            <w:pPr>
              <w:pStyle w:val="55"/>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6693645A">
            <w:pPr>
              <w:pStyle w:val="55"/>
              <w:spacing w:line="340" w:lineRule="exact"/>
              <w:ind w:firstLine="240" w:firstLineChars="100"/>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若提供银行保函</w:t>
            </w:r>
            <w:r>
              <w:rPr>
                <w:rFonts w:hint="eastAsia" w:ascii="宋体" w:hAnsi="宋体" w:cs="宋体"/>
                <w:b/>
                <w:bCs/>
                <w:i w:val="0"/>
                <w:iCs w:val="0"/>
                <w:color w:val="auto"/>
                <w:sz w:val="24"/>
                <w:szCs w:val="24"/>
                <w:highlight w:val="none"/>
                <w:lang w:val="en-US" w:eastAsia="zh-CN"/>
              </w:rPr>
              <w:t>或担保机构保函</w:t>
            </w:r>
            <w:r>
              <w:rPr>
                <w:rFonts w:hint="eastAsia" w:ascii="宋体" w:hAnsi="宋体" w:eastAsia="宋体" w:cs="宋体"/>
                <w:b/>
                <w:bCs/>
                <w:i w:val="0"/>
                <w:iCs w:val="0"/>
                <w:color w:val="auto"/>
                <w:sz w:val="24"/>
                <w:szCs w:val="24"/>
                <w:highlight w:val="none"/>
                <w:lang w:val="en-US" w:eastAsia="zh-CN"/>
              </w:rPr>
              <w:t>，请</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w:t>
            </w:r>
          </w:p>
          <w:p w14:paraId="1159E717">
            <w:pPr>
              <w:pStyle w:val="55"/>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2.以担保函、保证保险形式缴纳</w:t>
            </w:r>
            <w:r>
              <w:rPr>
                <w:rFonts w:hint="eastAsia" w:ascii="宋体" w:hAnsi="宋体" w:cs="宋体"/>
                <w:i w:val="0"/>
                <w:iCs w:val="0"/>
                <w:color w:val="auto"/>
                <w:sz w:val="24"/>
                <w:szCs w:val="24"/>
                <w:highlight w:val="none"/>
                <w:lang w:val="en-US" w:eastAsia="zh-CN"/>
              </w:rPr>
              <w:t>投标</w:t>
            </w:r>
            <w:r>
              <w:rPr>
                <w:rFonts w:hint="eastAsia" w:ascii="宋体" w:hAnsi="宋体" w:eastAsia="宋体" w:cs="宋体"/>
                <w:i w:val="0"/>
                <w:iCs w:val="0"/>
                <w:color w:val="auto"/>
                <w:sz w:val="24"/>
                <w:szCs w:val="24"/>
                <w:highlight w:val="none"/>
              </w:rPr>
              <w:t>保证金的，受益人和收取单位须为采购人。</w:t>
            </w:r>
          </w:p>
          <w:p w14:paraId="7143F690">
            <w:pPr>
              <w:pStyle w:val="55"/>
              <w:spacing w:line="340" w:lineRule="exact"/>
              <w:ind w:firstLine="240" w:firstLineChars="100"/>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en-US" w:eastAsia="zh-CN"/>
              </w:rPr>
              <w:t>汇款单上必需备注项目编号、包号（若有）、联系方式。</w:t>
            </w:r>
            <w:r>
              <w:rPr>
                <w:rFonts w:hint="eastAsia" w:ascii="宋体" w:hAnsi="宋体" w:cs="宋体"/>
                <w:i w:val="0"/>
                <w:iCs w:val="0"/>
                <w:color w:val="auto"/>
                <w:sz w:val="24"/>
                <w:szCs w:val="24"/>
                <w:highlight w:val="none"/>
                <w:lang w:val="en-US" w:eastAsia="zh-CN"/>
              </w:rPr>
              <w:t>投标</w:t>
            </w:r>
            <w:r>
              <w:rPr>
                <w:rFonts w:hint="eastAsia" w:ascii="宋体" w:hAnsi="宋体" w:eastAsia="宋体" w:cs="宋体"/>
                <w:i w:val="0"/>
                <w:iCs w:val="0"/>
                <w:color w:val="auto"/>
                <w:sz w:val="24"/>
                <w:szCs w:val="24"/>
                <w:highlight w:val="none"/>
                <w:lang w:val="en-US" w:eastAsia="zh-CN"/>
              </w:rPr>
              <w:t xml:space="preserve">保证金于截止日之前确认到账，若投标人未按照上述规定缴纳保证金,投标文件将被拒绝评审。 </w:t>
            </w:r>
          </w:p>
          <w:p w14:paraId="68F362D8">
            <w:pPr>
              <w:pStyle w:val="55"/>
              <w:spacing w:line="340" w:lineRule="exact"/>
              <w:ind w:firstLine="241" w:firstLineChars="100"/>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例：</w:t>
            </w:r>
            <w:r>
              <w:rPr>
                <w:rFonts w:hint="eastAsia" w:ascii="宋体" w:hAnsi="宋体" w:cs="宋体"/>
                <w:b/>
                <w:bCs/>
                <w:i w:val="0"/>
                <w:iCs w:val="0"/>
                <w:color w:val="auto"/>
                <w:sz w:val="24"/>
                <w:szCs w:val="24"/>
                <w:highlight w:val="none"/>
                <w:lang w:val="en-US" w:eastAsia="zh-CN"/>
              </w:rPr>
              <w:t>XSY-2025-Z-151</w:t>
            </w:r>
            <w:r>
              <w:rPr>
                <w:rFonts w:hint="eastAsia" w:ascii="宋体" w:hAnsi="宋体" w:eastAsia="宋体" w:cs="宋体"/>
                <w:b/>
                <w:bCs/>
                <w:i w:val="0"/>
                <w:iCs w:val="0"/>
                <w:color w:val="auto"/>
                <w:sz w:val="24"/>
                <w:szCs w:val="24"/>
                <w:highlight w:val="none"/>
                <w:lang w:val="en-US" w:eastAsia="zh-CN"/>
              </w:rPr>
              <w:t>项目保证金+联系方式</w:t>
            </w:r>
          </w:p>
          <w:p w14:paraId="70A0B66C">
            <w:pPr>
              <w:pStyle w:val="55"/>
              <w:spacing w:line="340" w:lineRule="exact"/>
              <w:ind w:firstLine="240" w:firstLineChars="1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财务办公室：新疆乌鲁木齐市沙依巴克区奇台路658号德汇万达E2写字楼1703-02室</w:t>
            </w:r>
          </w:p>
          <w:p w14:paraId="0E476F1E">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财务联系电话：0991-5803779</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970" w:type="dxa"/>
            <w:vAlign w:val="center"/>
          </w:tcPr>
          <w:p w14:paraId="0FAEE6C9">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1"/>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1"/>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1.样品制作的标准和</w:t>
            </w:r>
            <w:r>
              <w:rPr>
                <w:rFonts w:hint="eastAsia" w:ascii="宋体" w:hAnsi="宋体" w:eastAsia="宋体" w:cs="宋体"/>
                <w:i w:val="0"/>
                <w:iCs w:val="0"/>
                <w:color w:val="auto"/>
                <w:sz w:val="24"/>
                <w:szCs w:val="24"/>
                <w:highlight w:val="none"/>
                <w:lang w:val="en-US" w:eastAsia="zh-CN"/>
              </w:rPr>
              <w:t>要求：</w:t>
            </w:r>
            <w:r>
              <w:rPr>
                <w:rFonts w:hint="eastAsia" w:cs="宋体"/>
                <w:i w:val="0"/>
                <w:iCs w:val="0"/>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p>
          <w:p w14:paraId="636410A9">
            <w:pPr>
              <w:pStyle w:val="5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51"/>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1"/>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21C6A4C">
            <w:pPr>
              <w:pStyle w:val="5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w:t>
            </w:r>
          </w:p>
          <w:p w14:paraId="2365C0AF">
            <w:pPr>
              <w:pStyle w:val="5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F60BBB0">
            <w:pPr>
              <w:pStyle w:val="5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6.其他要求（如有）：</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分钟；</w:t>
            </w:r>
          </w:p>
          <w:p w14:paraId="0D5B188D">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1"/>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1"/>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51"/>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1"/>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1"/>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1"/>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5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1"/>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1"/>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1"/>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1"/>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34" w:hRule="atLeast"/>
        </w:trPr>
        <w:tc>
          <w:tcPr>
            <w:tcW w:w="970" w:type="dxa"/>
            <w:shd w:val="clear" w:color="auto" w:fill="auto"/>
            <w:vAlign w:val="center"/>
          </w:tcPr>
          <w:p w14:paraId="1B46F00E">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51"/>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6976A72E">
            <w:pPr>
              <w:pStyle w:val="5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446453BE">
            <w:pPr>
              <w:pStyle w:val="5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4858B73">
            <w:pPr>
              <w:pStyle w:val="5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95CC0D">
            <w:pPr>
              <w:pStyle w:val="5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172638B8">
            <w:pPr>
              <w:pStyle w:val="5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0CEDF721">
            <w:pPr>
              <w:pStyle w:val="55"/>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782BC737">
            <w:pPr>
              <w:pStyle w:val="5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21565EA">
            <w:pPr>
              <w:pStyle w:val="5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41B3BE7D">
            <w:pPr>
              <w:pStyle w:val="5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32E52EF0">
            <w:pPr>
              <w:pStyle w:val="5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1033F0D6">
            <w:pPr>
              <w:pStyle w:val="5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57AE723">
            <w:pPr>
              <w:pStyle w:val="5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2" w:hRule="atLeast"/>
        </w:trPr>
        <w:tc>
          <w:tcPr>
            <w:tcW w:w="970" w:type="dxa"/>
            <w:vAlign w:val="center"/>
          </w:tcPr>
          <w:p w14:paraId="600814BC">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bidi="ar-SA"/>
              </w:rPr>
              <w:t xml:space="preserve">； </w:t>
            </w:r>
          </w:p>
          <w:p w14:paraId="71BE067E">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bidi="ar-SA"/>
              </w:rPr>
              <w:t xml:space="preserve">； </w:t>
            </w:r>
          </w:p>
          <w:p w14:paraId="2F04DF99">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001A683C">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75571B4E">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092A5C6F">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59"/>
              <w:keepNext w:val="0"/>
              <w:keepLines w:val="0"/>
              <w:pageBreakBefore w:val="0"/>
              <w:widowControl w:val="0"/>
              <w:kinsoku/>
              <w:wordWrap/>
              <w:overflowPunct/>
              <w:topLinePunct w:val="0"/>
              <w:autoSpaceDE w:val="0"/>
              <w:autoSpaceDN w:val="0"/>
              <w:bidi w:val="0"/>
              <w:adjustRightInd w:val="0"/>
              <w:snapToGrid/>
              <w:spacing w:line="240" w:lineRule="auto"/>
              <w:ind w:left="1200" w:hanging="1200" w:hangingChars="5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422A3CDD">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0481589">
            <w:pPr>
              <w:pStyle w:val="5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cs="宋体"/>
                <w:i w:val="0"/>
                <w:iCs w:val="0"/>
                <w:color w:val="auto"/>
                <w:sz w:val="24"/>
                <w:szCs w:val="24"/>
                <w:highlight w:val="none"/>
                <w:lang w:val="en-US" w:eastAsia="zh-CN"/>
              </w:rPr>
              <w:t>中标</w:t>
            </w:r>
            <w:r>
              <w:rPr>
                <w:rFonts w:hint="eastAsia" w:ascii="宋体" w:hAnsi="宋体" w:eastAsia="宋体" w:cs="宋体"/>
                <w:i w:val="0"/>
                <w:iCs w:val="0"/>
                <w:color w:val="auto"/>
                <w:sz w:val="24"/>
                <w:szCs w:val="24"/>
                <w:highlight w:val="none"/>
              </w:rPr>
              <w:t xml:space="preserve">人支付 </w:t>
            </w:r>
          </w:p>
          <w:p w14:paraId="4710D0C3">
            <w:pPr>
              <w:pStyle w:val="5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收费</w:t>
            </w:r>
            <w:r>
              <w:rPr>
                <w:rFonts w:hint="eastAsia" w:ascii="宋体" w:hAnsi="宋体" w:eastAsia="宋体" w:cs="宋体"/>
                <w:i w:val="0"/>
                <w:iCs w:val="0"/>
                <w:color w:val="auto"/>
                <w:sz w:val="24"/>
                <w:szCs w:val="24"/>
                <w:highlight w:val="none"/>
              </w:rPr>
              <w:t>标准：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i w:val="0"/>
                <w:iCs w:val="0"/>
                <w:color w:val="auto"/>
                <w:sz w:val="24"/>
                <w:szCs w:val="24"/>
                <w:highlight w:val="none"/>
                <w:u w:val="single"/>
              </w:rPr>
              <w:t xml:space="preserve"> </w:t>
            </w:r>
          </w:p>
          <w:p w14:paraId="7984F9E6">
            <w:pPr>
              <w:pStyle w:val="5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在领取成交通知书前由成交供应商向采购代理机构一次性付清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p>
          <w:p w14:paraId="406CDC79">
            <w:pPr>
              <w:pStyle w:val="51"/>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i w:val="0"/>
                <w:iCs w:val="0"/>
                <w:color w:val="auto"/>
                <w:sz w:val="24"/>
                <w:szCs w:val="24"/>
                <w:highlight w:val="none"/>
                <w:u w:val="single"/>
              </w:rPr>
              <w:t xml:space="preserve"> </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vAlign w:val="center"/>
          </w:tcPr>
          <w:p w14:paraId="6F1BF374">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970" w:type="dxa"/>
            <w:vAlign w:val="center"/>
          </w:tcPr>
          <w:p w14:paraId="06648806">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5"/>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736B9D94">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10%</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A14D5AD">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CF7AA8F">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29022C4">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B996B16">
            <w:pPr>
              <w:pStyle w:val="72"/>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78" w:hRule="atLeast"/>
        </w:trPr>
        <w:tc>
          <w:tcPr>
            <w:tcW w:w="970" w:type="dxa"/>
            <w:vAlign w:val="center"/>
          </w:tcPr>
          <w:p w14:paraId="3AAFC5B3">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1"/>
              <w:rPr>
                <w:rFonts w:hint="eastAsia" w:ascii="宋体" w:hAnsi="宋体" w:eastAsia="宋体" w:cs="宋体"/>
                <w:color w:val="auto"/>
                <w:sz w:val="24"/>
                <w:szCs w:val="24"/>
                <w:highlight w:val="none"/>
                <w:lang w:val="en-US" w:eastAsia="zh-CN"/>
              </w:rPr>
            </w:pPr>
            <w:r>
              <w:rPr>
                <w:rStyle w:val="35"/>
                <w:rFonts w:hint="eastAsia" w:ascii="宋体" w:hAnsi="宋体" w:eastAsia="宋体" w:cs="宋体"/>
                <w:b w:val="0"/>
                <w:color w:val="auto"/>
                <w:sz w:val="24"/>
                <w:szCs w:val="24"/>
                <w:highlight w:val="none"/>
                <w:lang w:val="en-US" w:eastAsia="zh-CN"/>
              </w:rPr>
              <w:t>参照后附</w:t>
            </w:r>
            <w:r>
              <w:rPr>
                <w:rStyle w:val="35"/>
                <w:rFonts w:hint="eastAsia" w:ascii="宋体" w:hAnsi="宋体" w:eastAsia="宋体" w:cs="宋体"/>
                <w:b w:val="0"/>
                <w:color w:val="auto"/>
                <w:sz w:val="24"/>
                <w:szCs w:val="24"/>
                <w:highlight w:val="none"/>
                <w:lang w:eastAsia="zh-CN"/>
              </w:rPr>
              <w:t>《</w:t>
            </w:r>
            <w:r>
              <w:rPr>
                <w:rStyle w:val="35"/>
                <w:rFonts w:hint="eastAsia" w:ascii="宋体" w:hAnsi="宋体" w:eastAsia="宋体" w:cs="宋体"/>
                <w:b w:val="0"/>
                <w:color w:val="auto"/>
                <w:sz w:val="24"/>
                <w:szCs w:val="24"/>
                <w:highlight w:val="none"/>
              </w:rPr>
              <w:t>工信部联企业〔2011〕300号</w:t>
            </w:r>
            <w:r>
              <w:rPr>
                <w:rStyle w:val="35"/>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3"/>
              <w:tblW w:w="6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3240"/>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0" w:type="dxa"/>
                  <w:vAlign w:val="center"/>
                </w:tcPr>
                <w:p w14:paraId="0AD36816">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3240" w:type="dxa"/>
                  <w:vAlign w:val="center"/>
                </w:tcPr>
                <w:p w14:paraId="2C78D772">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0" w:type="dxa"/>
                  <w:vAlign w:val="center"/>
                </w:tcPr>
                <w:p w14:paraId="7B94C3FE">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cs="宋体"/>
                      <w:i w:val="0"/>
                      <w:iCs w:val="0"/>
                      <w:color w:val="auto"/>
                      <w:kern w:val="0"/>
                      <w:sz w:val="24"/>
                      <w:szCs w:val="24"/>
                      <w:highlight w:val="none"/>
                      <w:vertAlign w:val="baseline"/>
                      <w:lang w:val="en-US" w:eastAsia="zh-CN" w:bidi="ar"/>
                    </w:rPr>
                    <w:t>新疆维吾尔自治区住房公积金业务信息系统运维服务项目</w:t>
                  </w:r>
                </w:p>
              </w:tc>
              <w:tc>
                <w:tcPr>
                  <w:tcW w:w="3240" w:type="dxa"/>
                  <w:vAlign w:val="center"/>
                </w:tcPr>
                <w:p w14:paraId="33535D95">
                  <w:pPr>
                    <w:keepNext w:val="0"/>
                    <w:keepLines w:val="0"/>
                    <w:widowControl/>
                    <w:suppressLineNumbers w:val="0"/>
                    <w:jc w:val="center"/>
                    <w:rPr>
                      <w:rFonts w:hint="default" w:ascii="宋体" w:hAnsi="宋体" w:eastAsia="宋体" w:cs="宋体"/>
                      <w:i w:val="0"/>
                      <w:iCs w:val="0"/>
                      <w:color w:val="auto"/>
                      <w:kern w:val="0"/>
                      <w:sz w:val="24"/>
                      <w:szCs w:val="24"/>
                      <w:highlight w:val="none"/>
                      <w:vertAlign w:val="baseline"/>
                      <w:lang w:val="en-US" w:eastAsia="zh-CN" w:bidi="ar"/>
                    </w:rPr>
                  </w:pPr>
                  <w:r>
                    <w:rPr>
                      <w:rFonts w:hint="default" w:ascii="宋体" w:hAnsi="宋体" w:eastAsia="宋体" w:cs="宋体"/>
                      <w:i w:val="0"/>
                      <w:iCs w:val="0"/>
                      <w:color w:val="auto"/>
                      <w:kern w:val="0"/>
                      <w:sz w:val="24"/>
                      <w:szCs w:val="24"/>
                      <w:highlight w:val="none"/>
                      <w:vertAlign w:val="baseline"/>
                      <w:lang w:val="en-US" w:eastAsia="zh-CN" w:bidi="ar"/>
                    </w:rPr>
                    <w:t>软件和信息技术服务业</w:t>
                  </w:r>
                </w:p>
              </w:tc>
            </w:tr>
          </w:tbl>
          <w:p w14:paraId="2E0909C0">
            <w:pPr>
              <w:pStyle w:val="51"/>
              <w:rPr>
                <w:rFonts w:hint="eastAsia" w:ascii="宋体" w:hAnsi="宋体" w:eastAsia="宋体" w:cs="宋体"/>
                <w:color w:val="auto"/>
                <w:sz w:val="24"/>
                <w:szCs w:val="24"/>
                <w:highlight w:val="none"/>
              </w:rPr>
            </w:pP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36" w:hRule="atLeast"/>
        </w:trPr>
        <w:tc>
          <w:tcPr>
            <w:tcW w:w="970" w:type="dxa"/>
            <w:shd w:val="clear" w:color="auto" w:fill="auto"/>
            <w:vAlign w:val="center"/>
          </w:tcPr>
          <w:p w14:paraId="213F4586">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7C0C8321">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1D89079E">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报价给予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167" w:hRule="atLeast"/>
        </w:trPr>
        <w:tc>
          <w:tcPr>
            <w:tcW w:w="970" w:type="dxa"/>
            <w:tcBorders>
              <w:right w:val="single" w:color="auto" w:sz="4" w:space="0"/>
            </w:tcBorders>
            <w:vAlign w:val="center"/>
          </w:tcPr>
          <w:p w14:paraId="08D3F63A">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5D7FBF5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trPr>
        <w:tc>
          <w:tcPr>
            <w:tcW w:w="970" w:type="dxa"/>
            <w:tcBorders>
              <w:right w:val="single" w:color="auto" w:sz="4" w:space="0"/>
            </w:tcBorders>
            <w:vAlign w:val="center"/>
          </w:tcPr>
          <w:p w14:paraId="59449E7E">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48509A24">
            <w:pPr>
              <w:pStyle w:val="51"/>
              <w:rPr>
                <w:rFonts w:hint="eastAsia" w:ascii="宋体" w:hAnsi="宋体" w:eastAsia="宋体" w:cs="宋体"/>
                <w:color w:val="auto"/>
                <w:sz w:val="24"/>
                <w:szCs w:val="24"/>
                <w:highlight w:val="none"/>
                <w:lang w:eastAsia="zh-CN"/>
              </w:rPr>
            </w:pP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lang w:val="en-US" w:eastAsia="zh-CN"/>
              </w:rPr>
              <w:t>中标供应商在领取中标通知书时须递交纸质</w:t>
            </w:r>
            <w:r>
              <w:rPr>
                <w:rFonts w:hint="eastAsia" w:cs="宋体"/>
                <w:b/>
                <w:bCs/>
                <w:i w:val="0"/>
                <w:iCs w:val="0"/>
                <w:color w:val="auto"/>
                <w:sz w:val="24"/>
                <w:szCs w:val="24"/>
                <w:highlight w:val="none"/>
                <w:lang w:val="en-US" w:eastAsia="zh-CN"/>
              </w:rPr>
              <w:t>投标</w:t>
            </w:r>
            <w:r>
              <w:rPr>
                <w:rFonts w:hint="eastAsia" w:ascii="宋体" w:hAnsi="宋体" w:eastAsia="宋体" w:cs="宋体"/>
                <w:b/>
                <w:bCs/>
                <w:i w:val="0"/>
                <w:iCs w:val="0"/>
                <w:color w:val="auto"/>
                <w:sz w:val="24"/>
                <w:szCs w:val="24"/>
                <w:highlight w:val="none"/>
                <w:lang w:val="en-US" w:eastAsia="zh-CN"/>
              </w:rPr>
              <w:t>文件叁份（正本一份，副本两份）胶装及盖章。</w:t>
            </w:r>
            <w:r>
              <w:rPr>
                <w:rFonts w:hint="eastAsia" w:ascii="宋体" w:hAnsi="宋体" w:eastAsia="宋体" w:cs="宋体"/>
                <w:b/>
                <w:bCs/>
                <w:i w:val="0"/>
                <w:iCs w:val="0"/>
                <w:color w:val="auto"/>
                <w:sz w:val="24"/>
                <w:szCs w:val="24"/>
                <w:highlight w:val="none"/>
                <w:lang w:eastAsia="zh-CN"/>
              </w:rPr>
              <w:t>】</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2C6CC7D7">
      <w:pPr>
        <w:rPr>
          <w:color w:val="auto"/>
          <w:highlight w:val="none"/>
        </w:rPr>
      </w:pPr>
    </w:p>
    <w:p w14:paraId="43A4992E">
      <w:pPr>
        <w:rPr>
          <w:rFonts w:hint="eastAsia" w:eastAsia="宋体" w:asciiTheme="majorHAnsi" w:hAnsiTheme="majorHAnsi" w:cstheme="majorBidi"/>
          <w:b/>
          <w:bCs/>
          <w:color w:val="auto"/>
          <w:kern w:val="2"/>
          <w:sz w:val="32"/>
          <w:szCs w:val="32"/>
          <w:highlight w:val="none"/>
          <w:lang w:val="en-US" w:eastAsia="zh-CN" w:bidi="ar-SA"/>
        </w:rPr>
      </w:pPr>
      <w:bookmarkStart w:id="111" w:name="_Toc155185869"/>
      <w:r>
        <w:rPr>
          <w:rFonts w:hint="eastAsia" w:eastAsia="宋体" w:asciiTheme="majorHAnsi" w:hAnsiTheme="majorHAnsi" w:cstheme="majorBidi"/>
          <w:b/>
          <w:bCs/>
          <w:color w:val="auto"/>
          <w:kern w:val="2"/>
          <w:sz w:val="32"/>
          <w:szCs w:val="32"/>
          <w:highlight w:val="none"/>
          <w:lang w:val="en-US" w:eastAsia="zh-CN" w:bidi="ar-SA"/>
        </w:rPr>
        <w:br w:type="page"/>
      </w:r>
    </w:p>
    <w:p w14:paraId="410914FC">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2" w:name="_Toc18554"/>
      <w:r>
        <w:rPr>
          <w:rFonts w:hint="eastAsia" w:eastAsia="宋体" w:asciiTheme="majorHAnsi" w:hAnsiTheme="majorHAnsi" w:cstheme="majorBidi"/>
          <w:b/>
          <w:bCs/>
          <w:color w:val="auto"/>
          <w:kern w:val="2"/>
          <w:sz w:val="28"/>
          <w:szCs w:val="28"/>
          <w:highlight w:val="none"/>
          <w:lang w:val="en-US" w:eastAsia="zh-CN" w:bidi="ar-SA"/>
        </w:rPr>
        <w:t>二、投标人须知</w:t>
      </w:r>
      <w:bookmarkEnd w:id="111"/>
      <w:bookmarkEnd w:id="112"/>
    </w:p>
    <w:p w14:paraId="604D77A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3" w:name="_Toc155185870"/>
      <w:bookmarkStart w:id="114" w:name="_Toc5011"/>
      <w:bookmarkStart w:id="115" w:name="_Toc163492822"/>
      <w:bookmarkStart w:id="116" w:name="_Toc28135"/>
      <w:bookmarkStart w:id="117" w:name="_Toc9308"/>
      <w:r>
        <w:rPr>
          <w:rFonts w:hint="eastAsia" w:ascii="宋体" w:hAnsi="宋体" w:eastAsia="宋体" w:cs="宋体"/>
          <w:b/>
          <w:bCs/>
          <w:color w:val="auto"/>
          <w:kern w:val="2"/>
          <w:sz w:val="24"/>
          <w:szCs w:val="24"/>
          <w:highlight w:val="none"/>
          <w:lang w:val="en-US" w:eastAsia="zh-CN" w:bidi="ar-SA"/>
        </w:rPr>
        <w:t>（一）总则</w:t>
      </w:r>
      <w:bookmarkEnd w:id="113"/>
      <w:bookmarkEnd w:id="114"/>
      <w:bookmarkEnd w:id="115"/>
      <w:bookmarkEnd w:id="116"/>
      <w:bookmarkEnd w:id="117"/>
    </w:p>
    <w:p w14:paraId="788765C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8" w:name="_Toc109899631"/>
      <w:bookmarkStart w:id="119" w:name="_Toc109900050"/>
      <w:bookmarkStart w:id="120" w:name="_Toc109897532"/>
      <w:bookmarkStart w:id="121" w:name="_Toc24126"/>
      <w:bookmarkStart w:id="122" w:name="_Toc22777"/>
      <w:bookmarkStart w:id="123" w:name="_Toc31233"/>
      <w:bookmarkStart w:id="124" w:name="_Toc163492823"/>
      <w:bookmarkStart w:id="125" w:name="_Toc1399"/>
      <w:bookmarkStart w:id="126" w:name="_Toc109900469"/>
      <w:bookmarkStart w:id="127" w:name="_Toc155095689"/>
      <w:r>
        <w:rPr>
          <w:rFonts w:hint="eastAsia" w:ascii="宋体" w:hAnsi="宋体" w:eastAsia="宋体" w:cs="宋体"/>
          <w:b/>
          <w:bCs/>
          <w:color w:val="auto"/>
          <w:kern w:val="2"/>
          <w:sz w:val="24"/>
          <w:szCs w:val="24"/>
          <w:highlight w:val="none"/>
          <w:lang w:val="en-US" w:eastAsia="zh-CN" w:bidi="ar-SA"/>
        </w:rPr>
        <w:t>1.适用范围</w:t>
      </w:r>
      <w:bookmarkEnd w:id="118"/>
      <w:bookmarkEnd w:id="119"/>
      <w:bookmarkEnd w:id="120"/>
      <w:bookmarkEnd w:id="121"/>
      <w:bookmarkEnd w:id="122"/>
      <w:bookmarkEnd w:id="123"/>
      <w:bookmarkEnd w:id="124"/>
      <w:bookmarkEnd w:id="125"/>
      <w:bookmarkEnd w:id="126"/>
      <w:bookmarkEnd w:id="127"/>
    </w:p>
    <w:p w14:paraId="3896363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8" w:name="_Toc163492824"/>
      <w:bookmarkStart w:id="129" w:name="_Toc11954"/>
      <w:bookmarkStart w:id="130" w:name="_Toc11043"/>
      <w:bookmarkStart w:id="131" w:name="_Toc8394"/>
      <w:r>
        <w:rPr>
          <w:rFonts w:hint="eastAsia" w:ascii="宋体" w:hAnsi="宋体" w:eastAsia="宋体" w:cs="宋体"/>
          <w:b/>
          <w:bCs/>
          <w:color w:val="auto"/>
          <w:kern w:val="2"/>
          <w:sz w:val="24"/>
          <w:szCs w:val="24"/>
          <w:highlight w:val="none"/>
          <w:lang w:val="en-US" w:eastAsia="zh-CN" w:bidi="ar-SA"/>
        </w:rPr>
        <w:t>2.基本定义</w:t>
      </w:r>
      <w:bookmarkEnd w:id="128"/>
      <w:bookmarkEnd w:id="129"/>
      <w:bookmarkEnd w:id="130"/>
      <w:bookmarkEnd w:id="131"/>
    </w:p>
    <w:p w14:paraId="768D70C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39"/>
        <w:keepNext w:val="0"/>
        <w:keepLines w:val="0"/>
        <w:pageBreakBefore w:val="0"/>
        <w:widowControl w:val="0"/>
        <w:kinsoku/>
        <w:overflowPunct/>
        <w:topLinePunct w:val="0"/>
        <w:autoSpaceDE/>
        <w:autoSpaceDN/>
        <w:bidi w:val="0"/>
        <w:adjustRightIn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2" w:name="_Toc27150"/>
      <w:bookmarkStart w:id="133" w:name="_Toc140132758"/>
      <w:bookmarkStart w:id="134" w:name="_Toc15923"/>
      <w:bookmarkStart w:id="135" w:name="_Toc163492825"/>
      <w:bookmarkStart w:id="136" w:name="_Toc22315"/>
      <w:r>
        <w:rPr>
          <w:rFonts w:hint="eastAsia" w:ascii="宋体" w:hAnsi="宋体" w:eastAsia="宋体" w:cs="宋体"/>
          <w:b/>
          <w:bCs/>
          <w:color w:val="auto"/>
          <w:kern w:val="2"/>
          <w:sz w:val="24"/>
          <w:szCs w:val="24"/>
          <w:highlight w:val="none"/>
          <w:lang w:val="en-US" w:eastAsia="zh-CN" w:bidi="ar-SA"/>
        </w:rPr>
        <w:t>3.资金来源</w:t>
      </w:r>
      <w:bookmarkEnd w:id="132"/>
      <w:bookmarkEnd w:id="133"/>
      <w:bookmarkEnd w:id="134"/>
      <w:bookmarkEnd w:id="135"/>
      <w:bookmarkEnd w:id="136"/>
    </w:p>
    <w:p w14:paraId="76E8C14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7" w:name="_Toc21872"/>
      <w:bookmarkStart w:id="138" w:name="_Toc163492826"/>
      <w:bookmarkStart w:id="139" w:name="_Toc15559"/>
      <w:bookmarkStart w:id="140" w:name="_Toc4285"/>
      <w:bookmarkStart w:id="141" w:name="_Toc140132760"/>
      <w:r>
        <w:rPr>
          <w:rFonts w:hint="eastAsia" w:ascii="宋体" w:hAnsi="宋体" w:eastAsia="宋体" w:cs="宋体"/>
          <w:b/>
          <w:bCs/>
          <w:color w:val="auto"/>
          <w:kern w:val="2"/>
          <w:sz w:val="24"/>
          <w:szCs w:val="24"/>
          <w:highlight w:val="none"/>
          <w:lang w:val="en-US" w:eastAsia="zh-CN" w:bidi="ar-SA"/>
        </w:rPr>
        <w:t>4.投标人资格要求</w:t>
      </w:r>
      <w:bookmarkEnd w:id="137"/>
      <w:bookmarkEnd w:id="138"/>
      <w:bookmarkEnd w:id="139"/>
      <w:bookmarkEnd w:id="140"/>
      <w:bookmarkEnd w:id="141"/>
    </w:p>
    <w:p w14:paraId="522AD9C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w:t>
      </w:r>
      <w:r>
        <w:rPr>
          <w:rFonts w:hint="eastAsia"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zh-CN" w:eastAsia="zh-CN" w:bidi="ar-SA"/>
        </w:rPr>
        <w:t>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2" w:name="_Toc18213"/>
      <w:bookmarkStart w:id="143" w:name="_Toc1799"/>
      <w:bookmarkStart w:id="144" w:name="_Toc19194"/>
      <w:bookmarkStart w:id="145" w:name="_Toc163492827"/>
      <w:r>
        <w:rPr>
          <w:rFonts w:hint="eastAsia" w:ascii="宋体" w:hAnsi="宋体" w:eastAsia="宋体" w:cs="宋体"/>
          <w:b/>
          <w:bCs/>
          <w:color w:val="auto"/>
          <w:kern w:val="2"/>
          <w:sz w:val="24"/>
          <w:szCs w:val="24"/>
          <w:highlight w:val="none"/>
          <w:lang w:val="en-US" w:eastAsia="zh-CN" w:bidi="ar-SA"/>
        </w:rPr>
        <w:t>5.费用承担</w:t>
      </w:r>
      <w:bookmarkEnd w:id="142"/>
      <w:bookmarkEnd w:id="143"/>
      <w:bookmarkEnd w:id="144"/>
      <w:bookmarkEnd w:id="145"/>
    </w:p>
    <w:p w14:paraId="3C6741ED">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6" w:name="_Toc163492828"/>
      <w:bookmarkStart w:id="147" w:name="_Toc12320"/>
      <w:bookmarkStart w:id="148" w:name="_Toc140132761"/>
      <w:bookmarkStart w:id="149" w:name="_Toc29375"/>
      <w:bookmarkStart w:id="150" w:name="_Toc19870"/>
      <w:r>
        <w:rPr>
          <w:rFonts w:hint="eastAsia" w:ascii="宋体" w:hAnsi="宋体" w:eastAsia="宋体" w:cs="宋体"/>
          <w:b/>
          <w:bCs/>
          <w:color w:val="auto"/>
          <w:kern w:val="2"/>
          <w:sz w:val="24"/>
          <w:szCs w:val="24"/>
          <w:highlight w:val="none"/>
          <w:lang w:val="en-US" w:eastAsia="zh-CN" w:bidi="ar-SA"/>
        </w:rPr>
        <w:t>6.保密</w:t>
      </w:r>
      <w:bookmarkEnd w:id="146"/>
      <w:bookmarkEnd w:id="147"/>
      <w:bookmarkEnd w:id="148"/>
      <w:bookmarkEnd w:id="149"/>
      <w:bookmarkEnd w:id="150"/>
    </w:p>
    <w:p w14:paraId="7CBA93F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1" w:name="_Toc23819"/>
      <w:bookmarkStart w:id="152" w:name="_Toc2247"/>
      <w:bookmarkStart w:id="153" w:name="_Toc163492829"/>
      <w:bookmarkStart w:id="154" w:name="_Toc140132762"/>
      <w:bookmarkStart w:id="155" w:name="_Toc489"/>
      <w:r>
        <w:rPr>
          <w:rFonts w:hint="eastAsia" w:ascii="宋体" w:hAnsi="宋体" w:eastAsia="宋体" w:cs="宋体"/>
          <w:b/>
          <w:bCs/>
          <w:color w:val="auto"/>
          <w:kern w:val="2"/>
          <w:sz w:val="24"/>
          <w:szCs w:val="24"/>
          <w:highlight w:val="none"/>
          <w:lang w:val="en-US" w:eastAsia="zh-CN" w:bidi="ar-SA"/>
        </w:rPr>
        <w:t>7.语言文字</w:t>
      </w:r>
      <w:bookmarkEnd w:id="151"/>
      <w:bookmarkEnd w:id="152"/>
      <w:bookmarkEnd w:id="153"/>
      <w:bookmarkEnd w:id="154"/>
      <w:bookmarkEnd w:id="155"/>
    </w:p>
    <w:p w14:paraId="2514093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6" w:name="_Toc18687"/>
      <w:bookmarkStart w:id="157" w:name="_Toc23417"/>
      <w:bookmarkStart w:id="158" w:name="_Toc163492830"/>
      <w:bookmarkStart w:id="159" w:name="_Toc9364"/>
      <w:bookmarkStart w:id="160" w:name="_Toc140132763"/>
      <w:r>
        <w:rPr>
          <w:rFonts w:hint="eastAsia" w:ascii="宋体" w:hAnsi="宋体" w:eastAsia="宋体" w:cs="宋体"/>
          <w:b/>
          <w:bCs/>
          <w:color w:val="auto"/>
          <w:kern w:val="2"/>
          <w:sz w:val="24"/>
          <w:szCs w:val="24"/>
          <w:highlight w:val="none"/>
          <w:lang w:val="en-US" w:eastAsia="zh-CN" w:bidi="ar-SA"/>
        </w:rPr>
        <w:t>8.计量单位</w:t>
      </w:r>
      <w:bookmarkEnd w:id="156"/>
      <w:bookmarkEnd w:id="157"/>
      <w:bookmarkEnd w:id="158"/>
      <w:bookmarkEnd w:id="159"/>
      <w:bookmarkEnd w:id="160"/>
    </w:p>
    <w:p w14:paraId="45A7AE5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1" w:name="_Toc11023"/>
      <w:bookmarkStart w:id="162" w:name="_Toc11937"/>
      <w:bookmarkStart w:id="163" w:name="_Toc31192"/>
      <w:bookmarkStart w:id="164" w:name="_Toc140132764"/>
      <w:bookmarkStart w:id="165" w:name="_Toc163492831"/>
      <w:r>
        <w:rPr>
          <w:rFonts w:hint="eastAsia" w:ascii="宋体" w:hAnsi="宋体" w:eastAsia="宋体" w:cs="宋体"/>
          <w:b/>
          <w:bCs/>
          <w:color w:val="auto"/>
          <w:kern w:val="2"/>
          <w:sz w:val="24"/>
          <w:szCs w:val="24"/>
          <w:highlight w:val="none"/>
          <w:lang w:val="en-US" w:eastAsia="zh-CN" w:bidi="ar-SA"/>
        </w:rPr>
        <w:t>9.现场考察和答疑会</w:t>
      </w:r>
      <w:bookmarkEnd w:id="161"/>
      <w:bookmarkEnd w:id="162"/>
      <w:bookmarkEnd w:id="163"/>
      <w:bookmarkEnd w:id="164"/>
      <w:bookmarkEnd w:id="165"/>
    </w:p>
    <w:p w14:paraId="5A8B8C4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166"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6"/>
    <w:p w14:paraId="015C1ED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7" w:name="_Toc163492833"/>
      <w:bookmarkStart w:id="168" w:name="_Toc3693"/>
      <w:bookmarkStart w:id="169" w:name="_Toc28644"/>
      <w:bookmarkStart w:id="170" w:name="_Toc24524"/>
      <w:bookmarkStart w:id="171" w:name="_Toc155185858"/>
      <w:bookmarkStart w:id="172" w:name="_Toc155185871"/>
      <w:r>
        <w:rPr>
          <w:rFonts w:hint="eastAsia" w:ascii="宋体" w:hAnsi="宋体" w:eastAsia="宋体" w:cs="宋体"/>
          <w:b/>
          <w:bCs/>
          <w:color w:val="auto"/>
          <w:kern w:val="2"/>
          <w:sz w:val="24"/>
          <w:szCs w:val="24"/>
          <w:highlight w:val="none"/>
          <w:lang w:val="en-US" w:eastAsia="zh-CN" w:bidi="ar-SA"/>
        </w:rPr>
        <w:t>10.电子投标说明</w:t>
      </w:r>
      <w:bookmarkEnd w:id="167"/>
      <w:bookmarkEnd w:id="168"/>
      <w:bookmarkEnd w:id="169"/>
      <w:bookmarkEnd w:id="170"/>
      <w:bookmarkEnd w:id="171"/>
      <w:r>
        <w:rPr>
          <w:rFonts w:hint="eastAsia" w:ascii="宋体" w:hAnsi="宋体" w:eastAsia="宋体" w:cs="宋体"/>
          <w:b/>
          <w:bCs/>
          <w:color w:val="auto"/>
          <w:kern w:val="2"/>
          <w:sz w:val="24"/>
          <w:szCs w:val="24"/>
          <w:highlight w:val="none"/>
          <w:lang w:val="en-US" w:eastAsia="zh-CN" w:bidi="ar-SA"/>
        </w:rPr>
        <w:t xml:space="preserve">   </w:t>
      </w:r>
    </w:p>
    <w:p w14:paraId="1885013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zh-CN" w:eastAsia="zh-CN"/>
        </w:rPr>
        <w:t>政府采购网“供应商注册”—“新疆政府采购供应商入驻登记”—“立即登记”进行自助注册绑定。</w:t>
      </w:r>
    </w:p>
    <w:p w14:paraId="091665A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制作。在使用政采云投标客户端时，建议使用WIN7及以上操作系统。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政府采购网“下载专区”—“电子招投标客户端下载”下载相关客户端，如有问题可拨打政采云客户服务热线95763进行咨询。</w:t>
      </w:r>
    </w:p>
    <w:p w14:paraId="1A54E8F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02317D0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6EDA716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”电子交易规则调整，以最新要求为准。</w:t>
      </w:r>
    </w:p>
    <w:p w14:paraId="733157B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06DEE05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3" w:name="_Toc163492834"/>
      <w:bookmarkStart w:id="174" w:name="_Toc2746"/>
      <w:bookmarkStart w:id="175" w:name="_Toc28416"/>
      <w:bookmarkStart w:id="176" w:name="_Toc26264"/>
      <w:r>
        <w:rPr>
          <w:rFonts w:hint="eastAsia" w:ascii="宋体" w:hAnsi="宋体" w:eastAsia="宋体" w:cs="宋体"/>
          <w:b/>
          <w:bCs/>
          <w:color w:val="auto"/>
          <w:kern w:val="2"/>
          <w:sz w:val="24"/>
          <w:szCs w:val="24"/>
          <w:highlight w:val="none"/>
          <w:lang w:val="en-US" w:eastAsia="zh-CN" w:bidi="ar-SA"/>
        </w:rPr>
        <w:t>（二）招标文件</w:t>
      </w:r>
      <w:bookmarkEnd w:id="172"/>
      <w:bookmarkEnd w:id="173"/>
      <w:bookmarkEnd w:id="174"/>
      <w:bookmarkEnd w:id="175"/>
      <w:bookmarkEnd w:id="176"/>
    </w:p>
    <w:p w14:paraId="08A2C6A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7" w:name="_Toc21231"/>
      <w:bookmarkStart w:id="178" w:name="_Toc140132768"/>
      <w:bookmarkStart w:id="179" w:name="_Toc8199"/>
      <w:bookmarkStart w:id="180" w:name="_Toc24748"/>
      <w:bookmarkStart w:id="181" w:name="_Toc163492835"/>
      <w:r>
        <w:rPr>
          <w:rFonts w:hint="eastAsia" w:ascii="宋体" w:hAnsi="宋体" w:eastAsia="宋体" w:cs="宋体"/>
          <w:b/>
          <w:bCs/>
          <w:color w:val="auto"/>
          <w:kern w:val="2"/>
          <w:sz w:val="24"/>
          <w:szCs w:val="24"/>
          <w:highlight w:val="none"/>
          <w:lang w:val="en-US" w:eastAsia="zh-CN" w:bidi="ar-SA"/>
        </w:rPr>
        <w:t>11.招标文件的组成</w:t>
      </w:r>
      <w:bookmarkEnd w:id="177"/>
      <w:bookmarkEnd w:id="178"/>
      <w:bookmarkEnd w:id="179"/>
      <w:bookmarkEnd w:id="180"/>
      <w:bookmarkEnd w:id="181"/>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2" w:name="_Toc1043"/>
      <w:bookmarkStart w:id="183" w:name="_Toc23749"/>
      <w:bookmarkStart w:id="184" w:name="_Toc163492836"/>
      <w:bookmarkStart w:id="185" w:name="_Toc19359"/>
      <w:bookmarkStart w:id="186" w:name="_Toc140132769"/>
      <w:r>
        <w:rPr>
          <w:rFonts w:hint="eastAsia" w:ascii="宋体" w:hAnsi="宋体" w:eastAsia="宋体" w:cs="宋体"/>
          <w:b/>
          <w:bCs/>
          <w:color w:val="auto"/>
          <w:kern w:val="2"/>
          <w:sz w:val="24"/>
          <w:szCs w:val="24"/>
          <w:highlight w:val="none"/>
          <w:lang w:val="en-US" w:eastAsia="zh-CN" w:bidi="ar-SA"/>
        </w:rPr>
        <w:t>12.招标文件的询问、澄清或者修改</w:t>
      </w:r>
      <w:bookmarkEnd w:id="182"/>
      <w:bookmarkEnd w:id="183"/>
      <w:bookmarkEnd w:id="184"/>
      <w:bookmarkEnd w:id="185"/>
      <w:bookmarkEnd w:id="186"/>
    </w:p>
    <w:p w14:paraId="3A36B8C0">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56F4138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投标人在规定的时间内未对招标文件提出疑问或要求澄清的，采购代理机构将视其为同意，对在“投标人须知前附表”中“</w:t>
      </w:r>
      <w:r>
        <w:rPr>
          <w:rFonts w:hint="eastAsia" w:ascii="宋体" w:hAnsi="宋体" w:eastAsia="宋体" w:cs="宋体"/>
          <w:color w:val="auto"/>
          <w:sz w:val="24"/>
          <w:szCs w:val="24"/>
          <w:highlight w:val="none"/>
          <w:lang w:val="en-US" w:eastAsia="zh-CN"/>
        </w:rPr>
        <w:t>提出询问的</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后就招标文件内容提出的疑问及澄清要求将不予受理。</w:t>
      </w:r>
    </w:p>
    <w:p w14:paraId="4A5FAB8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采购人或者采购代理机构可以对已发出的招标文件进行必要的澄清或者修改。澄清或修改的内容为招标文件的组成部分，并对所有获取招标文件的潜在投标人具有约束力。</w:t>
      </w:r>
    </w:p>
    <w:p w14:paraId="1EB83C80">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 招标文件的澄清或者修改以当面交接、邮寄、传真或电子邮件、网站披露等其中至少一种方式，发给所有领取招标文件的</w:t>
      </w:r>
      <w:r>
        <w:rPr>
          <w:rFonts w:hint="eastAsia" w:ascii="宋体" w:hAnsi="宋体" w:eastAsia="宋体" w:cs="宋体"/>
          <w:color w:val="auto"/>
          <w:sz w:val="24"/>
          <w:szCs w:val="24"/>
          <w:highlight w:val="none"/>
          <w:lang w:val="en-US" w:eastAsia="zh-CN"/>
        </w:rPr>
        <w:t>潜在</w:t>
      </w:r>
      <w:r>
        <w:rPr>
          <w:rFonts w:hint="eastAsia" w:ascii="宋体" w:hAnsi="宋体" w:eastAsia="宋体" w:cs="宋体"/>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F274E6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投标人须知”所称“书面形式”包括系统消息、政府采购</w:t>
      </w:r>
      <w:r>
        <w:rPr>
          <w:rFonts w:hint="eastAsia" w:ascii="宋体" w:hAnsi="宋体" w:eastAsia="宋体" w:cs="宋体"/>
          <w:color w:val="auto"/>
          <w:sz w:val="24"/>
          <w:szCs w:val="24"/>
          <w:highlight w:val="none"/>
          <w:lang w:val="en-US" w:eastAsia="zh-CN"/>
        </w:rPr>
        <w:t>云平台</w:t>
      </w:r>
      <w:r>
        <w:rPr>
          <w:rFonts w:hint="eastAsia" w:ascii="宋体" w:hAnsi="宋体" w:eastAsia="宋体" w:cs="宋体"/>
          <w:color w:val="auto"/>
          <w:sz w:val="24"/>
          <w:szCs w:val="24"/>
          <w:highlight w:val="none"/>
        </w:rPr>
        <w:t>发布的公告。</w:t>
      </w:r>
    </w:p>
    <w:p w14:paraId="1E6D774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39FCE41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78320B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7" w:name="_Toc21031"/>
      <w:bookmarkStart w:id="188" w:name="_Toc155185872"/>
      <w:bookmarkStart w:id="189" w:name="_Toc10238"/>
      <w:bookmarkStart w:id="190" w:name="_Toc28118"/>
      <w:bookmarkStart w:id="191" w:name="_Toc163492837"/>
      <w:r>
        <w:rPr>
          <w:rFonts w:hint="eastAsia" w:ascii="宋体" w:hAnsi="宋体" w:eastAsia="宋体" w:cs="宋体"/>
          <w:b/>
          <w:bCs/>
          <w:color w:val="auto"/>
          <w:kern w:val="2"/>
          <w:sz w:val="24"/>
          <w:szCs w:val="24"/>
          <w:highlight w:val="none"/>
          <w:lang w:val="en-US" w:eastAsia="zh-CN" w:bidi="ar-SA"/>
        </w:rPr>
        <w:t>（三）投标文件</w:t>
      </w:r>
      <w:bookmarkEnd w:id="187"/>
      <w:bookmarkEnd w:id="188"/>
      <w:bookmarkEnd w:id="189"/>
      <w:bookmarkEnd w:id="190"/>
      <w:bookmarkEnd w:id="191"/>
    </w:p>
    <w:p w14:paraId="67D7EC6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2" w:name="_Toc25559"/>
      <w:bookmarkStart w:id="193" w:name="_Toc163492838"/>
      <w:bookmarkStart w:id="194" w:name="_Toc31491"/>
      <w:bookmarkStart w:id="195" w:name="_Toc10645"/>
      <w:r>
        <w:rPr>
          <w:rFonts w:hint="eastAsia" w:ascii="宋体" w:hAnsi="宋体" w:eastAsia="宋体" w:cs="宋体"/>
          <w:b/>
          <w:bCs/>
          <w:color w:val="auto"/>
          <w:kern w:val="2"/>
          <w:sz w:val="24"/>
          <w:szCs w:val="24"/>
          <w:highlight w:val="none"/>
          <w:lang w:val="en-US" w:eastAsia="zh-CN" w:bidi="ar-SA"/>
        </w:rPr>
        <w:t>13.投标文件的组成</w:t>
      </w:r>
      <w:bookmarkEnd w:id="192"/>
      <w:bookmarkEnd w:id="193"/>
      <w:bookmarkEnd w:id="194"/>
      <w:bookmarkEnd w:id="195"/>
    </w:p>
    <w:p w14:paraId="174A0A3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bookmarkStart w:id="196" w:name="_Toc140132772"/>
      <w:bookmarkStart w:id="197" w:name="_Toc163492839"/>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98" w:name="_Hlk11703583"/>
      <w:r>
        <w:rPr>
          <w:rFonts w:hint="eastAsia" w:ascii="宋体" w:hAnsi="宋体" w:eastAsia="宋体" w:cs="宋体"/>
          <w:color w:val="auto"/>
          <w:kern w:val="2"/>
          <w:sz w:val="24"/>
          <w:szCs w:val="24"/>
          <w:highlight w:val="none"/>
          <w:lang w:val="en-US" w:eastAsia="zh-CN"/>
        </w:rPr>
        <w:t>等。</w:t>
      </w:r>
    </w:p>
    <w:bookmarkEnd w:id="198"/>
    <w:p w14:paraId="781BBA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9" w:name="_Toc12829"/>
      <w:bookmarkStart w:id="200" w:name="_Toc24665"/>
      <w:bookmarkStart w:id="201" w:name="_Toc27765"/>
      <w:r>
        <w:rPr>
          <w:rFonts w:hint="eastAsia" w:ascii="宋体" w:hAnsi="宋体" w:eastAsia="宋体" w:cs="宋体"/>
          <w:b/>
          <w:bCs/>
          <w:color w:val="auto"/>
          <w:kern w:val="2"/>
          <w:sz w:val="24"/>
          <w:szCs w:val="24"/>
          <w:highlight w:val="none"/>
          <w:lang w:val="en-US" w:eastAsia="zh-CN" w:bidi="ar-SA"/>
        </w:rPr>
        <w:t>14.投标报价</w:t>
      </w:r>
      <w:bookmarkEnd w:id="196"/>
      <w:bookmarkEnd w:id="197"/>
      <w:bookmarkEnd w:id="199"/>
      <w:bookmarkEnd w:id="200"/>
      <w:bookmarkEnd w:id="201"/>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1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11"/>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6"/>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6"/>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6"/>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1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2" w:name="_Toc24520"/>
      <w:bookmarkStart w:id="203" w:name="_Toc163492840"/>
      <w:bookmarkStart w:id="204" w:name="_Toc140132773"/>
      <w:bookmarkStart w:id="205" w:name="_Toc24048"/>
      <w:bookmarkStart w:id="206" w:name="_Toc9162"/>
      <w:r>
        <w:rPr>
          <w:rFonts w:hint="eastAsia" w:ascii="宋体" w:hAnsi="宋体" w:eastAsia="宋体" w:cs="宋体"/>
          <w:b/>
          <w:bCs/>
          <w:color w:val="auto"/>
          <w:kern w:val="2"/>
          <w:sz w:val="24"/>
          <w:szCs w:val="24"/>
          <w:highlight w:val="none"/>
          <w:lang w:val="en-US" w:eastAsia="zh-CN" w:bidi="ar-SA"/>
        </w:rPr>
        <w:t>15.投标有效期</w:t>
      </w:r>
      <w:bookmarkEnd w:id="202"/>
      <w:bookmarkEnd w:id="203"/>
      <w:bookmarkEnd w:id="204"/>
      <w:bookmarkEnd w:id="205"/>
      <w:bookmarkEnd w:id="206"/>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7" w:name="_Toc140132774"/>
      <w:bookmarkStart w:id="208" w:name="_Toc21362"/>
      <w:bookmarkStart w:id="209" w:name="_Toc163492841"/>
      <w:bookmarkStart w:id="210" w:name="_Toc9620"/>
      <w:bookmarkStart w:id="211" w:name="_Toc17887"/>
      <w:r>
        <w:rPr>
          <w:rFonts w:hint="eastAsia" w:ascii="宋体" w:hAnsi="宋体" w:eastAsia="宋体" w:cs="宋体"/>
          <w:b/>
          <w:bCs/>
          <w:color w:val="auto"/>
          <w:kern w:val="2"/>
          <w:sz w:val="24"/>
          <w:szCs w:val="24"/>
          <w:highlight w:val="none"/>
          <w:lang w:val="en-US" w:eastAsia="zh-CN" w:bidi="ar-SA"/>
        </w:rPr>
        <w:t>16.投标文件的编制</w:t>
      </w:r>
      <w:bookmarkEnd w:id="207"/>
      <w:bookmarkEnd w:id="208"/>
      <w:bookmarkEnd w:id="209"/>
      <w:bookmarkEnd w:id="210"/>
      <w:bookmarkEnd w:id="211"/>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.1投标文件应在供应商客户端中进行编制，在投标文件中要求加盖印章的，除有特殊说明之外，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212" w:name="_Hlk143528557"/>
      <w:r>
        <w:rPr>
          <w:rFonts w:hint="eastAsia" w:ascii="宋体" w:hAnsi="宋体" w:eastAsia="宋体" w:cs="宋体"/>
          <w:color w:val="auto"/>
          <w:sz w:val="24"/>
          <w:szCs w:val="24"/>
          <w:highlight w:val="none"/>
        </w:rPr>
        <w:t>2投标人在供应商客户端中按照供应商客户端中的格式要求填写响应内容后，生成投标文件。投标人须按照招标文件的要求使用电子签章对要求加盖印章的部分逐一进行签章。</w:t>
      </w:r>
      <w:bookmarkEnd w:id="212"/>
    </w:p>
    <w:p w14:paraId="1A7BD12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3" w:name="_Toc155185873"/>
      <w:bookmarkStart w:id="214" w:name="_Toc163492842"/>
      <w:bookmarkStart w:id="215" w:name="_Toc22756"/>
      <w:bookmarkStart w:id="216" w:name="_Toc10210"/>
      <w:bookmarkStart w:id="217" w:name="_Toc20626"/>
      <w:r>
        <w:rPr>
          <w:rFonts w:hint="eastAsia" w:ascii="宋体" w:hAnsi="宋体" w:eastAsia="宋体" w:cs="宋体"/>
          <w:b/>
          <w:bCs/>
          <w:color w:val="auto"/>
          <w:kern w:val="2"/>
          <w:sz w:val="24"/>
          <w:szCs w:val="24"/>
          <w:highlight w:val="none"/>
          <w:lang w:val="en-US" w:eastAsia="zh-CN" w:bidi="ar-SA"/>
        </w:rPr>
        <w:t>（四）投标</w:t>
      </w:r>
      <w:bookmarkEnd w:id="213"/>
      <w:bookmarkEnd w:id="214"/>
      <w:bookmarkEnd w:id="215"/>
      <w:bookmarkEnd w:id="216"/>
      <w:bookmarkEnd w:id="217"/>
    </w:p>
    <w:p w14:paraId="386CC8E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8" w:name="_Toc27659"/>
      <w:bookmarkStart w:id="219" w:name="_Toc32654"/>
      <w:bookmarkStart w:id="220" w:name="_Toc16487"/>
      <w:bookmarkStart w:id="221" w:name="_Toc163492843"/>
      <w:r>
        <w:rPr>
          <w:rFonts w:hint="eastAsia" w:ascii="宋体" w:hAnsi="宋体" w:eastAsia="宋体" w:cs="宋体"/>
          <w:b/>
          <w:bCs/>
          <w:color w:val="auto"/>
          <w:kern w:val="2"/>
          <w:sz w:val="24"/>
          <w:szCs w:val="24"/>
          <w:highlight w:val="none"/>
          <w:lang w:val="en-US" w:eastAsia="zh-CN" w:bidi="ar-SA"/>
        </w:rPr>
        <w:t>17.投标保证金</w:t>
      </w:r>
      <w:bookmarkEnd w:id="218"/>
      <w:bookmarkEnd w:id="219"/>
      <w:bookmarkEnd w:id="220"/>
    </w:p>
    <w:p w14:paraId="1182B9B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1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5个工作日内退还，中标投标人的投标保证金应当自采购合同签订之日起5个工作日内退还。 </w:t>
      </w:r>
    </w:p>
    <w:p w14:paraId="6CFB121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投标人在投标截止时间前撤回已提交的投标文件的，自收到投标人书面撤回通知之日起5个工作日内，退还已收取的投标保证金，但因投标人自身原因导致无法及时退还的除外。 </w:t>
      </w:r>
    </w:p>
    <w:p w14:paraId="5EB3FE3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终止招标项目已经收取投标保证金的，自终止采购活动后5个工作日内退还已收取的投标保证金及其在银行产生的孳息。</w:t>
      </w:r>
    </w:p>
    <w:p w14:paraId="0B6A028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071DFFA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登录“新疆政府采购网”—顶部通栏“政采贷”快捷模块查看。金融服务支撑热线：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0991-2661159</w:t>
      </w:r>
      <w:r>
        <w:rPr>
          <w:rFonts w:hint="eastAsia" w:ascii="宋体" w:hAnsi="宋体" w:eastAsia="宋体" w:cs="宋体"/>
          <w:b/>
          <w:bCs/>
          <w:iCs/>
          <w:color w:val="auto"/>
          <w:kern w:val="2"/>
          <w:sz w:val="24"/>
          <w:szCs w:val="24"/>
          <w:highlight w:val="none"/>
          <w:shd w:val="clear" w:color="auto" w:fill="FFFFFF" w:themeFill="background1"/>
          <w:lang w:val="en-US" w:eastAsia="zh-CN" w:bidi="ar-SA"/>
        </w:rPr>
        <w:t xml:space="preserve"> </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2" w:name="_Toc27604"/>
      <w:bookmarkStart w:id="223" w:name="_Toc11437"/>
      <w:bookmarkStart w:id="224" w:name="_Toc22547"/>
      <w:r>
        <w:rPr>
          <w:rFonts w:hint="eastAsia" w:ascii="宋体" w:hAnsi="宋体" w:eastAsia="宋体" w:cs="宋体"/>
          <w:b/>
          <w:bCs/>
          <w:color w:val="auto"/>
          <w:kern w:val="2"/>
          <w:sz w:val="24"/>
          <w:szCs w:val="24"/>
          <w:highlight w:val="none"/>
          <w:lang w:val="en-US" w:eastAsia="zh-CN" w:bidi="ar-SA"/>
        </w:rPr>
        <w:t>18.投标文件的加密</w:t>
      </w:r>
      <w:bookmarkEnd w:id="221"/>
      <w:bookmarkEnd w:id="222"/>
      <w:bookmarkEnd w:id="223"/>
      <w:bookmarkEnd w:id="224"/>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u w:val="single"/>
        </w:rPr>
      </w:pPr>
      <w:bookmarkStart w:id="225"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.1投标人在供应商客户端中生成投标文件并完成签章之后，使用CA证书在供应商客户端中对投标文件进行加密。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.2投标人应在供应商客户端中对加密的投标文件进行解密验证，以防止投标文件加密异常，在开标时无法解密。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w:t>
      </w:r>
      <w:r>
        <w:rPr>
          <w:rFonts w:hint="eastAsia" w:eastAsia="宋体" w:cs="仿宋_GB2312"/>
          <w:color w:val="auto"/>
          <w:sz w:val="24"/>
          <w:szCs w:val="24"/>
          <w:highlight w:val="none"/>
        </w:rPr>
        <w:t>http://www.ccgp-xinjiang.gov.cn/</w:t>
      </w:r>
      <w:r>
        <w:rPr>
          <w:rFonts w:hint="eastAsia" w:ascii="宋体" w:hAnsi="宋体" w:eastAsia="宋体" w:cs="宋体"/>
          <w:color w:val="auto"/>
          <w:sz w:val="24"/>
          <w:szCs w:val="24"/>
          <w:highlight w:val="none"/>
        </w:rPr>
        <w:t>）的”政采云登录入口”登录后，将加密电子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225"/>
    <w:p w14:paraId="31ED663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6" w:name="_Toc140132777"/>
      <w:bookmarkStart w:id="227" w:name="_Toc163492844"/>
      <w:bookmarkStart w:id="228" w:name="_Toc18936"/>
      <w:bookmarkStart w:id="229" w:name="_Toc18403"/>
      <w:bookmarkStart w:id="230" w:name="_Toc13225"/>
      <w:r>
        <w:rPr>
          <w:rFonts w:hint="eastAsia" w:ascii="宋体" w:hAnsi="宋体" w:eastAsia="宋体" w:cs="宋体"/>
          <w:b/>
          <w:bCs/>
          <w:color w:val="auto"/>
          <w:kern w:val="2"/>
          <w:sz w:val="24"/>
          <w:szCs w:val="24"/>
          <w:highlight w:val="none"/>
          <w:lang w:val="en-US" w:eastAsia="zh-CN" w:bidi="ar-SA"/>
        </w:rPr>
        <w:t>19.投标文件的递交</w:t>
      </w:r>
      <w:bookmarkEnd w:id="226"/>
      <w:r>
        <w:rPr>
          <w:rFonts w:hint="eastAsia" w:ascii="宋体" w:hAnsi="宋体" w:eastAsia="宋体" w:cs="宋体"/>
          <w:b/>
          <w:bCs/>
          <w:color w:val="auto"/>
          <w:kern w:val="2"/>
          <w:sz w:val="24"/>
          <w:szCs w:val="24"/>
          <w:highlight w:val="none"/>
          <w:lang w:val="en-US" w:eastAsia="zh-CN" w:bidi="ar-SA"/>
        </w:rPr>
        <w:t>（上传）</w:t>
      </w:r>
      <w:bookmarkEnd w:id="227"/>
      <w:bookmarkEnd w:id="228"/>
      <w:bookmarkEnd w:id="229"/>
      <w:bookmarkEnd w:id="230"/>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bookmarkStart w:id="231"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投标人应在供应商客户端中下载未加密且完成签章的投标文件妥善保存，以便启动应急开标程序时使用。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231"/>
    <w:p w14:paraId="6AD7096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2" w:name="_Toc19314"/>
      <w:bookmarkStart w:id="233" w:name="_Toc19457"/>
      <w:bookmarkStart w:id="234" w:name="_Toc9803"/>
      <w:bookmarkStart w:id="235" w:name="_Toc163492845"/>
      <w:r>
        <w:rPr>
          <w:rFonts w:hint="eastAsia" w:ascii="宋体" w:hAnsi="宋体" w:eastAsia="宋体" w:cs="宋体"/>
          <w:b/>
          <w:bCs/>
          <w:color w:val="auto"/>
          <w:kern w:val="2"/>
          <w:sz w:val="24"/>
          <w:szCs w:val="24"/>
          <w:highlight w:val="none"/>
          <w:lang w:val="en-US" w:eastAsia="zh-CN" w:bidi="ar-SA"/>
        </w:rPr>
        <w:t>20.拒收</w:t>
      </w:r>
      <w:bookmarkEnd w:id="232"/>
      <w:bookmarkEnd w:id="233"/>
      <w:bookmarkEnd w:id="234"/>
      <w:bookmarkEnd w:id="235"/>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236" w:name="_Hlk143532404"/>
      <w:r>
        <w:rPr>
          <w:rFonts w:hint="eastAsia" w:ascii="宋体" w:hAnsi="宋体" w:eastAsia="宋体" w:cs="宋体"/>
          <w:color w:val="auto"/>
          <w:sz w:val="24"/>
          <w:szCs w:val="24"/>
          <w:highlight w:val="none"/>
        </w:rPr>
        <w:t>或者不按照本章要求加密的投标文件，交易系统应当拒收</w:t>
      </w:r>
      <w:bookmarkEnd w:id="236"/>
      <w:r>
        <w:rPr>
          <w:rFonts w:hint="eastAsia" w:ascii="宋体" w:hAnsi="宋体" w:eastAsia="宋体" w:cs="宋体"/>
          <w:color w:val="auto"/>
          <w:sz w:val="24"/>
          <w:szCs w:val="24"/>
          <w:highlight w:val="none"/>
        </w:rPr>
        <w:t>。</w:t>
      </w:r>
    </w:p>
    <w:p w14:paraId="0356121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7" w:name="_Toc31714"/>
      <w:bookmarkStart w:id="238" w:name="_Toc20710"/>
      <w:bookmarkStart w:id="239" w:name="_Toc163492846"/>
      <w:bookmarkStart w:id="240" w:name="_Toc17912"/>
      <w:bookmarkStart w:id="241" w:name="_Toc140132778"/>
      <w:r>
        <w:rPr>
          <w:rFonts w:hint="eastAsia" w:ascii="宋体" w:hAnsi="宋体" w:eastAsia="宋体" w:cs="宋体"/>
          <w:b/>
          <w:bCs/>
          <w:color w:val="auto"/>
          <w:kern w:val="2"/>
          <w:sz w:val="24"/>
          <w:szCs w:val="24"/>
          <w:highlight w:val="none"/>
          <w:lang w:val="en-US" w:eastAsia="zh-CN" w:bidi="ar-SA"/>
        </w:rPr>
        <w:t>21.投标文件的修改与撤回</w:t>
      </w:r>
      <w:bookmarkEnd w:id="237"/>
      <w:bookmarkEnd w:id="238"/>
      <w:bookmarkEnd w:id="239"/>
      <w:bookmarkEnd w:id="240"/>
      <w:bookmarkEnd w:id="241"/>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242"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242"/>
    <w:p w14:paraId="20434D8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3" w:name="_Toc155185874"/>
      <w:bookmarkStart w:id="244" w:name="_Toc18728"/>
      <w:bookmarkStart w:id="245" w:name="_Toc20864"/>
      <w:bookmarkStart w:id="246" w:name="_Toc163492847"/>
      <w:bookmarkStart w:id="247" w:name="_Toc6030"/>
      <w:r>
        <w:rPr>
          <w:rFonts w:hint="eastAsia" w:ascii="宋体" w:hAnsi="宋体" w:eastAsia="宋体" w:cs="宋体"/>
          <w:b/>
          <w:bCs/>
          <w:color w:val="auto"/>
          <w:kern w:val="2"/>
          <w:sz w:val="24"/>
          <w:szCs w:val="24"/>
          <w:highlight w:val="none"/>
          <w:lang w:val="en-US" w:eastAsia="zh-CN" w:bidi="ar-SA"/>
        </w:rPr>
        <w:t>22.实物样品</w:t>
      </w:r>
      <w:bookmarkEnd w:id="243"/>
      <w:bookmarkEnd w:id="244"/>
      <w:bookmarkEnd w:id="245"/>
      <w:bookmarkEnd w:id="246"/>
      <w:bookmarkEnd w:id="247"/>
    </w:p>
    <w:p w14:paraId="52D4EAF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8" w:name="_Toc30367"/>
      <w:bookmarkStart w:id="249" w:name="_Toc163492848"/>
      <w:bookmarkStart w:id="250" w:name="_Toc11533"/>
      <w:bookmarkStart w:id="251" w:name="_Toc3586"/>
      <w:bookmarkStart w:id="252" w:name="_Toc155185875"/>
      <w:r>
        <w:rPr>
          <w:rFonts w:hint="eastAsia" w:ascii="宋体" w:hAnsi="宋体" w:eastAsia="宋体" w:cs="宋体"/>
          <w:b/>
          <w:bCs/>
          <w:color w:val="auto"/>
          <w:kern w:val="2"/>
          <w:sz w:val="24"/>
          <w:szCs w:val="24"/>
          <w:highlight w:val="none"/>
          <w:lang w:val="en-US" w:eastAsia="zh-CN" w:bidi="ar-SA"/>
        </w:rPr>
        <w:t>23.演示</w:t>
      </w:r>
      <w:bookmarkEnd w:id="248"/>
      <w:bookmarkEnd w:id="249"/>
      <w:bookmarkEnd w:id="250"/>
      <w:bookmarkEnd w:id="251"/>
      <w:bookmarkEnd w:id="252"/>
    </w:p>
    <w:p w14:paraId="1A234B3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3" w:name="_Toc23023"/>
      <w:bookmarkStart w:id="254" w:name="_Toc140132779"/>
      <w:bookmarkStart w:id="255" w:name="_Toc163492849"/>
      <w:bookmarkStart w:id="256" w:name="_Toc13245"/>
      <w:bookmarkStart w:id="257" w:name="_Toc155185876"/>
      <w:bookmarkStart w:id="258" w:name="_Toc8231"/>
      <w:r>
        <w:rPr>
          <w:rFonts w:hint="eastAsia" w:ascii="宋体" w:hAnsi="宋体" w:eastAsia="宋体" w:cs="宋体"/>
          <w:b/>
          <w:bCs/>
          <w:color w:val="auto"/>
          <w:kern w:val="2"/>
          <w:sz w:val="24"/>
          <w:szCs w:val="24"/>
          <w:highlight w:val="none"/>
          <w:lang w:val="en-US" w:eastAsia="zh-CN" w:bidi="ar-SA"/>
        </w:rPr>
        <w:t>（五）开标</w:t>
      </w:r>
      <w:bookmarkEnd w:id="253"/>
      <w:bookmarkEnd w:id="254"/>
      <w:bookmarkEnd w:id="255"/>
      <w:bookmarkEnd w:id="256"/>
      <w:bookmarkEnd w:id="257"/>
      <w:bookmarkEnd w:id="258"/>
    </w:p>
    <w:p w14:paraId="1705A8F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9" w:name="_Toc21393"/>
      <w:bookmarkStart w:id="260" w:name="_Toc22613"/>
      <w:bookmarkStart w:id="261" w:name="_Toc163492850"/>
      <w:bookmarkStart w:id="262" w:name="_Toc8612"/>
      <w:bookmarkStart w:id="263" w:name="_Toc140132780"/>
      <w:r>
        <w:rPr>
          <w:rFonts w:hint="eastAsia" w:ascii="宋体" w:hAnsi="宋体" w:eastAsia="宋体" w:cs="宋体"/>
          <w:b/>
          <w:bCs/>
          <w:color w:val="auto"/>
          <w:kern w:val="2"/>
          <w:sz w:val="24"/>
          <w:szCs w:val="24"/>
          <w:highlight w:val="none"/>
          <w:lang w:val="en-US" w:eastAsia="zh-CN" w:bidi="ar-SA"/>
        </w:rPr>
        <w:t>24.开标会议</w:t>
      </w:r>
      <w:bookmarkEnd w:id="259"/>
      <w:bookmarkEnd w:id="260"/>
      <w:bookmarkEnd w:id="261"/>
      <w:bookmarkEnd w:id="262"/>
      <w:bookmarkEnd w:id="263"/>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bookmarkStart w:id="264"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64"/>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宋体"/>
          <w:color w:val="auto"/>
          <w:kern w:val="2"/>
          <w:sz w:val="24"/>
          <w:szCs w:val="24"/>
          <w:highlight w:val="none"/>
          <w:lang w:val="en-US" w:eastAsia="zh-CN"/>
        </w:rPr>
        <w:t>新疆</w:t>
      </w:r>
      <w:r>
        <w:rPr>
          <w:rFonts w:hint="eastAsia" w:ascii="宋体" w:hAnsi="宋体" w:eastAsia="宋体" w:cs="宋体"/>
          <w:color w:val="auto"/>
          <w:kern w:val="2"/>
          <w:sz w:val="24"/>
          <w:szCs w:val="24"/>
          <w:highlight w:val="none"/>
          <w:lang w:val="en-US" w:eastAsia="zh-CN"/>
        </w:rPr>
        <w:t>政府采购电子交易云平台（网址：</w:t>
      </w:r>
      <w:r>
        <w:rPr>
          <w:rFonts w:hint="eastAsia" w:eastAsia="宋体" w:cs="仿宋_GB2312"/>
          <w:color w:val="auto"/>
          <w:sz w:val="24"/>
          <w:szCs w:val="24"/>
          <w:highlight w:val="none"/>
        </w:rPr>
        <w:t>http://www.ccgp-xinjiang.gov.cn/</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5" w:name="_Toc163492852"/>
      <w:bookmarkStart w:id="266" w:name="_Toc140132783"/>
      <w:bookmarkStart w:id="267" w:name="_Toc6135"/>
      <w:bookmarkStart w:id="268" w:name="_Toc30858"/>
      <w:bookmarkStart w:id="269" w:name="_Toc22024"/>
      <w:r>
        <w:rPr>
          <w:rFonts w:hint="eastAsia" w:ascii="宋体" w:hAnsi="宋体" w:eastAsia="宋体" w:cs="宋体"/>
          <w:b/>
          <w:bCs/>
          <w:color w:val="auto"/>
          <w:kern w:val="2"/>
          <w:sz w:val="24"/>
          <w:szCs w:val="24"/>
          <w:highlight w:val="none"/>
          <w:lang w:val="en-US" w:eastAsia="zh-CN" w:bidi="ar-SA"/>
        </w:rPr>
        <w:t>25.开标程序</w:t>
      </w:r>
      <w:bookmarkEnd w:id="265"/>
      <w:bookmarkEnd w:id="266"/>
      <w:bookmarkEnd w:id="267"/>
      <w:bookmarkEnd w:id="268"/>
      <w:bookmarkEnd w:id="269"/>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70" w:name="_Toc163492853"/>
      <w:bookmarkStart w:id="271" w:name="_Toc140132784"/>
    </w:p>
    <w:p w14:paraId="459D358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2" w:name="_Toc8444"/>
      <w:bookmarkStart w:id="273" w:name="_Toc6699"/>
      <w:bookmarkStart w:id="274" w:name="_Toc8830"/>
      <w:r>
        <w:rPr>
          <w:rFonts w:hint="eastAsia" w:ascii="宋体" w:hAnsi="宋体" w:eastAsia="宋体" w:cs="宋体"/>
          <w:b/>
          <w:bCs/>
          <w:color w:val="auto"/>
          <w:kern w:val="2"/>
          <w:sz w:val="24"/>
          <w:szCs w:val="24"/>
          <w:highlight w:val="none"/>
          <w:lang w:val="en-US" w:eastAsia="zh-CN" w:bidi="ar-SA"/>
        </w:rPr>
        <w:t>26.开标疑义及回避情形</w:t>
      </w:r>
      <w:bookmarkEnd w:id="270"/>
      <w:bookmarkEnd w:id="271"/>
      <w:bookmarkEnd w:id="272"/>
      <w:bookmarkEnd w:id="273"/>
      <w:bookmarkEnd w:id="274"/>
    </w:p>
    <w:p w14:paraId="04573EB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5" w:name="_Toc163492854"/>
      <w:bookmarkStart w:id="276" w:name="_Toc9049"/>
      <w:bookmarkStart w:id="277" w:name="_Toc140132785"/>
      <w:bookmarkStart w:id="278" w:name="_Toc15018"/>
      <w:bookmarkStart w:id="279" w:name="_Toc22271"/>
      <w:bookmarkStart w:id="280" w:name="_Toc155185877"/>
      <w:r>
        <w:rPr>
          <w:rFonts w:hint="eastAsia" w:ascii="宋体" w:hAnsi="宋体" w:eastAsia="宋体" w:cs="宋体"/>
          <w:b/>
          <w:bCs/>
          <w:color w:val="auto"/>
          <w:kern w:val="2"/>
          <w:sz w:val="24"/>
          <w:szCs w:val="24"/>
          <w:highlight w:val="none"/>
          <w:lang w:val="en-US" w:eastAsia="zh-CN" w:bidi="ar-SA"/>
        </w:rPr>
        <w:t>（六）资格审查</w:t>
      </w:r>
      <w:bookmarkEnd w:id="275"/>
      <w:bookmarkEnd w:id="276"/>
      <w:bookmarkEnd w:id="277"/>
      <w:bookmarkEnd w:id="278"/>
      <w:bookmarkEnd w:id="279"/>
      <w:bookmarkEnd w:id="280"/>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1" w:name="_Toc507"/>
      <w:bookmarkStart w:id="282" w:name="_Toc163492855"/>
      <w:bookmarkStart w:id="283" w:name="_Toc9539"/>
      <w:bookmarkStart w:id="284" w:name="_Toc16245"/>
      <w:r>
        <w:rPr>
          <w:rFonts w:hint="eastAsia" w:ascii="宋体" w:hAnsi="宋体" w:eastAsia="宋体" w:cs="宋体"/>
          <w:b/>
          <w:bCs/>
          <w:color w:val="auto"/>
          <w:kern w:val="2"/>
          <w:sz w:val="24"/>
          <w:szCs w:val="24"/>
          <w:highlight w:val="none"/>
          <w:lang w:val="en-US" w:eastAsia="zh-CN" w:bidi="ar-SA"/>
        </w:rPr>
        <w:t>27.资格审查及审查主体</w:t>
      </w:r>
      <w:bookmarkEnd w:id="281"/>
      <w:bookmarkEnd w:id="282"/>
      <w:bookmarkEnd w:id="283"/>
      <w:bookmarkEnd w:id="284"/>
    </w:p>
    <w:p w14:paraId="3F6E8AD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85"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85"/>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86"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86"/>
    </w:p>
    <w:p w14:paraId="44D43B8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87"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87"/>
    </w:p>
    <w:p w14:paraId="272F167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8" w:name="_Toc9489"/>
      <w:bookmarkStart w:id="289" w:name="_Toc155185878"/>
      <w:bookmarkStart w:id="290" w:name="_Toc11390"/>
      <w:bookmarkStart w:id="291" w:name="_Toc163492856"/>
      <w:bookmarkStart w:id="292" w:name="_Toc140132789"/>
      <w:bookmarkStart w:id="293" w:name="_Toc3464"/>
      <w:r>
        <w:rPr>
          <w:rFonts w:hint="eastAsia" w:ascii="宋体" w:hAnsi="宋体" w:eastAsia="宋体" w:cs="宋体"/>
          <w:b/>
          <w:bCs/>
          <w:color w:val="auto"/>
          <w:kern w:val="2"/>
          <w:sz w:val="24"/>
          <w:szCs w:val="24"/>
          <w:highlight w:val="none"/>
          <w:lang w:val="en-US" w:eastAsia="zh-CN" w:bidi="ar-SA"/>
        </w:rPr>
        <w:t>（七）评标</w:t>
      </w:r>
      <w:bookmarkEnd w:id="288"/>
      <w:bookmarkEnd w:id="289"/>
      <w:bookmarkEnd w:id="290"/>
      <w:bookmarkEnd w:id="291"/>
      <w:bookmarkEnd w:id="292"/>
      <w:bookmarkEnd w:id="293"/>
    </w:p>
    <w:p w14:paraId="7EBE7AB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4" w:name="_Toc163492857"/>
      <w:bookmarkStart w:id="295" w:name="_Toc13920"/>
      <w:bookmarkStart w:id="296" w:name="_Toc14310"/>
      <w:bookmarkStart w:id="297" w:name="_Toc195"/>
      <w:bookmarkStart w:id="298" w:name="_Toc140132790"/>
      <w:r>
        <w:rPr>
          <w:rFonts w:hint="eastAsia" w:ascii="宋体" w:hAnsi="宋体" w:eastAsia="宋体" w:cs="宋体"/>
          <w:b/>
          <w:bCs/>
          <w:color w:val="auto"/>
          <w:kern w:val="2"/>
          <w:sz w:val="24"/>
          <w:szCs w:val="24"/>
          <w:highlight w:val="none"/>
          <w:lang w:val="en-US" w:eastAsia="zh-CN" w:bidi="ar-SA"/>
        </w:rPr>
        <w:t>28.评标委员会</w:t>
      </w:r>
      <w:bookmarkEnd w:id="294"/>
      <w:bookmarkEnd w:id="295"/>
      <w:bookmarkEnd w:id="296"/>
      <w:bookmarkEnd w:id="297"/>
      <w:bookmarkEnd w:id="298"/>
    </w:p>
    <w:p w14:paraId="1EA2B13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9" w:name="_Toc7854"/>
      <w:bookmarkStart w:id="300" w:name="_Toc4052"/>
      <w:bookmarkStart w:id="301" w:name="_Toc167"/>
      <w:bookmarkStart w:id="302" w:name="_Toc163492858"/>
      <w:bookmarkStart w:id="303" w:name="_Toc140132791"/>
      <w:r>
        <w:rPr>
          <w:rFonts w:hint="eastAsia" w:ascii="宋体" w:hAnsi="宋体" w:eastAsia="宋体" w:cs="宋体"/>
          <w:b/>
          <w:bCs/>
          <w:color w:val="auto"/>
          <w:kern w:val="2"/>
          <w:sz w:val="24"/>
          <w:szCs w:val="24"/>
          <w:highlight w:val="none"/>
          <w:lang w:val="en-US" w:eastAsia="zh-CN" w:bidi="ar-SA"/>
        </w:rPr>
        <w:t>29.评标</w:t>
      </w:r>
      <w:bookmarkEnd w:id="299"/>
      <w:bookmarkEnd w:id="300"/>
      <w:bookmarkEnd w:id="301"/>
      <w:bookmarkEnd w:id="302"/>
      <w:bookmarkEnd w:id="303"/>
    </w:p>
    <w:p w14:paraId="6D0B095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4" w:name="_Toc140132792"/>
      <w:bookmarkStart w:id="305" w:name="_Toc24173"/>
      <w:bookmarkStart w:id="306" w:name="_Toc163492859"/>
      <w:bookmarkStart w:id="307" w:name="_Toc16712"/>
      <w:bookmarkStart w:id="308" w:name="_Toc155185879"/>
      <w:bookmarkStart w:id="309" w:name="_Toc11591"/>
      <w:r>
        <w:rPr>
          <w:rFonts w:hint="eastAsia" w:ascii="宋体" w:hAnsi="宋体" w:eastAsia="宋体" w:cs="宋体"/>
          <w:b/>
          <w:bCs/>
          <w:color w:val="auto"/>
          <w:kern w:val="2"/>
          <w:sz w:val="24"/>
          <w:szCs w:val="24"/>
          <w:highlight w:val="none"/>
          <w:lang w:val="en-US" w:eastAsia="zh-CN" w:bidi="ar-SA"/>
        </w:rPr>
        <w:t>（八）中标</w:t>
      </w:r>
      <w:bookmarkEnd w:id="304"/>
      <w:bookmarkEnd w:id="305"/>
      <w:bookmarkEnd w:id="306"/>
      <w:bookmarkEnd w:id="307"/>
      <w:bookmarkEnd w:id="308"/>
      <w:bookmarkEnd w:id="309"/>
    </w:p>
    <w:p w14:paraId="37B6B95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0" w:name="_Toc5728"/>
      <w:bookmarkStart w:id="311" w:name="_Toc11832"/>
      <w:bookmarkStart w:id="312" w:name="_Toc18980"/>
      <w:bookmarkStart w:id="313" w:name="_Toc140132793"/>
      <w:bookmarkStart w:id="314" w:name="_Toc163492860"/>
      <w:r>
        <w:rPr>
          <w:rFonts w:hint="eastAsia" w:ascii="宋体" w:hAnsi="宋体" w:eastAsia="宋体" w:cs="宋体"/>
          <w:b/>
          <w:bCs/>
          <w:color w:val="auto"/>
          <w:kern w:val="2"/>
          <w:sz w:val="24"/>
          <w:szCs w:val="24"/>
          <w:highlight w:val="none"/>
          <w:lang w:val="en-US" w:eastAsia="zh-CN" w:bidi="ar-SA"/>
        </w:rPr>
        <w:t>30.确定中标人</w:t>
      </w:r>
      <w:bookmarkEnd w:id="310"/>
      <w:bookmarkEnd w:id="311"/>
      <w:bookmarkEnd w:id="312"/>
      <w:bookmarkEnd w:id="313"/>
      <w:bookmarkEnd w:id="314"/>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5" w:name="_Toc6680"/>
      <w:bookmarkStart w:id="316" w:name="_Toc15642"/>
      <w:bookmarkStart w:id="317" w:name="_Toc163492861"/>
      <w:bookmarkStart w:id="318" w:name="_Toc16181"/>
      <w:bookmarkStart w:id="319" w:name="_Toc140132794"/>
      <w:r>
        <w:rPr>
          <w:rFonts w:hint="eastAsia" w:ascii="宋体" w:hAnsi="宋体" w:eastAsia="宋体" w:cs="宋体"/>
          <w:b/>
          <w:bCs/>
          <w:color w:val="auto"/>
          <w:kern w:val="2"/>
          <w:sz w:val="24"/>
          <w:szCs w:val="24"/>
          <w:highlight w:val="none"/>
          <w:lang w:val="en-US" w:eastAsia="zh-CN" w:bidi="ar-SA"/>
        </w:rPr>
        <w:t>31.中标结果公告</w:t>
      </w:r>
      <w:bookmarkEnd w:id="315"/>
      <w:bookmarkEnd w:id="316"/>
      <w:bookmarkEnd w:id="317"/>
      <w:bookmarkEnd w:id="318"/>
      <w:bookmarkEnd w:id="319"/>
    </w:p>
    <w:p w14:paraId="5975ECA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0" w:name="_Toc140132795"/>
      <w:bookmarkStart w:id="321" w:name="_Toc163492862"/>
      <w:bookmarkStart w:id="322" w:name="_Toc6353"/>
      <w:bookmarkStart w:id="323" w:name="_Toc6163"/>
      <w:bookmarkStart w:id="324" w:name="_Toc19467"/>
      <w:r>
        <w:rPr>
          <w:rFonts w:hint="eastAsia" w:ascii="宋体" w:hAnsi="宋体" w:eastAsia="宋体" w:cs="宋体"/>
          <w:b/>
          <w:bCs/>
          <w:color w:val="auto"/>
          <w:kern w:val="2"/>
          <w:sz w:val="24"/>
          <w:szCs w:val="24"/>
          <w:highlight w:val="none"/>
          <w:lang w:val="en-US" w:eastAsia="zh-CN" w:bidi="ar-SA"/>
        </w:rPr>
        <w:t>32.中标通知</w:t>
      </w:r>
      <w:bookmarkEnd w:id="320"/>
      <w:bookmarkEnd w:id="321"/>
      <w:bookmarkEnd w:id="322"/>
      <w:bookmarkEnd w:id="323"/>
      <w:bookmarkEnd w:id="324"/>
    </w:p>
    <w:p w14:paraId="41D33E1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5" w:name="_Toc27187"/>
      <w:bookmarkStart w:id="326" w:name="_Toc163492863"/>
      <w:bookmarkStart w:id="327" w:name="_Toc30315"/>
      <w:bookmarkStart w:id="328" w:name="_Toc812"/>
      <w:r>
        <w:rPr>
          <w:rFonts w:hint="eastAsia" w:ascii="宋体" w:hAnsi="宋体" w:eastAsia="宋体" w:cs="宋体"/>
          <w:b/>
          <w:bCs/>
          <w:color w:val="auto"/>
          <w:kern w:val="2"/>
          <w:sz w:val="24"/>
          <w:szCs w:val="24"/>
          <w:highlight w:val="none"/>
          <w:lang w:val="en-US" w:eastAsia="zh-CN" w:bidi="ar-SA"/>
        </w:rPr>
        <w:t>（九）签订</w:t>
      </w:r>
      <w:bookmarkStart w:id="329" w:name="_Toc140132796"/>
      <w:bookmarkStart w:id="330" w:name="_Toc155185880"/>
      <w:r>
        <w:rPr>
          <w:rFonts w:hint="eastAsia" w:ascii="宋体" w:hAnsi="宋体" w:eastAsia="宋体" w:cs="宋体"/>
          <w:b/>
          <w:bCs/>
          <w:color w:val="auto"/>
          <w:kern w:val="2"/>
          <w:sz w:val="24"/>
          <w:szCs w:val="24"/>
          <w:highlight w:val="none"/>
          <w:lang w:val="en-US" w:eastAsia="zh-CN" w:bidi="ar-SA"/>
        </w:rPr>
        <w:t>合同</w:t>
      </w:r>
      <w:bookmarkEnd w:id="325"/>
      <w:bookmarkEnd w:id="326"/>
      <w:bookmarkEnd w:id="327"/>
      <w:bookmarkEnd w:id="328"/>
      <w:bookmarkEnd w:id="329"/>
      <w:bookmarkEnd w:id="330"/>
    </w:p>
    <w:p w14:paraId="547E6B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31" w:name="_Toc140132797"/>
      <w:bookmarkStart w:id="332" w:name="_Toc3030"/>
      <w:bookmarkStart w:id="333" w:name="_Toc1439"/>
      <w:bookmarkStart w:id="334" w:name="_Toc163492864"/>
      <w:bookmarkStart w:id="335" w:name="_Toc21817"/>
      <w:r>
        <w:rPr>
          <w:rFonts w:hint="eastAsia" w:ascii="宋体" w:hAnsi="宋体" w:eastAsia="宋体" w:cs="宋体"/>
          <w:b/>
          <w:bCs/>
          <w:color w:val="auto"/>
          <w:kern w:val="2"/>
          <w:sz w:val="24"/>
          <w:szCs w:val="24"/>
          <w:highlight w:val="none"/>
          <w:lang w:val="en-US" w:eastAsia="zh-CN" w:bidi="ar-SA"/>
        </w:rPr>
        <w:t>33.履约保证金</w:t>
      </w:r>
      <w:bookmarkEnd w:id="331"/>
      <w:bookmarkEnd w:id="332"/>
      <w:bookmarkEnd w:id="333"/>
      <w:bookmarkEnd w:id="334"/>
      <w:bookmarkEnd w:id="335"/>
    </w:p>
    <w:p w14:paraId="77717F0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36" w:name="_Toc140132798"/>
      <w:bookmarkStart w:id="337" w:name="_Toc163492865"/>
      <w:bookmarkStart w:id="338" w:name="_Toc12603"/>
      <w:bookmarkStart w:id="339" w:name="_Toc1975"/>
      <w:bookmarkStart w:id="340" w:name="_Toc10817"/>
      <w:r>
        <w:rPr>
          <w:rFonts w:hint="eastAsia" w:ascii="宋体" w:hAnsi="宋体" w:eastAsia="宋体" w:cs="宋体"/>
          <w:b/>
          <w:bCs/>
          <w:color w:val="auto"/>
          <w:kern w:val="2"/>
          <w:sz w:val="24"/>
          <w:szCs w:val="24"/>
          <w:highlight w:val="none"/>
          <w:lang w:val="en-US" w:eastAsia="zh-CN" w:bidi="ar-SA"/>
        </w:rPr>
        <w:t>34.签订合同</w:t>
      </w:r>
      <w:bookmarkEnd w:id="336"/>
      <w:bookmarkEnd w:id="337"/>
      <w:bookmarkEnd w:id="338"/>
      <w:bookmarkEnd w:id="339"/>
      <w:bookmarkEnd w:id="340"/>
    </w:p>
    <w:p w14:paraId="77507EB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1" w:name="_Toc140132799"/>
      <w:bookmarkStart w:id="342" w:name="_Toc14069"/>
      <w:bookmarkStart w:id="343" w:name="_Toc163492866"/>
      <w:bookmarkStart w:id="344" w:name="_Toc22067"/>
      <w:bookmarkStart w:id="345" w:name="_Toc3645"/>
      <w:bookmarkStart w:id="346" w:name="_Toc155185881"/>
      <w:r>
        <w:rPr>
          <w:rFonts w:hint="eastAsia" w:ascii="宋体" w:hAnsi="宋体" w:eastAsia="宋体" w:cs="宋体"/>
          <w:b/>
          <w:bCs/>
          <w:color w:val="auto"/>
          <w:kern w:val="2"/>
          <w:sz w:val="24"/>
          <w:szCs w:val="24"/>
          <w:highlight w:val="none"/>
          <w:lang w:val="en-US" w:eastAsia="zh-CN" w:bidi="ar-SA"/>
        </w:rPr>
        <w:t>（十）质疑和投诉</w:t>
      </w:r>
      <w:bookmarkEnd w:id="341"/>
      <w:bookmarkEnd w:id="342"/>
      <w:bookmarkEnd w:id="343"/>
      <w:bookmarkEnd w:id="344"/>
      <w:bookmarkEnd w:id="345"/>
      <w:bookmarkEnd w:id="346"/>
    </w:p>
    <w:p w14:paraId="23BE6A9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7" w:name="_Toc17195"/>
      <w:bookmarkStart w:id="348" w:name="_Toc140132800"/>
      <w:bookmarkStart w:id="349" w:name="_Toc6362"/>
      <w:bookmarkStart w:id="350" w:name="_Toc5521"/>
      <w:bookmarkStart w:id="351" w:name="_Toc163492867"/>
      <w:r>
        <w:rPr>
          <w:rFonts w:hint="eastAsia" w:ascii="宋体" w:hAnsi="宋体" w:eastAsia="宋体" w:cs="宋体"/>
          <w:b/>
          <w:bCs/>
          <w:color w:val="auto"/>
          <w:kern w:val="2"/>
          <w:sz w:val="24"/>
          <w:szCs w:val="24"/>
          <w:highlight w:val="none"/>
          <w:lang w:val="en-US" w:eastAsia="zh-CN" w:bidi="ar-SA"/>
        </w:rPr>
        <w:t>35.质疑</w:t>
      </w:r>
      <w:bookmarkEnd w:id="347"/>
      <w:bookmarkEnd w:id="348"/>
      <w:bookmarkEnd w:id="349"/>
      <w:bookmarkEnd w:id="350"/>
      <w:bookmarkEnd w:id="351"/>
    </w:p>
    <w:p w14:paraId="097AA16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2" w:name="_Toc140132801"/>
      <w:bookmarkStart w:id="353" w:name="_Toc2308"/>
      <w:bookmarkStart w:id="354" w:name="_Toc163492868"/>
      <w:bookmarkStart w:id="355" w:name="_Toc30183"/>
      <w:bookmarkStart w:id="356" w:name="_Toc7060"/>
      <w:r>
        <w:rPr>
          <w:rFonts w:hint="eastAsia" w:ascii="宋体" w:hAnsi="宋体" w:eastAsia="宋体" w:cs="宋体"/>
          <w:b/>
          <w:bCs/>
          <w:color w:val="auto"/>
          <w:kern w:val="2"/>
          <w:sz w:val="24"/>
          <w:szCs w:val="24"/>
          <w:highlight w:val="none"/>
          <w:lang w:val="en-US" w:eastAsia="zh-CN" w:bidi="ar-SA"/>
        </w:rPr>
        <w:t>36.质疑答复</w:t>
      </w:r>
      <w:bookmarkEnd w:id="352"/>
      <w:bookmarkEnd w:id="353"/>
      <w:bookmarkEnd w:id="354"/>
      <w:bookmarkEnd w:id="355"/>
      <w:bookmarkEnd w:id="356"/>
    </w:p>
    <w:p w14:paraId="43D7F91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357" w:name="_Toc163492869"/>
      <w:bookmarkStart w:id="358" w:name="_Toc14013280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9" w:name="_Toc8648"/>
      <w:bookmarkStart w:id="360" w:name="_Toc13241"/>
      <w:bookmarkStart w:id="361" w:name="_Toc4201"/>
      <w:r>
        <w:rPr>
          <w:rFonts w:hint="eastAsia" w:ascii="宋体" w:hAnsi="宋体" w:eastAsia="宋体" w:cs="宋体"/>
          <w:b/>
          <w:bCs/>
          <w:color w:val="auto"/>
          <w:kern w:val="2"/>
          <w:sz w:val="24"/>
          <w:szCs w:val="24"/>
          <w:highlight w:val="none"/>
          <w:lang w:val="en-US" w:eastAsia="zh-CN" w:bidi="ar-SA"/>
        </w:rPr>
        <w:t>37.投诉</w:t>
      </w:r>
      <w:bookmarkEnd w:id="357"/>
      <w:bookmarkEnd w:id="358"/>
      <w:bookmarkEnd w:id="359"/>
      <w:bookmarkEnd w:id="360"/>
      <w:bookmarkEnd w:id="361"/>
    </w:p>
    <w:p w14:paraId="34C5EAA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2" w:name="_Toc26619"/>
      <w:bookmarkStart w:id="363" w:name="_Toc19407"/>
      <w:bookmarkStart w:id="364" w:name="_Toc163492870"/>
      <w:bookmarkStart w:id="365" w:name="_Toc140132803"/>
      <w:bookmarkStart w:id="366" w:name="_Toc25532"/>
      <w:bookmarkStart w:id="367" w:name="_Toc155185882"/>
      <w:r>
        <w:rPr>
          <w:rFonts w:hint="eastAsia" w:ascii="宋体" w:hAnsi="宋体" w:eastAsia="宋体" w:cs="宋体"/>
          <w:b/>
          <w:bCs/>
          <w:color w:val="auto"/>
          <w:kern w:val="2"/>
          <w:sz w:val="24"/>
          <w:szCs w:val="24"/>
          <w:highlight w:val="none"/>
          <w:lang w:val="en-US" w:eastAsia="zh-CN" w:bidi="ar-SA"/>
        </w:rPr>
        <w:t>（十一）采购代理服务费</w:t>
      </w:r>
      <w:bookmarkEnd w:id="362"/>
      <w:bookmarkEnd w:id="363"/>
      <w:bookmarkEnd w:id="364"/>
      <w:bookmarkEnd w:id="365"/>
      <w:bookmarkEnd w:id="366"/>
      <w:bookmarkEnd w:id="367"/>
    </w:p>
    <w:p w14:paraId="3EF5B76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8" w:name="_Toc16138"/>
      <w:bookmarkStart w:id="369" w:name="_Toc21533"/>
      <w:bookmarkStart w:id="370" w:name="_Toc140132804"/>
      <w:bookmarkStart w:id="371" w:name="_Toc163492871"/>
      <w:bookmarkStart w:id="372" w:name="_Toc16634"/>
      <w:r>
        <w:rPr>
          <w:rFonts w:hint="eastAsia" w:ascii="宋体" w:hAnsi="宋体" w:eastAsia="宋体" w:cs="宋体"/>
          <w:b/>
          <w:bCs/>
          <w:color w:val="auto"/>
          <w:kern w:val="2"/>
          <w:sz w:val="24"/>
          <w:szCs w:val="24"/>
          <w:highlight w:val="none"/>
          <w:lang w:val="en-US" w:eastAsia="zh-CN" w:bidi="ar-SA"/>
        </w:rPr>
        <w:t>38.收取方式和标准</w:t>
      </w:r>
      <w:bookmarkEnd w:id="368"/>
      <w:bookmarkEnd w:id="369"/>
      <w:bookmarkEnd w:id="370"/>
      <w:bookmarkEnd w:id="371"/>
      <w:bookmarkEnd w:id="372"/>
    </w:p>
    <w:p w14:paraId="0FDD9E2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73" w:name="_Toc15853"/>
      <w:bookmarkStart w:id="374" w:name="_Toc155185883"/>
      <w:bookmarkStart w:id="375" w:name="_Toc163492872"/>
      <w:bookmarkStart w:id="376" w:name="_Toc7566"/>
      <w:bookmarkStart w:id="377" w:name="_Toc26455"/>
      <w:bookmarkStart w:id="378" w:name="_Toc140132805"/>
      <w:r>
        <w:rPr>
          <w:rFonts w:hint="eastAsia" w:ascii="宋体" w:hAnsi="宋体" w:eastAsia="宋体" w:cs="宋体"/>
          <w:b/>
          <w:bCs/>
          <w:color w:val="auto"/>
          <w:kern w:val="2"/>
          <w:sz w:val="24"/>
          <w:szCs w:val="24"/>
          <w:highlight w:val="none"/>
          <w:lang w:val="en-US" w:eastAsia="zh-CN" w:bidi="ar-SA"/>
        </w:rPr>
        <w:t>（十二）无效投标和废标</w:t>
      </w:r>
      <w:bookmarkEnd w:id="373"/>
      <w:bookmarkEnd w:id="374"/>
      <w:bookmarkEnd w:id="375"/>
      <w:bookmarkEnd w:id="376"/>
      <w:bookmarkEnd w:id="377"/>
      <w:bookmarkEnd w:id="378"/>
    </w:p>
    <w:p w14:paraId="2586923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79" w:name="_Toc23298"/>
      <w:bookmarkStart w:id="380" w:name="_Toc163492873"/>
      <w:bookmarkStart w:id="381" w:name="_Toc9909"/>
      <w:bookmarkStart w:id="382" w:name="_Toc140132806"/>
      <w:bookmarkStart w:id="383" w:name="_Toc32022"/>
      <w:r>
        <w:rPr>
          <w:rFonts w:hint="eastAsia" w:ascii="宋体" w:hAnsi="宋体" w:eastAsia="宋体" w:cs="宋体"/>
          <w:b/>
          <w:bCs/>
          <w:color w:val="auto"/>
          <w:kern w:val="2"/>
          <w:sz w:val="24"/>
          <w:szCs w:val="24"/>
          <w:highlight w:val="none"/>
          <w:lang w:val="en-US" w:eastAsia="zh-CN" w:bidi="ar-SA"/>
        </w:rPr>
        <w:t>39.无效投标</w:t>
      </w:r>
      <w:bookmarkEnd w:id="379"/>
      <w:bookmarkEnd w:id="380"/>
      <w:bookmarkEnd w:id="381"/>
      <w:bookmarkEnd w:id="382"/>
      <w:bookmarkEnd w:id="383"/>
    </w:p>
    <w:p w14:paraId="0EBD130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84" w:name="_Toc163492874"/>
      <w:bookmarkStart w:id="385" w:name="_Toc18467"/>
      <w:bookmarkStart w:id="386" w:name="_Toc3107"/>
      <w:bookmarkStart w:id="387" w:name="_Toc140132807"/>
      <w:bookmarkStart w:id="388" w:name="_Toc15799"/>
      <w:r>
        <w:rPr>
          <w:rFonts w:hint="eastAsia" w:ascii="宋体" w:hAnsi="宋体" w:eastAsia="宋体" w:cs="宋体"/>
          <w:b/>
          <w:bCs/>
          <w:color w:val="auto"/>
          <w:kern w:val="2"/>
          <w:sz w:val="24"/>
          <w:szCs w:val="24"/>
          <w:highlight w:val="none"/>
          <w:lang w:val="en-US" w:eastAsia="zh-CN" w:bidi="ar-SA"/>
        </w:rPr>
        <w:t>40.废标</w:t>
      </w:r>
      <w:bookmarkEnd w:id="384"/>
      <w:bookmarkEnd w:id="385"/>
      <w:bookmarkEnd w:id="386"/>
      <w:bookmarkEnd w:id="387"/>
      <w:bookmarkEnd w:id="388"/>
    </w:p>
    <w:p w14:paraId="7B56974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89" w:name="_Toc140132766"/>
      <w:bookmarkStart w:id="390" w:name="_Toc163492875"/>
      <w:bookmarkStart w:id="391" w:name="_Toc3516"/>
      <w:bookmarkStart w:id="392" w:name="_Toc22480"/>
      <w:bookmarkStart w:id="393" w:name="_Toc16271"/>
      <w:bookmarkStart w:id="394" w:name="_Toc155185884"/>
      <w:bookmarkStart w:id="395" w:name="_Toc140132808"/>
      <w:r>
        <w:rPr>
          <w:rFonts w:hint="eastAsia" w:ascii="宋体" w:hAnsi="宋体" w:eastAsia="宋体" w:cs="宋体"/>
          <w:b/>
          <w:bCs/>
          <w:color w:val="auto"/>
          <w:kern w:val="2"/>
          <w:sz w:val="24"/>
          <w:szCs w:val="24"/>
          <w:highlight w:val="none"/>
          <w:lang w:val="en-US" w:eastAsia="zh-CN" w:bidi="ar-SA"/>
        </w:rPr>
        <w:t>（十三）落实政府采购政策</w:t>
      </w:r>
      <w:bookmarkEnd w:id="389"/>
      <w:bookmarkEnd w:id="390"/>
      <w:r>
        <w:rPr>
          <w:rFonts w:hint="eastAsia" w:ascii="宋体" w:hAnsi="宋体" w:eastAsia="宋体" w:cs="宋体"/>
          <w:b/>
          <w:bCs/>
          <w:color w:val="auto"/>
          <w:kern w:val="2"/>
          <w:sz w:val="24"/>
          <w:szCs w:val="24"/>
          <w:highlight w:val="none"/>
          <w:lang w:val="en-US" w:eastAsia="zh-CN" w:bidi="ar-SA"/>
        </w:rPr>
        <w:t>（包括但不限于下列具体政策要求）</w:t>
      </w:r>
      <w:bookmarkEnd w:id="391"/>
      <w:bookmarkEnd w:id="392"/>
      <w:bookmarkEnd w:id="393"/>
    </w:p>
    <w:p w14:paraId="5800BCE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96" w:name="_Toc23969"/>
      <w:bookmarkStart w:id="397" w:name="_Toc12045"/>
      <w:bookmarkStart w:id="398" w:name="_Toc21216"/>
      <w:bookmarkStart w:id="399" w:name="_Toc163492876"/>
      <w:r>
        <w:rPr>
          <w:rFonts w:hint="eastAsia" w:ascii="宋体" w:hAnsi="宋体" w:eastAsia="宋体" w:cs="宋体"/>
          <w:b/>
          <w:bCs/>
          <w:color w:val="auto"/>
          <w:kern w:val="2"/>
          <w:sz w:val="24"/>
          <w:szCs w:val="24"/>
          <w:highlight w:val="none"/>
          <w:lang w:val="en-US" w:eastAsia="zh-CN" w:bidi="ar-SA"/>
        </w:rPr>
        <w:t>41.支持国产和进口产品审批</w:t>
      </w:r>
      <w:bookmarkEnd w:id="396"/>
      <w:bookmarkEnd w:id="397"/>
      <w:bookmarkEnd w:id="398"/>
      <w:bookmarkEnd w:id="399"/>
    </w:p>
    <w:p w14:paraId="26D924D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w:t>
      </w: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rPr>
        <w:t>.1除“投标人须知前附表”另有规定外，政府采购应当采购本国</w:t>
      </w:r>
      <w:r>
        <w:rPr>
          <w:rFonts w:hint="eastAsia" w:ascii="宋体" w:hAnsi="宋体" w:eastAsia="宋体" w:cs="宋体"/>
          <w:snapToGrid w:val="0"/>
          <w:color w:val="auto"/>
          <w:sz w:val="24"/>
          <w:szCs w:val="24"/>
          <w:highlight w:val="none"/>
          <w:lang w:val="en-US" w:eastAsia="zh-CN"/>
        </w:rPr>
        <w:t>货物、工程和服务</w:t>
      </w:r>
      <w:r>
        <w:rPr>
          <w:rFonts w:hint="eastAsia" w:ascii="宋体" w:hAnsi="宋体" w:eastAsia="宋体" w:cs="宋体"/>
          <w:snapToGrid w:val="0"/>
          <w:color w:val="auto"/>
          <w:sz w:val="24"/>
          <w:szCs w:val="24"/>
          <w:highlight w:val="none"/>
        </w:rPr>
        <w:t>，确需采购进口产品的，采购人应当按照</w:t>
      </w:r>
      <w:r>
        <w:rPr>
          <w:rFonts w:hint="eastAsia" w:ascii="宋体" w:hAnsi="宋体" w:eastAsia="宋体" w:cs="宋体"/>
          <w:snapToGrid w:val="0"/>
          <w:color w:val="auto"/>
          <w:sz w:val="24"/>
          <w:szCs w:val="24"/>
          <w:highlight w:val="none"/>
          <w:lang w:val="en-US" w:eastAsia="zh-CN"/>
        </w:rPr>
        <w:t>《政府采购进口产品管理办法》（财库〔2007〕119 号文）、</w:t>
      </w:r>
      <w:r>
        <w:rPr>
          <w:rFonts w:hint="eastAsia" w:ascii="宋体" w:hAnsi="宋体" w:eastAsia="宋体" w:cs="宋体"/>
          <w:snapToGrid w:val="0"/>
          <w:color w:val="auto"/>
          <w:sz w:val="24"/>
          <w:szCs w:val="24"/>
          <w:highlight w:val="none"/>
        </w:rPr>
        <w:t>《关于政府采购进口产品管理有关问题的通知》（财办库〔2008〕248号）规定执行（进口产品审批制，科研院所监管部门另有规定的从其规定）。项目若涉及采购进口产品的，具体要求详见“第三章 采购需求”。</w:t>
      </w:r>
    </w:p>
    <w:p w14:paraId="201F13F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41.2进口产品指通过中国海关报关验放进入中国境内且产自关境外的产品，包括已经进入中国境内的进口产品。 </w:t>
      </w:r>
    </w:p>
    <w:p w14:paraId="0C404CE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41.3若采购需求中写明允许采购进口产品，投标人应保证所投产品可履行合法报通关手续进入中国关境内。</w:t>
      </w:r>
    </w:p>
    <w:p w14:paraId="50A8DE9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0" w:name="_Toc13373"/>
      <w:bookmarkStart w:id="401" w:name="_Toc17933"/>
      <w:bookmarkStart w:id="402" w:name="_Toc163492877"/>
      <w:bookmarkStart w:id="403" w:name="_Toc3349"/>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400"/>
      <w:bookmarkEnd w:id="401"/>
      <w:bookmarkEnd w:id="402"/>
      <w:bookmarkEnd w:id="403"/>
    </w:p>
    <w:p w14:paraId="6CF3C24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4" w:name="_Toc163492878"/>
      <w:bookmarkStart w:id="405" w:name="_Toc15890"/>
      <w:bookmarkStart w:id="406" w:name="_Toc5861"/>
      <w:bookmarkStart w:id="407" w:name="_Toc23996"/>
      <w:r>
        <w:rPr>
          <w:rFonts w:hint="eastAsia" w:ascii="宋体" w:hAnsi="宋体" w:eastAsia="宋体" w:cs="宋体"/>
          <w:b/>
          <w:bCs/>
          <w:color w:val="auto"/>
          <w:kern w:val="2"/>
          <w:sz w:val="24"/>
          <w:szCs w:val="24"/>
          <w:highlight w:val="none"/>
          <w:lang w:val="en-US" w:eastAsia="zh-CN" w:bidi="ar-SA"/>
        </w:rPr>
        <w:t>43.政府采购节能产品、环境标志产品</w:t>
      </w:r>
      <w:bookmarkEnd w:id="404"/>
      <w:bookmarkEnd w:id="405"/>
      <w:bookmarkEnd w:id="406"/>
      <w:bookmarkEnd w:id="407"/>
    </w:p>
    <w:p w14:paraId="741E7E7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4E599F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价格评审优惠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在评审时给予价格评审优惠，具体详见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5F04C72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8" w:name="_Toc5777"/>
      <w:bookmarkStart w:id="409" w:name="_Toc22896"/>
      <w:bookmarkStart w:id="410" w:name="_Toc8054"/>
      <w:bookmarkStart w:id="411" w:name="_Toc163492879"/>
      <w:r>
        <w:rPr>
          <w:rFonts w:hint="eastAsia" w:ascii="宋体" w:hAnsi="宋体" w:eastAsia="宋体" w:cs="宋体"/>
          <w:b/>
          <w:bCs/>
          <w:color w:val="auto"/>
          <w:kern w:val="2"/>
          <w:sz w:val="24"/>
          <w:szCs w:val="24"/>
          <w:highlight w:val="none"/>
          <w:lang w:val="en-US" w:eastAsia="zh-CN" w:bidi="ar-SA"/>
        </w:rPr>
        <w:t>44.正版软件</w:t>
      </w:r>
      <w:bookmarkEnd w:id="408"/>
      <w:bookmarkEnd w:id="409"/>
      <w:bookmarkEnd w:id="410"/>
      <w:r>
        <w:rPr>
          <w:rFonts w:hint="eastAsia" w:ascii="宋体" w:hAnsi="宋体" w:eastAsia="宋体" w:cs="宋体"/>
          <w:b/>
          <w:bCs/>
          <w:color w:val="auto"/>
          <w:kern w:val="2"/>
          <w:sz w:val="24"/>
          <w:szCs w:val="24"/>
          <w:highlight w:val="none"/>
          <w:lang w:val="en-US" w:eastAsia="zh-CN" w:bidi="ar-SA"/>
        </w:rPr>
        <w:t xml:space="preserve">  </w:t>
      </w:r>
    </w:p>
    <w:p w14:paraId="415973C1">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504E40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2" w:name="_Toc7834"/>
      <w:bookmarkStart w:id="413" w:name="_Toc15694"/>
      <w:bookmarkStart w:id="414" w:name="_Toc27611"/>
      <w:r>
        <w:rPr>
          <w:rFonts w:hint="eastAsia" w:ascii="宋体" w:hAnsi="宋体" w:eastAsia="宋体" w:cs="宋体"/>
          <w:b/>
          <w:bCs/>
          <w:color w:val="auto"/>
          <w:kern w:val="2"/>
          <w:sz w:val="24"/>
          <w:szCs w:val="24"/>
          <w:highlight w:val="none"/>
          <w:lang w:val="en-US" w:eastAsia="zh-CN" w:bidi="ar-SA"/>
        </w:rPr>
        <w:t>45.网络安全专用产品</w:t>
      </w:r>
      <w:bookmarkEnd w:id="412"/>
      <w:bookmarkEnd w:id="413"/>
      <w:bookmarkEnd w:id="414"/>
      <w:r>
        <w:rPr>
          <w:rFonts w:hint="eastAsia" w:ascii="宋体" w:hAnsi="宋体" w:eastAsia="宋体" w:cs="宋体"/>
          <w:b/>
          <w:bCs/>
          <w:color w:val="auto"/>
          <w:kern w:val="2"/>
          <w:sz w:val="24"/>
          <w:szCs w:val="24"/>
          <w:highlight w:val="none"/>
          <w:lang w:val="en-US" w:eastAsia="zh-CN" w:bidi="ar-SA"/>
        </w:rPr>
        <w:t xml:space="preserve">   </w:t>
      </w:r>
    </w:p>
    <w:p w14:paraId="13C0877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67E703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5" w:name="_Toc11862"/>
      <w:bookmarkStart w:id="416" w:name="_Toc27892"/>
      <w:bookmarkStart w:id="417" w:name="_Toc5974"/>
      <w:r>
        <w:rPr>
          <w:rFonts w:hint="eastAsia" w:ascii="宋体" w:hAnsi="宋体" w:eastAsia="宋体" w:cs="宋体"/>
          <w:b/>
          <w:bCs/>
          <w:color w:val="auto"/>
          <w:kern w:val="2"/>
          <w:sz w:val="24"/>
          <w:szCs w:val="24"/>
          <w:highlight w:val="none"/>
          <w:lang w:val="en-US" w:eastAsia="zh-CN" w:bidi="ar-SA"/>
        </w:rPr>
        <w:t>46.采购需求标准</w:t>
      </w:r>
      <w:bookmarkEnd w:id="415"/>
      <w:bookmarkEnd w:id="416"/>
      <w:bookmarkEnd w:id="417"/>
      <w:r>
        <w:rPr>
          <w:rFonts w:hint="eastAsia" w:ascii="宋体" w:hAnsi="宋体" w:eastAsia="宋体" w:cs="宋体"/>
          <w:b/>
          <w:bCs/>
          <w:color w:val="auto"/>
          <w:kern w:val="2"/>
          <w:sz w:val="24"/>
          <w:szCs w:val="24"/>
          <w:highlight w:val="none"/>
          <w:lang w:val="en-US" w:eastAsia="zh-CN" w:bidi="ar-SA"/>
        </w:rPr>
        <w:t xml:space="preserve">   </w:t>
      </w:r>
    </w:p>
    <w:p w14:paraId="77C6365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A9478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1617383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830872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2DDABA7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30E8139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23F8A15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2DC5EFF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0C0F87E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5BE4E6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8" w:name="_Toc17357"/>
      <w:bookmarkStart w:id="419" w:name="_Toc18589"/>
      <w:bookmarkStart w:id="420" w:name="_Toc27566"/>
      <w:r>
        <w:rPr>
          <w:rFonts w:hint="eastAsia" w:ascii="宋体" w:hAnsi="宋体" w:eastAsia="宋体" w:cs="宋体"/>
          <w:b/>
          <w:bCs/>
          <w:color w:val="auto"/>
          <w:kern w:val="2"/>
          <w:sz w:val="24"/>
          <w:szCs w:val="24"/>
          <w:highlight w:val="none"/>
          <w:lang w:val="en-US" w:eastAsia="zh-CN" w:bidi="ar-SA"/>
        </w:rPr>
        <w:t>（十四）政府采购合同融资政策</w:t>
      </w:r>
      <w:bookmarkEnd w:id="394"/>
      <w:bookmarkEnd w:id="395"/>
      <w:bookmarkEnd w:id="411"/>
      <w:bookmarkEnd w:id="418"/>
      <w:bookmarkEnd w:id="419"/>
      <w:bookmarkEnd w:id="420"/>
    </w:p>
    <w:p w14:paraId="7CF3274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1" w:name="_Toc10372"/>
      <w:bookmarkStart w:id="422" w:name="_Toc163492880"/>
      <w:bookmarkStart w:id="423" w:name="_Toc16609"/>
      <w:bookmarkStart w:id="424" w:name="_Toc10283"/>
      <w:r>
        <w:rPr>
          <w:rFonts w:hint="eastAsia" w:ascii="宋体" w:hAnsi="宋体" w:eastAsia="宋体" w:cs="宋体"/>
          <w:b/>
          <w:bCs/>
          <w:color w:val="auto"/>
          <w:kern w:val="2"/>
          <w:sz w:val="24"/>
          <w:szCs w:val="24"/>
          <w:highlight w:val="none"/>
          <w:lang w:val="en-US" w:eastAsia="zh-CN" w:bidi="ar-SA"/>
        </w:rPr>
        <w:t>47.政府采购合同融资政策</w:t>
      </w:r>
      <w:bookmarkEnd w:id="421"/>
      <w:bookmarkEnd w:id="422"/>
      <w:bookmarkEnd w:id="423"/>
      <w:bookmarkEnd w:id="424"/>
    </w:p>
    <w:p w14:paraId="2F90869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198FC62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5" w:name="_Toc6921"/>
      <w:bookmarkStart w:id="426" w:name="_Toc163492881"/>
      <w:bookmarkStart w:id="427" w:name="_Toc21672"/>
      <w:bookmarkStart w:id="428" w:name="_Toc25511"/>
      <w:r>
        <w:rPr>
          <w:rFonts w:hint="eastAsia" w:ascii="宋体" w:hAnsi="宋体" w:eastAsia="宋体" w:cs="宋体"/>
          <w:b/>
          <w:bCs/>
          <w:color w:val="auto"/>
          <w:kern w:val="2"/>
          <w:sz w:val="24"/>
          <w:szCs w:val="24"/>
          <w:highlight w:val="none"/>
          <w:lang w:val="en-US" w:eastAsia="zh-CN" w:bidi="ar-SA"/>
        </w:rPr>
        <w:t>（十五）其他</w:t>
      </w:r>
      <w:bookmarkEnd w:id="425"/>
      <w:bookmarkEnd w:id="426"/>
      <w:bookmarkEnd w:id="427"/>
      <w:bookmarkEnd w:id="428"/>
    </w:p>
    <w:p w14:paraId="370F802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9" w:name="_Toc28158"/>
      <w:bookmarkStart w:id="430" w:name="_Toc1148"/>
      <w:bookmarkStart w:id="431" w:name="_Toc163492882"/>
      <w:bookmarkStart w:id="432" w:name="_Toc19852"/>
      <w:r>
        <w:rPr>
          <w:rFonts w:hint="eastAsia" w:ascii="宋体" w:hAnsi="宋体" w:eastAsia="宋体" w:cs="宋体"/>
          <w:b/>
          <w:bCs/>
          <w:color w:val="auto"/>
          <w:kern w:val="2"/>
          <w:sz w:val="24"/>
          <w:szCs w:val="24"/>
          <w:highlight w:val="none"/>
          <w:lang w:val="en-US" w:eastAsia="zh-CN" w:bidi="ar-SA"/>
        </w:rPr>
        <w:t>48.需要补充的其他内容</w:t>
      </w:r>
      <w:bookmarkEnd w:id="429"/>
      <w:bookmarkEnd w:id="430"/>
      <w:bookmarkEnd w:id="431"/>
      <w:bookmarkEnd w:id="432"/>
    </w:p>
    <w:p w14:paraId="3251640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1BD29C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33" w:name="_Toc11583"/>
      <w:bookmarkStart w:id="434" w:name="_Toc746"/>
      <w:bookmarkStart w:id="435" w:name="_Toc140132810"/>
      <w:bookmarkStart w:id="436" w:name="_Toc163492883"/>
      <w:bookmarkStart w:id="437" w:name="_Toc24080"/>
      <w:bookmarkStart w:id="438" w:name="_Toc155185886"/>
      <w:r>
        <w:rPr>
          <w:rFonts w:hint="eastAsia" w:ascii="宋体" w:hAnsi="宋体" w:eastAsia="宋体" w:cs="宋体"/>
          <w:b/>
          <w:bCs/>
          <w:color w:val="auto"/>
          <w:kern w:val="2"/>
          <w:sz w:val="24"/>
          <w:szCs w:val="24"/>
          <w:highlight w:val="none"/>
          <w:lang w:val="en-US" w:eastAsia="zh-CN" w:bidi="ar-SA"/>
        </w:rPr>
        <w:t>49.适用法律</w:t>
      </w:r>
      <w:bookmarkEnd w:id="433"/>
      <w:bookmarkEnd w:id="434"/>
      <w:bookmarkEnd w:id="435"/>
      <w:bookmarkEnd w:id="436"/>
      <w:bookmarkEnd w:id="437"/>
      <w:bookmarkEnd w:id="438"/>
    </w:p>
    <w:p w14:paraId="0953B8A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39" w:name="_Toc163492884"/>
      <w:bookmarkStart w:id="440" w:name="_Toc17601"/>
      <w:bookmarkStart w:id="441" w:name="_Toc17546"/>
      <w:bookmarkStart w:id="442" w:name="_Toc7856"/>
      <w:bookmarkStart w:id="443" w:name="_Toc155185887"/>
      <w:r>
        <w:rPr>
          <w:rFonts w:hint="eastAsia" w:ascii="宋体" w:hAnsi="宋体" w:eastAsia="宋体" w:cs="宋体"/>
          <w:b/>
          <w:bCs/>
          <w:color w:val="auto"/>
          <w:kern w:val="2"/>
          <w:sz w:val="24"/>
          <w:szCs w:val="24"/>
          <w:highlight w:val="none"/>
          <w:lang w:val="en-US" w:eastAsia="zh-CN" w:bidi="ar-SA"/>
        </w:rPr>
        <w:t>50.解释权</w:t>
      </w:r>
      <w:bookmarkEnd w:id="439"/>
      <w:bookmarkEnd w:id="440"/>
      <w:bookmarkEnd w:id="441"/>
      <w:bookmarkEnd w:id="442"/>
      <w:bookmarkEnd w:id="443"/>
    </w:p>
    <w:p w14:paraId="5C6D27F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14:paraId="3C497DAE">
      <w:pPr>
        <w:pStyle w:val="39"/>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5FD6489E">
      <w:pPr>
        <w:pStyle w:val="39"/>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53956D8C">
      <w:pPr>
        <w:pStyle w:val="39"/>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76853F8C">
      <w:pPr>
        <w:pStyle w:val="39"/>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4B168E8B">
      <w:pPr>
        <w:pStyle w:val="39"/>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334BC83B">
      <w:pPr>
        <w:pStyle w:val="39"/>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5833B9FA">
      <w:pPr>
        <w:pStyle w:val="39"/>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7F68D20B">
      <w:pPr>
        <w:pStyle w:val="39"/>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7D4392D3">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footerReference r:id="rId7" w:type="default"/>
          <w:pgSz w:w="11906" w:h="16838"/>
          <w:pgMar w:top="1440" w:right="1800" w:bottom="1440" w:left="1800" w:header="851" w:footer="765" w:gutter="0"/>
          <w:pgBorders>
            <w:top w:val="none" w:sz="0" w:space="0"/>
            <w:left w:val="none" w:sz="0" w:space="0"/>
            <w:bottom w:val="none" w:sz="0" w:space="0"/>
            <w:right w:val="none" w:sz="0" w:space="0"/>
          </w:pgBorders>
          <w:pgNumType w:fmt="numberInDash" w:start="1"/>
          <w:cols w:space="0" w:num="1"/>
          <w:rtlGutter w:val="0"/>
          <w:docGrid w:type="lines" w:linePitch="312" w:charSpace="0"/>
        </w:sectPr>
      </w:pPr>
      <w:bookmarkStart w:id="444" w:name="_Toc21746"/>
      <w:bookmarkStart w:id="445" w:name="_Toc155185888"/>
    </w:p>
    <w:p w14:paraId="64696A9F">
      <w:pPr>
        <w:pStyle w:val="3"/>
        <w:bidi w:val="0"/>
        <w:rPr>
          <w:rFonts w:hint="default"/>
          <w:highlight w:val="none"/>
          <w:lang w:val="en-US" w:eastAsia="zh-CN"/>
        </w:rPr>
      </w:pPr>
      <w:bookmarkStart w:id="446" w:name="_Toc1640"/>
      <w:bookmarkStart w:id="447" w:name="_Toc5938"/>
      <w:r>
        <w:rPr>
          <w:rFonts w:hint="eastAsia" w:ascii="宋体" w:hAnsi="宋体" w:eastAsia="宋体" w:cs="宋体"/>
          <w:highlight w:val="none"/>
          <w:lang w:val="en-US" w:eastAsia="zh-CN"/>
        </w:rPr>
        <w:t>第三章 采购需求</w:t>
      </w:r>
      <w:bookmarkEnd w:id="444"/>
      <w:bookmarkEnd w:id="445"/>
      <w:bookmarkEnd w:id="446"/>
      <w:bookmarkEnd w:id="447"/>
      <w:bookmarkStart w:id="448" w:name="_Toc140132812"/>
      <w:bookmarkStart w:id="449" w:name="_Toc155185889"/>
    </w:p>
    <w:p w14:paraId="5C277A32">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eastAsia="宋体" w:asciiTheme="minorAscii" w:hAnsiTheme="minorAscii"/>
          <w:bCs w:val="0"/>
          <w:sz w:val="28"/>
          <w:szCs w:val="28"/>
          <w:highlight w:val="none"/>
          <w:lang w:val="en-US" w:eastAsia="zh-CN"/>
        </w:rPr>
      </w:pPr>
      <w:bookmarkStart w:id="450" w:name="_Toc18951"/>
      <w:r>
        <w:rPr>
          <w:rFonts w:hint="eastAsia" w:eastAsia="宋体" w:asciiTheme="minorAscii" w:hAnsiTheme="minorAscii"/>
          <w:bCs w:val="0"/>
          <w:sz w:val="28"/>
          <w:szCs w:val="28"/>
          <w:highlight w:val="none"/>
          <w:lang w:val="en-US" w:eastAsia="zh-CN"/>
        </w:rPr>
        <w:t>一、项目概况</w:t>
      </w:r>
      <w:bookmarkEnd w:id="450"/>
    </w:p>
    <w:p w14:paraId="7B2152FE">
      <w:pPr>
        <w:pStyle w:val="4"/>
        <w:keepNext/>
        <w:keepLines/>
        <w:pageBreakBefore w:val="0"/>
        <w:widowControl w:val="0"/>
        <w:shd w:val="clear"/>
        <w:kinsoku/>
        <w:wordWrap/>
        <w:overflowPunct/>
        <w:topLinePunct w:val="0"/>
        <w:autoSpaceDE/>
        <w:autoSpaceDN/>
        <w:bidi w:val="0"/>
        <w:adjustRightInd/>
        <w:snapToGrid/>
        <w:spacing w:line="240" w:lineRule="auto"/>
        <w:textAlignment w:val="auto"/>
        <w:rPr>
          <w:rFonts w:hint="eastAsia" w:eastAsia="宋体" w:asciiTheme="minorAscii" w:hAnsiTheme="minorAscii" w:cstheme="minorBidi"/>
          <w:b/>
          <w:bCs w:val="0"/>
          <w:kern w:val="44"/>
          <w:sz w:val="24"/>
          <w:szCs w:val="24"/>
          <w:highlight w:val="none"/>
          <w:lang w:val="en-US" w:eastAsia="zh-CN" w:bidi="ar-SA"/>
        </w:rPr>
      </w:pPr>
      <w:bookmarkStart w:id="451" w:name="_Toc25767"/>
      <w:bookmarkStart w:id="452" w:name="_Toc10738"/>
      <w:r>
        <w:rPr>
          <w:rFonts w:hint="eastAsia" w:eastAsia="宋体" w:asciiTheme="minorAscii" w:hAnsiTheme="minorAscii" w:cstheme="minorBidi"/>
          <w:b/>
          <w:bCs w:val="0"/>
          <w:kern w:val="44"/>
          <w:sz w:val="24"/>
          <w:szCs w:val="24"/>
          <w:highlight w:val="none"/>
          <w:lang w:val="en-US" w:eastAsia="zh-CN" w:bidi="ar-SA"/>
        </w:rPr>
        <w:t>（一）项目名称</w:t>
      </w:r>
      <w:bookmarkEnd w:id="451"/>
      <w:bookmarkEnd w:id="452"/>
    </w:p>
    <w:p w14:paraId="68E02E6C">
      <w:pPr>
        <w:pageBreakBefore w:val="0"/>
        <w:widowControl w:val="0"/>
        <w:shd w:val="clear"/>
        <w:kinsoku/>
        <w:wordWrap/>
        <w:overflowPunct/>
        <w:topLinePunct w:val="0"/>
        <w:autoSpaceDE/>
        <w:autoSpaceDN/>
        <w:bidi w:val="0"/>
        <w:adjustRightInd/>
        <w:snapToGrid/>
        <w:spacing w:line="240" w:lineRule="auto"/>
        <w:ind w:firstLine="480" w:firstLineChars="200"/>
        <w:textAlignment w:val="auto"/>
        <w:rPr>
          <w:rFonts w:hint="default"/>
          <w:highlight w:val="none"/>
          <w:lang w:val="en-US" w:eastAsia="zh-CN"/>
        </w:rPr>
      </w:pPr>
      <w:bookmarkStart w:id="453" w:name="_Toc28584"/>
      <w:r>
        <w:rPr>
          <w:rFonts w:hint="eastAsia"/>
          <w:highlight w:val="none"/>
          <w:lang w:val="en-US" w:eastAsia="zh-CN"/>
        </w:rPr>
        <w:t>新疆维吾尔自治区住房公积金业务信息系统运维服务项目</w:t>
      </w:r>
    </w:p>
    <w:bookmarkEnd w:id="453"/>
    <w:p w14:paraId="3D663887">
      <w:pPr>
        <w:pStyle w:val="4"/>
        <w:keepNext/>
        <w:keepLines/>
        <w:pageBreakBefore w:val="0"/>
        <w:widowControl w:val="0"/>
        <w:shd w:val="clear"/>
        <w:kinsoku/>
        <w:wordWrap/>
        <w:overflowPunct/>
        <w:topLinePunct w:val="0"/>
        <w:autoSpaceDE/>
        <w:autoSpaceDN/>
        <w:bidi w:val="0"/>
        <w:adjustRightInd/>
        <w:snapToGrid/>
        <w:spacing w:line="240" w:lineRule="auto"/>
        <w:textAlignment w:val="auto"/>
        <w:rPr>
          <w:rFonts w:hint="eastAsia" w:eastAsia="宋体" w:asciiTheme="minorAscii" w:hAnsiTheme="minorAscii" w:cstheme="minorBidi"/>
          <w:b/>
          <w:bCs w:val="0"/>
          <w:kern w:val="44"/>
          <w:sz w:val="24"/>
          <w:szCs w:val="24"/>
          <w:highlight w:val="none"/>
          <w:lang w:val="en-US" w:eastAsia="zh-CN" w:bidi="ar-SA"/>
        </w:rPr>
      </w:pPr>
      <w:bookmarkStart w:id="454" w:name="_Toc3613"/>
      <w:bookmarkStart w:id="455" w:name="_Toc26434"/>
      <w:bookmarkStart w:id="456" w:name="_Toc12614"/>
      <w:bookmarkStart w:id="457" w:name="_Toc200006538"/>
      <w:r>
        <w:rPr>
          <w:rFonts w:hint="eastAsia" w:asciiTheme="minorAscii" w:hAnsiTheme="minorAscii" w:cstheme="minorBidi"/>
          <w:b/>
          <w:bCs w:val="0"/>
          <w:kern w:val="44"/>
          <w:sz w:val="24"/>
          <w:szCs w:val="24"/>
          <w:highlight w:val="none"/>
          <w:lang w:val="en-US" w:eastAsia="zh-CN" w:bidi="ar-SA"/>
        </w:rPr>
        <w:t>（二）</w:t>
      </w:r>
      <w:r>
        <w:rPr>
          <w:rFonts w:hint="eastAsia" w:eastAsia="宋体" w:asciiTheme="minorAscii" w:hAnsiTheme="minorAscii" w:cstheme="minorBidi"/>
          <w:b/>
          <w:bCs w:val="0"/>
          <w:kern w:val="44"/>
          <w:sz w:val="24"/>
          <w:szCs w:val="24"/>
          <w:highlight w:val="none"/>
          <w:lang w:val="en-US" w:eastAsia="zh-CN" w:bidi="ar-SA"/>
        </w:rPr>
        <w:t>项目服务期</w:t>
      </w:r>
      <w:bookmarkEnd w:id="454"/>
      <w:bookmarkEnd w:id="455"/>
      <w:bookmarkEnd w:id="456"/>
      <w:bookmarkEnd w:id="457"/>
    </w:p>
    <w:p w14:paraId="7E665643">
      <w:pPr>
        <w:pageBreakBefore w:val="0"/>
        <w:widowControl w:val="0"/>
        <w:shd w:val="clear"/>
        <w:kinsoku/>
        <w:wordWrap/>
        <w:overflowPunct/>
        <w:topLinePunct w:val="0"/>
        <w:autoSpaceDE/>
        <w:autoSpaceDN/>
        <w:bidi w:val="0"/>
        <w:adjustRightInd/>
        <w:snapToGrid/>
        <w:spacing w:line="240" w:lineRule="auto"/>
        <w:ind w:firstLine="480" w:firstLineChars="200"/>
        <w:textAlignment w:val="auto"/>
        <w:rPr>
          <w:rFonts w:hint="default"/>
          <w:highlight w:val="none"/>
          <w:lang w:val="en-US" w:eastAsia="zh-CN"/>
        </w:rPr>
      </w:pPr>
      <w:r>
        <w:rPr>
          <w:rFonts w:hint="default"/>
          <w:highlight w:val="none"/>
          <w:lang w:val="en-US" w:eastAsia="zh-CN"/>
        </w:rPr>
        <w:t>合同履行期限：3年（具体以合同约定的时间为准）。</w:t>
      </w:r>
    </w:p>
    <w:p w14:paraId="556E5EEB">
      <w:pPr>
        <w:pStyle w:val="4"/>
        <w:keepNext/>
        <w:keepLines/>
        <w:pageBreakBefore w:val="0"/>
        <w:widowControl w:val="0"/>
        <w:shd w:val="clear"/>
        <w:kinsoku/>
        <w:wordWrap/>
        <w:overflowPunct/>
        <w:topLinePunct w:val="0"/>
        <w:autoSpaceDE/>
        <w:autoSpaceDN/>
        <w:bidi w:val="0"/>
        <w:adjustRightInd/>
        <w:snapToGrid/>
        <w:spacing w:line="240" w:lineRule="auto"/>
        <w:textAlignment w:val="auto"/>
        <w:rPr>
          <w:rFonts w:hint="eastAsia" w:asciiTheme="minorAscii" w:hAnsiTheme="minorAscii" w:cstheme="minorBidi"/>
          <w:b/>
          <w:bCs w:val="0"/>
          <w:kern w:val="44"/>
          <w:sz w:val="24"/>
          <w:szCs w:val="24"/>
          <w:highlight w:val="none"/>
          <w:lang w:val="en-US" w:eastAsia="zh-CN" w:bidi="ar-SA"/>
        </w:rPr>
      </w:pPr>
      <w:bookmarkStart w:id="458" w:name="_Toc23059"/>
      <w:bookmarkStart w:id="459" w:name="_Toc32156"/>
      <w:bookmarkStart w:id="460" w:name="_Toc2511"/>
      <w:bookmarkStart w:id="461" w:name="_Toc200006539"/>
      <w:r>
        <w:rPr>
          <w:rFonts w:hint="eastAsia" w:asciiTheme="minorAscii" w:hAnsiTheme="minorAscii" w:cstheme="minorBidi"/>
          <w:b/>
          <w:bCs w:val="0"/>
          <w:kern w:val="44"/>
          <w:sz w:val="24"/>
          <w:szCs w:val="24"/>
          <w:highlight w:val="none"/>
          <w:lang w:val="en-US" w:eastAsia="zh-CN" w:bidi="ar-SA"/>
        </w:rPr>
        <w:t>（三）付款方式</w:t>
      </w:r>
      <w:bookmarkEnd w:id="458"/>
      <w:bookmarkEnd w:id="459"/>
      <w:bookmarkEnd w:id="460"/>
      <w:bookmarkEnd w:id="461"/>
    </w:p>
    <w:p w14:paraId="4D3E541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合同签订后根据工作进度，分次支付不超过70%的年服务费，年底根据考核结果支付剩余年服务费。</w:t>
      </w:r>
    </w:p>
    <w:p w14:paraId="79740E6E">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eastAsia="宋体" w:asciiTheme="minorAscii" w:hAnsiTheme="minorAscii"/>
          <w:bCs w:val="0"/>
          <w:sz w:val="28"/>
          <w:szCs w:val="28"/>
          <w:highlight w:val="none"/>
          <w:lang w:val="en-US" w:eastAsia="zh-CN"/>
        </w:rPr>
      </w:pPr>
      <w:bookmarkStart w:id="462" w:name="_Toc32589"/>
      <w:bookmarkStart w:id="463" w:name="_Toc32157"/>
      <w:r>
        <w:rPr>
          <w:rFonts w:hint="eastAsia" w:eastAsia="宋体" w:asciiTheme="minorAscii" w:hAnsiTheme="minorAscii"/>
          <w:bCs w:val="0"/>
          <w:sz w:val="28"/>
          <w:szCs w:val="28"/>
          <w:highlight w:val="none"/>
          <w:lang w:val="en-US" w:eastAsia="zh-CN"/>
        </w:rPr>
        <w:t>二、项目背景</w:t>
      </w:r>
      <w:bookmarkEnd w:id="462"/>
      <w:bookmarkEnd w:id="463"/>
    </w:p>
    <w:p w14:paraId="6BDF555B">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新疆住房公积金信息化建设历经多年发展，取得了显著成效。自2017年起，在相关部门协同推进下，自治区各地（州、市）住房公积金管理中心采用统招分签模式，掀起了信息化建设热潮。2018年明确了统招分签的建设方式，确定了各承建商和服务商，统一了建设和服务标准，同年“双贯标”工作及综合服务平台以优异成绩通过国家住建部验收，新疆率先建成了基于云平台、自治区统一的集多项功能于一体的“智慧公积金”平台，实现了业务办理模式从分散到全城通办、自治区通办以及跨省通办的重大转变，标志着新疆住房公积金信息化管理进入了新阶段。</w:t>
      </w:r>
    </w:p>
    <w:p w14:paraId="0259F69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近年来，自治区住房公积金系统在大数据平台建设、征信接入、系统安全防护能力提升等方面不断深化，形成了诸多亮点成果。然而，随着信息技术的快速发展以及人们对住房公积金服务要求的不断提高，当前系统也面临着一些挑战与问题。例如，现有综合服务平台及渠道在业务“一网通办”“一窗通办”方面还有待进一步提升便捷性，数据资源的有效管理与利用存在不足，数据质量需进一步提高，同时在信创安全、数据安全保障等方面也存在一定的隐患，此外，业务需求的个性化、差异化持续增长，网上服务模式需要进一步优化以满足群众对高效、便利、易用线上平台的需求。</w:t>
      </w:r>
    </w:p>
    <w:p w14:paraId="61D190B0">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为确保新疆住房公积金信息系统的稳定运行，更好地满足缴存职工和单位的服务需求，消除安全隐患，构建网络信息安全风险屏障，特制</w:t>
      </w:r>
      <w:r>
        <w:rPr>
          <w:rFonts w:hint="eastAsia"/>
          <w:color w:val="000000" w:themeColor="text1"/>
          <w:highlight w:val="none"/>
          <w:lang w:val="en-US" w:eastAsia="zh-CN"/>
          <w14:textFill>
            <w14:solidFill>
              <w14:schemeClr w14:val="tx1"/>
            </w14:solidFill>
          </w14:textFill>
        </w:rPr>
        <w:t>定新疆维吾尔自治区住房公积金业务信息系统运维服务项目，</w:t>
      </w:r>
      <w:r>
        <w:rPr>
          <w:rFonts w:hint="eastAsia"/>
          <w:highlight w:val="none"/>
          <w:lang w:val="en-US" w:eastAsia="zh-CN"/>
        </w:rPr>
        <w:t>通过系统的维护与功能升级等工作，进一步推动新疆住房公积金事业的高质量发展，全面支撑住房公积金数字化发展。</w:t>
      </w:r>
    </w:p>
    <w:p w14:paraId="6B8FA68C">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eastAsia="宋体" w:asciiTheme="minorAscii" w:hAnsiTheme="minorAscii"/>
          <w:bCs w:val="0"/>
          <w:sz w:val="28"/>
          <w:szCs w:val="28"/>
          <w:highlight w:val="none"/>
          <w:lang w:val="en-US" w:eastAsia="zh-CN"/>
        </w:rPr>
      </w:pPr>
      <w:bookmarkStart w:id="464" w:name="_Toc3841"/>
      <w:bookmarkStart w:id="465" w:name="_Toc14737"/>
      <w:r>
        <w:rPr>
          <w:rFonts w:hint="eastAsia" w:eastAsia="宋体" w:asciiTheme="minorAscii" w:hAnsiTheme="minorAscii"/>
          <w:bCs w:val="0"/>
          <w:sz w:val="28"/>
          <w:szCs w:val="28"/>
          <w:highlight w:val="none"/>
          <w:lang w:val="en-US" w:eastAsia="zh-CN"/>
        </w:rPr>
        <w:t>三、服务目标</w:t>
      </w:r>
      <w:bookmarkEnd w:id="464"/>
    </w:p>
    <w:p w14:paraId="29D771F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default"/>
          <w:highlight w:val="none"/>
          <w:lang w:val="en-US" w:eastAsia="zh-CN"/>
        </w:rPr>
        <w:t>持续深化“放管服”改革及数字政府建设，以《关于加快住房公积金数字化发展的指导意见》（建金〔2022〕82号）为指引，围绕渠道服务、业务服务、数据资源服务、综合政务服务、互联互通服务、应用支撑服务、安全合规服务（合规保障与信创安全）七大方面，延续新疆维吾尔自治区住房公积金数字化服务，对组织的“人、钱、物、事”进行全面数字化管理，以管理促进业务发展，由业务产生数据，“数据+算法”赋能业务，全面优化各中心数字化水平，提高组织效率，通过平台能力维护优化、日常运维与周期性巡检，监控中心基础软件与应用系统运行情况，确保数字化平台便捷高效、智能精准、安全可控、开放可信、平稳运行，发挥数字化平台最大效能，保障平台“业务全面、任务完整、运行及时、结果准确、流程合规”，实现服务事项“网上办、掌上办、就近办、一次办”更加好办易办，推动新疆维吾尔自治区住房公积金事业高质量发展。</w:t>
      </w:r>
    </w:p>
    <w:p w14:paraId="3129B160">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eastAsia="宋体" w:asciiTheme="minorAscii" w:hAnsiTheme="minorAscii"/>
          <w:bCs w:val="0"/>
          <w:sz w:val="28"/>
          <w:szCs w:val="28"/>
          <w:highlight w:val="none"/>
          <w:lang w:val="en-US" w:eastAsia="zh-CN"/>
        </w:rPr>
      </w:pPr>
      <w:bookmarkStart w:id="466" w:name="_Toc22234"/>
      <w:r>
        <w:rPr>
          <w:rFonts w:hint="eastAsia" w:eastAsia="宋体" w:asciiTheme="minorAscii" w:hAnsiTheme="minorAscii"/>
          <w:bCs w:val="0"/>
          <w:sz w:val="28"/>
          <w:szCs w:val="28"/>
          <w:highlight w:val="none"/>
          <w:lang w:val="en-US" w:eastAsia="zh-CN"/>
        </w:rPr>
        <w:t>四、项目内容</w:t>
      </w:r>
      <w:bookmarkEnd w:id="466"/>
    </w:p>
    <w:p w14:paraId="2CADF754">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default" w:eastAsia="宋体" w:asciiTheme="minorAscii" w:hAnsiTheme="minorAscii"/>
          <w:bCs w:val="0"/>
          <w:sz w:val="24"/>
          <w:szCs w:val="24"/>
          <w:highlight w:val="none"/>
          <w:lang w:val="en-US" w:eastAsia="zh-CN"/>
        </w:rPr>
      </w:pPr>
      <w:bookmarkStart w:id="467" w:name="_Toc1005"/>
      <w:r>
        <w:rPr>
          <w:rFonts w:hint="eastAsia" w:eastAsia="宋体" w:asciiTheme="minorAscii" w:hAnsiTheme="minorAscii"/>
          <w:bCs w:val="0"/>
          <w:sz w:val="24"/>
          <w:szCs w:val="24"/>
          <w:highlight w:val="none"/>
          <w:lang w:val="en-US" w:eastAsia="zh-CN"/>
        </w:rPr>
        <w:t>（一）</w:t>
      </w:r>
      <w:r>
        <w:rPr>
          <w:rFonts w:hint="default" w:eastAsia="宋体" w:asciiTheme="minorAscii" w:hAnsiTheme="minorAscii"/>
          <w:bCs w:val="0"/>
          <w:sz w:val="24"/>
          <w:szCs w:val="24"/>
          <w:highlight w:val="none"/>
          <w:lang w:val="en-US" w:eastAsia="zh-CN"/>
        </w:rPr>
        <w:t>已上线系统运维服务</w:t>
      </w:r>
      <w:bookmarkEnd w:id="467"/>
    </w:p>
    <w:p w14:paraId="48A4ADF3">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服务内容包含核心业务系统运维、线上业务服务运维、综合政务服务运维、应用支撑服务运维、安全维护、系统评测。通过专业化运营服务，保障公积金业务系统稳定高效运行，强化对住建厅监管系统、数据共享平台的数据支持能力。</w:t>
      </w:r>
    </w:p>
    <w:p w14:paraId="0BF17DCD">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sz w:val="24"/>
          <w:szCs w:val="24"/>
          <w:highlight w:val="none"/>
          <w:lang w:val="en-US" w:eastAsia="zh-CN"/>
        </w:rPr>
      </w:pPr>
      <w:bookmarkStart w:id="468" w:name="_Toc17614"/>
      <w:r>
        <w:rPr>
          <w:rFonts w:hint="eastAsia" w:eastAsia="宋体" w:asciiTheme="minorAscii" w:hAnsiTheme="minorAscii"/>
          <w:bCs w:val="0"/>
          <w:sz w:val="24"/>
          <w:szCs w:val="24"/>
          <w:highlight w:val="none"/>
          <w:lang w:val="en-US" w:eastAsia="zh-CN"/>
        </w:rPr>
        <w:t>1.核心业务系统运维</w:t>
      </w:r>
      <w:bookmarkEnd w:id="468"/>
    </w:p>
    <w:p w14:paraId="68E06F8A">
      <w:pPr>
        <w:shd w:val="clear"/>
        <w:bidi w:val="0"/>
        <w:ind w:firstLine="480" w:firstLineChars="200"/>
        <w:rPr>
          <w:rFonts w:hint="eastAsia"/>
          <w:highlight w:val="none"/>
          <w:lang w:val="en-US" w:eastAsia="zh-CN"/>
        </w:rPr>
      </w:pPr>
      <w:r>
        <w:rPr>
          <w:rFonts w:hint="eastAsia"/>
          <w:highlight w:val="none"/>
          <w:lang w:val="en-US" w:eastAsia="zh-CN"/>
        </w:rPr>
        <w:t>对公积金核心业务系统已有住房的24项归集、16项提取、30项贷款、17项会计核算、14项资金管理共计101项主要业务模块以及84项统计查询模块等提供运行维护服务，持续优化系统界面和操作流程，提升用户体验，根据业务发展，按中心需求对系统进行维护性升级和改造，满足不断变化的业务需求；以数字底座为支撑，强化全链路运营与管理能力。结合数智化业财融合需求，保障业务数据与财务核算数据的同步。</w:t>
      </w:r>
    </w:p>
    <w:p w14:paraId="295FC8FF">
      <w:pPr>
        <w:shd w:val="clear"/>
        <w:bidi w:val="0"/>
        <w:ind w:firstLine="480" w:firstLineChars="200"/>
        <w:rPr>
          <w:rFonts w:hint="eastAsia"/>
          <w:highlight w:val="none"/>
          <w:lang w:val="en-US" w:eastAsia="zh-CN"/>
        </w:rPr>
      </w:pPr>
      <w:r>
        <w:rPr>
          <w:rFonts w:hint="eastAsia"/>
          <w:highlight w:val="none"/>
          <w:lang w:val="en-US" w:eastAsia="zh-CN"/>
        </w:rPr>
        <w:t>配合中心开展银行委托业务，对银行委托业务专区提供运行维护服务，对银行网点高拍仪提供适配服务。</w:t>
      </w:r>
    </w:p>
    <w:p w14:paraId="562BC865">
      <w:pPr>
        <w:shd w:val="clear"/>
        <w:bidi w:val="0"/>
        <w:ind w:firstLine="480" w:firstLineChars="200"/>
        <w:rPr>
          <w:rFonts w:hint="eastAsia"/>
          <w:highlight w:val="none"/>
          <w:lang w:val="en-US" w:eastAsia="zh-CN"/>
        </w:rPr>
      </w:pPr>
      <w:r>
        <w:rPr>
          <w:rFonts w:hint="eastAsia" w:ascii="宋体" w:hAnsi="宋体" w:eastAsia="宋体" w:cs="宋体"/>
          <w:b w:val="0"/>
          <w:bCs w:val="0"/>
          <w:color w:val="000000"/>
          <w:sz w:val="24"/>
          <w:szCs w:val="24"/>
          <w:highlight w:val="none"/>
          <w:lang w:val="en-US" w:eastAsia="zh-CN"/>
        </w:rPr>
        <w:t>★必须在现有系统框架、系统设计、数据库库表结构基础上进行服务。</w:t>
      </w:r>
    </w:p>
    <w:tbl>
      <w:tblPr>
        <w:tblStyle w:val="32"/>
        <w:tblW w:w="5834" w:type="pct"/>
        <w:tblInd w:w="-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40"/>
        <w:gridCol w:w="7798"/>
      </w:tblGrid>
      <w:tr w14:paraId="33D6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54" w:type="pct"/>
            <w:tcBorders>
              <w:top w:val="single" w:color="auto" w:sz="4" w:space="0"/>
              <w:left w:val="single" w:color="auto" w:sz="4" w:space="0"/>
              <w:bottom w:val="single" w:color="auto" w:sz="4" w:space="0"/>
              <w:right w:val="single" w:color="auto" w:sz="4" w:space="0"/>
            </w:tcBorders>
            <w:shd w:val="clear" w:color="auto" w:fill="D9D9D9"/>
            <w:vAlign w:val="center"/>
          </w:tcPr>
          <w:p w14:paraId="5294E313">
            <w:pPr>
              <w:shd w:val="clea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723" w:type="pct"/>
            <w:tcBorders>
              <w:top w:val="single" w:color="auto" w:sz="4" w:space="0"/>
              <w:left w:val="single" w:color="auto" w:sz="4" w:space="0"/>
              <w:bottom w:val="single" w:color="auto" w:sz="4" w:space="0"/>
              <w:right w:val="single" w:color="auto" w:sz="4" w:space="0"/>
            </w:tcBorders>
            <w:shd w:val="clear" w:color="auto" w:fill="D9D9D9"/>
            <w:vAlign w:val="center"/>
          </w:tcPr>
          <w:p w14:paraId="1139A8A8">
            <w:pPr>
              <w:shd w:val="clea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服务内容</w:t>
            </w:r>
          </w:p>
        </w:tc>
        <w:tc>
          <w:tcPr>
            <w:tcW w:w="3921" w:type="pct"/>
            <w:tcBorders>
              <w:top w:val="single" w:color="auto" w:sz="4" w:space="0"/>
              <w:left w:val="single" w:color="auto" w:sz="4" w:space="0"/>
              <w:bottom w:val="single" w:color="auto" w:sz="4" w:space="0"/>
              <w:right w:val="single" w:color="auto" w:sz="4" w:space="0"/>
            </w:tcBorders>
            <w:shd w:val="clear" w:color="auto" w:fill="D9D9D9"/>
            <w:vAlign w:val="center"/>
          </w:tcPr>
          <w:p w14:paraId="1E2129DD">
            <w:pPr>
              <w:shd w:val="clea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主要内容</w:t>
            </w:r>
          </w:p>
        </w:tc>
      </w:tr>
      <w:tr w14:paraId="3F14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0352FA78">
            <w:pPr>
              <w:shd w:val="clear"/>
              <w:spacing w:line="240" w:lineRule="auto"/>
              <w:ind w:firstLine="0" w:firstLineChars="0"/>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7F553D92">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住房公积金归集</w:t>
            </w:r>
          </w:p>
        </w:tc>
        <w:tc>
          <w:tcPr>
            <w:tcW w:w="3921" w:type="pct"/>
            <w:tcBorders>
              <w:top w:val="single" w:color="auto" w:sz="4" w:space="0"/>
              <w:left w:val="single" w:color="auto" w:sz="4" w:space="0"/>
              <w:bottom w:val="single" w:color="auto" w:sz="4" w:space="0"/>
              <w:right w:val="single" w:color="auto" w:sz="4" w:space="0"/>
            </w:tcBorders>
            <w:shd w:val="clear" w:color="auto" w:fill="auto"/>
            <w:vAlign w:val="center"/>
          </w:tcPr>
          <w:p w14:paraId="70DB4229">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归集主要完成</w:t>
            </w:r>
            <w:r>
              <w:rPr>
                <w:rFonts w:hint="eastAsia" w:ascii="宋体" w:hAnsi="宋体" w:eastAsia="宋体" w:cs="宋体"/>
                <w:b w:val="0"/>
                <w:bCs w:val="0"/>
                <w:color w:val="000000"/>
                <w:sz w:val="24"/>
                <w:szCs w:val="24"/>
                <w:highlight w:val="none"/>
              </w:rPr>
              <w:t>缴存单位开户</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缴存单位信息变更</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缴存单位缓缴</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缴存单位启封及封存</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单位注销</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退未分配金额单位托收签约</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单位缴存比例变更</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单位收款账户管理</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缴存白名单管理</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缴存人登记</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缴存人状态变更</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缴存人信息变更</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缴存人基数调整</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缴存人补缴</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汇缴核定</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错账调整</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账户合并</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未分配金额转移</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异地转移接续管理</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单位集团账户管理</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历史提取材料管理</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缴存单位网厅用户管理</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缴存人单位调整</w:t>
            </w:r>
            <w:r>
              <w:rPr>
                <w:rFonts w:hint="eastAsia" w:ascii="宋体" w:hAnsi="宋体" w:eastAsia="宋体" w:cs="宋体"/>
                <w:b w:val="0"/>
                <w:bCs w:val="0"/>
                <w:color w:val="000000"/>
                <w:sz w:val="24"/>
                <w:szCs w:val="24"/>
                <w:highlight w:val="none"/>
                <w:lang w:val="en-US" w:eastAsia="zh-CN"/>
              </w:rPr>
              <w:t>业务</w:t>
            </w:r>
            <w:r>
              <w:rPr>
                <w:rFonts w:hint="eastAsia" w:ascii="宋体" w:hAnsi="宋体" w:eastAsia="宋体" w:cs="宋体"/>
                <w:b w:val="0"/>
                <w:bCs w:val="0"/>
                <w:color w:val="000000"/>
                <w:sz w:val="24"/>
                <w:szCs w:val="24"/>
                <w:highlight w:val="none"/>
                <w:lang w:eastAsia="zh-CN"/>
              </w:rPr>
              <w:t>。</w:t>
            </w:r>
          </w:p>
        </w:tc>
      </w:tr>
      <w:tr w14:paraId="24CC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7500D196">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61F0E98B">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住房公积金提取</w:t>
            </w:r>
          </w:p>
        </w:tc>
        <w:tc>
          <w:tcPr>
            <w:tcW w:w="3921" w:type="pct"/>
            <w:tcBorders>
              <w:top w:val="single" w:color="auto" w:sz="4" w:space="0"/>
              <w:left w:val="single" w:color="auto" w:sz="4" w:space="0"/>
              <w:bottom w:val="single" w:color="auto" w:sz="4" w:space="0"/>
              <w:right w:val="single" w:color="auto" w:sz="4" w:space="0"/>
            </w:tcBorders>
            <w:shd w:val="clear" w:color="auto" w:fill="auto"/>
            <w:vAlign w:val="center"/>
          </w:tcPr>
          <w:p w14:paraId="3D3A0E9B">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提取主要完成</w:t>
            </w:r>
            <w:r>
              <w:rPr>
                <w:rFonts w:hint="eastAsia" w:ascii="宋体" w:hAnsi="宋体" w:eastAsia="宋体" w:cs="宋体"/>
                <w:b w:val="0"/>
                <w:bCs w:val="0"/>
                <w:color w:val="000000"/>
                <w:sz w:val="24"/>
                <w:szCs w:val="24"/>
                <w:highlight w:val="none"/>
              </w:rPr>
              <w:t>购买住房提取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偿还购房贷款本息提取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租房提取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建造翻建大修住房提取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离退休提取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终止劳动关系提取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死亡提取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出境定居提取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错缴提取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加装电梯提取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法院执行提取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疆内大额偿还贷提取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疆内跨中心对公对冲签约提取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商业贷款对公对冲签约提取</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账户合并</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零余额销户</w:t>
            </w:r>
            <w:r>
              <w:rPr>
                <w:rFonts w:hint="eastAsia" w:ascii="宋体" w:hAnsi="宋体" w:eastAsia="宋体" w:cs="宋体"/>
                <w:b w:val="0"/>
                <w:bCs w:val="0"/>
                <w:color w:val="000000"/>
                <w:sz w:val="24"/>
                <w:szCs w:val="24"/>
                <w:highlight w:val="none"/>
                <w:lang w:val="en-US" w:eastAsia="zh-CN"/>
              </w:rPr>
              <w:t>业务</w:t>
            </w:r>
            <w:r>
              <w:rPr>
                <w:rFonts w:hint="eastAsia" w:ascii="宋体" w:hAnsi="宋体" w:eastAsia="宋体" w:cs="宋体"/>
                <w:b w:val="0"/>
                <w:bCs w:val="0"/>
                <w:color w:val="000000"/>
                <w:sz w:val="24"/>
                <w:szCs w:val="24"/>
                <w:highlight w:val="none"/>
                <w:lang w:eastAsia="zh-CN"/>
              </w:rPr>
              <w:t>。</w:t>
            </w:r>
          </w:p>
        </w:tc>
      </w:tr>
      <w:tr w14:paraId="77EC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1F58768D">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013DE9BC">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住房公积金贷款</w:t>
            </w:r>
          </w:p>
        </w:tc>
        <w:tc>
          <w:tcPr>
            <w:tcW w:w="3921" w:type="pct"/>
            <w:tcBorders>
              <w:top w:val="single" w:color="auto" w:sz="4" w:space="0"/>
              <w:left w:val="single" w:color="auto" w:sz="4" w:space="0"/>
              <w:bottom w:val="single" w:color="auto" w:sz="4" w:space="0"/>
              <w:right w:val="single" w:color="auto" w:sz="4" w:space="0"/>
            </w:tcBorders>
            <w:shd w:val="clear" w:color="auto" w:fill="auto"/>
            <w:vAlign w:val="center"/>
          </w:tcPr>
          <w:p w14:paraId="4BEC5211">
            <w:pPr>
              <w:shd w:val="clear"/>
              <w:spacing w:line="240" w:lineRule="auto"/>
              <w:ind w:firstLine="0" w:firstLineChars="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贷款主要完成贷款申请、贷款预测、担保录入、还款计划、提前还款计算器、单笔扣款提前还本、提前结清、签约月缴公积金对冲还款、还款账号变更、借款人信息变更、婚姻关系变更、担保变更、贷款期限变更、担保方式变更、贷款信息关联、代偿还款、异地证明管理、贴息贷款管理、征信授权管理、外中心人员登记、开发商登记、开发商变更、项目录入项目变更、楼栋变更、补充项目材料、已核准项目增加楼号、保证金管理、开发商收款账号管理业务</w:t>
            </w:r>
            <w:r>
              <w:rPr>
                <w:rFonts w:hint="eastAsia" w:ascii="宋体" w:hAnsi="宋体" w:eastAsia="宋体" w:cs="宋体"/>
                <w:b w:val="0"/>
                <w:bCs w:val="0"/>
                <w:color w:val="000000"/>
                <w:sz w:val="24"/>
                <w:szCs w:val="24"/>
                <w:highlight w:val="none"/>
                <w:lang w:eastAsia="zh-CN"/>
              </w:rPr>
              <w:t>。</w:t>
            </w:r>
          </w:p>
        </w:tc>
      </w:tr>
      <w:tr w14:paraId="18CE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79B211E1">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6A80D377">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住房公积金会计核算</w:t>
            </w:r>
          </w:p>
        </w:tc>
        <w:tc>
          <w:tcPr>
            <w:tcW w:w="3921" w:type="pct"/>
            <w:tcBorders>
              <w:top w:val="single" w:color="auto" w:sz="4" w:space="0"/>
              <w:left w:val="single" w:color="auto" w:sz="4" w:space="0"/>
              <w:bottom w:val="single" w:color="auto" w:sz="4" w:space="0"/>
              <w:right w:val="single" w:color="auto" w:sz="4" w:space="0"/>
            </w:tcBorders>
            <w:shd w:val="clear" w:color="auto" w:fill="auto"/>
            <w:vAlign w:val="center"/>
          </w:tcPr>
          <w:p w14:paraId="58D013F5">
            <w:pPr>
              <w:shd w:val="clear"/>
              <w:spacing w:line="240" w:lineRule="auto"/>
              <w:ind w:firstLine="0" w:firstLineChars="0"/>
              <w:jc w:val="left"/>
              <w:rPr>
                <w:rFonts w:hint="default"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sz w:val="24"/>
                <w:szCs w:val="24"/>
                <w:highlight w:val="none"/>
              </w:rPr>
              <w:t>会计核算</w:t>
            </w:r>
            <w:r>
              <w:rPr>
                <w:rFonts w:hint="eastAsia" w:ascii="宋体" w:hAnsi="宋体" w:eastAsia="宋体" w:cs="宋体"/>
                <w:b w:val="0"/>
                <w:bCs w:val="0"/>
                <w:color w:val="000000"/>
                <w:sz w:val="24"/>
                <w:szCs w:val="24"/>
                <w:highlight w:val="none"/>
                <w:lang w:val="en-US" w:eastAsia="zh-CN"/>
              </w:rPr>
              <w:t>主要完成凭证制单、凭证查询、余额调节表、自动对账、财务结转、试算平衡、财务总账、财务明细账、银行存款日记账、财务分析、银行流水查询、业务流水查询、财务核算设置、资产负债表、增值收益表、增值收益分配表、业务明细汇总表业务。</w:t>
            </w:r>
          </w:p>
        </w:tc>
      </w:tr>
      <w:tr w14:paraId="4935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6450800E">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0251835F">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住房公积金资金管理</w:t>
            </w:r>
          </w:p>
        </w:tc>
        <w:tc>
          <w:tcPr>
            <w:tcW w:w="3921" w:type="pct"/>
            <w:tcBorders>
              <w:top w:val="single" w:color="auto" w:sz="4" w:space="0"/>
              <w:left w:val="single" w:color="auto" w:sz="4" w:space="0"/>
              <w:bottom w:val="single" w:color="auto" w:sz="4" w:space="0"/>
              <w:right w:val="single" w:color="auto" w:sz="4" w:space="0"/>
            </w:tcBorders>
            <w:shd w:val="clear" w:color="auto" w:fill="auto"/>
            <w:vAlign w:val="center"/>
          </w:tcPr>
          <w:p w14:paraId="382DF716">
            <w:pPr>
              <w:shd w:val="clear"/>
              <w:spacing w:line="240" w:lineRule="auto"/>
              <w:ind w:firstLine="0" w:firstLineChars="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资金管理</w:t>
            </w:r>
            <w:r>
              <w:rPr>
                <w:rFonts w:hint="eastAsia" w:ascii="宋体" w:hAnsi="宋体" w:eastAsia="宋体" w:cs="宋体"/>
                <w:b w:val="0"/>
                <w:bCs w:val="0"/>
                <w:color w:val="000000"/>
                <w:sz w:val="24"/>
                <w:szCs w:val="24"/>
                <w:highlight w:val="none"/>
                <w:lang w:val="en-US" w:eastAsia="zh-CN"/>
              </w:rPr>
              <w:t>主要完成账户实时余额查询、挂账冲回、退款、资金划拨、转存定期、定期解定及续存、费用支付、资金上缴、其他支出、增值收益分配、预提管理、资金计划管理、资金业务查询、资金业务设置业务。</w:t>
            </w:r>
          </w:p>
        </w:tc>
      </w:tr>
      <w:tr w14:paraId="3B09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3AF64539">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210FFF80">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查询及统计</w:t>
            </w:r>
          </w:p>
        </w:tc>
        <w:tc>
          <w:tcPr>
            <w:tcW w:w="3921" w:type="pct"/>
            <w:tcBorders>
              <w:top w:val="single" w:color="auto" w:sz="4" w:space="0"/>
              <w:left w:val="single" w:color="auto" w:sz="4" w:space="0"/>
              <w:bottom w:val="single" w:color="auto" w:sz="4" w:space="0"/>
              <w:right w:val="single" w:color="auto" w:sz="4" w:space="0"/>
            </w:tcBorders>
            <w:shd w:val="clear" w:color="auto" w:fill="auto"/>
            <w:vAlign w:val="center"/>
          </w:tcPr>
          <w:p w14:paraId="56EBF820">
            <w:pPr>
              <w:shd w:val="clear"/>
              <w:spacing w:line="240" w:lineRule="auto"/>
              <w:ind w:firstLine="0" w:firstLineChars="0"/>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rPr>
              <w:t>查询及统计</w:t>
            </w:r>
            <w:r>
              <w:rPr>
                <w:rFonts w:hint="eastAsia" w:ascii="宋体" w:hAnsi="宋体" w:eastAsia="宋体" w:cs="宋体"/>
                <w:b w:val="0"/>
                <w:bCs w:val="0"/>
                <w:color w:val="000000"/>
                <w:sz w:val="24"/>
                <w:szCs w:val="24"/>
                <w:highlight w:val="none"/>
                <w:lang w:val="en-US" w:eastAsia="zh-CN"/>
              </w:rPr>
              <w:t>主要完成</w:t>
            </w:r>
            <w:r>
              <w:rPr>
                <w:rFonts w:hint="eastAsia" w:ascii="宋体" w:hAnsi="宋体" w:eastAsia="宋体" w:cs="宋体"/>
                <w:b/>
                <w:bCs/>
                <w:color w:val="000000"/>
                <w:sz w:val="24"/>
                <w:szCs w:val="24"/>
                <w:highlight w:val="none"/>
                <w:lang w:val="en-US" w:eastAsia="zh-CN"/>
              </w:rPr>
              <w:t>客户信息查询</w:t>
            </w:r>
            <w:r>
              <w:rPr>
                <w:rFonts w:hint="eastAsia" w:ascii="宋体" w:hAnsi="宋体" w:eastAsia="宋体" w:cs="宋体"/>
                <w:b w:val="0"/>
                <w:bCs w:val="0"/>
                <w:color w:val="000000"/>
                <w:sz w:val="24"/>
                <w:szCs w:val="24"/>
                <w:highlight w:val="none"/>
                <w:lang w:val="en-US" w:eastAsia="zh-CN"/>
              </w:rPr>
              <w:t>（含缴存单位查询、集团缴存单位查询、缴存人查询、开发商查询、借款人查询）、</w:t>
            </w:r>
            <w:r>
              <w:rPr>
                <w:rFonts w:hint="eastAsia" w:ascii="宋体" w:hAnsi="宋体" w:eastAsia="宋体" w:cs="宋体"/>
                <w:b/>
                <w:bCs/>
                <w:color w:val="000000"/>
                <w:sz w:val="24"/>
                <w:szCs w:val="24"/>
                <w:highlight w:val="none"/>
                <w:lang w:val="en-US" w:eastAsia="zh-CN"/>
              </w:rPr>
              <w:t>归集信息查询</w:t>
            </w:r>
            <w:r>
              <w:rPr>
                <w:rFonts w:hint="eastAsia" w:ascii="宋体" w:hAnsi="宋体" w:eastAsia="宋体" w:cs="宋体"/>
                <w:b w:val="0"/>
                <w:bCs w:val="0"/>
                <w:color w:val="000000"/>
                <w:sz w:val="24"/>
                <w:szCs w:val="24"/>
                <w:highlight w:val="none"/>
                <w:lang w:val="en-US" w:eastAsia="zh-CN"/>
              </w:rPr>
              <w:t>（含单位业务流水、单位变更业务、单位变更汇总、缴存人变更业务、单位未办结业务、业务汇总查询、单位未分配金额查询、单位归集余额查询、单位欠缴查询、单位结息查询、离柜率查询、单位核定情况、托收查询、补缴查询、缴存人托收查询、外中心重账户查询）、</w:t>
            </w:r>
            <w:r>
              <w:rPr>
                <w:rFonts w:hint="eastAsia" w:ascii="宋体" w:hAnsi="宋体" w:eastAsia="宋体" w:cs="宋体"/>
                <w:b/>
                <w:bCs/>
                <w:color w:val="000000"/>
                <w:sz w:val="24"/>
                <w:szCs w:val="24"/>
                <w:highlight w:val="none"/>
                <w:lang w:val="en-US" w:eastAsia="zh-CN"/>
              </w:rPr>
              <w:t>提取业务查询</w:t>
            </w:r>
            <w:r>
              <w:rPr>
                <w:rFonts w:hint="eastAsia" w:ascii="宋体" w:hAnsi="宋体" w:eastAsia="宋体" w:cs="宋体"/>
                <w:b w:val="0"/>
                <w:bCs w:val="0"/>
                <w:color w:val="000000"/>
                <w:sz w:val="24"/>
                <w:szCs w:val="24"/>
                <w:highlight w:val="none"/>
                <w:lang w:val="en-US" w:eastAsia="zh-CN"/>
              </w:rPr>
              <w:t>（含缴存人提取、房租签约提取、提取汇总、商业贷款对公对冲）、</w:t>
            </w:r>
            <w:r>
              <w:rPr>
                <w:rFonts w:hint="eastAsia" w:ascii="宋体" w:hAnsi="宋体" w:eastAsia="宋体" w:cs="宋体"/>
                <w:b/>
                <w:bCs/>
                <w:color w:val="000000"/>
                <w:sz w:val="24"/>
                <w:szCs w:val="24"/>
                <w:highlight w:val="none"/>
                <w:lang w:val="en-US" w:eastAsia="zh-CN"/>
              </w:rPr>
              <w:t>个人贷款业务查询</w:t>
            </w:r>
            <w:r>
              <w:rPr>
                <w:rFonts w:hint="eastAsia" w:ascii="宋体" w:hAnsi="宋体" w:eastAsia="宋体" w:cs="宋体"/>
                <w:b w:val="0"/>
                <w:bCs w:val="0"/>
                <w:color w:val="000000"/>
                <w:sz w:val="24"/>
                <w:szCs w:val="24"/>
                <w:highlight w:val="none"/>
                <w:lang w:val="en-US" w:eastAsia="zh-CN"/>
              </w:rPr>
              <w:t>（含贷款账户、贷款逾期查询、贷款变更查询、担保变更、贷款业务流水查询、外中心人员、未发放贷款资金情况、贷款余额查询、异地贷款信息查询、贷款未办结业务查询、委托异地贷款查询、抵押扣费查询、贷款业务退回统计查询、贷款手续费、逾期率查询、应转未转逾期查询、贷款结清证明查询、授权信息查询）、</w:t>
            </w:r>
            <w:r>
              <w:rPr>
                <w:rFonts w:hint="eastAsia" w:ascii="宋体" w:hAnsi="宋体" w:eastAsia="宋体" w:cs="宋体"/>
                <w:b/>
                <w:bCs/>
                <w:color w:val="000000"/>
                <w:sz w:val="24"/>
                <w:szCs w:val="24"/>
                <w:highlight w:val="none"/>
                <w:lang w:val="en-US" w:eastAsia="zh-CN"/>
              </w:rPr>
              <w:t>开发商业务查询</w:t>
            </w:r>
            <w:r>
              <w:rPr>
                <w:rFonts w:hint="eastAsia" w:ascii="宋体" w:hAnsi="宋体" w:eastAsia="宋体" w:cs="宋体"/>
                <w:b w:val="0"/>
                <w:bCs w:val="0"/>
                <w:color w:val="000000"/>
                <w:sz w:val="24"/>
                <w:szCs w:val="24"/>
                <w:highlight w:val="none"/>
                <w:lang w:val="en-US" w:eastAsia="zh-CN"/>
              </w:rPr>
              <w:t>（含项目查询、楼栋查询、贷款保证金、保证金账户余额、保证金账户流水、新增楼栋查询、开发商变更查询、不动产登记证明查询）、</w:t>
            </w:r>
            <w:r>
              <w:rPr>
                <w:rFonts w:hint="eastAsia" w:ascii="宋体" w:hAnsi="宋体" w:eastAsia="宋体" w:cs="宋体"/>
                <w:b/>
                <w:bCs/>
                <w:color w:val="000000"/>
                <w:sz w:val="24"/>
                <w:szCs w:val="24"/>
                <w:highlight w:val="none"/>
                <w:lang w:val="en-US" w:eastAsia="zh-CN"/>
              </w:rPr>
              <w:t>批量业务查询</w:t>
            </w:r>
            <w:r>
              <w:rPr>
                <w:rFonts w:hint="eastAsia" w:ascii="宋体" w:hAnsi="宋体" w:eastAsia="宋体" w:cs="宋体"/>
                <w:b w:val="0"/>
                <w:bCs w:val="0"/>
                <w:color w:val="000000"/>
                <w:sz w:val="24"/>
                <w:szCs w:val="24"/>
                <w:highlight w:val="none"/>
                <w:lang w:val="en-US" w:eastAsia="zh-CN"/>
              </w:rPr>
              <w:t>（含批量处理查询、批量失败明细查询、托收失败明细查询、贴息贷款明细接收查询、未批扣数据查询）、</w:t>
            </w:r>
            <w:r>
              <w:rPr>
                <w:rFonts w:hint="eastAsia" w:ascii="宋体" w:hAnsi="宋体" w:eastAsia="宋体" w:cs="宋体"/>
                <w:b/>
                <w:bCs/>
                <w:color w:val="000000"/>
                <w:sz w:val="24"/>
                <w:szCs w:val="24"/>
                <w:highlight w:val="none"/>
                <w:lang w:val="en-US" w:eastAsia="zh-CN"/>
              </w:rPr>
              <w:t>电子工单查询</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bCs/>
                <w:color w:val="000000"/>
                <w:sz w:val="24"/>
                <w:szCs w:val="24"/>
                <w:highlight w:val="none"/>
                <w:lang w:val="en-US" w:eastAsia="zh-CN"/>
              </w:rPr>
              <w:t>贴息贷款查询</w:t>
            </w:r>
            <w:r>
              <w:rPr>
                <w:rFonts w:hint="eastAsia" w:ascii="宋体" w:hAnsi="宋体" w:eastAsia="宋体" w:cs="宋体"/>
                <w:b w:val="0"/>
                <w:bCs w:val="0"/>
                <w:color w:val="000000"/>
                <w:sz w:val="24"/>
                <w:szCs w:val="24"/>
                <w:highlight w:val="none"/>
                <w:lang w:val="en-US" w:eastAsia="zh-CN"/>
              </w:rPr>
              <w:t>（含发送对冲明细查询、贴息贷款余额明细接收查询、还款明细核对查询、贴息贷款赎回查询）、</w:t>
            </w:r>
            <w:r>
              <w:rPr>
                <w:rFonts w:hint="eastAsia" w:ascii="宋体" w:hAnsi="宋体" w:eastAsia="宋体" w:cs="宋体"/>
                <w:b/>
                <w:bCs/>
                <w:color w:val="000000"/>
                <w:sz w:val="24"/>
                <w:szCs w:val="24"/>
                <w:highlight w:val="none"/>
                <w:lang w:val="en-US" w:eastAsia="zh-CN"/>
              </w:rPr>
              <w:t>四通专区业务查询</w:t>
            </w:r>
            <w:r>
              <w:rPr>
                <w:rFonts w:hint="eastAsia" w:ascii="宋体" w:hAnsi="宋体" w:eastAsia="宋体" w:cs="宋体"/>
                <w:b w:val="0"/>
                <w:bCs w:val="0"/>
                <w:color w:val="000000"/>
                <w:sz w:val="24"/>
                <w:szCs w:val="24"/>
                <w:highlight w:val="none"/>
                <w:lang w:val="en-US" w:eastAsia="zh-CN"/>
              </w:rPr>
              <w:t>（含本中心代办他中心业务、他中心代办本中心业务）、</w:t>
            </w:r>
            <w:r>
              <w:rPr>
                <w:rFonts w:hint="eastAsia" w:ascii="宋体" w:hAnsi="宋体" w:eastAsia="宋体" w:cs="宋体"/>
                <w:b/>
                <w:bCs/>
                <w:color w:val="000000"/>
                <w:sz w:val="24"/>
                <w:szCs w:val="24"/>
                <w:highlight w:val="none"/>
                <w:lang w:val="en-US" w:eastAsia="zh-CN"/>
              </w:rPr>
              <w:t>跨中心偿还贷款查询</w:t>
            </w:r>
            <w:r>
              <w:rPr>
                <w:rFonts w:hint="eastAsia" w:ascii="宋体" w:hAnsi="宋体" w:eastAsia="宋体" w:cs="宋体"/>
                <w:b w:val="0"/>
                <w:bCs w:val="0"/>
                <w:color w:val="000000"/>
                <w:sz w:val="24"/>
                <w:szCs w:val="24"/>
                <w:highlight w:val="none"/>
                <w:lang w:val="en-US" w:eastAsia="zh-CN"/>
              </w:rPr>
              <w:t>（含跨中心偿还贷款支取签约、跨中心偿还贷款支取解约、跨中心偿还贷款支取变更、跨中心偿还贷款支取对冲）、</w:t>
            </w:r>
            <w:r>
              <w:rPr>
                <w:rFonts w:hint="eastAsia" w:ascii="宋体" w:hAnsi="宋体" w:eastAsia="宋体" w:cs="宋体"/>
                <w:b/>
                <w:bCs/>
                <w:color w:val="000000"/>
                <w:sz w:val="24"/>
                <w:szCs w:val="24"/>
                <w:highlight w:val="none"/>
                <w:lang w:val="en-US" w:eastAsia="zh-CN"/>
              </w:rPr>
              <w:t>跨中心对公偿还贷款查询</w:t>
            </w:r>
            <w:r>
              <w:rPr>
                <w:rFonts w:hint="eastAsia" w:ascii="宋体" w:hAnsi="宋体" w:eastAsia="宋体" w:cs="宋体"/>
                <w:b w:val="0"/>
                <w:bCs w:val="0"/>
                <w:color w:val="000000"/>
                <w:sz w:val="24"/>
                <w:szCs w:val="24"/>
                <w:highlight w:val="none"/>
                <w:lang w:val="en-US" w:eastAsia="zh-CN"/>
              </w:rPr>
              <w:t>（含本中心对冲他中心/银行贷款、他中心对冲本中心贷款、对冲失败明细查询）、</w:t>
            </w:r>
            <w:r>
              <w:rPr>
                <w:rFonts w:hint="eastAsia" w:ascii="宋体" w:hAnsi="宋体" w:eastAsia="宋体" w:cs="宋体"/>
                <w:b/>
                <w:bCs/>
                <w:color w:val="000000"/>
                <w:sz w:val="24"/>
                <w:szCs w:val="24"/>
                <w:highlight w:val="none"/>
                <w:lang w:val="en-US" w:eastAsia="zh-CN"/>
              </w:rPr>
              <w:t>高校办成一件事查询</w:t>
            </w:r>
            <w:r>
              <w:rPr>
                <w:rFonts w:hint="eastAsia" w:ascii="宋体" w:hAnsi="宋体" w:eastAsia="宋体" w:cs="宋体"/>
                <w:b w:val="0"/>
                <w:bCs w:val="0"/>
                <w:color w:val="000000"/>
                <w:sz w:val="24"/>
                <w:szCs w:val="24"/>
                <w:highlight w:val="none"/>
                <w:lang w:val="en-US" w:eastAsia="zh-CN"/>
              </w:rPr>
              <w:t>（人社厅个人开户、民政厅死亡提取、市监局企业开户、企业破产核查、企业上市核查、企业信息变更、公积金退休提取、企业迁移登记、员工招聘）、</w:t>
            </w:r>
            <w:r>
              <w:rPr>
                <w:rFonts w:hint="eastAsia" w:ascii="宋体" w:hAnsi="宋体" w:eastAsia="宋体" w:cs="宋体"/>
                <w:b/>
                <w:bCs/>
                <w:color w:val="000000"/>
                <w:sz w:val="24"/>
                <w:szCs w:val="24"/>
                <w:highlight w:val="none"/>
                <w:lang w:val="en-US" w:eastAsia="zh-CN"/>
              </w:rPr>
              <w:t>统计分析</w:t>
            </w:r>
            <w:r>
              <w:rPr>
                <w:rFonts w:hint="eastAsia" w:ascii="宋体" w:hAnsi="宋体" w:eastAsia="宋体" w:cs="宋体"/>
                <w:b w:val="0"/>
                <w:bCs w:val="0"/>
                <w:color w:val="000000"/>
                <w:sz w:val="24"/>
                <w:szCs w:val="24"/>
                <w:highlight w:val="none"/>
                <w:lang w:val="en-US" w:eastAsia="zh-CN"/>
              </w:rPr>
              <w:t>（单指标分析、多指标分析、住建部报表、内部报表、灵活就业报表）业务。</w:t>
            </w:r>
          </w:p>
        </w:tc>
      </w:tr>
      <w:tr w14:paraId="22BD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0BB6768">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60DA1AAD">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住房公积金灵活就业缴存</w:t>
            </w:r>
          </w:p>
        </w:tc>
        <w:tc>
          <w:tcPr>
            <w:tcW w:w="3921" w:type="pct"/>
            <w:tcBorders>
              <w:top w:val="single" w:color="auto" w:sz="4" w:space="0"/>
              <w:left w:val="single" w:color="auto" w:sz="4" w:space="0"/>
              <w:bottom w:val="single" w:color="auto" w:sz="4" w:space="0"/>
              <w:right w:val="single" w:color="auto" w:sz="4" w:space="0"/>
            </w:tcBorders>
            <w:shd w:val="clear" w:color="auto" w:fill="auto"/>
            <w:vAlign w:val="center"/>
          </w:tcPr>
          <w:p w14:paraId="7C7122D4">
            <w:pPr>
              <w:shd w:val="clear"/>
              <w:spacing w:line="240" w:lineRule="auto"/>
              <w:ind w:firstLine="0" w:firstLineChars="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对已上线的中心提供灵活就业缴存归集、提取、贷款、财务、结算、查询统计、报表业务维护，对未上线的中心配合程序开发、测试、上线、运维服务；配合中心开发灵活就业缴存线上业务及外部渠道接口。按住建部制定的灵活就业缴存数据上报标准开发上报程序，提供数据上报服务。</w:t>
            </w:r>
          </w:p>
        </w:tc>
      </w:tr>
      <w:tr w14:paraId="7D46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4B0189C">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8</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519028BF">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互联互通</w:t>
            </w:r>
          </w:p>
        </w:tc>
        <w:tc>
          <w:tcPr>
            <w:tcW w:w="3921" w:type="pct"/>
            <w:tcBorders>
              <w:top w:val="single" w:color="auto" w:sz="4" w:space="0"/>
              <w:left w:val="single" w:color="auto" w:sz="4" w:space="0"/>
              <w:bottom w:val="single" w:color="auto" w:sz="4" w:space="0"/>
              <w:right w:val="single" w:color="auto" w:sz="4" w:space="0"/>
            </w:tcBorders>
            <w:shd w:val="clear" w:color="auto" w:fill="auto"/>
            <w:vAlign w:val="center"/>
          </w:tcPr>
          <w:p w14:paraId="361D56F6">
            <w:pPr>
              <w:shd w:val="clear"/>
              <w:spacing w:line="240" w:lineRule="auto"/>
              <w:ind w:firstLine="0" w:firstLineChars="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对目前已接入的10个部门，53个全国接口、12个省级接口、15个市级接口共计80个接口的运行维护服务；对住建部平台结算平台接口及其他业务接口提供对接及运维服务。</w:t>
            </w:r>
          </w:p>
        </w:tc>
      </w:tr>
      <w:tr w14:paraId="0320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18057D0F">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9</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71D51681">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行政执法</w:t>
            </w:r>
          </w:p>
        </w:tc>
        <w:tc>
          <w:tcPr>
            <w:tcW w:w="3921" w:type="pct"/>
            <w:tcBorders>
              <w:top w:val="single" w:color="auto" w:sz="4" w:space="0"/>
              <w:left w:val="single" w:color="auto" w:sz="4" w:space="0"/>
              <w:bottom w:val="single" w:color="auto" w:sz="4" w:space="0"/>
              <w:right w:val="single" w:color="auto" w:sz="4" w:space="0"/>
            </w:tcBorders>
            <w:shd w:val="clear" w:color="auto" w:fill="auto"/>
            <w:vAlign w:val="center"/>
          </w:tcPr>
          <w:p w14:paraId="43597055">
            <w:pPr>
              <w:shd w:val="clear"/>
              <w:spacing w:line="240" w:lineRule="auto"/>
              <w:ind w:firstLine="0" w:firstLineChars="0"/>
              <w:jc w:val="left"/>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行政执法主要完成黑名单管理、法院执行提取、中心执法等业务。</w:t>
            </w:r>
          </w:p>
        </w:tc>
      </w:tr>
      <w:tr w14:paraId="251D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6071D01F">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10</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40FFA4F3">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绩效考核</w:t>
            </w:r>
          </w:p>
        </w:tc>
        <w:tc>
          <w:tcPr>
            <w:tcW w:w="3921" w:type="pct"/>
            <w:tcBorders>
              <w:top w:val="single" w:color="auto" w:sz="4" w:space="0"/>
              <w:left w:val="single" w:color="auto" w:sz="4" w:space="0"/>
              <w:bottom w:val="single" w:color="auto" w:sz="4" w:space="0"/>
              <w:right w:val="single" w:color="auto" w:sz="4" w:space="0"/>
            </w:tcBorders>
            <w:shd w:val="clear" w:color="auto" w:fill="auto"/>
            <w:vAlign w:val="center"/>
          </w:tcPr>
          <w:p w14:paraId="0E569FA4">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绩效考核</w:t>
            </w:r>
            <w:r>
              <w:rPr>
                <w:rFonts w:hint="eastAsia" w:ascii="宋体" w:hAnsi="宋体" w:eastAsia="宋体" w:cs="宋体"/>
                <w:b w:val="0"/>
                <w:bCs w:val="0"/>
                <w:color w:val="000000"/>
                <w:sz w:val="24"/>
                <w:szCs w:val="24"/>
                <w:highlight w:val="none"/>
                <w:lang w:val="en-US" w:eastAsia="zh-CN"/>
              </w:rPr>
              <w:t>主要完成</w:t>
            </w:r>
            <w:r>
              <w:rPr>
                <w:rFonts w:hint="eastAsia" w:ascii="宋体" w:hAnsi="宋体" w:eastAsia="宋体" w:cs="宋体"/>
                <w:b w:val="0"/>
                <w:bCs w:val="0"/>
                <w:color w:val="000000"/>
                <w:sz w:val="24"/>
                <w:szCs w:val="24"/>
                <w:highlight w:val="none"/>
              </w:rPr>
              <w:t>指标维护、日常指标打分、考勤管理、业务量统计、绩效核算等</w:t>
            </w:r>
            <w:r>
              <w:rPr>
                <w:rFonts w:hint="eastAsia" w:ascii="宋体" w:hAnsi="宋体" w:eastAsia="宋体" w:cs="宋体"/>
                <w:b w:val="0"/>
                <w:bCs w:val="0"/>
                <w:color w:val="000000"/>
                <w:sz w:val="24"/>
                <w:szCs w:val="24"/>
                <w:highlight w:val="none"/>
                <w:lang w:val="en-US" w:eastAsia="zh-CN"/>
              </w:rPr>
              <w:t>业务</w:t>
            </w:r>
            <w:r>
              <w:rPr>
                <w:rFonts w:hint="eastAsia" w:ascii="宋体" w:hAnsi="宋体" w:eastAsia="宋体" w:cs="宋体"/>
                <w:b w:val="0"/>
                <w:bCs w:val="0"/>
                <w:color w:val="000000"/>
                <w:sz w:val="24"/>
                <w:szCs w:val="24"/>
                <w:highlight w:val="none"/>
              </w:rPr>
              <w:t>。</w:t>
            </w:r>
          </w:p>
        </w:tc>
      </w:tr>
      <w:tr w14:paraId="3C43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527B46AA">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11</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790B924A">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知识库</w:t>
            </w:r>
          </w:p>
        </w:tc>
        <w:tc>
          <w:tcPr>
            <w:tcW w:w="3921" w:type="pct"/>
            <w:tcBorders>
              <w:top w:val="single" w:color="auto" w:sz="4" w:space="0"/>
              <w:left w:val="single" w:color="auto" w:sz="4" w:space="0"/>
              <w:bottom w:val="single" w:color="auto" w:sz="4" w:space="0"/>
              <w:right w:val="single" w:color="auto" w:sz="4" w:space="0"/>
            </w:tcBorders>
            <w:shd w:val="clear" w:color="auto" w:fill="auto"/>
            <w:vAlign w:val="center"/>
          </w:tcPr>
          <w:p w14:paraId="51E56DD8">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知识库主要完成</w:t>
            </w:r>
            <w:r>
              <w:rPr>
                <w:rFonts w:hint="eastAsia" w:ascii="宋体" w:hAnsi="宋体" w:eastAsia="宋体" w:cs="宋体"/>
                <w:b w:val="0"/>
                <w:bCs w:val="0"/>
                <w:color w:val="000000"/>
                <w:sz w:val="24"/>
                <w:szCs w:val="24"/>
                <w:highlight w:val="none"/>
              </w:rPr>
              <w:t>按中心业务分类上传政策</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rPr>
              <w:t>管理办法</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rPr>
              <w:t>操作手册等材料，前台可分类查看</w:t>
            </w:r>
            <w:r>
              <w:rPr>
                <w:rFonts w:hint="eastAsia" w:ascii="宋体" w:hAnsi="宋体" w:eastAsia="宋体" w:cs="宋体"/>
                <w:b w:val="0"/>
                <w:bCs w:val="0"/>
                <w:color w:val="000000"/>
                <w:sz w:val="24"/>
                <w:szCs w:val="24"/>
                <w:highlight w:val="none"/>
                <w:lang w:val="en-US" w:eastAsia="zh-CN"/>
              </w:rPr>
              <w:t>的业务</w:t>
            </w:r>
            <w:r>
              <w:rPr>
                <w:rFonts w:hint="eastAsia" w:ascii="宋体" w:hAnsi="宋体" w:eastAsia="宋体" w:cs="宋体"/>
                <w:b w:val="0"/>
                <w:bCs w:val="0"/>
                <w:color w:val="000000"/>
                <w:sz w:val="24"/>
                <w:szCs w:val="24"/>
                <w:highlight w:val="none"/>
              </w:rPr>
              <w:t>。</w:t>
            </w:r>
          </w:p>
        </w:tc>
      </w:tr>
      <w:tr w14:paraId="6A13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65CDAA6C">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12</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446C18E9">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稽核审计</w:t>
            </w:r>
          </w:p>
        </w:tc>
        <w:tc>
          <w:tcPr>
            <w:tcW w:w="3921" w:type="pct"/>
            <w:tcBorders>
              <w:top w:val="single" w:color="auto" w:sz="4" w:space="0"/>
              <w:left w:val="single" w:color="auto" w:sz="4" w:space="0"/>
              <w:bottom w:val="single" w:color="auto" w:sz="4" w:space="0"/>
              <w:right w:val="single" w:color="auto" w:sz="4" w:space="0"/>
            </w:tcBorders>
            <w:shd w:val="clear" w:color="auto" w:fill="auto"/>
            <w:vAlign w:val="center"/>
          </w:tcPr>
          <w:p w14:paraId="2518BE38">
            <w:pPr>
              <w:shd w:val="clear"/>
              <w:spacing w:line="240" w:lineRule="auto"/>
              <w:ind w:firstLine="0" w:firstLineChars="0"/>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稽核审计主要完成将政策、规则自定义到系统中，各中心内部按政策规则进行合规性检查，有效规避人为风险的业务。</w:t>
            </w:r>
          </w:p>
        </w:tc>
      </w:tr>
      <w:tr w14:paraId="716B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1144F609">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13</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14:paraId="45C858AD">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风险防控</w:t>
            </w:r>
          </w:p>
        </w:tc>
        <w:tc>
          <w:tcPr>
            <w:tcW w:w="3921" w:type="pct"/>
            <w:tcBorders>
              <w:top w:val="single" w:color="auto" w:sz="4" w:space="0"/>
              <w:left w:val="single" w:color="auto" w:sz="4" w:space="0"/>
              <w:bottom w:val="single" w:color="auto" w:sz="4" w:space="0"/>
              <w:right w:val="single" w:color="auto" w:sz="4" w:space="0"/>
            </w:tcBorders>
            <w:shd w:val="clear" w:color="auto" w:fill="auto"/>
            <w:vAlign w:val="center"/>
          </w:tcPr>
          <w:p w14:paraId="06542971">
            <w:pPr>
              <w:shd w:val="clear"/>
              <w:spacing w:line="240" w:lineRule="auto"/>
              <w:ind w:firstLine="0" w:firstLineChars="0"/>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风险防控主要完成</w:t>
            </w:r>
            <w:r>
              <w:rPr>
                <w:rFonts w:hint="eastAsia" w:ascii="宋体" w:hAnsi="宋体" w:eastAsia="宋体" w:cs="宋体"/>
                <w:b w:val="0"/>
                <w:bCs w:val="0"/>
                <w:color w:val="000000"/>
                <w:sz w:val="24"/>
                <w:szCs w:val="24"/>
                <w:highlight w:val="none"/>
              </w:rPr>
              <w:t>对不同类型的风险进行全面排查与管理，并生成风控报告的分析与评估，帮助客户排查系统运行及业务办理过程中存在的漏洞及防控措施，实现中心风险预警、推送、防范与控制，将事后监管前移事前与事中</w:t>
            </w:r>
            <w:r>
              <w:rPr>
                <w:rFonts w:hint="eastAsia" w:ascii="宋体" w:hAnsi="宋体" w:eastAsia="宋体" w:cs="宋体"/>
                <w:b w:val="0"/>
                <w:bCs w:val="0"/>
                <w:color w:val="000000"/>
                <w:sz w:val="24"/>
                <w:szCs w:val="24"/>
                <w:highlight w:val="none"/>
                <w:lang w:val="en-US" w:eastAsia="zh-CN"/>
              </w:rPr>
              <w:t>的业务。</w:t>
            </w:r>
          </w:p>
        </w:tc>
      </w:tr>
    </w:tbl>
    <w:p w14:paraId="2EEFB664">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sz w:val="24"/>
          <w:szCs w:val="24"/>
          <w:highlight w:val="none"/>
          <w:lang w:val="en-US" w:eastAsia="zh-CN"/>
        </w:rPr>
      </w:pPr>
      <w:bookmarkStart w:id="469" w:name="_Toc26637"/>
      <w:r>
        <w:rPr>
          <w:rFonts w:hint="eastAsia" w:eastAsia="宋体" w:asciiTheme="minorAscii" w:hAnsiTheme="minorAscii"/>
          <w:bCs w:val="0"/>
          <w:sz w:val="24"/>
          <w:szCs w:val="24"/>
          <w:highlight w:val="none"/>
          <w:lang w:val="en-US" w:eastAsia="zh-CN"/>
        </w:rPr>
        <w:t>2.线上业务服务运维</w:t>
      </w:r>
      <w:bookmarkEnd w:id="469"/>
    </w:p>
    <w:p w14:paraId="12509EDB">
      <w:pPr>
        <w:shd w:val="clear"/>
        <w:bidi w:val="0"/>
        <w:ind w:firstLine="480" w:firstLineChars="200"/>
        <w:rPr>
          <w:rFonts w:hint="eastAsia"/>
          <w:highlight w:val="none"/>
          <w:lang w:val="en-US" w:eastAsia="zh-CN"/>
        </w:rPr>
      </w:pPr>
      <w:r>
        <w:rPr>
          <w:rFonts w:hint="eastAsia"/>
          <w:highlight w:val="none"/>
          <w:lang w:val="en-US" w:eastAsia="zh-CN"/>
        </w:rPr>
        <w:t>当前，住房公积金业务已全面覆盖智能柜员机、触摸屏、手机公积金APP、单位版及个人版网上业务大厅、微信接口子系统、短信平台接口子系统等线上渠道，并实现委托银行业务办理、自治区通办、“好差评”等创新服务模式，已上线的个人账户信息查询、业务办理、证明打印等功能模块也在持续服务广大缴存职工。依托服务注册与发现实现服务治理智能化，对线上业务服务提供运行维护服务，持续优化系统界面和操作流程，提升用户体验，根据业务发展，按中心需求对系统进行维护性升级和改造，满足不断变化的业务需求。</w:t>
      </w:r>
    </w:p>
    <w:p w14:paraId="7D64E921">
      <w:pPr>
        <w:shd w:val="clear"/>
        <w:bidi w:val="0"/>
        <w:ind w:firstLine="480" w:firstLineChars="200"/>
        <w:rPr>
          <w:rFonts w:hint="eastAsia"/>
          <w:highlight w:val="none"/>
          <w:lang w:val="en-US" w:eastAsia="zh-CN"/>
        </w:rPr>
      </w:pPr>
      <w:r>
        <w:rPr>
          <w:rFonts w:hint="eastAsia" w:ascii="宋体" w:hAnsi="宋体" w:eastAsia="宋体" w:cs="宋体"/>
          <w:b w:val="0"/>
          <w:bCs w:val="0"/>
          <w:color w:val="000000"/>
          <w:sz w:val="24"/>
          <w:szCs w:val="24"/>
          <w:highlight w:val="none"/>
          <w:lang w:val="en-US" w:eastAsia="zh-CN"/>
        </w:rPr>
        <w:t>★必须在现有系统框架、系统设计、数据库库表结构基础上进行服务。</w:t>
      </w:r>
    </w:p>
    <w:tbl>
      <w:tblPr>
        <w:tblStyle w:val="32"/>
        <w:tblW w:w="5861" w:type="pct"/>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70"/>
        <w:gridCol w:w="7769"/>
      </w:tblGrid>
      <w:tr w14:paraId="552C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shd w:val="clear" w:color="auto" w:fill="D9D9D9"/>
            <w:vAlign w:val="center"/>
          </w:tcPr>
          <w:p w14:paraId="698BBE1A">
            <w:pPr>
              <w:shd w:val="clea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735" w:type="pct"/>
            <w:tcBorders>
              <w:top w:val="single" w:color="auto" w:sz="4" w:space="0"/>
              <w:left w:val="single" w:color="auto" w:sz="4" w:space="0"/>
              <w:bottom w:val="single" w:color="auto" w:sz="4" w:space="0"/>
              <w:right w:val="single" w:color="auto" w:sz="4" w:space="0"/>
            </w:tcBorders>
            <w:shd w:val="clear" w:color="auto" w:fill="D9D9D9"/>
            <w:vAlign w:val="center"/>
          </w:tcPr>
          <w:p w14:paraId="613C5444">
            <w:pPr>
              <w:shd w:val="clea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服务内容</w:t>
            </w:r>
          </w:p>
        </w:tc>
        <w:tc>
          <w:tcPr>
            <w:tcW w:w="3888" w:type="pct"/>
            <w:tcBorders>
              <w:top w:val="single" w:color="auto" w:sz="4" w:space="0"/>
              <w:left w:val="single" w:color="auto" w:sz="4" w:space="0"/>
              <w:bottom w:val="single" w:color="auto" w:sz="4" w:space="0"/>
              <w:right w:val="single" w:color="auto" w:sz="4" w:space="0"/>
            </w:tcBorders>
            <w:shd w:val="clear" w:color="auto" w:fill="D9D9D9"/>
            <w:vAlign w:val="center"/>
          </w:tcPr>
          <w:p w14:paraId="702357A2">
            <w:pPr>
              <w:shd w:val="clea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主要内容</w:t>
            </w:r>
          </w:p>
        </w:tc>
      </w:tr>
      <w:tr w14:paraId="7325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369F73F8">
            <w:pPr>
              <w:shd w:val="clear"/>
              <w:spacing w:line="240" w:lineRule="auto"/>
              <w:ind w:firstLine="0" w:firstLineChars="0"/>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34138329">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智能柜员机、触摸屏</w:t>
            </w:r>
          </w:p>
        </w:tc>
        <w:tc>
          <w:tcPr>
            <w:tcW w:w="3888" w:type="pct"/>
            <w:tcBorders>
              <w:top w:val="single" w:color="auto" w:sz="4" w:space="0"/>
              <w:left w:val="single" w:color="auto" w:sz="4" w:space="0"/>
              <w:bottom w:val="single" w:color="auto" w:sz="4" w:space="0"/>
              <w:right w:val="single" w:color="auto" w:sz="4" w:space="0"/>
            </w:tcBorders>
            <w:shd w:val="clear" w:color="auto" w:fill="auto"/>
            <w:vAlign w:val="center"/>
          </w:tcPr>
          <w:p w14:paraId="2A651CFD">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对已上线的个人账户信息、余额、缴存情况、贷款情况查询及证明打印功能运行维护和需求优化。</w:t>
            </w:r>
          </w:p>
        </w:tc>
      </w:tr>
      <w:tr w14:paraId="44A6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615D3B84">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29461521">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手机公积金</w:t>
            </w:r>
          </w:p>
        </w:tc>
        <w:tc>
          <w:tcPr>
            <w:tcW w:w="3888" w:type="pct"/>
            <w:tcBorders>
              <w:top w:val="single" w:color="auto" w:sz="4" w:space="0"/>
              <w:left w:val="single" w:color="auto" w:sz="4" w:space="0"/>
              <w:bottom w:val="single" w:color="auto" w:sz="4" w:space="0"/>
              <w:right w:val="single" w:color="auto" w:sz="4" w:space="0"/>
            </w:tcBorders>
            <w:shd w:val="clear" w:color="auto" w:fill="auto"/>
            <w:vAlign w:val="center"/>
          </w:tcPr>
          <w:p w14:paraId="4993BE71">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对手机公积金渠道的账户信息查询、便民工具、提取业务、贷款业务、证明打印共计31个业务模块提供运行维护及业务需求优化服务。</w:t>
            </w:r>
          </w:p>
        </w:tc>
      </w:tr>
      <w:tr w14:paraId="1A9E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1B219150">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67443845">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单位版网上业务大厅</w:t>
            </w:r>
          </w:p>
        </w:tc>
        <w:tc>
          <w:tcPr>
            <w:tcW w:w="3888" w:type="pct"/>
            <w:tcBorders>
              <w:top w:val="single" w:color="auto" w:sz="4" w:space="0"/>
              <w:left w:val="single" w:color="auto" w:sz="4" w:space="0"/>
              <w:bottom w:val="single" w:color="auto" w:sz="4" w:space="0"/>
              <w:right w:val="single" w:color="auto" w:sz="4" w:space="0"/>
            </w:tcBorders>
            <w:shd w:val="clear" w:color="auto" w:fill="auto"/>
            <w:vAlign w:val="center"/>
          </w:tcPr>
          <w:p w14:paraId="7076EB73">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对单位版网厅已上线的业务提供运行维护及业务需求优化服务。</w:t>
            </w:r>
          </w:p>
        </w:tc>
      </w:tr>
      <w:tr w14:paraId="70B8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670D7CD3">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042B0AAC">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个人版网上业务大厅</w:t>
            </w:r>
          </w:p>
        </w:tc>
        <w:tc>
          <w:tcPr>
            <w:tcW w:w="3888" w:type="pct"/>
            <w:tcBorders>
              <w:top w:val="single" w:color="auto" w:sz="4" w:space="0"/>
              <w:left w:val="single" w:color="auto" w:sz="4" w:space="0"/>
              <w:bottom w:val="single" w:color="auto" w:sz="4" w:space="0"/>
              <w:right w:val="single" w:color="auto" w:sz="4" w:space="0"/>
            </w:tcBorders>
            <w:shd w:val="clear" w:color="auto" w:fill="auto"/>
            <w:vAlign w:val="center"/>
          </w:tcPr>
          <w:p w14:paraId="3F9AB67C">
            <w:pPr>
              <w:shd w:val="clear"/>
              <w:spacing w:line="240" w:lineRule="auto"/>
              <w:ind w:firstLine="0" w:firstLineChars="0"/>
              <w:jc w:val="left"/>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对个人版网厅</w:t>
            </w:r>
            <w:r>
              <w:rPr>
                <w:rFonts w:hint="eastAsia" w:ascii="宋体" w:hAnsi="宋体" w:eastAsia="宋体" w:cs="宋体"/>
                <w:b w:val="0"/>
                <w:bCs w:val="0"/>
                <w:color w:val="000000"/>
                <w:sz w:val="24"/>
                <w:szCs w:val="24"/>
                <w:highlight w:val="none"/>
                <w:lang w:eastAsia="zh-CN"/>
              </w:rPr>
              <w:t>已上线的业务提供运行维护及业务需求优化服务。</w:t>
            </w:r>
          </w:p>
        </w:tc>
      </w:tr>
      <w:tr w14:paraId="110E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4EFFAB90">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28FA8499">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微信接口子系统</w:t>
            </w:r>
          </w:p>
        </w:tc>
        <w:tc>
          <w:tcPr>
            <w:tcW w:w="3888" w:type="pct"/>
            <w:tcBorders>
              <w:top w:val="single" w:color="auto" w:sz="4" w:space="0"/>
              <w:left w:val="single" w:color="auto" w:sz="4" w:space="0"/>
              <w:bottom w:val="single" w:color="auto" w:sz="4" w:space="0"/>
              <w:right w:val="single" w:color="auto" w:sz="4" w:space="0"/>
            </w:tcBorders>
            <w:shd w:val="clear" w:color="auto" w:fill="auto"/>
            <w:vAlign w:val="center"/>
          </w:tcPr>
          <w:p w14:paraId="4624AA6F">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实现与12329微信平台接口的运维、拓展服务。</w:t>
            </w:r>
          </w:p>
        </w:tc>
      </w:tr>
      <w:tr w14:paraId="3DC1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32FD8453">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49743406">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短信平台接口子系统</w:t>
            </w:r>
          </w:p>
        </w:tc>
        <w:tc>
          <w:tcPr>
            <w:tcW w:w="3888" w:type="pct"/>
            <w:tcBorders>
              <w:top w:val="single" w:color="auto" w:sz="4" w:space="0"/>
              <w:left w:val="single" w:color="auto" w:sz="4" w:space="0"/>
              <w:bottom w:val="single" w:color="auto" w:sz="4" w:space="0"/>
              <w:right w:val="single" w:color="auto" w:sz="4" w:space="0"/>
            </w:tcBorders>
            <w:shd w:val="clear" w:color="auto" w:fill="auto"/>
            <w:vAlign w:val="center"/>
          </w:tcPr>
          <w:p w14:paraId="35D11716">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与12329短信平台接口对接，按中心业务需求向职工发送短信消息。</w:t>
            </w:r>
          </w:p>
        </w:tc>
      </w:tr>
      <w:tr w14:paraId="6733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40179031">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5FB942BB">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委托银行业务办理</w:t>
            </w:r>
          </w:p>
        </w:tc>
        <w:tc>
          <w:tcPr>
            <w:tcW w:w="3888" w:type="pct"/>
            <w:tcBorders>
              <w:top w:val="single" w:color="auto" w:sz="4" w:space="0"/>
              <w:left w:val="single" w:color="auto" w:sz="4" w:space="0"/>
              <w:bottom w:val="single" w:color="auto" w:sz="4" w:space="0"/>
              <w:right w:val="single" w:color="auto" w:sz="4" w:space="0"/>
            </w:tcBorders>
            <w:shd w:val="clear" w:color="auto" w:fill="auto"/>
            <w:vAlign w:val="center"/>
          </w:tcPr>
          <w:p w14:paraId="2E5E3BE9">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在银行网点开设公积金业务办理专区，扩展公积金服务渠道，增强对广大社会公众的服务能力，为广大缴存群体提供银行网点就近进行公积金业务办理“大委托”服务，将公积金业务办理全部委托给合作银行，中心工作人员负责审核，利用银行网点遍布的优势，实现缴存职工“就近办、一次办、马上办”。</w:t>
            </w:r>
          </w:p>
        </w:tc>
      </w:tr>
      <w:tr w14:paraId="0F49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1C29858F">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8</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39880199">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cs="宋体"/>
                <w:b w:val="0"/>
                <w:bCs w:val="0"/>
                <w:color w:val="000000"/>
                <w:sz w:val="24"/>
                <w:szCs w:val="24"/>
                <w:highlight w:val="none"/>
                <w:lang w:val="en-US" w:eastAsia="zh-CN"/>
              </w:rPr>
              <w:t>自治区</w:t>
            </w:r>
            <w:r>
              <w:rPr>
                <w:rFonts w:hint="eastAsia" w:ascii="宋体" w:hAnsi="宋体" w:eastAsia="宋体" w:cs="宋体"/>
                <w:b w:val="0"/>
                <w:bCs w:val="0"/>
                <w:color w:val="000000"/>
                <w:sz w:val="24"/>
                <w:szCs w:val="24"/>
                <w:highlight w:val="none"/>
              </w:rPr>
              <w:t>通办</w:t>
            </w:r>
          </w:p>
        </w:tc>
        <w:tc>
          <w:tcPr>
            <w:tcW w:w="3888" w:type="pct"/>
            <w:tcBorders>
              <w:top w:val="single" w:color="auto" w:sz="4" w:space="0"/>
              <w:left w:val="single" w:color="auto" w:sz="4" w:space="0"/>
              <w:bottom w:val="single" w:color="auto" w:sz="4" w:space="0"/>
              <w:right w:val="single" w:color="auto" w:sz="4" w:space="0"/>
            </w:tcBorders>
            <w:shd w:val="clear" w:color="auto" w:fill="auto"/>
            <w:vAlign w:val="center"/>
          </w:tcPr>
          <w:p w14:paraId="573CCED8">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梳理通办事项场景及清单，确定</w:t>
            </w:r>
            <w:r>
              <w:rPr>
                <w:rFonts w:hint="eastAsia" w:cs="宋体"/>
                <w:b w:val="0"/>
                <w:bCs w:val="0"/>
                <w:color w:val="000000"/>
                <w:sz w:val="24"/>
                <w:szCs w:val="24"/>
                <w:highlight w:val="none"/>
                <w:lang w:val="en-US" w:eastAsia="zh-CN"/>
              </w:rPr>
              <w:t>自治区</w:t>
            </w:r>
            <w:r>
              <w:rPr>
                <w:rFonts w:hint="eastAsia" w:ascii="宋体" w:hAnsi="宋体" w:eastAsia="宋体" w:cs="宋体"/>
                <w:b w:val="0"/>
                <w:bCs w:val="0"/>
                <w:color w:val="000000"/>
                <w:sz w:val="24"/>
                <w:szCs w:val="24"/>
                <w:highlight w:val="none"/>
                <w:lang w:eastAsia="zh-CN"/>
              </w:rPr>
              <w:t>统一的通办流程及标准，打造</w:t>
            </w:r>
            <w:r>
              <w:rPr>
                <w:rFonts w:hint="eastAsia" w:cs="宋体"/>
                <w:b w:val="0"/>
                <w:bCs w:val="0"/>
                <w:color w:val="000000"/>
                <w:sz w:val="24"/>
                <w:szCs w:val="24"/>
                <w:highlight w:val="none"/>
                <w:lang w:val="en-US" w:eastAsia="zh-CN"/>
              </w:rPr>
              <w:t>自治区</w:t>
            </w:r>
            <w:r>
              <w:rPr>
                <w:rFonts w:hint="eastAsia" w:ascii="宋体" w:hAnsi="宋体" w:eastAsia="宋体" w:cs="宋体"/>
                <w:b w:val="0"/>
                <w:bCs w:val="0"/>
                <w:color w:val="000000"/>
                <w:sz w:val="24"/>
                <w:szCs w:val="24"/>
                <w:highlight w:val="none"/>
                <w:lang w:eastAsia="zh-CN"/>
              </w:rPr>
              <w:t>通办平台，</w:t>
            </w:r>
            <w:r>
              <w:rPr>
                <w:rFonts w:hint="eastAsia" w:cs="宋体"/>
                <w:b w:val="0"/>
                <w:bCs w:val="0"/>
                <w:color w:val="000000"/>
                <w:sz w:val="24"/>
                <w:szCs w:val="24"/>
                <w:highlight w:val="none"/>
                <w:lang w:val="en-US" w:eastAsia="zh-CN"/>
              </w:rPr>
              <w:t>自治区</w:t>
            </w:r>
            <w:r>
              <w:rPr>
                <w:rFonts w:hint="eastAsia" w:ascii="宋体" w:hAnsi="宋体" w:eastAsia="宋体" w:cs="宋体"/>
                <w:b w:val="0"/>
                <w:bCs w:val="0"/>
                <w:color w:val="000000"/>
                <w:sz w:val="24"/>
                <w:szCs w:val="24"/>
                <w:highlight w:val="none"/>
                <w:lang w:eastAsia="zh-CN"/>
              </w:rPr>
              <w:t>各中心接入，并以此为载体，与各政务部门及银行实现互联互通，逐步增加通办服务事项及范围，为</w:t>
            </w:r>
            <w:r>
              <w:rPr>
                <w:rFonts w:hint="eastAsia" w:cs="宋体"/>
                <w:b w:val="0"/>
                <w:bCs w:val="0"/>
                <w:color w:val="000000"/>
                <w:sz w:val="24"/>
                <w:szCs w:val="24"/>
                <w:highlight w:val="none"/>
                <w:lang w:val="en-US" w:eastAsia="zh-CN"/>
              </w:rPr>
              <w:t>自治区</w:t>
            </w:r>
            <w:r>
              <w:rPr>
                <w:rFonts w:hint="eastAsia" w:ascii="宋体" w:hAnsi="宋体" w:eastAsia="宋体" w:cs="宋体"/>
                <w:b w:val="0"/>
                <w:bCs w:val="0"/>
                <w:color w:val="000000"/>
                <w:sz w:val="24"/>
                <w:szCs w:val="24"/>
                <w:highlight w:val="none"/>
                <w:lang w:eastAsia="zh-CN"/>
              </w:rPr>
              <w:t>广大公积金缴存职工服务提供</w:t>
            </w:r>
            <w:r>
              <w:rPr>
                <w:rFonts w:hint="eastAsia" w:cs="宋体"/>
                <w:b w:val="0"/>
                <w:bCs w:val="0"/>
                <w:color w:val="000000"/>
                <w:sz w:val="24"/>
                <w:szCs w:val="24"/>
                <w:highlight w:val="none"/>
                <w:lang w:val="en-US" w:eastAsia="zh-CN"/>
              </w:rPr>
              <w:t>自治区</w:t>
            </w:r>
            <w:r>
              <w:rPr>
                <w:rFonts w:hint="eastAsia" w:ascii="宋体" w:hAnsi="宋体" w:eastAsia="宋体" w:cs="宋体"/>
                <w:b w:val="0"/>
                <w:bCs w:val="0"/>
                <w:color w:val="000000"/>
                <w:sz w:val="24"/>
                <w:szCs w:val="24"/>
                <w:highlight w:val="none"/>
                <w:lang w:eastAsia="zh-CN"/>
              </w:rPr>
              <w:t>跨地域、跨层级、跨部门公积金业务办理。</w:t>
            </w:r>
          </w:p>
        </w:tc>
      </w:tr>
      <w:tr w14:paraId="25FD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0E8B4328">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9</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5450F576">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好差评</w:t>
            </w:r>
          </w:p>
        </w:tc>
        <w:tc>
          <w:tcPr>
            <w:tcW w:w="3888" w:type="pct"/>
            <w:tcBorders>
              <w:top w:val="single" w:color="auto" w:sz="4" w:space="0"/>
              <w:left w:val="single" w:color="auto" w:sz="4" w:space="0"/>
              <w:bottom w:val="single" w:color="auto" w:sz="4" w:space="0"/>
              <w:right w:val="single" w:color="auto" w:sz="4" w:space="0"/>
            </w:tcBorders>
            <w:shd w:val="clear" w:color="auto" w:fill="auto"/>
            <w:vAlign w:val="center"/>
          </w:tcPr>
          <w:p w14:paraId="332E10AB">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通过统一调用</w:t>
            </w:r>
            <w:r>
              <w:rPr>
                <w:rFonts w:hint="eastAsia" w:cs="宋体"/>
                <w:b w:val="0"/>
                <w:bCs w:val="0"/>
                <w:color w:val="000000"/>
                <w:sz w:val="24"/>
                <w:szCs w:val="24"/>
                <w:highlight w:val="none"/>
                <w:lang w:val="en-US" w:eastAsia="zh-CN"/>
              </w:rPr>
              <w:t>自治区</w:t>
            </w:r>
            <w:r>
              <w:rPr>
                <w:rFonts w:hint="eastAsia" w:ascii="宋体" w:hAnsi="宋体" w:eastAsia="宋体" w:cs="宋体"/>
                <w:b w:val="0"/>
                <w:bCs w:val="0"/>
                <w:color w:val="000000"/>
                <w:sz w:val="24"/>
                <w:szCs w:val="24"/>
                <w:highlight w:val="none"/>
                <w:lang w:eastAsia="zh-CN"/>
              </w:rPr>
              <w:t>一体化在线政务服务平台“好差评”系统的相关服务，健全</w:t>
            </w:r>
            <w:r>
              <w:rPr>
                <w:rFonts w:hint="eastAsia" w:cs="宋体"/>
                <w:b w:val="0"/>
                <w:bCs w:val="0"/>
                <w:color w:val="000000"/>
                <w:sz w:val="24"/>
                <w:szCs w:val="24"/>
                <w:highlight w:val="none"/>
                <w:lang w:val="en-US" w:eastAsia="zh-CN"/>
              </w:rPr>
              <w:t>自治区</w:t>
            </w:r>
            <w:r>
              <w:rPr>
                <w:rFonts w:hint="eastAsia" w:ascii="宋体" w:hAnsi="宋体" w:eastAsia="宋体" w:cs="宋体"/>
                <w:b w:val="0"/>
                <w:bCs w:val="0"/>
                <w:color w:val="000000"/>
                <w:sz w:val="24"/>
                <w:szCs w:val="24"/>
                <w:highlight w:val="none"/>
                <w:lang w:eastAsia="zh-CN"/>
              </w:rPr>
              <w:t>统一的政务服务评价体系，实现对公积金中心的政务服务事项办件信息资源的归集汇聚。数据结果实时上报、回传，实现评价、反馈、整改、回访全流程监督管理。</w:t>
            </w:r>
          </w:p>
        </w:tc>
      </w:tr>
    </w:tbl>
    <w:p w14:paraId="28349321">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sz w:val="24"/>
          <w:szCs w:val="24"/>
          <w:highlight w:val="none"/>
          <w:lang w:val="en-US" w:eastAsia="zh-CN"/>
        </w:rPr>
      </w:pPr>
      <w:bookmarkStart w:id="470" w:name="_Toc21018"/>
      <w:r>
        <w:rPr>
          <w:rFonts w:hint="eastAsia" w:eastAsia="宋体" w:asciiTheme="minorAscii" w:hAnsiTheme="minorAscii"/>
          <w:bCs w:val="0"/>
          <w:sz w:val="24"/>
          <w:szCs w:val="24"/>
          <w:highlight w:val="none"/>
          <w:lang w:val="en-US" w:eastAsia="zh-CN"/>
        </w:rPr>
        <w:t>3.综合政务服务运维</w:t>
      </w:r>
      <w:bookmarkEnd w:id="470"/>
    </w:p>
    <w:p w14:paraId="5A011E5E">
      <w:pPr>
        <w:shd w:val="clear"/>
        <w:ind w:firstLine="480" w:firstLineChars="200"/>
        <w:rPr>
          <w:rFonts w:hint="eastAsia"/>
          <w:highlight w:val="none"/>
          <w:lang w:val="en-US" w:eastAsia="zh-CN"/>
        </w:rPr>
      </w:pPr>
      <w:r>
        <w:rPr>
          <w:rFonts w:hint="eastAsia"/>
          <w:highlight w:val="none"/>
          <w:lang w:val="en-US" w:eastAsia="zh-CN"/>
        </w:rPr>
        <w:t>“高效办成一件事”已成为优化政务服务、提升群众满意度的核心方向。当前，住房公积金政务服务已深度覆盖自助终端、个人与企业APP、跨省通办专区等多类服务场景，实现了从数据归集报送、业务事项对接，到统一受理平台及各地州市政务协同的全链条数字化服务体系搭建。已上线的9个“高效办成一件事”接口、13项跨省通办业务，以及证明打印、业务查询等高频功能，持续为企业和群众提供便捷高效的政务服务。</w:t>
      </w:r>
    </w:p>
    <w:p w14:paraId="37BB2910">
      <w:pPr>
        <w:shd w:val="clear"/>
        <w:ind w:firstLine="480" w:firstLineChars="200"/>
        <w:rPr>
          <w:rFonts w:hint="eastAsia"/>
          <w:highlight w:val="none"/>
          <w:lang w:val="en-US" w:eastAsia="zh-CN"/>
        </w:rPr>
      </w:pPr>
      <w:r>
        <w:rPr>
          <w:rFonts w:hint="eastAsia"/>
          <w:highlight w:val="none"/>
          <w:lang w:val="en-US" w:eastAsia="zh-CN"/>
        </w:rPr>
        <w:t>为保障住房公积金政务服务的持续高效运转，确保“一网通办”“跨省通办”等惠民利企政策落地见效，本次综合政务服务运维需强化系统稳定性、提升服务响应速度、优化业务办理体验，为企业和群众提供智能、便捷、高效的政务服务体验。</w:t>
      </w:r>
    </w:p>
    <w:p w14:paraId="5977B607">
      <w:pPr>
        <w:shd w:val="clear"/>
        <w:ind w:firstLine="480" w:firstLineChars="200"/>
        <w:rPr>
          <w:rFonts w:hint="eastAsia"/>
          <w:highlight w:val="none"/>
          <w:lang w:val="en-US" w:eastAsia="zh-CN"/>
        </w:rPr>
      </w:pPr>
      <w:r>
        <w:rPr>
          <w:rFonts w:hint="eastAsia" w:ascii="宋体" w:hAnsi="宋体" w:eastAsia="宋体" w:cs="宋体"/>
          <w:b w:val="0"/>
          <w:bCs w:val="0"/>
          <w:color w:val="000000"/>
          <w:sz w:val="24"/>
          <w:szCs w:val="24"/>
          <w:highlight w:val="none"/>
          <w:lang w:val="en-US" w:eastAsia="zh-CN"/>
        </w:rPr>
        <w:t>★必须在现有系统框架、系统设计、数据库库表结构基础上进行服务。</w:t>
      </w:r>
    </w:p>
    <w:tbl>
      <w:tblPr>
        <w:tblStyle w:val="32"/>
        <w:tblW w:w="6033" w:type="pct"/>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728"/>
        <w:gridCol w:w="7763"/>
      </w:tblGrid>
      <w:tr w14:paraId="6837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shd w:val="clear" w:color="auto" w:fill="D9D9D9"/>
            <w:vAlign w:val="center"/>
          </w:tcPr>
          <w:p w14:paraId="04E35495">
            <w:pPr>
              <w:shd w:val="clea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840" w:type="pct"/>
            <w:tcBorders>
              <w:top w:val="single" w:color="auto" w:sz="4" w:space="0"/>
              <w:left w:val="single" w:color="auto" w:sz="4" w:space="0"/>
              <w:bottom w:val="single" w:color="auto" w:sz="4" w:space="0"/>
              <w:right w:val="single" w:color="auto" w:sz="4" w:space="0"/>
            </w:tcBorders>
            <w:shd w:val="clear" w:color="auto" w:fill="D9D9D9"/>
            <w:vAlign w:val="center"/>
          </w:tcPr>
          <w:p w14:paraId="5D113AD2">
            <w:pPr>
              <w:shd w:val="clea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服务内容</w:t>
            </w:r>
          </w:p>
        </w:tc>
        <w:tc>
          <w:tcPr>
            <w:tcW w:w="3774" w:type="pct"/>
            <w:tcBorders>
              <w:top w:val="single" w:color="auto" w:sz="4" w:space="0"/>
              <w:left w:val="single" w:color="auto" w:sz="4" w:space="0"/>
              <w:bottom w:val="single" w:color="auto" w:sz="4" w:space="0"/>
              <w:right w:val="single" w:color="auto" w:sz="4" w:space="0"/>
            </w:tcBorders>
            <w:shd w:val="clear" w:color="auto" w:fill="D9D9D9"/>
            <w:vAlign w:val="center"/>
          </w:tcPr>
          <w:p w14:paraId="1A3183CE">
            <w:pPr>
              <w:shd w:val="clea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主要内容</w:t>
            </w:r>
          </w:p>
        </w:tc>
      </w:tr>
      <w:tr w14:paraId="31B4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AE185C4">
            <w:pPr>
              <w:shd w:val="clear"/>
              <w:spacing w:line="240" w:lineRule="auto"/>
              <w:ind w:firstLine="0" w:firstLineChars="0"/>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32C2A493">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高效办成一件事</w:t>
            </w:r>
          </w:p>
        </w:tc>
        <w:tc>
          <w:tcPr>
            <w:tcW w:w="3774" w:type="pct"/>
            <w:tcBorders>
              <w:top w:val="single" w:color="auto" w:sz="4" w:space="0"/>
              <w:left w:val="single" w:color="auto" w:sz="4" w:space="0"/>
              <w:bottom w:val="single" w:color="auto" w:sz="4" w:space="0"/>
              <w:right w:val="single" w:color="auto" w:sz="4" w:space="0"/>
            </w:tcBorders>
            <w:shd w:val="clear" w:color="auto" w:fill="auto"/>
            <w:vAlign w:val="center"/>
          </w:tcPr>
          <w:p w14:paraId="55DF1E8E">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对已上线的9个高效办成一件事接口运行维护，持续配合新增的高效办事项接入。</w:t>
            </w:r>
          </w:p>
          <w:p w14:paraId="1EB0FED4">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已上线事项：</w:t>
            </w:r>
          </w:p>
          <w:p w14:paraId="1CA74E1E">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第一批4项：“企业信息变更一件事”“企业破产信息核查一件事”“企业上市合规信息核查一件事”“退休一件事”；</w:t>
            </w:r>
          </w:p>
          <w:p w14:paraId="659A10D6">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第二批5项：“贷款购房一件事”“贷款结清一件事”“企业迁移登记一件事”“员工招聘一件事”“公民身后一件事”。</w:t>
            </w:r>
          </w:p>
        </w:tc>
      </w:tr>
      <w:tr w14:paraId="5205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DB65319">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6EFA8E8D">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数据归集报送</w:t>
            </w:r>
          </w:p>
        </w:tc>
        <w:tc>
          <w:tcPr>
            <w:tcW w:w="3774" w:type="pct"/>
            <w:tcBorders>
              <w:top w:val="single" w:color="auto" w:sz="4" w:space="0"/>
              <w:left w:val="single" w:color="auto" w:sz="4" w:space="0"/>
              <w:bottom w:val="single" w:color="auto" w:sz="4" w:space="0"/>
              <w:right w:val="single" w:color="auto" w:sz="4" w:space="0"/>
            </w:tcBorders>
            <w:shd w:val="clear" w:color="auto" w:fill="auto"/>
            <w:vAlign w:val="center"/>
          </w:tcPr>
          <w:p w14:paraId="037659BC">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按照数发局的报送要求，定时报送公积金数据。</w:t>
            </w:r>
          </w:p>
        </w:tc>
      </w:tr>
      <w:tr w14:paraId="7932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BEE6BB8">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2688F9A8">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新智助（自助终端）业务事项对接服务</w:t>
            </w:r>
          </w:p>
        </w:tc>
        <w:tc>
          <w:tcPr>
            <w:tcW w:w="3774" w:type="pct"/>
            <w:tcBorders>
              <w:top w:val="single" w:color="auto" w:sz="4" w:space="0"/>
              <w:left w:val="single" w:color="auto" w:sz="4" w:space="0"/>
              <w:bottom w:val="single" w:color="auto" w:sz="4" w:space="0"/>
              <w:right w:val="single" w:color="auto" w:sz="4" w:space="0"/>
            </w:tcBorders>
            <w:shd w:val="clear" w:color="auto" w:fill="auto"/>
            <w:vAlign w:val="center"/>
          </w:tcPr>
          <w:p w14:paraId="4DD912E8">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对已上线的证明打印、业务查询、业务办理接口运行维护，持续配合新增事项接入。</w:t>
            </w:r>
          </w:p>
        </w:tc>
      </w:tr>
      <w:tr w14:paraId="13F8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D96AFB6">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71026F6F">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新服办（个人app）业务事项对接服务</w:t>
            </w:r>
          </w:p>
        </w:tc>
        <w:tc>
          <w:tcPr>
            <w:tcW w:w="3774" w:type="pct"/>
            <w:tcBorders>
              <w:top w:val="single" w:color="auto" w:sz="4" w:space="0"/>
              <w:left w:val="single" w:color="auto" w:sz="4" w:space="0"/>
              <w:bottom w:val="single" w:color="auto" w:sz="4" w:space="0"/>
              <w:right w:val="single" w:color="auto" w:sz="4" w:space="0"/>
            </w:tcBorders>
            <w:shd w:val="clear" w:color="auto" w:fill="auto"/>
            <w:vAlign w:val="center"/>
          </w:tcPr>
          <w:p w14:paraId="31F9D440">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对已上线的证明打印、业务查询、业务办理接口运行维护，持续配合新增事项接入。</w:t>
            </w:r>
          </w:p>
        </w:tc>
      </w:tr>
      <w:tr w14:paraId="3FC9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F9E9C89">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6981A46F">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新企办（企业app）业务事项对接服</w:t>
            </w:r>
          </w:p>
        </w:tc>
        <w:tc>
          <w:tcPr>
            <w:tcW w:w="3774" w:type="pct"/>
            <w:tcBorders>
              <w:top w:val="single" w:color="auto" w:sz="4" w:space="0"/>
              <w:left w:val="single" w:color="auto" w:sz="4" w:space="0"/>
              <w:bottom w:val="single" w:color="auto" w:sz="4" w:space="0"/>
              <w:right w:val="single" w:color="auto" w:sz="4" w:space="0"/>
            </w:tcBorders>
            <w:shd w:val="clear" w:color="auto" w:fill="auto"/>
            <w:vAlign w:val="center"/>
          </w:tcPr>
          <w:p w14:paraId="033E52DB">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对已上线的证明打印、业务查询、业务办理接口运行维护，持续配合新增事项接入。</w:t>
            </w:r>
          </w:p>
        </w:tc>
      </w:tr>
      <w:tr w14:paraId="228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80DC805">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49B31F69">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跨省通办</w:t>
            </w:r>
          </w:p>
        </w:tc>
        <w:tc>
          <w:tcPr>
            <w:tcW w:w="3774" w:type="pct"/>
            <w:tcBorders>
              <w:top w:val="single" w:color="auto" w:sz="4" w:space="0"/>
              <w:left w:val="single" w:color="auto" w:sz="4" w:space="0"/>
              <w:bottom w:val="single" w:color="auto" w:sz="4" w:space="0"/>
              <w:right w:val="single" w:color="auto" w:sz="4" w:space="0"/>
            </w:tcBorders>
            <w:shd w:val="clear" w:color="auto" w:fill="auto"/>
            <w:vAlign w:val="center"/>
          </w:tcPr>
          <w:p w14:paraId="1A77F9C1">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对已上线的13项业务运行维护，持续配合新增事项接入。</w:t>
            </w:r>
            <w:r>
              <w:rPr>
                <w:rFonts w:hint="eastAsia" w:ascii="宋体" w:hAnsi="宋体" w:eastAsia="宋体" w:cs="宋体"/>
                <w:b w:val="0"/>
                <w:bCs w:val="0"/>
                <w:color w:val="000000"/>
                <w:sz w:val="24"/>
                <w:szCs w:val="24"/>
                <w:highlight w:val="none"/>
                <w:lang w:val="en-US" w:eastAsia="zh-CN"/>
              </w:rPr>
              <w:t>分别为</w:t>
            </w:r>
            <w:r>
              <w:rPr>
                <w:rFonts w:hint="eastAsia" w:ascii="宋体" w:hAnsi="宋体" w:eastAsia="宋体" w:cs="宋体"/>
                <w:b w:val="0"/>
                <w:bCs w:val="0"/>
                <w:color w:val="000000"/>
                <w:sz w:val="24"/>
                <w:szCs w:val="24"/>
                <w:highlight w:val="none"/>
                <w:lang w:eastAsia="zh-CN"/>
              </w:rPr>
              <w:t>住房公积金汇缴、住房公积金补缴、提前退休提取住房公积金、提前部分偿还住房公积金贷款、租房提取住房公积金、个人住房公积金缴存贷款等信息查询、出具贷款职工住房公积金缴存使用证明、正常退休提取住房公积金、住房公积金单位登记开户、住房公积金单位及个人缴存信息变更、办理异地购房提取住房公积金、开具住房公积金个人住房贷款全部还清证明、提前还清住房公积金贷款。</w:t>
            </w:r>
          </w:p>
        </w:tc>
      </w:tr>
      <w:tr w14:paraId="5E53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FEB3387">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7C8E8071">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办件量上传</w:t>
            </w:r>
          </w:p>
        </w:tc>
        <w:tc>
          <w:tcPr>
            <w:tcW w:w="3774" w:type="pct"/>
            <w:tcBorders>
              <w:top w:val="single" w:color="auto" w:sz="4" w:space="0"/>
              <w:left w:val="single" w:color="auto" w:sz="4" w:space="0"/>
              <w:bottom w:val="single" w:color="auto" w:sz="4" w:space="0"/>
              <w:right w:val="single" w:color="auto" w:sz="4" w:space="0"/>
            </w:tcBorders>
            <w:shd w:val="clear" w:color="auto" w:fill="auto"/>
            <w:vAlign w:val="center"/>
          </w:tcPr>
          <w:p w14:paraId="6F23F21E">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每日向政务平台报送</w:t>
            </w:r>
            <w:r>
              <w:rPr>
                <w:rFonts w:hint="eastAsia" w:cs="宋体"/>
                <w:b w:val="0"/>
                <w:bCs w:val="0"/>
                <w:color w:val="000000"/>
                <w:sz w:val="24"/>
                <w:szCs w:val="24"/>
                <w:highlight w:val="none"/>
                <w:lang w:val="en-US" w:eastAsia="zh-CN"/>
              </w:rPr>
              <w:t>自治区各地</w:t>
            </w:r>
            <w:r>
              <w:rPr>
                <w:rFonts w:hint="eastAsia" w:cs="宋体"/>
                <w:b w:val="0"/>
                <w:bCs w:val="0"/>
                <w:color w:val="000000"/>
                <w:sz w:val="24"/>
                <w:szCs w:val="24"/>
                <w:highlight w:val="none"/>
                <w:lang w:eastAsia="zh-CN"/>
              </w:rPr>
              <w:t>（</w:t>
            </w:r>
            <w:r>
              <w:rPr>
                <w:rFonts w:hint="eastAsia" w:cs="宋体"/>
                <w:b w:val="0"/>
                <w:bCs w:val="0"/>
                <w:color w:val="000000"/>
                <w:sz w:val="24"/>
                <w:szCs w:val="24"/>
                <w:highlight w:val="none"/>
                <w:lang w:val="en-US" w:eastAsia="zh-CN"/>
              </w:rPr>
              <w:t>州、市</w:t>
            </w:r>
            <w:r>
              <w:rPr>
                <w:rFonts w:hint="eastAsia"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eastAsia="zh-CN"/>
              </w:rPr>
              <w:t>中心8项主要业务的办件信息。</w:t>
            </w:r>
          </w:p>
        </w:tc>
      </w:tr>
      <w:tr w14:paraId="6E26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0D767E7">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8</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151D203F">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统一受理平台对接</w:t>
            </w:r>
          </w:p>
        </w:tc>
        <w:tc>
          <w:tcPr>
            <w:tcW w:w="3774" w:type="pct"/>
            <w:tcBorders>
              <w:top w:val="single" w:color="auto" w:sz="4" w:space="0"/>
              <w:left w:val="single" w:color="auto" w:sz="4" w:space="0"/>
              <w:bottom w:val="single" w:color="auto" w:sz="4" w:space="0"/>
              <w:right w:val="single" w:color="auto" w:sz="4" w:space="0"/>
            </w:tcBorders>
            <w:shd w:val="clear" w:color="auto" w:fill="auto"/>
            <w:vAlign w:val="center"/>
          </w:tcPr>
          <w:p w14:paraId="5D7D7289">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按数发局要求，配合统一受理平台业务的接入开发。</w:t>
            </w:r>
          </w:p>
        </w:tc>
      </w:tr>
      <w:tr w14:paraId="4257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C98A7A7">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9</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14:paraId="2BC882D6">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各地州市政务事项对接</w:t>
            </w:r>
          </w:p>
        </w:tc>
        <w:tc>
          <w:tcPr>
            <w:tcW w:w="3774" w:type="pct"/>
            <w:tcBorders>
              <w:top w:val="single" w:color="auto" w:sz="4" w:space="0"/>
              <w:left w:val="single" w:color="auto" w:sz="4" w:space="0"/>
              <w:bottom w:val="single" w:color="auto" w:sz="4" w:space="0"/>
              <w:right w:val="single" w:color="auto" w:sz="4" w:space="0"/>
            </w:tcBorders>
            <w:shd w:val="clear" w:color="auto" w:fill="auto"/>
            <w:vAlign w:val="center"/>
          </w:tcPr>
          <w:p w14:paraId="006BDA20">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按各地州政务工作要求，开展对接工作。</w:t>
            </w:r>
          </w:p>
        </w:tc>
      </w:tr>
    </w:tbl>
    <w:p w14:paraId="0CF74E0F">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sz w:val="24"/>
          <w:szCs w:val="24"/>
          <w:highlight w:val="none"/>
          <w:lang w:val="en-US" w:eastAsia="zh-CN"/>
        </w:rPr>
      </w:pPr>
      <w:bookmarkStart w:id="471" w:name="_Toc18504"/>
      <w:r>
        <w:rPr>
          <w:rFonts w:hint="eastAsia" w:eastAsia="宋体" w:asciiTheme="minorAscii" w:hAnsiTheme="minorAscii"/>
          <w:bCs w:val="0"/>
          <w:sz w:val="24"/>
          <w:szCs w:val="24"/>
          <w:highlight w:val="none"/>
          <w:lang w:val="en-US" w:eastAsia="zh-CN"/>
        </w:rPr>
        <w:t>4.应用支撑服务运维</w:t>
      </w:r>
      <w:bookmarkEnd w:id="471"/>
    </w:p>
    <w:p w14:paraId="3C068533">
      <w:pPr>
        <w:shd w:val="clear"/>
        <w:ind w:firstLine="480" w:firstLineChars="200"/>
        <w:rPr>
          <w:rFonts w:hint="eastAsia"/>
          <w:highlight w:val="none"/>
          <w:lang w:val="en-US" w:eastAsia="zh-CN"/>
        </w:rPr>
      </w:pPr>
      <w:r>
        <w:rPr>
          <w:rFonts w:hint="eastAsia"/>
          <w:highlight w:val="none"/>
          <w:lang w:val="en-US" w:eastAsia="zh-CN"/>
        </w:rPr>
        <w:t>应用支撑服务稳定性与灵活性直接关乎业务办理效率和群众服务体验。系统配置、客户管理、流程管理及报表管理等应用支撑服务模块，不仅承担着归集、贷款、财务等多子系统的参数定制、数据交互和流程串联任务，更通过构建统一客户信息体系、实现全流程管控以及智能报表分析，为住房公积金业务的规范化、协同化发展提供坚实保障。</w:t>
      </w:r>
    </w:p>
    <w:p w14:paraId="004D432F">
      <w:pPr>
        <w:shd w:val="clear"/>
        <w:ind w:firstLine="480" w:firstLineChars="200"/>
        <w:rPr>
          <w:rFonts w:hint="eastAsia"/>
          <w:highlight w:val="none"/>
          <w:lang w:val="en-US" w:eastAsia="zh-CN"/>
        </w:rPr>
      </w:pPr>
      <w:r>
        <w:rPr>
          <w:rFonts w:hint="eastAsia"/>
          <w:highlight w:val="none"/>
          <w:lang w:val="en-US" w:eastAsia="zh-CN"/>
        </w:rPr>
        <w:t>为确保住房公积金业务全链条高效运转，本次应用支撑服务运维需强化系统配置的灵活性、客户管理的精准性、流程管理的高效性和报表管理的智能性，推动住房公积金应用支撑服务与业务发展深度适配。</w:t>
      </w:r>
    </w:p>
    <w:p w14:paraId="34948ECC">
      <w:pPr>
        <w:shd w:val="clear"/>
        <w:ind w:firstLine="480" w:firstLineChars="200"/>
        <w:rPr>
          <w:rFonts w:hint="eastAsia"/>
          <w:highlight w:val="none"/>
          <w:lang w:val="en-US" w:eastAsia="zh-CN"/>
        </w:rPr>
      </w:pPr>
      <w:r>
        <w:rPr>
          <w:rFonts w:hint="eastAsia" w:ascii="宋体" w:hAnsi="宋体" w:eastAsia="宋体" w:cs="宋体"/>
          <w:b w:val="0"/>
          <w:bCs w:val="0"/>
          <w:color w:val="000000"/>
          <w:sz w:val="24"/>
          <w:szCs w:val="24"/>
          <w:highlight w:val="none"/>
          <w:lang w:val="en-US" w:eastAsia="zh-CN"/>
        </w:rPr>
        <w:t>★必须在现有系统框架、系统设计、数据库库表结构基础上进行服务。</w:t>
      </w:r>
    </w:p>
    <w:tbl>
      <w:tblPr>
        <w:tblStyle w:val="32"/>
        <w:tblW w:w="5852" w:type="pct"/>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25"/>
        <w:gridCol w:w="7784"/>
      </w:tblGrid>
      <w:tr w14:paraId="75E1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D9D9D9"/>
            <w:vAlign w:val="center"/>
          </w:tcPr>
          <w:p w14:paraId="3C35DEC4">
            <w:pPr>
              <w:shd w:val="clea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714" w:type="pct"/>
            <w:tcBorders>
              <w:top w:val="single" w:color="auto" w:sz="4" w:space="0"/>
              <w:left w:val="single" w:color="auto" w:sz="4" w:space="0"/>
              <w:bottom w:val="single" w:color="auto" w:sz="4" w:space="0"/>
              <w:right w:val="single" w:color="auto" w:sz="4" w:space="0"/>
            </w:tcBorders>
            <w:shd w:val="clear" w:color="auto" w:fill="D9D9D9"/>
            <w:vAlign w:val="center"/>
          </w:tcPr>
          <w:p w14:paraId="730FA944">
            <w:pPr>
              <w:shd w:val="clea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服务内容</w:t>
            </w:r>
          </w:p>
        </w:tc>
        <w:tc>
          <w:tcPr>
            <w:tcW w:w="3902" w:type="pct"/>
            <w:tcBorders>
              <w:top w:val="single" w:color="auto" w:sz="4" w:space="0"/>
              <w:left w:val="single" w:color="auto" w:sz="4" w:space="0"/>
              <w:bottom w:val="single" w:color="auto" w:sz="4" w:space="0"/>
              <w:right w:val="single" w:color="auto" w:sz="4" w:space="0"/>
            </w:tcBorders>
            <w:shd w:val="clear" w:color="auto" w:fill="D9D9D9"/>
            <w:vAlign w:val="center"/>
          </w:tcPr>
          <w:p w14:paraId="09130A0E">
            <w:pPr>
              <w:shd w:val="clea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主要内容</w:t>
            </w:r>
          </w:p>
        </w:tc>
      </w:tr>
      <w:tr w14:paraId="30B6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1ED4C18D">
            <w:pPr>
              <w:shd w:val="clear"/>
              <w:spacing w:line="240" w:lineRule="auto"/>
              <w:ind w:firstLine="0" w:firstLineChars="0"/>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6F4A729">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系统配置</w:t>
            </w:r>
          </w:p>
        </w:tc>
        <w:tc>
          <w:tcPr>
            <w:tcW w:w="3902" w:type="pct"/>
            <w:tcBorders>
              <w:top w:val="single" w:color="auto" w:sz="4" w:space="0"/>
              <w:left w:val="single" w:color="auto" w:sz="4" w:space="0"/>
              <w:bottom w:val="single" w:color="auto" w:sz="4" w:space="0"/>
              <w:right w:val="single" w:color="auto" w:sz="4" w:space="0"/>
            </w:tcBorders>
            <w:shd w:val="clear" w:color="auto" w:fill="auto"/>
            <w:vAlign w:val="center"/>
          </w:tcPr>
          <w:p w14:paraId="2A22443F">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该服务实现归集、贷款、财务、电子档案、多渠道接入平台以及对外服务平台等子系统的业务参数、系统编码、初始数据的统一定制与调整。归集设置包括：审批级别设置、业务参数设置、日常指标设置、系统年度设置、存款利率设置、系统编码设置、提取原因设置、提取审批流程设置、提取材料设置、缴存比例设置、缴存上下限设置、委托付款设置、委托付款银行设置、归集总额设置、提取总额设置等。</w:t>
            </w:r>
          </w:p>
        </w:tc>
      </w:tr>
      <w:tr w14:paraId="411F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3BA00032">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0332597">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客户管理</w:t>
            </w:r>
          </w:p>
        </w:tc>
        <w:tc>
          <w:tcPr>
            <w:tcW w:w="3902" w:type="pct"/>
            <w:tcBorders>
              <w:top w:val="single" w:color="auto" w:sz="4" w:space="0"/>
              <w:left w:val="single" w:color="auto" w:sz="4" w:space="0"/>
              <w:bottom w:val="single" w:color="auto" w:sz="4" w:space="0"/>
              <w:right w:val="single" w:color="auto" w:sz="4" w:space="0"/>
            </w:tcBorders>
            <w:shd w:val="clear" w:color="auto" w:fill="auto"/>
            <w:vAlign w:val="center"/>
          </w:tcPr>
          <w:p w14:paraId="0951EC4A">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客户管理服务--CRM统一客户信息管理系统将中心所有的客户信息（含自身）纳入到统一管理平台，建立单位和个人的基础信息档案，机构客户包括各种资金（住房公积金、住房补贴、售房款、维修资金）的缴存单位、第三方合作单位（开发商、担保公司、保险公司、银行、评估公司）、业务往来及关联单位等，个人客户（住房公积金）的缴存个人、机构客户联系人、系统操作人员等。客户资料一经建立，在全系统内为每个客户（包括单位和个人）分配一个终身唯一不变的客户编号，通过客户编号与各业务子系统相关联。</w:t>
            </w:r>
          </w:p>
        </w:tc>
      </w:tr>
      <w:tr w14:paraId="158C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59E854A9">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1163F8C">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流程管理</w:t>
            </w:r>
          </w:p>
        </w:tc>
        <w:tc>
          <w:tcPr>
            <w:tcW w:w="3902" w:type="pct"/>
            <w:tcBorders>
              <w:top w:val="single" w:color="auto" w:sz="4" w:space="0"/>
              <w:left w:val="single" w:color="auto" w:sz="4" w:space="0"/>
              <w:bottom w:val="single" w:color="auto" w:sz="4" w:space="0"/>
              <w:right w:val="single" w:color="auto" w:sz="4" w:space="0"/>
            </w:tcBorders>
            <w:shd w:val="clear" w:color="auto" w:fill="auto"/>
            <w:vAlign w:val="center"/>
          </w:tcPr>
          <w:p w14:paraId="24BD1DD2">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该服务集中管理、定义、再造流程，实现全流程化管理，包括了流程定义、流程规则、流程执行、流程监控等部分，是业务协同的核心。通过流程定义、流程运行规则定义、流程审计和监控，来完成业务需求、运行条件的直接描述，并提供业务操作者、审批者、审计者、被服务对象的直接信息关联和交互。</w:t>
            </w:r>
          </w:p>
        </w:tc>
      </w:tr>
      <w:tr w14:paraId="4881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2FE972C1">
            <w:pPr>
              <w:shd w:val="clear"/>
              <w:spacing w:line="240" w:lineRule="auto"/>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13B75D1">
            <w:pPr>
              <w:shd w:val="clear"/>
              <w:spacing w:line="240" w:lineRule="auto"/>
              <w:ind w:firstLine="0" w:firstLineChars="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报表管理</w:t>
            </w:r>
          </w:p>
        </w:tc>
        <w:tc>
          <w:tcPr>
            <w:tcW w:w="3902" w:type="pct"/>
            <w:tcBorders>
              <w:top w:val="single" w:color="auto" w:sz="4" w:space="0"/>
              <w:left w:val="single" w:color="auto" w:sz="4" w:space="0"/>
              <w:bottom w:val="single" w:color="auto" w:sz="4" w:space="0"/>
              <w:right w:val="single" w:color="auto" w:sz="4" w:space="0"/>
            </w:tcBorders>
            <w:shd w:val="clear" w:color="auto" w:fill="auto"/>
            <w:vAlign w:val="center"/>
          </w:tcPr>
          <w:p w14:paraId="29D26691">
            <w:pPr>
              <w:shd w:val="clear"/>
              <w:spacing w:line="240" w:lineRule="auto"/>
              <w:ind w:firstLine="0" w:firstLineChars="0"/>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该服务实现归集报表、贷款报表、会计报表、综合业务报表、其它统计查询报表的定义、生成、导出、查询功能。报表子系统提供分中心独立，中心汇总统一管理的体系。报表管理子系统可以画表，自定义公式，自定义取数方法。</w:t>
            </w:r>
          </w:p>
        </w:tc>
      </w:tr>
    </w:tbl>
    <w:p w14:paraId="0F40B7DA">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sz w:val="24"/>
          <w:szCs w:val="24"/>
          <w:highlight w:val="none"/>
          <w:lang w:val="en-US" w:eastAsia="zh-CN"/>
        </w:rPr>
      </w:pPr>
      <w:bookmarkStart w:id="472" w:name="_Toc31144"/>
      <w:r>
        <w:rPr>
          <w:rFonts w:hint="eastAsia" w:eastAsia="宋体" w:asciiTheme="minorAscii" w:hAnsiTheme="minorAscii"/>
          <w:bCs w:val="0"/>
          <w:sz w:val="24"/>
          <w:szCs w:val="24"/>
          <w:highlight w:val="none"/>
          <w:lang w:val="en-US" w:eastAsia="zh-CN"/>
        </w:rPr>
        <w:t>5.安全维护</w:t>
      </w:r>
      <w:bookmarkEnd w:id="472"/>
    </w:p>
    <w:p w14:paraId="41E0B909">
      <w:pPr>
        <w:shd w:val="clear"/>
        <w:ind w:firstLine="480" w:firstLineChars="200"/>
        <w:rPr>
          <w:rFonts w:hint="eastAsia"/>
          <w:highlight w:val="none"/>
          <w:lang w:val="en-US" w:eastAsia="zh-CN"/>
        </w:rPr>
      </w:pPr>
      <w:r>
        <w:rPr>
          <w:rFonts w:hint="eastAsia"/>
          <w:highlight w:val="none"/>
          <w:lang w:val="en-US" w:eastAsia="zh-CN"/>
        </w:rPr>
        <w:t>提供专业安全维护服务，保障各中心与云服务之间网络连接的稳定畅通，维护各中心与云服务之间中心端网络设备、网络策略。以及配合安全策略配置工作，确保云服务部署的数据库服务器、应用服务器、交换机、安全设备等设施的安全高效运行。</w:t>
      </w:r>
    </w:p>
    <w:p w14:paraId="785013F0">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default" w:eastAsia="宋体" w:asciiTheme="minorAscii" w:hAnsiTheme="minorAscii"/>
          <w:bCs w:val="0"/>
          <w:sz w:val="24"/>
          <w:szCs w:val="24"/>
          <w:highlight w:val="none"/>
          <w:lang w:val="en-US" w:eastAsia="zh-CN"/>
        </w:rPr>
      </w:pPr>
      <w:bookmarkStart w:id="473" w:name="_Toc22268"/>
      <w:r>
        <w:rPr>
          <w:rFonts w:hint="eastAsia" w:eastAsia="宋体" w:asciiTheme="minorAscii" w:hAnsiTheme="minorAscii"/>
          <w:bCs w:val="0"/>
          <w:sz w:val="24"/>
          <w:szCs w:val="24"/>
          <w:highlight w:val="none"/>
          <w:lang w:val="en-US" w:eastAsia="zh-CN"/>
        </w:rPr>
        <w:t>6.系统评测</w:t>
      </w:r>
      <w:bookmarkEnd w:id="473"/>
    </w:p>
    <w:p w14:paraId="6E825507">
      <w:pPr>
        <w:shd w:val="clear"/>
        <w:bidi w:val="0"/>
        <w:ind w:firstLine="480" w:firstLineChars="200"/>
        <w:rPr>
          <w:rFonts w:hint="default"/>
          <w:highlight w:val="none"/>
          <w:lang w:val="en-US" w:eastAsia="zh-CN"/>
        </w:rPr>
      </w:pPr>
      <w:r>
        <w:rPr>
          <w:rFonts w:hint="eastAsia"/>
          <w:highlight w:val="none"/>
          <w:lang w:val="en-US" w:eastAsia="zh-CN"/>
        </w:rPr>
        <w:t>（1）信息安全等级保护评测服务</w:t>
      </w:r>
    </w:p>
    <w:p w14:paraId="3B317C69">
      <w:pPr>
        <w:shd w:val="clear"/>
        <w:bidi w:val="0"/>
        <w:ind w:firstLine="480" w:firstLineChars="200"/>
        <w:rPr>
          <w:rFonts w:hint="default"/>
          <w:highlight w:val="none"/>
          <w:lang w:val="en-US" w:eastAsia="zh-CN"/>
        </w:rPr>
      </w:pPr>
      <w:r>
        <w:rPr>
          <w:rFonts w:hint="default"/>
          <w:highlight w:val="none"/>
          <w:lang w:val="en-US" w:eastAsia="zh-CN"/>
        </w:rPr>
        <w:t>依据《网络安全等级保护基本要求》要求，按照等保三级要求，开展以下工作：</w:t>
      </w:r>
    </w:p>
    <w:p w14:paraId="536DFD21">
      <w:pPr>
        <w:shd w:val="clear"/>
        <w:bidi w:val="0"/>
        <w:ind w:firstLine="480" w:firstLineChars="200"/>
        <w:rPr>
          <w:rFonts w:hint="default"/>
          <w:highlight w:val="none"/>
          <w:lang w:val="en-US" w:eastAsia="zh-CN"/>
        </w:rPr>
      </w:pPr>
      <w:r>
        <w:rPr>
          <w:rFonts w:hint="default"/>
          <w:highlight w:val="none"/>
          <w:lang w:val="en-US" w:eastAsia="zh-CN"/>
        </w:rPr>
        <w:t>等保测评服务：</w:t>
      </w:r>
      <w:r>
        <w:rPr>
          <w:rFonts w:hint="eastAsia"/>
          <w:highlight w:val="none"/>
          <w:lang w:val="en-US" w:eastAsia="zh-CN"/>
        </w:rPr>
        <w:t>中心聘</w:t>
      </w:r>
      <w:r>
        <w:rPr>
          <w:rFonts w:hint="default"/>
          <w:highlight w:val="none"/>
          <w:lang w:val="en-US" w:eastAsia="zh-CN"/>
        </w:rPr>
        <w:t>请第三方测评机构完成等保测评工作。服务费用</w:t>
      </w:r>
      <w:r>
        <w:rPr>
          <w:rFonts w:hint="eastAsia"/>
          <w:highlight w:val="none"/>
          <w:lang w:val="en-US" w:eastAsia="zh-CN"/>
        </w:rPr>
        <w:t>由中标供应商承担。</w:t>
      </w:r>
    </w:p>
    <w:p w14:paraId="3B604978">
      <w:pPr>
        <w:shd w:val="clear"/>
        <w:bidi w:val="0"/>
        <w:ind w:firstLine="480" w:firstLineChars="200"/>
        <w:rPr>
          <w:rFonts w:hint="default"/>
          <w:highlight w:val="none"/>
          <w:lang w:val="en-US" w:eastAsia="zh-CN"/>
        </w:rPr>
      </w:pPr>
      <w:r>
        <w:rPr>
          <w:rFonts w:hint="eastAsia"/>
          <w:highlight w:val="none"/>
          <w:lang w:val="en-US" w:eastAsia="zh-CN"/>
        </w:rPr>
        <w:t>中标供应商</w:t>
      </w:r>
      <w:r>
        <w:rPr>
          <w:rFonts w:hint="default"/>
          <w:highlight w:val="none"/>
          <w:lang w:val="en-US" w:eastAsia="zh-CN"/>
        </w:rPr>
        <w:t>协助等保测评整改：根据等保测评结果，完成本期服务所含系统的问题整改工作。安全物理环境、安全通信网络、安全区域边界、安全计算环境的保障，由中心协调</w:t>
      </w:r>
      <w:r>
        <w:rPr>
          <w:rFonts w:hint="eastAsia"/>
          <w:highlight w:val="none"/>
          <w:lang w:val="en-US" w:eastAsia="zh-CN"/>
        </w:rPr>
        <w:t>云服务商</w:t>
      </w:r>
      <w:r>
        <w:rPr>
          <w:rFonts w:hint="default"/>
          <w:highlight w:val="none"/>
          <w:lang w:val="en-US" w:eastAsia="zh-CN"/>
        </w:rPr>
        <w:t>完成。</w:t>
      </w:r>
    </w:p>
    <w:p w14:paraId="7416DDE0">
      <w:pPr>
        <w:shd w:val="clear"/>
        <w:bidi w:val="0"/>
        <w:ind w:firstLine="480" w:firstLineChars="200"/>
        <w:rPr>
          <w:rFonts w:hint="default"/>
          <w:highlight w:val="none"/>
          <w:lang w:val="en-US" w:eastAsia="zh-CN"/>
        </w:rPr>
      </w:pPr>
      <w:r>
        <w:rPr>
          <w:rFonts w:hint="eastAsia"/>
          <w:highlight w:val="none"/>
          <w:lang w:val="en-US" w:eastAsia="zh-CN"/>
        </w:rPr>
        <w:t>（2）商用密码应用安全性评估服务</w:t>
      </w:r>
    </w:p>
    <w:p w14:paraId="01BF644A">
      <w:pPr>
        <w:shd w:val="clear"/>
        <w:bidi w:val="0"/>
        <w:ind w:firstLine="480" w:firstLineChars="200"/>
        <w:rPr>
          <w:rFonts w:hint="default"/>
          <w:highlight w:val="none"/>
          <w:lang w:val="en-US" w:eastAsia="zh-CN"/>
        </w:rPr>
      </w:pPr>
      <w:r>
        <w:rPr>
          <w:rFonts w:hint="eastAsia"/>
          <w:highlight w:val="none"/>
          <w:lang w:val="en-US" w:eastAsia="zh-CN"/>
        </w:rPr>
        <w:t>商密测评服务：中心聘</w:t>
      </w:r>
      <w:r>
        <w:rPr>
          <w:rFonts w:hint="default"/>
          <w:highlight w:val="none"/>
          <w:lang w:val="en-US" w:eastAsia="zh-CN"/>
        </w:rPr>
        <w:t>请</w:t>
      </w:r>
      <w:bookmarkStart w:id="891" w:name="_GoBack"/>
      <w:bookmarkEnd w:id="891"/>
      <w:r>
        <w:rPr>
          <w:rFonts w:hint="default"/>
          <w:highlight w:val="none"/>
          <w:lang w:val="en-US" w:eastAsia="zh-CN"/>
        </w:rPr>
        <w:t>国家密码管理部门颁发的商用密码测评机构资质的第三方评测公司进行评测。服务费用</w:t>
      </w:r>
      <w:r>
        <w:rPr>
          <w:rFonts w:hint="eastAsia"/>
          <w:highlight w:val="none"/>
          <w:lang w:val="en-US" w:eastAsia="zh-CN"/>
        </w:rPr>
        <w:t>由中标供应商承担。</w:t>
      </w:r>
    </w:p>
    <w:p w14:paraId="405D765C">
      <w:pPr>
        <w:shd w:val="clear"/>
        <w:bidi w:val="0"/>
        <w:ind w:firstLine="480" w:firstLineChars="200"/>
        <w:rPr>
          <w:rFonts w:hint="default"/>
          <w:highlight w:val="none"/>
          <w:lang w:val="en-US" w:eastAsia="zh-CN"/>
        </w:rPr>
      </w:pPr>
      <w:r>
        <w:rPr>
          <w:rFonts w:hint="eastAsia"/>
          <w:highlight w:val="none"/>
          <w:lang w:val="en-US" w:eastAsia="zh-CN"/>
        </w:rPr>
        <w:t>中标供应商</w:t>
      </w:r>
      <w:r>
        <w:rPr>
          <w:rFonts w:hint="default"/>
          <w:highlight w:val="none"/>
          <w:lang w:val="en-US" w:eastAsia="zh-CN"/>
        </w:rPr>
        <w:t>协助</w:t>
      </w:r>
      <w:r>
        <w:rPr>
          <w:rFonts w:hint="eastAsia"/>
          <w:highlight w:val="none"/>
          <w:lang w:val="en-US" w:eastAsia="zh-CN"/>
        </w:rPr>
        <w:t>商密</w:t>
      </w:r>
      <w:r>
        <w:rPr>
          <w:rFonts w:hint="default"/>
          <w:highlight w:val="none"/>
          <w:lang w:val="en-US" w:eastAsia="zh-CN"/>
        </w:rPr>
        <w:t>测评整改：根据</w:t>
      </w:r>
      <w:r>
        <w:rPr>
          <w:rFonts w:hint="eastAsia"/>
          <w:highlight w:val="none"/>
          <w:lang w:val="en-US" w:eastAsia="zh-CN"/>
        </w:rPr>
        <w:t>商密</w:t>
      </w:r>
      <w:r>
        <w:rPr>
          <w:rFonts w:hint="default"/>
          <w:highlight w:val="none"/>
          <w:lang w:val="en-US" w:eastAsia="zh-CN"/>
        </w:rPr>
        <w:t>测评结果，完成本期服务所含系统的问题整改工作。</w:t>
      </w:r>
    </w:p>
    <w:p w14:paraId="76768A9D">
      <w:pPr>
        <w:shd w:val="clear"/>
        <w:bidi w:val="0"/>
        <w:ind w:firstLine="480" w:firstLineChars="200"/>
        <w:rPr>
          <w:rFonts w:hint="default"/>
          <w:highlight w:val="green"/>
          <w:lang w:val="en-US" w:eastAsia="zh-CN"/>
        </w:rPr>
      </w:pPr>
      <w:r>
        <w:rPr>
          <w:rFonts w:hint="default"/>
          <w:highlight w:val="green"/>
          <w:lang w:val="en-US" w:eastAsia="zh-CN"/>
        </w:rPr>
        <w:t>（3）数据安全风险评估服务</w:t>
      </w:r>
    </w:p>
    <w:p w14:paraId="5142EC1D">
      <w:pPr>
        <w:shd w:val="clear"/>
        <w:bidi w:val="0"/>
        <w:ind w:firstLine="480" w:firstLineChars="200"/>
        <w:rPr>
          <w:rFonts w:hint="default"/>
          <w:highlight w:val="green"/>
          <w:lang w:val="en-US" w:eastAsia="zh-CN"/>
        </w:rPr>
      </w:pPr>
      <w:r>
        <w:rPr>
          <w:rFonts w:hint="default"/>
          <w:highlight w:val="green"/>
          <w:lang w:val="en-US" w:eastAsia="zh-CN"/>
        </w:rPr>
        <w:t>聘请具备相应专业资质的第三方机构，每年对所运维服务的系统开展数据安全风险评估工作，并按照风险评估报告和风险处置建议进行系统整改提升，确保系统常年处于低风险水平。</w:t>
      </w:r>
    </w:p>
    <w:p w14:paraId="1A8942F7">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default" w:eastAsia="宋体" w:asciiTheme="minorAscii" w:hAnsiTheme="minorAscii"/>
          <w:bCs w:val="0"/>
          <w:sz w:val="24"/>
          <w:szCs w:val="24"/>
          <w:highlight w:val="none"/>
          <w:lang w:val="en-US" w:eastAsia="zh-CN"/>
        </w:rPr>
      </w:pPr>
      <w:bookmarkStart w:id="474" w:name="_Toc8981"/>
      <w:r>
        <w:rPr>
          <w:rFonts w:hint="eastAsia" w:eastAsia="宋体" w:asciiTheme="minorAscii" w:hAnsiTheme="minorAscii"/>
          <w:bCs w:val="0"/>
          <w:sz w:val="24"/>
          <w:szCs w:val="24"/>
          <w:highlight w:val="none"/>
          <w:lang w:val="en-US" w:eastAsia="zh-CN"/>
        </w:rPr>
        <w:t>（二）</w:t>
      </w:r>
      <w:r>
        <w:rPr>
          <w:rFonts w:hint="default" w:eastAsia="宋体" w:asciiTheme="minorAscii" w:hAnsiTheme="minorAscii"/>
          <w:bCs w:val="0"/>
          <w:sz w:val="24"/>
          <w:szCs w:val="24"/>
          <w:highlight w:val="none"/>
          <w:lang w:val="en-US" w:eastAsia="zh-CN"/>
        </w:rPr>
        <w:t>业务创新及新增服务</w:t>
      </w:r>
      <w:bookmarkEnd w:id="474"/>
    </w:p>
    <w:p w14:paraId="1361F767">
      <w:pPr>
        <w:shd w:val="clear"/>
        <w:bidi w:val="0"/>
        <w:ind w:firstLine="480" w:firstLineChars="200"/>
        <w:rPr>
          <w:rFonts w:hint="default"/>
          <w:highlight w:val="none"/>
          <w:lang w:val="en-US" w:eastAsia="zh-CN"/>
        </w:rPr>
      </w:pPr>
      <w:r>
        <w:rPr>
          <w:rFonts w:hint="eastAsia"/>
          <w:highlight w:val="none"/>
          <w:lang w:val="en-US" w:eastAsia="zh-CN"/>
        </w:rPr>
        <w:t>为推进公积金业务智能化转型与服务创新，公积金中心亟需通过业务升级及强化技术与服务支撑。服务内容包含智能技术应用、业务无纸化、业务改造、数据资源服务、安全合规服务（信创安全）等。推动公积金业务流程优化、服务便民高效、数据安全可控。</w:t>
      </w:r>
    </w:p>
    <w:p w14:paraId="314BF892">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sz w:val="24"/>
          <w:szCs w:val="24"/>
          <w:highlight w:val="none"/>
          <w:lang w:val="en-US" w:eastAsia="zh-CN"/>
        </w:rPr>
      </w:pPr>
      <w:bookmarkStart w:id="475" w:name="_Toc10553"/>
      <w:r>
        <w:rPr>
          <w:rFonts w:hint="eastAsia" w:eastAsia="宋体" w:asciiTheme="minorAscii" w:hAnsiTheme="minorAscii"/>
          <w:bCs w:val="0"/>
          <w:sz w:val="24"/>
          <w:szCs w:val="24"/>
          <w:highlight w:val="none"/>
          <w:lang w:val="en-US" w:eastAsia="zh-CN"/>
        </w:rPr>
        <w:t>1.智能技术应用</w:t>
      </w:r>
      <w:bookmarkEnd w:id="475"/>
    </w:p>
    <w:p w14:paraId="01559AA6">
      <w:pPr>
        <w:shd w:val="clear"/>
        <w:ind w:firstLine="480" w:firstLineChars="200"/>
        <w:rPr>
          <w:rFonts w:hint="eastAsia"/>
          <w:highlight w:val="none"/>
          <w:lang w:val="en-US" w:eastAsia="zh-CN"/>
        </w:rPr>
      </w:pPr>
      <w:r>
        <w:rPr>
          <w:rFonts w:hint="eastAsia"/>
          <w:highlight w:val="none"/>
          <w:lang w:val="en-US" w:eastAsia="zh-CN"/>
        </w:rPr>
        <w:t>以“AI+行动”数字化转型赋能公积金建设，利用先进的数据分析、自然语言处理（NLP）和机器学习（ML）技术，向中心领导提供智能化的数据应用场景支持，实现数据交换智能交互。</w:t>
      </w:r>
    </w:p>
    <w:p w14:paraId="4B0E8C27">
      <w:pPr>
        <w:shd w:val="clear"/>
        <w:rPr>
          <w:rFonts w:hint="eastAsia"/>
          <w:highlight w:val="none"/>
          <w:lang w:val="en-US" w:eastAsia="zh-CN"/>
        </w:rPr>
      </w:pPr>
      <w:r>
        <w:rPr>
          <w:rFonts w:hint="eastAsia"/>
          <w:highlight w:val="none"/>
          <w:lang w:val="en-US" w:eastAsia="zh-CN"/>
        </w:rPr>
        <w:t>（1）智能客服与咨询</w:t>
      </w:r>
    </w:p>
    <w:p w14:paraId="6B1C5C74">
      <w:pPr>
        <w:shd w:val="clear"/>
        <w:ind w:firstLine="480" w:firstLineChars="200"/>
        <w:rPr>
          <w:rFonts w:hint="default"/>
          <w:highlight w:val="none"/>
          <w:lang w:val="en-US" w:eastAsia="zh-CN"/>
        </w:rPr>
      </w:pPr>
      <w:r>
        <w:rPr>
          <w:rFonts w:hint="eastAsia"/>
          <w:highlight w:val="none"/>
          <w:lang w:val="en-US" w:eastAsia="zh-CN"/>
        </w:rPr>
        <w:t>通过AI驱动的智能客服解答用户常见问题，通过自然语言处理、语义理解、敏感词检测等技术，实现与用户的自动交互，提供7*24在线服务。应用场景包含政策咨询、业务办理。</w:t>
      </w:r>
    </w:p>
    <w:p w14:paraId="270E90EC">
      <w:pPr>
        <w:shd w:val="clear"/>
        <w:rPr>
          <w:rFonts w:hint="eastAsia"/>
          <w:highlight w:val="none"/>
          <w:lang w:val="en-US" w:eastAsia="zh-CN"/>
        </w:rPr>
      </w:pPr>
      <w:r>
        <w:rPr>
          <w:rFonts w:hint="eastAsia"/>
          <w:highlight w:val="none"/>
          <w:lang w:val="en-US" w:eastAsia="zh-CN"/>
        </w:rPr>
        <w:t>（2）自动化审批与智能风控</w:t>
      </w:r>
    </w:p>
    <w:p w14:paraId="3AA5D2D7">
      <w:pPr>
        <w:shd w:val="clear"/>
        <w:ind w:firstLine="480" w:firstLineChars="200"/>
        <w:rPr>
          <w:rFonts w:hint="default"/>
          <w:highlight w:val="none"/>
          <w:lang w:val="en-US" w:eastAsia="zh-CN"/>
        </w:rPr>
      </w:pPr>
      <w:r>
        <w:rPr>
          <w:rFonts w:hint="eastAsia"/>
          <w:highlight w:val="none"/>
          <w:lang w:val="en-US" w:eastAsia="zh-CN"/>
        </w:rPr>
        <w:t>利用AI算法自动审核业务申请，识别异常或高风险行为。缩短审批时间，降低人工错误，防范欺诈风险；建立风控模型，对不同类型的风险进行自动排查，实现中心风险预警、推送、防范与控制。包含业务风险参数、业务风险分类、检查项配置、风控日志查询、风险业务监控等。</w:t>
      </w:r>
    </w:p>
    <w:p w14:paraId="19C65833">
      <w:pPr>
        <w:shd w:val="clear"/>
        <w:rPr>
          <w:rFonts w:hint="eastAsia"/>
          <w:highlight w:val="none"/>
          <w:lang w:val="en-US" w:eastAsia="zh-CN"/>
        </w:rPr>
      </w:pPr>
      <w:r>
        <w:rPr>
          <w:rFonts w:hint="eastAsia"/>
          <w:highlight w:val="none"/>
          <w:lang w:val="en-US" w:eastAsia="zh-CN"/>
        </w:rPr>
        <w:t>（3）个性化推荐与服务</w:t>
      </w:r>
    </w:p>
    <w:p w14:paraId="22F38472">
      <w:pPr>
        <w:shd w:val="clear"/>
        <w:ind w:firstLine="480" w:firstLineChars="200"/>
        <w:rPr>
          <w:rFonts w:hint="default"/>
          <w:highlight w:val="none"/>
          <w:lang w:val="en-US" w:eastAsia="zh-CN"/>
        </w:rPr>
      </w:pPr>
      <w:r>
        <w:rPr>
          <w:rFonts w:hint="eastAsia"/>
          <w:highlight w:val="none"/>
          <w:lang w:val="en-US" w:eastAsia="zh-CN"/>
        </w:rPr>
        <w:t>根据用户历史行为和需求，通过短信或智能客服推荐适合的公积金产品，在退休、离职、业务行为、可贷额度计算等多个方面提供主动式服务。包含</w:t>
      </w:r>
      <w:r>
        <w:rPr>
          <w:rFonts w:hint="eastAsia" w:ascii="Times New Roman" w:hAnsi="Times New Roman" w:cs="Times New Roman"/>
          <w:highlight w:val="none"/>
          <w:lang w:val="en-US" w:eastAsia="zh-CN"/>
        </w:rPr>
        <w:t>退休提取业务推送、离职提取业务推送、业务行为感知推荐、可贷额度自动计算等。</w:t>
      </w:r>
    </w:p>
    <w:p w14:paraId="064A44D0">
      <w:pPr>
        <w:shd w:val="clear"/>
        <w:rPr>
          <w:rFonts w:hint="eastAsia"/>
          <w:highlight w:val="none"/>
          <w:lang w:val="en-US" w:eastAsia="zh-CN"/>
        </w:rPr>
      </w:pPr>
      <w:r>
        <w:rPr>
          <w:rFonts w:hint="eastAsia"/>
          <w:highlight w:val="none"/>
          <w:lang w:val="en-US" w:eastAsia="zh-CN"/>
        </w:rPr>
        <w:t>（4）智能数据分析与预测</w:t>
      </w:r>
    </w:p>
    <w:p w14:paraId="5E93313E">
      <w:pPr>
        <w:shd w:val="clear"/>
        <w:ind w:firstLine="480" w:firstLineChars="200"/>
        <w:rPr>
          <w:rFonts w:hint="default"/>
          <w:highlight w:val="none"/>
          <w:lang w:val="en-US" w:eastAsia="zh-CN"/>
        </w:rPr>
      </w:pPr>
      <w:r>
        <w:rPr>
          <w:rFonts w:hint="eastAsia"/>
          <w:highlight w:val="none"/>
        </w:rPr>
        <w:t>通过</w:t>
      </w:r>
      <w:r>
        <w:rPr>
          <w:rFonts w:hint="eastAsia"/>
          <w:highlight w:val="none"/>
          <w:lang w:val="en-US" w:eastAsia="zh-CN"/>
        </w:rPr>
        <w:t>AI大模型，分析公积金缴存、提取、贷款等数据，预测未来趋势。如缴存金额趋势分析、提取金额趋势分析、</w:t>
      </w:r>
      <w:r>
        <w:rPr>
          <w:rFonts w:hint="eastAsia" w:ascii="Times New Roman" w:hAnsi="Times New Roman" w:cs="Times New Roman"/>
          <w:highlight w:val="none"/>
          <w:lang w:val="en-US" w:eastAsia="zh-CN"/>
        </w:rPr>
        <w:t>贷款需求趋势分析、余额变动趋势分析、用户行为趋势分析、区域对比趋势分析等应用场景。</w:t>
      </w:r>
    </w:p>
    <w:p w14:paraId="629166A3">
      <w:pPr>
        <w:shd w:val="clear"/>
        <w:rPr>
          <w:rFonts w:hint="eastAsia"/>
          <w:highlight w:val="none"/>
          <w:lang w:val="en-US" w:eastAsia="zh-CN"/>
        </w:rPr>
      </w:pPr>
      <w:r>
        <w:rPr>
          <w:rFonts w:hint="eastAsia"/>
          <w:highlight w:val="none"/>
          <w:lang w:val="en-US" w:eastAsia="zh-CN"/>
        </w:rPr>
        <w:t>（5）客户画像</w:t>
      </w:r>
    </w:p>
    <w:p w14:paraId="36C57E71">
      <w:pPr>
        <w:shd w:val="clear"/>
        <w:bidi w:val="0"/>
        <w:ind w:firstLine="480" w:firstLineChars="200"/>
        <w:rPr>
          <w:rFonts w:hint="eastAsia"/>
          <w:highlight w:val="none"/>
          <w:lang w:val="en-US" w:eastAsia="zh-CN"/>
        </w:rPr>
      </w:pPr>
      <w:r>
        <w:rPr>
          <w:rFonts w:hint="eastAsia"/>
          <w:highlight w:val="none"/>
          <w:lang w:val="en-US" w:eastAsia="zh-CN"/>
        </w:rPr>
        <w:t>采集公积金数据数据，形成标准化的大数据资源池，深度挖掘数据信息，构建公积金画像标签体系和模型，直观了解不用画像的用户特征以及用户行为轨迹，实现数智化数据查看。</w:t>
      </w:r>
    </w:p>
    <w:p w14:paraId="1A45E58B">
      <w:pPr>
        <w:shd w:val="clear"/>
        <w:bidi w:val="0"/>
        <w:ind w:firstLine="480" w:firstLineChars="200"/>
        <w:rPr>
          <w:rFonts w:hint="eastAsia"/>
          <w:highlight w:val="none"/>
          <w:lang w:val="en-US" w:eastAsia="zh-CN"/>
        </w:rPr>
      </w:pPr>
      <w:r>
        <w:rPr>
          <w:rFonts w:hint="eastAsia"/>
          <w:highlight w:val="none"/>
          <w:lang w:val="en-US" w:eastAsia="zh-CN"/>
        </w:rPr>
        <w:t>构建公积金画像标签体系：构建统计类标签（职工属性、用户特征）、规则类标签（用户行为、用户路径）标签体系。</w:t>
      </w:r>
    </w:p>
    <w:p w14:paraId="0BF6755A">
      <w:pPr>
        <w:shd w:val="clear"/>
        <w:bidi w:val="0"/>
        <w:ind w:firstLine="480" w:firstLineChars="200"/>
        <w:rPr>
          <w:rFonts w:hint="eastAsia"/>
          <w:highlight w:val="none"/>
          <w:lang w:val="en-US" w:eastAsia="zh-CN"/>
        </w:rPr>
      </w:pPr>
      <w:r>
        <w:rPr>
          <w:rFonts w:hint="eastAsia"/>
          <w:highlight w:val="none"/>
          <w:lang w:val="en-US" w:eastAsia="zh-CN"/>
        </w:rPr>
        <w:t>构建画像模型：构建个人画像、群体画像、业务画像、行为画像、风险画像5类画像，可视化展示画像各模块重点指标数据项，提供画像总览、综合分析能力。</w:t>
      </w:r>
    </w:p>
    <w:p w14:paraId="2DA0EF17">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sz w:val="24"/>
          <w:szCs w:val="24"/>
          <w:highlight w:val="none"/>
          <w:lang w:val="en-US" w:eastAsia="zh-CN"/>
        </w:rPr>
      </w:pPr>
      <w:bookmarkStart w:id="476" w:name="_Toc21364"/>
      <w:r>
        <w:rPr>
          <w:rFonts w:hint="eastAsia" w:eastAsia="宋体" w:asciiTheme="minorAscii" w:hAnsiTheme="minorAscii"/>
          <w:bCs w:val="0"/>
          <w:sz w:val="24"/>
          <w:szCs w:val="24"/>
          <w:highlight w:val="none"/>
          <w:lang w:val="en-US" w:eastAsia="zh-CN"/>
        </w:rPr>
        <w:t>2.业务无纸化</w:t>
      </w:r>
      <w:bookmarkEnd w:id="476"/>
    </w:p>
    <w:p w14:paraId="76E35C0B">
      <w:pPr>
        <w:shd w:val="clear"/>
        <w:ind w:firstLine="480" w:firstLineChars="200"/>
        <w:rPr>
          <w:rFonts w:hint="eastAsia"/>
          <w:highlight w:val="none"/>
          <w:lang w:val="en-US" w:eastAsia="zh-CN"/>
        </w:rPr>
      </w:pPr>
      <w:r>
        <w:rPr>
          <w:rFonts w:hint="eastAsia"/>
          <w:highlight w:val="none"/>
          <w:lang w:val="en-US" w:eastAsia="zh-CN"/>
        </w:rPr>
        <w:t>按照《住房公积金档案标准》要求，建设新版电子档案管理平台，从形成与收集、整理与归档、保管与保护、鉴定与销毁、利用与开发、统计与移交等方面实现档案的全生命周期的管理。其中，电子档案平台应独立部署，与核心业务系统接口交互，存储逻辑隔离。</w:t>
      </w:r>
    </w:p>
    <w:p w14:paraId="5913BE9E">
      <w:pPr>
        <w:shd w:val="clear"/>
        <w:rPr>
          <w:rFonts w:hint="default"/>
          <w:highlight w:val="none"/>
          <w:lang w:val="en-US" w:eastAsia="zh-CN"/>
        </w:rPr>
      </w:pPr>
      <w:r>
        <w:rPr>
          <w:rFonts w:hint="eastAsia"/>
          <w:highlight w:val="none"/>
          <w:lang w:val="en-US" w:eastAsia="zh-CN"/>
        </w:rPr>
        <w:t>（1）全流程电子化管理</w:t>
      </w:r>
    </w:p>
    <w:p w14:paraId="51C53964">
      <w:pPr>
        <w:shd w:val="clear"/>
        <w:ind w:firstLine="480" w:firstLineChars="200"/>
        <w:rPr>
          <w:rFonts w:hint="eastAsia"/>
          <w:highlight w:val="none"/>
          <w:lang w:val="en-US" w:eastAsia="zh-CN"/>
        </w:rPr>
      </w:pPr>
      <w:r>
        <w:rPr>
          <w:rFonts w:hint="eastAsia"/>
          <w:highlight w:val="none"/>
          <w:lang w:val="en-US" w:eastAsia="zh-CN"/>
        </w:rPr>
        <w:t>实现档案的电子化采集、存储和管理，全面支撑无纸化业务场景，支持PDF、图片、Word等多种文件格式上传存档。集成OCR技术，自动提取档案中的关键信息，减少人工干预，提升档案处理效率。</w:t>
      </w:r>
    </w:p>
    <w:p w14:paraId="290C3314">
      <w:pPr>
        <w:shd w:val="clear"/>
        <w:ind w:firstLine="480" w:firstLineChars="200"/>
        <w:rPr>
          <w:rFonts w:hint="eastAsia"/>
          <w:highlight w:val="none"/>
          <w:lang w:val="en-US" w:eastAsia="zh-CN"/>
        </w:rPr>
      </w:pPr>
      <w:r>
        <w:rPr>
          <w:rFonts w:hint="eastAsia"/>
          <w:highlight w:val="none"/>
          <w:lang w:val="en-US" w:eastAsia="zh-CN"/>
        </w:rPr>
        <w:t>针对尚未完成升级的中心，预留与传统纸质档案管理模式的过渡期，确保新旧管理模式平滑衔接。</w:t>
      </w:r>
    </w:p>
    <w:p w14:paraId="699554E3">
      <w:pPr>
        <w:shd w:val="clear"/>
        <w:rPr>
          <w:rFonts w:hint="default"/>
          <w:highlight w:val="none"/>
          <w:lang w:val="en-US" w:eastAsia="zh-CN"/>
        </w:rPr>
      </w:pPr>
      <w:r>
        <w:rPr>
          <w:rFonts w:hint="eastAsia"/>
          <w:highlight w:val="none"/>
          <w:lang w:val="en-US" w:eastAsia="zh-CN"/>
        </w:rPr>
        <w:t>（2）安全体系</w:t>
      </w:r>
    </w:p>
    <w:p w14:paraId="6E6EA104">
      <w:pPr>
        <w:shd w:val="clear"/>
        <w:ind w:firstLine="480" w:firstLineChars="200"/>
        <w:rPr>
          <w:rFonts w:hint="eastAsia"/>
          <w:highlight w:val="none"/>
          <w:lang w:val="en-US" w:eastAsia="zh-CN"/>
        </w:rPr>
      </w:pPr>
      <w:r>
        <w:rPr>
          <w:rFonts w:hint="eastAsia"/>
          <w:highlight w:val="none"/>
          <w:lang w:val="en-US" w:eastAsia="zh-CN"/>
        </w:rPr>
        <w:t>根据对接文档，对接电子签名、时间戳服务等，应用电子签章及电子签名技术替代传统的手写签名和实体印章，提高业务办理效率，推动无纸化办公和数字化转型。</w:t>
      </w:r>
    </w:p>
    <w:p w14:paraId="1057B3DE">
      <w:pPr>
        <w:shd w:val="clear"/>
        <w:bidi w:val="0"/>
        <w:ind w:firstLine="480" w:firstLineChars="200"/>
        <w:rPr>
          <w:rFonts w:hint="eastAsia"/>
          <w:highlight w:val="none"/>
          <w:lang w:val="en-US" w:eastAsia="zh-CN"/>
        </w:rPr>
      </w:pPr>
      <w:r>
        <w:rPr>
          <w:rFonts w:hint="eastAsia"/>
          <w:highlight w:val="none"/>
          <w:lang w:val="en-US" w:eastAsia="zh-CN"/>
        </w:rPr>
        <w:t>将数据共享信息及关键审核信息通过技术手段固化为加盖电子签章及时间戳的电子档案信息，可有效提升电子档案管理的规范性和安全性。</w:t>
      </w:r>
    </w:p>
    <w:p w14:paraId="5149C818">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sz w:val="24"/>
          <w:szCs w:val="24"/>
          <w:highlight w:val="none"/>
          <w:lang w:val="en-US" w:eastAsia="zh-CN"/>
        </w:rPr>
      </w:pPr>
      <w:bookmarkStart w:id="477" w:name="_Toc27395"/>
      <w:r>
        <w:rPr>
          <w:rFonts w:hint="eastAsia" w:eastAsia="宋体" w:asciiTheme="minorAscii" w:hAnsiTheme="minorAscii"/>
          <w:bCs w:val="0"/>
          <w:sz w:val="24"/>
          <w:szCs w:val="24"/>
          <w:highlight w:val="none"/>
          <w:lang w:val="en-US" w:eastAsia="zh-CN"/>
        </w:rPr>
        <w:t>3.业务改造</w:t>
      </w:r>
      <w:bookmarkEnd w:id="477"/>
    </w:p>
    <w:p w14:paraId="6D246C0C">
      <w:pPr>
        <w:shd w:val="clear"/>
        <w:bidi w:val="0"/>
        <w:ind w:firstLine="480" w:firstLineChars="200"/>
        <w:rPr>
          <w:rFonts w:hint="eastAsia"/>
          <w:highlight w:val="none"/>
          <w:lang w:val="en-US" w:eastAsia="zh-CN"/>
        </w:rPr>
      </w:pPr>
      <w:r>
        <w:rPr>
          <w:rFonts w:hint="eastAsia"/>
          <w:highlight w:val="none"/>
          <w:lang w:val="en-US" w:eastAsia="zh-CN"/>
        </w:rPr>
        <w:t>业务改造包含业务标准化改造及兵地融合改造。</w:t>
      </w:r>
    </w:p>
    <w:p w14:paraId="32ECFC1B">
      <w:pPr>
        <w:shd w:val="clear"/>
        <w:bidi w:val="0"/>
        <w:rPr>
          <w:rFonts w:hint="eastAsia"/>
          <w:highlight w:val="none"/>
          <w:lang w:val="en-US" w:eastAsia="zh-CN"/>
        </w:rPr>
      </w:pPr>
      <w:r>
        <w:rPr>
          <w:rFonts w:hint="eastAsia"/>
          <w:highlight w:val="none"/>
          <w:lang w:val="en-US" w:eastAsia="zh-CN"/>
        </w:rPr>
        <w:t>（1）业务标准化改造</w:t>
      </w:r>
    </w:p>
    <w:p w14:paraId="506CC9B0">
      <w:pPr>
        <w:shd w:val="clear"/>
        <w:bidi w:val="0"/>
        <w:ind w:firstLine="480" w:firstLineChars="200"/>
        <w:rPr>
          <w:rFonts w:hint="eastAsia"/>
          <w:highlight w:val="none"/>
          <w:lang w:val="en-US" w:eastAsia="zh-CN"/>
        </w:rPr>
      </w:pPr>
      <w:r>
        <w:rPr>
          <w:rFonts w:hint="eastAsia"/>
          <w:highlight w:val="none"/>
          <w:lang w:val="en-US" w:eastAsia="zh-CN"/>
        </w:rPr>
        <w:t>对自治区各地（州、市）住房公积金管理中心的归集、提取、贷款、财务资金、行政执法、业务稽核、辅助决策等业务组件进行全面梳理，深入分析各中心各业务的信息采集、业务规则、档案材料、打印材料、审核流程等方面的差异点，形成详细的差异分析报告。依据自治区各地（州、市）住房公积金管理中心共同确认的统一业务标准，进行系统的改造与优化，确保系统能够满足各中心业务差异化需求的快速配置与上线，推动建立数据赋能的数字化管理新机制，提升管理运行效能。</w:t>
      </w:r>
    </w:p>
    <w:p w14:paraId="50439063">
      <w:pPr>
        <w:shd w:val="clear"/>
        <w:bidi w:val="0"/>
        <w:rPr>
          <w:rFonts w:hint="eastAsia"/>
          <w:highlight w:val="none"/>
          <w:lang w:val="en-US" w:eastAsia="zh-CN"/>
        </w:rPr>
      </w:pPr>
      <w:r>
        <w:rPr>
          <w:rFonts w:hint="eastAsia"/>
          <w:highlight w:val="none"/>
          <w:lang w:val="en-US" w:eastAsia="zh-CN"/>
        </w:rPr>
        <w:t>（2）兵地融合改造</w:t>
      </w:r>
    </w:p>
    <w:p w14:paraId="258C8B99">
      <w:pPr>
        <w:shd w:val="clear"/>
        <w:bidi w:val="0"/>
        <w:ind w:firstLine="480" w:firstLineChars="200"/>
        <w:rPr>
          <w:rFonts w:hint="default"/>
          <w:highlight w:val="none"/>
          <w:lang w:val="en-US" w:eastAsia="zh-CN"/>
        </w:rPr>
      </w:pPr>
      <w:r>
        <w:rPr>
          <w:rFonts w:hint="default"/>
          <w:highlight w:val="none"/>
          <w:lang w:val="en-US" w:eastAsia="zh-CN"/>
        </w:rPr>
        <w:t>通过专线直连的方式与兵团公积金中心实现“兵地业务联办”，根据经确认的对接方案，开展对接工作，逐步接入联办业务。实现在地方和兵团公积金任意窗口均可进行业务互办。</w:t>
      </w:r>
    </w:p>
    <w:p w14:paraId="603C0584">
      <w:pPr>
        <w:shd w:val="clear"/>
        <w:bidi w:val="0"/>
        <w:ind w:firstLine="480" w:firstLineChars="200"/>
        <w:rPr>
          <w:rFonts w:hint="default"/>
          <w:highlight w:val="none"/>
          <w:lang w:val="en-US" w:eastAsia="zh-CN"/>
        </w:rPr>
      </w:pPr>
      <w:r>
        <w:rPr>
          <w:rFonts w:hint="default"/>
          <w:highlight w:val="none"/>
          <w:lang w:val="en-US" w:eastAsia="zh-CN"/>
        </w:rPr>
        <w:t>由于目前各中心之间以及和兵团中心的各项业务仍存在业务流程、采集信息、业务规则、档案材料及业务凭条的差异性</w:t>
      </w:r>
      <w:r>
        <w:rPr>
          <w:rFonts w:hint="eastAsia"/>
          <w:highlight w:val="none"/>
          <w:lang w:val="en-US" w:eastAsia="zh-CN"/>
        </w:rPr>
        <w:t>，</w:t>
      </w:r>
      <w:r>
        <w:rPr>
          <w:rFonts w:hint="default"/>
          <w:highlight w:val="none"/>
          <w:lang w:val="en-US" w:eastAsia="zh-CN"/>
        </w:rPr>
        <w:t>按住建厅的要求，业务标准化的工作同步开展，最终实现全业务的融合办理。</w:t>
      </w:r>
    </w:p>
    <w:p w14:paraId="59A00DE4">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sz w:val="24"/>
          <w:szCs w:val="24"/>
          <w:highlight w:val="none"/>
          <w:lang w:val="en-US" w:eastAsia="zh-CN"/>
        </w:rPr>
      </w:pPr>
      <w:bookmarkStart w:id="478" w:name="_Toc15621"/>
      <w:r>
        <w:rPr>
          <w:rFonts w:hint="eastAsia" w:eastAsia="宋体" w:asciiTheme="minorAscii" w:hAnsiTheme="minorAscii"/>
          <w:bCs w:val="0"/>
          <w:sz w:val="24"/>
          <w:szCs w:val="24"/>
          <w:highlight w:val="none"/>
          <w:lang w:val="en-US" w:eastAsia="zh-CN"/>
        </w:rPr>
        <w:t>4.数据资源服务</w:t>
      </w:r>
      <w:bookmarkEnd w:id="478"/>
    </w:p>
    <w:p w14:paraId="75DADE02">
      <w:pPr>
        <w:shd w:val="clear"/>
        <w:bidi w:val="0"/>
        <w:rPr>
          <w:rFonts w:hint="eastAsia"/>
          <w:highlight w:val="none"/>
          <w:lang w:val="en-US" w:eastAsia="zh-CN"/>
        </w:rPr>
      </w:pPr>
      <w:r>
        <w:rPr>
          <w:rFonts w:hint="eastAsia"/>
          <w:highlight w:val="none"/>
          <w:lang w:val="en-US" w:eastAsia="zh-CN"/>
        </w:rPr>
        <w:t>（1）数据资产盘点及编目服务</w:t>
      </w:r>
    </w:p>
    <w:p w14:paraId="00220A96">
      <w:pPr>
        <w:shd w:val="clear"/>
        <w:bidi w:val="0"/>
        <w:ind w:firstLine="480" w:firstLineChars="200"/>
        <w:rPr>
          <w:rFonts w:hint="eastAsia"/>
          <w:highlight w:val="none"/>
          <w:lang w:val="en-US" w:eastAsia="zh-CN"/>
        </w:rPr>
      </w:pPr>
      <w:r>
        <w:rPr>
          <w:rFonts w:hint="eastAsia"/>
          <w:highlight w:val="none"/>
          <w:lang w:val="en-US" w:eastAsia="zh-CN"/>
        </w:rPr>
        <w:t>盘点各中心现有数据资源，编制《住房公积金数据资源目录》，属性内容主要包含数据类别、业务属性、技术属性、管理属性、安全属性、开放属性。通过编制数据资源目录，实现对数据的快速检索、准确定位与规范管理，后续支撑各中心数据的分级管理、数据共享应用、挖掘数据价值。</w:t>
      </w:r>
    </w:p>
    <w:p w14:paraId="1D9CCE42">
      <w:pPr>
        <w:shd w:val="clear"/>
        <w:bidi w:val="0"/>
        <w:rPr>
          <w:rFonts w:hint="eastAsia"/>
          <w:highlight w:val="none"/>
          <w:lang w:val="en-US" w:eastAsia="zh-CN"/>
        </w:rPr>
      </w:pPr>
      <w:r>
        <w:rPr>
          <w:rFonts w:hint="eastAsia"/>
          <w:highlight w:val="none"/>
          <w:lang w:val="en-US" w:eastAsia="zh-CN"/>
        </w:rPr>
        <w:t>（2）历史数据治理服务</w:t>
      </w:r>
    </w:p>
    <w:p w14:paraId="7125212B">
      <w:pPr>
        <w:shd w:val="clear"/>
        <w:bidi w:val="0"/>
        <w:ind w:firstLine="480" w:firstLineChars="200"/>
        <w:rPr>
          <w:rFonts w:hint="eastAsia"/>
          <w:highlight w:val="none"/>
          <w:lang w:val="en-US" w:eastAsia="zh-CN"/>
        </w:rPr>
      </w:pPr>
      <w:r>
        <w:rPr>
          <w:rFonts w:hint="eastAsia"/>
          <w:highlight w:val="none"/>
          <w:lang w:val="en-US" w:eastAsia="zh-CN"/>
        </w:rPr>
        <w:t>提供历史存量数据全面的数据检查、问题整改能力。（针对历史数据问题进行分析并从技术层面治理，不包括人工翻阅历史纸质档案等。）</w:t>
      </w:r>
    </w:p>
    <w:p w14:paraId="538BF8B0">
      <w:pPr>
        <w:shd w:val="clear"/>
        <w:bidi w:val="0"/>
        <w:ind w:firstLine="480" w:firstLineChars="200"/>
        <w:rPr>
          <w:rFonts w:hint="eastAsia"/>
          <w:highlight w:val="none"/>
          <w:lang w:val="en-US" w:eastAsia="zh-CN"/>
        </w:rPr>
      </w:pPr>
      <w:r>
        <w:rPr>
          <w:rFonts w:hint="eastAsia"/>
          <w:highlight w:val="none"/>
          <w:lang w:val="en-US" w:eastAsia="zh-CN"/>
        </w:rPr>
        <w:t>配置数据检查指标：依据《住建部基础数据标准》、征信上报标准、公积金业务与财务管理规范等，定义数据检查标准及分类，各中心可根据业务运行情况增加中心的检查指标。</w:t>
      </w:r>
    </w:p>
    <w:p w14:paraId="180B3D19">
      <w:pPr>
        <w:shd w:val="clear"/>
        <w:bidi w:val="0"/>
        <w:ind w:firstLine="480" w:firstLineChars="200"/>
        <w:rPr>
          <w:rFonts w:hint="eastAsia"/>
          <w:highlight w:val="none"/>
          <w:lang w:val="en-US" w:eastAsia="zh-CN"/>
        </w:rPr>
      </w:pPr>
      <w:r>
        <w:rPr>
          <w:rFonts w:hint="eastAsia"/>
          <w:highlight w:val="none"/>
          <w:lang w:val="en-US" w:eastAsia="zh-CN"/>
        </w:rPr>
        <w:t>提供数据治理检查工具：提供风险对照组配置、白名单管理、数据质量检查、数据整改留痕能力，可产出数据质量检查报告，按基础信息类、业务逻辑类、账务平衡类、风险隐患类等进行问题分类，支持分发至各中心。</w:t>
      </w:r>
    </w:p>
    <w:p w14:paraId="2F986847">
      <w:pPr>
        <w:shd w:val="clear"/>
        <w:bidi w:val="0"/>
        <w:ind w:firstLine="480" w:firstLineChars="200"/>
        <w:rPr>
          <w:rFonts w:hint="eastAsia"/>
          <w:highlight w:val="none"/>
          <w:lang w:val="en-US" w:eastAsia="zh-CN"/>
        </w:rPr>
      </w:pPr>
      <w:r>
        <w:rPr>
          <w:rFonts w:hint="eastAsia"/>
          <w:highlight w:val="none"/>
          <w:lang w:val="en-US" w:eastAsia="zh-CN"/>
        </w:rPr>
        <w:t>协助数据质量检查：协助各中心进行数据检查环境准备、数据抽取、数据治理检查验证工作（数据质量检查范围需与各中心相关科室达成一致，由各中心确认后进行采集检查）。</w:t>
      </w:r>
    </w:p>
    <w:p w14:paraId="50C49F8A">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sz w:val="24"/>
          <w:szCs w:val="24"/>
          <w:highlight w:val="none"/>
          <w:lang w:val="en-US" w:eastAsia="zh-CN"/>
        </w:rPr>
      </w:pPr>
      <w:bookmarkStart w:id="479" w:name="_Toc10912"/>
      <w:r>
        <w:rPr>
          <w:rFonts w:hint="eastAsia" w:eastAsia="宋体" w:asciiTheme="minorAscii" w:hAnsiTheme="minorAscii"/>
          <w:bCs w:val="0"/>
          <w:sz w:val="24"/>
          <w:szCs w:val="24"/>
          <w:highlight w:val="none"/>
          <w:lang w:val="en-US" w:eastAsia="zh-CN"/>
        </w:rPr>
        <w:t>5.安全合规服务（信创安全）</w:t>
      </w:r>
      <w:bookmarkEnd w:id="479"/>
    </w:p>
    <w:p w14:paraId="1E00E058">
      <w:pPr>
        <w:shd w:val="clear"/>
        <w:bidi w:val="0"/>
        <w:rPr>
          <w:rFonts w:hint="eastAsia"/>
          <w:highlight w:val="none"/>
          <w:lang w:val="en-US" w:eastAsia="zh-CN"/>
        </w:rPr>
      </w:pPr>
      <w:r>
        <w:rPr>
          <w:rFonts w:hint="eastAsia"/>
          <w:highlight w:val="none"/>
          <w:lang w:val="en-US" w:eastAsia="zh-CN"/>
        </w:rPr>
        <w:t>（1）信创适配服务</w:t>
      </w:r>
    </w:p>
    <w:p w14:paraId="0205AF9E">
      <w:pPr>
        <w:shd w:val="clear"/>
        <w:bidi w:val="0"/>
        <w:ind w:firstLine="480" w:firstLineChars="200"/>
        <w:rPr>
          <w:rFonts w:hint="eastAsia"/>
          <w:highlight w:val="none"/>
          <w:lang w:val="en-US" w:eastAsia="zh-CN"/>
        </w:rPr>
      </w:pPr>
      <w:r>
        <w:rPr>
          <w:rFonts w:hint="eastAsia"/>
          <w:highlight w:val="none"/>
          <w:lang w:val="en-US" w:eastAsia="zh-CN"/>
        </w:rPr>
        <w:t>协助梳理信创资源：推荐可供选择的信创设备，协助各中心梳理信创服务资源，形成《信创软硬件资源需求清单》（不包含第三方采购服务，由各中心自行完成信创资源申请、采购、替换）；</w:t>
      </w:r>
    </w:p>
    <w:p w14:paraId="556153BD">
      <w:pPr>
        <w:shd w:val="clear"/>
        <w:bidi w:val="0"/>
        <w:ind w:firstLine="480" w:firstLineChars="200"/>
        <w:rPr>
          <w:rFonts w:hint="eastAsia"/>
          <w:highlight w:val="none"/>
          <w:lang w:val="en-US" w:eastAsia="zh-CN"/>
        </w:rPr>
      </w:pPr>
      <w:r>
        <w:rPr>
          <w:rFonts w:hint="eastAsia"/>
          <w:highlight w:val="none"/>
          <w:lang w:val="en-US" w:eastAsia="zh-CN"/>
        </w:rPr>
        <w:t>前端外设适配：根据业务场景测试外设能否正常使用，如无法使用则进行系统改造；</w:t>
      </w:r>
    </w:p>
    <w:p w14:paraId="799BE428">
      <w:pPr>
        <w:shd w:val="clear"/>
        <w:bidi w:val="0"/>
        <w:ind w:firstLine="480" w:firstLineChars="200"/>
        <w:rPr>
          <w:rFonts w:hint="eastAsia"/>
          <w:highlight w:val="none"/>
          <w:lang w:val="en-US" w:eastAsia="zh-CN"/>
        </w:rPr>
      </w:pPr>
      <w:r>
        <w:rPr>
          <w:rFonts w:hint="eastAsia"/>
          <w:highlight w:val="none"/>
          <w:lang w:val="en-US" w:eastAsia="zh-CN"/>
        </w:rPr>
        <w:t>操作系统、数据库、中间件适配：进行适应性、兼容性和性能测试，包括应用程序部署在操作系统上的稳定性等。根据测试情况，重写数据库的优化器，修正中间件性能和不兼容点，提升系统性能，满足实际应用的需求；</w:t>
      </w:r>
    </w:p>
    <w:p w14:paraId="4A8C20E4">
      <w:pPr>
        <w:shd w:val="clear"/>
        <w:bidi w:val="0"/>
        <w:ind w:firstLine="480" w:firstLineChars="200"/>
        <w:rPr>
          <w:rFonts w:hint="eastAsia"/>
          <w:highlight w:val="none"/>
          <w:lang w:val="en-US" w:eastAsia="zh-CN"/>
        </w:rPr>
      </w:pPr>
      <w:r>
        <w:rPr>
          <w:rFonts w:hint="eastAsia"/>
          <w:highlight w:val="none"/>
          <w:lang w:val="en-US" w:eastAsia="zh-CN"/>
        </w:rPr>
        <w:t>信息系统测试优化：对适配改造后的系统功能进行全面验证；对高频业务进行性能测试；分析现有系统的容错机制和异常处理机制；依据上述系统测试、性能测试和容错性测试，分析问题、优化系统，提高系统稳定性、可靠性和资源利用率；</w:t>
      </w:r>
    </w:p>
    <w:p w14:paraId="6DFDD58F">
      <w:pPr>
        <w:shd w:val="clear"/>
        <w:bidi w:val="0"/>
        <w:ind w:firstLine="480" w:firstLineChars="200"/>
        <w:rPr>
          <w:rFonts w:hint="eastAsia"/>
          <w:highlight w:val="none"/>
          <w:lang w:val="en-US" w:eastAsia="zh-CN"/>
        </w:rPr>
      </w:pPr>
      <w:r>
        <w:rPr>
          <w:rFonts w:hint="eastAsia"/>
          <w:highlight w:val="none"/>
          <w:lang w:val="en-US" w:eastAsia="zh-CN"/>
        </w:rPr>
        <w:t>信创环境迁移（数据与应用）：信创适配完成，搭建信创环境，进行数据迁移和应用系统迁移工作。</w:t>
      </w:r>
    </w:p>
    <w:p w14:paraId="70053966">
      <w:pPr>
        <w:shd w:val="clear"/>
        <w:bidi w:val="0"/>
        <w:rPr>
          <w:rFonts w:hint="eastAsia"/>
          <w:highlight w:val="none"/>
          <w:lang w:val="en-US" w:eastAsia="zh-CN"/>
        </w:rPr>
      </w:pPr>
      <w:r>
        <w:rPr>
          <w:rFonts w:hint="eastAsia"/>
          <w:highlight w:val="none"/>
          <w:lang w:val="en-US" w:eastAsia="zh-CN"/>
        </w:rPr>
        <w:t>（2）商密应用服务（应用和数据层）</w:t>
      </w:r>
    </w:p>
    <w:p w14:paraId="2C148EBC">
      <w:pPr>
        <w:shd w:val="clear"/>
        <w:bidi w:val="0"/>
        <w:ind w:firstLine="480" w:firstLineChars="200"/>
        <w:rPr>
          <w:rFonts w:hint="eastAsia"/>
          <w:highlight w:val="none"/>
          <w:lang w:val="en-US" w:eastAsia="zh-CN"/>
        </w:rPr>
      </w:pPr>
      <w:r>
        <w:rPr>
          <w:rFonts w:hint="eastAsia"/>
          <w:highlight w:val="none"/>
          <w:lang w:val="en-US" w:eastAsia="zh-CN"/>
        </w:rPr>
        <w:t>根据《GB/T 39786-2021 信息安全技术 信息系统密码应用基本要求》，对本次服务所含系统在应用层和数据层开展商密应用服务，通过调用密码基础设施提供的数据加密、完整性保护、身份认证等安全措施，保障关键业务数据和个人隐私数据的数据安全（不包含硬件采购）。物理和环境安全、网络和通信安全的密码应用部署需求由中心协调云服务商完成。</w:t>
      </w:r>
    </w:p>
    <w:p w14:paraId="045BC338">
      <w:pPr>
        <w:shd w:val="clear"/>
        <w:bidi w:val="0"/>
        <w:ind w:firstLine="480" w:firstLineChars="200"/>
        <w:rPr>
          <w:rFonts w:hint="eastAsia"/>
          <w:highlight w:val="none"/>
          <w:lang w:val="en-US" w:eastAsia="zh-CN"/>
        </w:rPr>
      </w:pPr>
      <w:r>
        <w:rPr>
          <w:rFonts w:hint="eastAsia"/>
          <w:highlight w:val="none"/>
          <w:lang w:val="en-US" w:eastAsia="zh-CN"/>
        </w:rPr>
        <w:t>协助梳理国密改造资源：协助资源梳理所需第三方配套软硬件，形成资源需求清单；</w:t>
      </w:r>
    </w:p>
    <w:p w14:paraId="0475DDEE">
      <w:pPr>
        <w:shd w:val="clear"/>
        <w:bidi w:val="0"/>
        <w:ind w:firstLine="480" w:firstLineChars="200"/>
        <w:rPr>
          <w:rFonts w:hint="eastAsia"/>
          <w:highlight w:val="none"/>
          <w:lang w:val="en-US" w:eastAsia="zh-CN"/>
        </w:rPr>
      </w:pPr>
      <w:r>
        <w:rPr>
          <w:rFonts w:hint="eastAsia"/>
          <w:highlight w:val="none"/>
          <w:lang w:val="en-US" w:eastAsia="zh-CN"/>
        </w:rPr>
        <w:t>密码合规改造：对应用系统进行开发，支撑数字证书身份鉴别功能、数据传输安全功能、重要数据存储机密性和完整性保护功能、不可否认性保护、运维远程管理通道安全等内容；</w:t>
      </w:r>
    </w:p>
    <w:p w14:paraId="3AC31F98">
      <w:pPr>
        <w:shd w:val="clear"/>
        <w:bidi w:val="0"/>
        <w:ind w:firstLine="480" w:firstLineChars="200"/>
        <w:rPr>
          <w:rFonts w:hint="eastAsia"/>
          <w:highlight w:val="none"/>
          <w:lang w:val="en-US" w:eastAsia="zh-CN"/>
        </w:rPr>
      </w:pPr>
      <w:r>
        <w:rPr>
          <w:rFonts w:hint="eastAsia"/>
          <w:highlight w:val="none"/>
          <w:lang w:val="en-US" w:eastAsia="zh-CN"/>
        </w:rPr>
        <w:t>敏感数据治理改造：开展数据分类分级和敏感数据安全治理工作，综合采用信息解耦、加密、去标识化等手段，优化面向数据安全的存储设计，实现重要数据和敏感数据的存储机密性和完整性保护。</w:t>
      </w:r>
    </w:p>
    <w:p w14:paraId="23C79CE9">
      <w:pPr>
        <w:shd w:val="clear"/>
        <w:bidi w:val="0"/>
        <w:rPr>
          <w:rFonts w:hint="eastAsia"/>
          <w:highlight w:val="none"/>
          <w:lang w:val="en-US" w:eastAsia="zh-CN"/>
        </w:rPr>
      </w:pPr>
      <w:r>
        <w:rPr>
          <w:rFonts w:hint="eastAsia"/>
          <w:highlight w:val="none"/>
          <w:lang w:val="en-US" w:eastAsia="zh-CN"/>
        </w:rPr>
        <w:t>（3）攻防演练服务</w:t>
      </w:r>
    </w:p>
    <w:p w14:paraId="7FA6DCC8">
      <w:pPr>
        <w:shd w:val="clear"/>
        <w:bidi w:val="0"/>
        <w:ind w:firstLine="480" w:firstLineChars="200"/>
        <w:rPr>
          <w:rFonts w:hint="eastAsia"/>
          <w:highlight w:val="none"/>
          <w:lang w:val="en-US" w:eastAsia="zh-CN"/>
        </w:rPr>
      </w:pPr>
      <w:r>
        <w:rPr>
          <w:rFonts w:hint="eastAsia"/>
          <w:highlight w:val="none"/>
          <w:lang w:val="en-US" w:eastAsia="zh-CN"/>
        </w:rPr>
        <w:t>通过攻防演练，模拟真实攻击和防御活动，评估和提高平台的安全防护能力，发现并修复安全漏洞，提高安全防护能力，增强对真实攻击的应对能力。</w:t>
      </w:r>
    </w:p>
    <w:p w14:paraId="2CC107B7">
      <w:pPr>
        <w:shd w:val="clear"/>
        <w:bidi w:val="0"/>
        <w:ind w:firstLine="480" w:firstLineChars="200"/>
        <w:rPr>
          <w:rFonts w:hint="eastAsia"/>
          <w:highlight w:val="none"/>
          <w:lang w:val="en-US" w:eastAsia="zh-CN"/>
        </w:rPr>
      </w:pPr>
      <w:r>
        <w:rPr>
          <w:rFonts w:hint="eastAsia"/>
          <w:highlight w:val="none"/>
          <w:lang w:val="en-US" w:eastAsia="zh-CN"/>
        </w:rPr>
        <w:t>攻防演练：每年对平台开展一次攻防演练，使用各种攻击技术和工具，模拟真实攻击，如网络渗透、社会工程、恶意软件传播等，以测试组织的安全防护措施和响应能力，进一步强化平台安全防护能力。</w:t>
      </w:r>
    </w:p>
    <w:p w14:paraId="1984AF77">
      <w:pPr>
        <w:shd w:val="clear"/>
        <w:bidi w:val="0"/>
        <w:ind w:firstLine="480" w:firstLineChars="200"/>
        <w:rPr>
          <w:rFonts w:hint="eastAsia"/>
          <w:highlight w:val="none"/>
          <w:lang w:val="en-US" w:eastAsia="zh-CN"/>
        </w:rPr>
      </w:pPr>
      <w:r>
        <w:rPr>
          <w:rFonts w:hint="eastAsia"/>
          <w:highlight w:val="none"/>
          <w:lang w:val="en-US" w:eastAsia="zh-CN"/>
        </w:rPr>
        <w:t>漏洞修复：演练结束后，对攻击和防御过程进行分析和总结，评估组织的安全弱点和改进空间，制定相应的安全改进计划，对问题漏洞进行修复完善。</w:t>
      </w:r>
    </w:p>
    <w:p w14:paraId="4E402461">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color w:val="000000" w:themeColor="text1"/>
          <w:sz w:val="24"/>
          <w:szCs w:val="24"/>
          <w:highlight w:val="none"/>
          <w:lang w:val="en-US" w:eastAsia="zh-CN"/>
          <w14:textFill>
            <w14:solidFill>
              <w14:schemeClr w14:val="tx1"/>
            </w14:solidFill>
          </w14:textFill>
        </w:rPr>
      </w:pPr>
      <w:bookmarkStart w:id="480" w:name="_Toc28125"/>
      <w:r>
        <w:rPr>
          <w:rFonts w:hint="eastAsia" w:eastAsia="宋体" w:asciiTheme="minorAscii" w:hAnsiTheme="minorAscii"/>
          <w:bCs w:val="0"/>
          <w:color w:val="000000" w:themeColor="text1"/>
          <w:sz w:val="24"/>
          <w:szCs w:val="24"/>
          <w:highlight w:val="none"/>
          <w:lang w:val="en-US" w:eastAsia="zh-CN"/>
          <w14:textFill>
            <w14:solidFill>
              <w14:schemeClr w14:val="tx1"/>
            </w14:solidFill>
          </w14:textFill>
        </w:rPr>
        <w:t>6.二代征信上报系统建设服务</w:t>
      </w:r>
    </w:p>
    <w:p w14:paraId="356B0BEE">
      <w:pPr>
        <w:shd w:val="clear"/>
        <w:bidi w:val="0"/>
        <w:ind w:firstLine="48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按照住建部及人民银行下发的对接标准，对自治区各</w:t>
      </w:r>
      <w:r>
        <w:rPr>
          <w:rFonts w:hint="eastAsia"/>
          <w:highlight w:val="none"/>
          <w:lang w:val="en-US" w:eastAsia="zh-CN"/>
        </w:rPr>
        <w:t>地（州、市）住房公积金管理中心</w:t>
      </w:r>
      <w:r>
        <w:rPr>
          <w:rFonts w:hint="eastAsia"/>
          <w:color w:val="000000" w:themeColor="text1"/>
          <w:highlight w:val="none"/>
          <w:lang w:val="en-US" w:eastAsia="zh-CN"/>
          <w14:textFill>
            <w14:solidFill>
              <w14:schemeClr w14:val="tx1"/>
            </w14:solidFill>
          </w14:textFill>
        </w:rPr>
        <w:t>的征信数据上报进行改造，由最初按月向人民银行报送，改为t+1向住建部平台报送模式。</w:t>
      </w:r>
    </w:p>
    <w:p w14:paraId="7386383D">
      <w:pPr>
        <w:shd w:val="clear"/>
        <w:bidi w:val="0"/>
        <w:ind w:firstLine="48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征信报送：二代征信上线以后，由系统每日定时抽取数据并报送住建部，提供日常巡检、异常数据处理、协助中心异议处理等服务。</w:t>
      </w:r>
    </w:p>
    <w:p w14:paraId="7AA7B9F4">
      <w:pPr>
        <w:shd w:val="clear"/>
        <w:bidi w:val="0"/>
        <w:ind w:firstLine="48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征信应用：按住建部接口标准，开发征信查询接口，分析征信报告数据逻辑，实现征信报告授权查询，可用不可见。</w:t>
      </w:r>
    </w:p>
    <w:bookmarkEnd w:id="480"/>
    <w:p w14:paraId="2FE395AB">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default" w:eastAsia="宋体" w:asciiTheme="minorAscii" w:hAnsiTheme="minorAscii"/>
          <w:bCs w:val="0"/>
          <w:color w:val="000000" w:themeColor="text1"/>
          <w:sz w:val="24"/>
          <w:szCs w:val="24"/>
          <w:highlight w:val="none"/>
          <w:lang w:val="en-US" w:eastAsia="zh-CN"/>
          <w14:textFill>
            <w14:solidFill>
              <w14:schemeClr w14:val="tx1"/>
            </w14:solidFill>
          </w14:textFill>
        </w:rPr>
      </w:pPr>
      <w:r>
        <w:rPr>
          <w:rFonts w:hint="eastAsia" w:eastAsia="宋体" w:asciiTheme="minorAscii" w:hAnsiTheme="minorAscii"/>
          <w:bCs w:val="0"/>
          <w:color w:val="000000" w:themeColor="text1"/>
          <w:sz w:val="24"/>
          <w:szCs w:val="24"/>
          <w:highlight w:val="none"/>
          <w:lang w:val="en-US" w:eastAsia="zh-CN"/>
          <w14:textFill>
            <w14:solidFill>
              <w14:schemeClr w14:val="tx1"/>
            </w14:solidFill>
          </w14:textFill>
        </w:rPr>
        <w:t>7.</w:t>
      </w:r>
      <w:r>
        <w:rPr>
          <w:rFonts w:hint="default" w:eastAsia="宋体" w:asciiTheme="minorAscii" w:hAnsiTheme="minorAscii"/>
          <w:bCs w:val="0"/>
          <w:color w:val="000000" w:themeColor="text1"/>
          <w:sz w:val="24"/>
          <w:szCs w:val="24"/>
          <w:highlight w:val="none"/>
          <w:lang w:val="en-US" w:eastAsia="zh-CN"/>
          <w14:textFill>
            <w14:solidFill>
              <w14:schemeClr w14:val="tx1"/>
            </w14:solidFill>
          </w14:textFill>
        </w:rPr>
        <w:t>电子</w:t>
      </w:r>
      <w:r>
        <w:rPr>
          <w:rFonts w:hint="eastAsia" w:eastAsia="宋体" w:asciiTheme="minorAscii" w:hAnsiTheme="minorAscii"/>
          <w:bCs w:val="0"/>
          <w:color w:val="000000" w:themeColor="text1"/>
          <w:sz w:val="24"/>
          <w:szCs w:val="24"/>
          <w:highlight w:val="none"/>
          <w:lang w:val="en-US" w:eastAsia="zh-CN"/>
          <w14:textFill>
            <w14:solidFill>
              <w14:schemeClr w14:val="tx1"/>
            </w14:solidFill>
          </w14:textFill>
        </w:rPr>
        <w:t>签章服务</w:t>
      </w:r>
    </w:p>
    <w:p w14:paraId="7F8F3B9D">
      <w:pPr>
        <w:shd w:val="clear"/>
        <w:bidi w:val="0"/>
        <w:ind w:firstLine="480" w:firstLineChars="200"/>
        <w:rPr>
          <w:rFonts w:hint="default"/>
          <w:highlight w:val="none"/>
          <w:lang w:val="en-US" w:eastAsia="zh-CN"/>
        </w:rPr>
      </w:pPr>
      <w:r>
        <w:rPr>
          <w:rFonts w:hint="eastAsia"/>
          <w:highlight w:val="none"/>
          <w:lang w:val="en-US" w:eastAsia="zh-CN"/>
        </w:rPr>
        <w:t>采购电子印章系统1套。服务期内对业务办理过程中的合同文件、用户回执单据等加签，保障业务合同及电子凭证的合规性，确保可验证真伪。签名次数不限量使用。</w:t>
      </w:r>
    </w:p>
    <w:p w14:paraId="357F2051">
      <w:pPr>
        <w:shd w:val="clear"/>
        <w:bidi w:val="0"/>
        <w:ind w:firstLine="480" w:firstLineChars="200"/>
        <w:rPr>
          <w:rFonts w:hint="eastAsia"/>
          <w:highlight w:val="none"/>
          <w:lang w:val="en-US" w:eastAsia="zh-CN"/>
        </w:rPr>
      </w:pPr>
      <w:r>
        <w:rPr>
          <w:rFonts w:hint="eastAsia"/>
          <w:highlight w:val="none"/>
          <w:lang w:val="en-US" w:eastAsia="zh-CN"/>
        </w:rPr>
        <w:t>支持标准的RSA/SM2 等算法，支持Pkcs7/Pkcs12等格式的数字签名和验证功能；</w:t>
      </w:r>
    </w:p>
    <w:p w14:paraId="24449638">
      <w:pPr>
        <w:shd w:val="clear"/>
        <w:bidi w:val="0"/>
        <w:ind w:firstLine="480" w:firstLineChars="200"/>
        <w:rPr>
          <w:rFonts w:hint="eastAsia"/>
          <w:highlight w:val="none"/>
          <w:lang w:val="en-US" w:eastAsia="zh-CN"/>
        </w:rPr>
      </w:pPr>
      <w:r>
        <w:rPr>
          <w:rFonts w:hint="eastAsia"/>
          <w:highlight w:val="none"/>
          <w:lang w:val="en-US" w:eastAsia="zh-CN"/>
        </w:rPr>
        <w:t>实时监控日志，支持链路追踪、报警设置，报错统计分析；</w:t>
      </w:r>
    </w:p>
    <w:p w14:paraId="241F232C">
      <w:pPr>
        <w:shd w:val="clear"/>
        <w:bidi w:val="0"/>
        <w:ind w:firstLine="480" w:firstLineChars="200"/>
        <w:rPr>
          <w:rFonts w:hint="eastAsia"/>
          <w:highlight w:val="none"/>
          <w:lang w:val="en-US" w:eastAsia="zh-CN"/>
        </w:rPr>
      </w:pPr>
      <w:r>
        <w:rPr>
          <w:rFonts w:hint="eastAsia"/>
          <w:highlight w:val="none"/>
          <w:lang w:val="en-US" w:eastAsia="zh-CN"/>
        </w:rPr>
        <w:t>能够提供密码管理设备接入管理；</w:t>
      </w:r>
    </w:p>
    <w:p w14:paraId="323D560D">
      <w:pPr>
        <w:shd w:val="clear"/>
        <w:bidi w:val="0"/>
        <w:ind w:firstLine="480" w:firstLineChars="200"/>
        <w:rPr>
          <w:rFonts w:hint="eastAsia"/>
          <w:highlight w:val="none"/>
          <w:lang w:val="en-US" w:eastAsia="zh-CN"/>
        </w:rPr>
      </w:pPr>
      <w:r>
        <w:rPr>
          <w:rFonts w:hint="eastAsia"/>
          <w:highlight w:val="none"/>
          <w:lang w:val="en-US" w:eastAsia="zh-CN"/>
        </w:rPr>
        <w:t>能够在服务器上保存用户签署过程中的数据。</w:t>
      </w:r>
    </w:p>
    <w:p w14:paraId="46A650E3">
      <w:pPr>
        <w:shd w:val="clear"/>
        <w:bidi w:val="0"/>
        <w:ind w:firstLine="480" w:firstLineChars="200"/>
        <w:rPr>
          <w:rFonts w:hint="eastAsia"/>
          <w:highlight w:val="none"/>
          <w:lang w:val="en-US" w:eastAsia="zh-CN"/>
        </w:rPr>
      </w:pPr>
      <w:r>
        <w:rPr>
          <w:rFonts w:hint="default"/>
          <w:highlight w:val="none"/>
          <w:lang w:val="en-US" w:eastAsia="zh-CN"/>
        </w:rPr>
        <w:t>△</w:t>
      </w:r>
      <w:r>
        <w:rPr>
          <w:rFonts w:hint="eastAsia"/>
          <w:highlight w:val="none"/>
          <w:lang w:val="en-US" w:eastAsia="zh-CN"/>
        </w:rPr>
        <w:t>提供商用密码产品认证证书或商用密码检测认证中心显示证书有效的查询截图。</w:t>
      </w:r>
    </w:p>
    <w:p w14:paraId="11CD428D">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default" w:eastAsia="宋体" w:asciiTheme="minorAscii" w:hAnsiTheme="minorAscii"/>
          <w:bCs w:val="0"/>
          <w:sz w:val="24"/>
          <w:szCs w:val="24"/>
          <w:highlight w:val="none"/>
          <w:lang w:val="en-US" w:eastAsia="zh-CN"/>
        </w:rPr>
      </w:pPr>
      <w:r>
        <w:rPr>
          <w:rFonts w:hint="eastAsia" w:eastAsia="宋体" w:asciiTheme="minorAscii" w:hAnsiTheme="minorAscii"/>
          <w:bCs w:val="0"/>
          <w:sz w:val="24"/>
          <w:szCs w:val="24"/>
          <w:highlight w:val="none"/>
          <w:lang w:val="en-US" w:eastAsia="zh-CN"/>
        </w:rPr>
        <w:t>8.</w:t>
      </w:r>
      <w:r>
        <w:rPr>
          <w:rFonts w:hint="default" w:eastAsia="宋体" w:asciiTheme="minorAscii" w:hAnsiTheme="minorAscii"/>
          <w:bCs w:val="0"/>
          <w:sz w:val="24"/>
          <w:szCs w:val="24"/>
          <w:highlight w:val="none"/>
          <w:lang w:val="en-US" w:eastAsia="zh-CN"/>
        </w:rPr>
        <w:t>CA服务</w:t>
      </w:r>
    </w:p>
    <w:p w14:paraId="51B690CC">
      <w:pPr>
        <w:shd w:val="clear"/>
        <w:bidi w:val="0"/>
        <w:ind w:firstLine="480" w:firstLineChars="200"/>
        <w:rPr>
          <w:rFonts w:hint="default"/>
          <w:highlight w:val="none"/>
          <w:lang w:val="en-US" w:eastAsia="zh-CN"/>
        </w:rPr>
      </w:pPr>
      <w:r>
        <w:rPr>
          <w:rFonts w:hint="eastAsia"/>
          <w:highlight w:val="none"/>
          <w:lang w:val="en-US" w:eastAsia="zh-CN"/>
        </w:rPr>
        <w:t>采购提供</w:t>
      </w:r>
      <w:r>
        <w:rPr>
          <w:rFonts w:hint="default"/>
          <w:highlight w:val="none"/>
          <w:lang w:val="en-US" w:eastAsia="zh-CN"/>
        </w:rPr>
        <w:t>CA服务</w:t>
      </w:r>
      <w:r>
        <w:rPr>
          <w:rFonts w:hint="eastAsia"/>
          <w:highlight w:val="none"/>
          <w:lang w:val="en-US" w:eastAsia="zh-CN"/>
        </w:rPr>
        <w:t xml:space="preserve">的usb key智能密码钥匙 </w:t>
      </w:r>
      <w:r>
        <w:rPr>
          <w:rFonts w:hint="default"/>
          <w:highlight w:val="none"/>
          <w:lang w:val="en-US" w:eastAsia="zh-CN"/>
        </w:rPr>
        <w:t>1200个</w:t>
      </w:r>
      <w:r>
        <w:rPr>
          <w:rFonts w:hint="eastAsia"/>
          <w:highlight w:val="none"/>
          <w:lang w:val="en-US" w:eastAsia="zh-CN"/>
        </w:rPr>
        <w:t>。服务期内用作数字证书和私钥的安全存储硬件载体，实现数据加密保护、信息完整性保护等功能。</w:t>
      </w:r>
    </w:p>
    <w:p w14:paraId="21455A7E">
      <w:pPr>
        <w:shd w:val="clear"/>
        <w:bidi w:val="0"/>
        <w:ind w:firstLine="480" w:firstLineChars="200"/>
        <w:rPr>
          <w:rFonts w:hint="eastAsia"/>
          <w:highlight w:val="none"/>
          <w:lang w:val="en-US" w:eastAsia="zh-CN"/>
        </w:rPr>
      </w:pPr>
      <w:r>
        <w:rPr>
          <w:rFonts w:hint="eastAsia"/>
          <w:highlight w:val="none"/>
          <w:lang w:val="en-US" w:eastAsia="zh-CN"/>
        </w:rPr>
        <w:t>支持SM2非对称加密算法，能够快速完成SM2算法的签名、签名认证、加密、解密运算；</w:t>
      </w:r>
    </w:p>
    <w:p w14:paraId="39E938A3">
      <w:pPr>
        <w:shd w:val="clear"/>
        <w:bidi w:val="0"/>
        <w:ind w:firstLine="480" w:firstLineChars="200"/>
        <w:rPr>
          <w:rFonts w:hint="eastAsia"/>
          <w:highlight w:val="none"/>
          <w:lang w:val="en-US" w:eastAsia="zh-CN"/>
        </w:rPr>
      </w:pPr>
      <w:r>
        <w:rPr>
          <w:rFonts w:hint="eastAsia"/>
          <w:highlight w:val="none"/>
          <w:lang w:val="en-US" w:eastAsia="zh-CN"/>
        </w:rPr>
        <w:t>支持USB2.0协议全速率,支持即插即用；</w:t>
      </w:r>
    </w:p>
    <w:p w14:paraId="20C9E1E7">
      <w:pPr>
        <w:shd w:val="clear"/>
        <w:bidi w:val="0"/>
        <w:ind w:firstLine="480" w:firstLineChars="200"/>
        <w:rPr>
          <w:rFonts w:hint="eastAsia"/>
          <w:highlight w:val="none"/>
          <w:lang w:val="en-US" w:eastAsia="zh-CN"/>
        </w:rPr>
      </w:pPr>
      <w:r>
        <w:rPr>
          <w:rFonts w:hint="eastAsia"/>
          <w:highlight w:val="none"/>
          <w:lang w:val="en-US" w:eastAsia="zh-CN"/>
        </w:rPr>
        <w:t>支持多种 PKI；</w:t>
      </w:r>
    </w:p>
    <w:p w14:paraId="70FF690A">
      <w:pPr>
        <w:shd w:val="clear"/>
        <w:bidi w:val="0"/>
        <w:ind w:firstLine="480" w:firstLineChars="200"/>
        <w:rPr>
          <w:rFonts w:hint="eastAsia"/>
          <w:highlight w:val="none"/>
          <w:lang w:val="en-US" w:eastAsia="zh-CN"/>
        </w:rPr>
      </w:pPr>
      <w:r>
        <w:rPr>
          <w:rFonts w:hint="eastAsia"/>
          <w:highlight w:val="none"/>
          <w:lang w:val="en-US" w:eastAsia="zh-CN"/>
        </w:rPr>
        <w:t>读写次数：至少30万次。</w:t>
      </w:r>
    </w:p>
    <w:p w14:paraId="0A104C43">
      <w:pPr>
        <w:shd w:val="clear"/>
        <w:bidi w:val="0"/>
        <w:ind w:firstLine="480" w:firstLineChars="200"/>
        <w:rPr>
          <w:rFonts w:hint="eastAsia"/>
          <w:highlight w:val="none"/>
          <w:lang w:val="en-US" w:eastAsia="zh-CN"/>
        </w:rPr>
      </w:pPr>
      <w:r>
        <w:rPr>
          <w:rFonts w:hint="default"/>
          <w:highlight w:val="none"/>
          <w:lang w:val="en-US" w:eastAsia="zh-CN"/>
        </w:rPr>
        <w:t>△</w:t>
      </w:r>
      <w:r>
        <w:rPr>
          <w:rFonts w:hint="eastAsia"/>
          <w:highlight w:val="none"/>
          <w:lang w:val="en-US" w:eastAsia="zh-CN"/>
        </w:rPr>
        <w:t>提供商用密码产品认证证书或商用密码检测认证中心显示证书有效的查询截图。</w:t>
      </w:r>
    </w:p>
    <w:p w14:paraId="7CD02F50">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default" w:eastAsia="宋体" w:asciiTheme="minorAscii" w:hAnsiTheme="minorAscii"/>
          <w:bCs w:val="0"/>
          <w:sz w:val="24"/>
          <w:szCs w:val="24"/>
          <w:highlight w:val="none"/>
          <w:lang w:val="en-US" w:eastAsia="zh-CN"/>
        </w:rPr>
      </w:pPr>
      <w:r>
        <w:rPr>
          <w:rFonts w:hint="eastAsia" w:eastAsia="宋体" w:asciiTheme="minorAscii" w:hAnsiTheme="minorAscii"/>
          <w:bCs w:val="0"/>
          <w:sz w:val="24"/>
          <w:szCs w:val="24"/>
          <w:highlight w:val="none"/>
          <w:lang w:val="en-US" w:eastAsia="zh-CN"/>
        </w:rPr>
        <w:t>9.OCR识别应用服务</w:t>
      </w:r>
    </w:p>
    <w:p w14:paraId="28B4797B">
      <w:pPr>
        <w:shd w:val="clear"/>
        <w:bidi w:val="0"/>
        <w:ind w:firstLine="480" w:firstLineChars="200"/>
        <w:rPr>
          <w:rFonts w:hint="eastAsia"/>
          <w:highlight w:val="none"/>
          <w:lang w:val="en-US" w:eastAsia="zh-CN"/>
        </w:rPr>
      </w:pPr>
      <w:r>
        <w:rPr>
          <w:rFonts w:hint="eastAsia"/>
          <w:highlight w:val="none"/>
          <w:lang w:val="en-US" w:eastAsia="zh-CN"/>
        </w:rPr>
        <w:t>服务期内供应商需提供OCR识别应用服务，将图片上的文字内容识别成可编辑的文本。支持卡证文字、票据文字、通用印刷体文字、定制化场景等多场景下的文字识别，可以有效地代替人工录入信息。</w:t>
      </w:r>
    </w:p>
    <w:p w14:paraId="3B582EE0">
      <w:pPr>
        <w:shd w:val="clear"/>
        <w:bidi w:val="0"/>
        <w:ind w:firstLine="480" w:firstLineChars="200"/>
        <w:rPr>
          <w:rFonts w:hint="default"/>
          <w:highlight w:val="none"/>
          <w:lang w:val="en-US" w:eastAsia="zh-CN"/>
        </w:rPr>
      </w:pPr>
      <w:r>
        <w:rPr>
          <w:rFonts w:hint="eastAsia"/>
          <w:highlight w:val="none"/>
          <w:lang w:val="en-US" w:eastAsia="zh-CN"/>
        </w:rPr>
        <w:t>对于常用的卡证和票据识别，用户可直接使用系统预置的已成熟的OCR识别能力。</w:t>
      </w:r>
    </w:p>
    <w:p w14:paraId="207F257B">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default" w:eastAsia="宋体" w:asciiTheme="minorAscii" w:hAnsiTheme="minorAscii"/>
          <w:bCs w:val="0"/>
          <w:sz w:val="24"/>
          <w:szCs w:val="24"/>
          <w:highlight w:val="none"/>
          <w:lang w:val="en-US" w:eastAsia="zh-CN"/>
        </w:rPr>
      </w:pPr>
      <w:r>
        <w:rPr>
          <w:rFonts w:hint="eastAsia" w:eastAsia="宋体" w:asciiTheme="minorAscii" w:hAnsiTheme="minorAscii"/>
          <w:bCs w:val="0"/>
          <w:sz w:val="24"/>
          <w:szCs w:val="24"/>
          <w:highlight w:val="none"/>
          <w:lang w:val="en-US" w:eastAsia="zh-CN"/>
        </w:rPr>
        <w:t>10.</w:t>
      </w:r>
      <w:r>
        <w:rPr>
          <w:rFonts w:hint="default" w:eastAsia="宋体" w:asciiTheme="minorAscii" w:hAnsiTheme="minorAscii"/>
          <w:bCs w:val="0"/>
          <w:sz w:val="24"/>
          <w:szCs w:val="24"/>
          <w:highlight w:val="none"/>
          <w:lang w:val="en-US" w:eastAsia="zh-CN"/>
        </w:rPr>
        <w:t>DeepSeek-R1-70B</w:t>
      </w:r>
      <w:r>
        <w:rPr>
          <w:rFonts w:hint="eastAsia" w:eastAsia="宋体" w:asciiTheme="minorAscii" w:hAnsiTheme="minorAscii"/>
          <w:bCs w:val="0"/>
          <w:sz w:val="24"/>
          <w:szCs w:val="24"/>
          <w:highlight w:val="none"/>
          <w:lang w:val="en-US" w:eastAsia="zh-CN"/>
        </w:rPr>
        <w:t>部署服务</w:t>
      </w:r>
    </w:p>
    <w:p w14:paraId="7796882D">
      <w:pPr>
        <w:shd w:val="clear"/>
        <w:bidi w:val="0"/>
        <w:ind w:firstLine="480" w:firstLineChars="200"/>
        <w:rPr>
          <w:rFonts w:hint="default"/>
          <w:highlight w:val="none"/>
          <w:lang w:val="en-US" w:eastAsia="zh-CN"/>
        </w:rPr>
      </w:pPr>
      <w:r>
        <w:rPr>
          <w:rFonts w:hint="default"/>
          <w:highlight w:val="none"/>
          <w:lang w:val="en-US" w:eastAsia="zh-CN"/>
        </w:rPr>
        <w:t>采购1套DeepSeek-R1-70B部署服务，服务期内供应商需确保DeepSeek-R1-70B服务性能稳定、功能完整。</w:t>
      </w:r>
    </w:p>
    <w:p w14:paraId="1D44EE10">
      <w:pPr>
        <w:shd w:val="clear"/>
        <w:bidi w:val="0"/>
        <w:ind w:firstLine="480" w:firstLineChars="200"/>
        <w:rPr>
          <w:rFonts w:hint="default"/>
          <w:highlight w:val="none"/>
          <w:lang w:val="en-US" w:eastAsia="zh-CN"/>
        </w:rPr>
      </w:pPr>
      <w:r>
        <w:rPr>
          <w:rFonts w:hint="default"/>
          <w:highlight w:val="none"/>
          <w:lang w:val="en-US" w:eastAsia="zh-CN"/>
        </w:rPr>
        <w:t>1）安装</w:t>
      </w:r>
    </w:p>
    <w:p w14:paraId="57AADD6C">
      <w:pPr>
        <w:shd w:val="clear"/>
        <w:bidi w:val="0"/>
        <w:ind w:firstLine="480" w:firstLineChars="200"/>
        <w:rPr>
          <w:rFonts w:hint="default"/>
          <w:highlight w:val="none"/>
          <w:lang w:val="en-US" w:eastAsia="zh-CN"/>
        </w:rPr>
      </w:pPr>
      <w:r>
        <w:rPr>
          <w:rFonts w:hint="default"/>
          <w:highlight w:val="none"/>
          <w:lang w:val="en-US" w:eastAsia="zh-CN"/>
        </w:rPr>
        <w:t>供应商需完成DeepSeek-R1-70B服务的安装工作。安装过程需严格遵循DeepSeek-R1-70B的安装规范、技术文档及行业相关标准，确保安装质量。</w:t>
      </w:r>
    </w:p>
    <w:p w14:paraId="02743EA3">
      <w:pPr>
        <w:shd w:val="clear"/>
        <w:bidi w:val="0"/>
        <w:ind w:firstLine="480" w:firstLineChars="200"/>
        <w:rPr>
          <w:rFonts w:hint="default"/>
          <w:highlight w:val="none"/>
          <w:lang w:val="en-US" w:eastAsia="zh-CN"/>
        </w:rPr>
      </w:pPr>
      <w:r>
        <w:rPr>
          <w:rFonts w:hint="default"/>
          <w:highlight w:val="none"/>
          <w:lang w:val="en-US" w:eastAsia="zh-CN"/>
        </w:rPr>
        <w:t>2）部署</w:t>
      </w:r>
    </w:p>
    <w:p w14:paraId="36FFB0C3">
      <w:pPr>
        <w:shd w:val="clear"/>
        <w:bidi w:val="0"/>
        <w:ind w:firstLine="480" w:firstLineChars="200"/>
        <w:rPr>
          <w:rFonts w:hint="default"/>
          <w:highlight w:val="none"/>
          <w:lang w:val="en-US" w:eastAsia="zh-CN"/>
        </w:rPr>
      </w:pPr>
      <w:r>
        <w:rPr>
          <w:rFonts w:hint="default"/>
          <w:highlight w:val="none"/>
          <w:lang w:val="en-US" w:eastAsia="zh-CN"/>
        </w:rPr>
        <w:t>供应商需在安装完成后，按照采购方的业务需求和网络环境，完成DeepSeek-R1-70B服务的部署工作，确保服务能稳定接入采购方的业务系统，实现正常运行。</w:t>
      </w:r>
    </w:p>
    <w:p w14:paraId="19442F69">
      <w:pPr>
        <w:shd w:val="clear"/>
        <w:bidi w:val="0"/>
        <w:ind w:firstLine="480" w:firstLineChars="200"/>
        <w:rPr>
          <w:rFonts w:hint="default"/>
          <w:highlight w:val="none"/>
          <w:lang w:val="en-US" w:eastAsia="zh-CN"/>
        </w:rPr>
      </w:pPr>
      <w:r>
        <w:rPr>
          <w:rFonts w:hint="default"/>
          <w:highlight w:val="none"/>
          <w:lang w:val="en-US" w:eastAsia="zh-CN"/>
        </w:rPr>
        <w:t>3）调试</w:t>
      </w:r>
    </w:p>
    <w:p w14:paraId="701C5F7F">
      <w:pPr>
        <w:shd w:val="clear"/>
        <w:bidi w:val="0"/>
        <w:ind w:firstLine="480" w:firstLineChars="200"/>
        <w:rPr>
          <w:rFonts w:hint="default"/>
          <w:highlight w:val="none"/>
          <w:lang w:val="en-US" w:eastAsia="zh-CN"/>
        </w:rPr>
      </w:pPr>
      <w:r>
        <w:rPr>
          <w:rFonts w:hint="default"/>
          <w:highlight w:val="none"/>
          <w:lang w:val="en-US" w:eastAsia="zh-CN"/>
        </w:rPr>
        <w:t>供应商需对部署完成的 DeepSeek-R1-70B 服务进行全面调试，优化服务性能，解决潜在问题，确保服务各项功能完整、性能指标达到最佳状态。</w:t>
      </w:r>
    </w:p>
    <w:p w14:paraId="3427E2A5">
      <w:pPr>
        <w:shd w:val="clear"/>
        <w:bidi w:val="0"/>
        <w:ind w:firstLine="480" w:firstLineChars="200"/>
        <w:rPr>
          <w:rFonts w:hint="default"/>
          <w:highlight w:val="none"/>
          <w:lang w:val="en-US" w:eastAsia="zh-CN"/>
        </w:rPr>
      </w:pPr>
      <w:r>
        <w:rPr>
          <w:rFonts w:hint="default"/>
          <w:highlight w:val="none"/>
          <w:lang w:val="en-US" w:eastAsia="zh-CN"/>
        </w:rPr>
        <w:t>4）智能体应用</w:t>
      </w:r>
    </w:p>
    <w:p w14:paraId="0BE517CB">
      <w:pPr>
        <w:shd w:val="clear"/>
        <w:bidi w:val="0"/>
        <w:ind w:firstLine="480" w:firstLineChars="200"/>
        <w:rPr>
          <w:rFonts w:hint="default"/>
          <w:highlight w:val="none"/>
          <w:lang w:val="en-US" w:eastAsia="zh-CN"/>
        </w:rPr>
      </w:pPr>
      <w:r>
        <w:rPr>
          <w:rFonts w:hint="default"/>
          <w:highlight w:val="none"/>
          <w:lang w:val="en-US" w:eastAsia="zh-CN"/>
        </w:rPr>
        <w:t>供应商需基于 DeepSeek-R1-70B 服务，完成语音和智能问答智能体应用的部署，确保语音功能识别准确、合成自然，智能问答功能能准确理解用户意图并提供有效答案。</w:t>
      </w:r>
    </w:p>
    <w:p w14:paraId="0782C2E4">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default" w:eastAsia="宋体" w:asciiTheme="minorAscii" w:hAnsiTheme="minorAscii"/>
          <w:bCs w:val="0"/>
          <w:sz w:val="24"/>
          <w:szCs w:val="24"/>
          <w:highlight w:val="none"/>
          <w:lang w:val="en-US" w:eastAsia="zh-CN"/>
        </w:rPr>
      </w:pPr>
      <w:r>
        <w:rPr>
          <w:rFonts w:hint="eastAsia" w:eastAsia="宋体" w:asciiTheme="minorAscii" w:hAnsiTheme="minorAscii"/>
          <w:bCs w:val="0"/>
          <w:sz w:val="24"/>
          <w:szCs w:val="24"/>
          <w:highlight w:val="none"/>
          <w:lang w:val="en-US" w:eastAsia="zh-CN"/>
        </w:rPr>
        <w:t>11.</w:t>
      </w:r>
      <w:r>
        <w:rPr>
          <w:rFonts w:hint="default" w:eastAsia="宋体" w:asciiTheme="minorAscii" w:hAnsiTheme="minorAscii"/>
          <w:bCs w:val="0"/>
          <w:sz w:val="24"/>
          <w:szCs w:val="24"/>
          <w:highlight w:val="none"/>
          <w:lang w:val="en-US" w:eastAsia="zh-CN"/>
        </w:rPr>
        <w:t>中间件</w:t>
      </w:r>
    </w:p>
    <w:p w14:paraId="6E71D671">
      <w:pPr>
        <w:shd w:val="clear"/>
        <w:bidi w:val="0"/>
        <w:ind w:firstLine="480" w:firstLineChars="200"/>
        <w:rPr>
          <w:rFonts w:hint="eastAsia"/>
          <w:highlight w:val="none"/>
          <w:lang w:val="en-US" w:eastAsia="zh-CN"/>
        </w:rPr>
      </w:pPr>
      <w:r>
        <w:rPr>
          <w:rFonts w:hint="eastAsia"/>
          <w:highlight w:val="none"/>
          <w:lang w:val="en-US" w:eastAsia="zh-CN"/>
        </w:rPr>
        <w:t>采购中间件</w:t>
      </w:r>
      <w:r>
        <w:rPr>
          <w:rFonts w:hint="default"/>
          <w:highlight w:val="none"/>
          <w:lang w:val="en-US" w:eastAsia="zh-CN"/>
        </w:rPr>
        <w:t>12套</w:t>
      </w:r>
      <w:r>
        <w:rPr>
          <w:rFonts w:hint="eastAsia"/>
          <w:highlight w:val="none"/>
          <w:lang w:val="en-US" w:eastAsia="zh-CN"/>
        </w:rPr>
        <w:t>。</w:t>
      </w:r>
    </w:p>
    <w:p w14:paraId="1FEA603C">
      <w:pPr>
        <w:shd w:val="clear"/>
        <w:bidi w:val="0"/>
        <w:ind w:firstLine="480" w:firstLineChars="200"/>
        <w:rPr>
          <w:rFonts w:hint="eastAsia"/>
          <w:highlight w:val="none"/>
          <w:lang w:val="en-US" w:eastAsia="zh-CN"/>
        </w:rPr>
      </w:pPr>
      <w:r>
        <w:rPr>
          <w:rFonts w:hint="eastAsia"/>
          <w:highlight w:val="none"/>
          <w:lang w:val="en-US" w:eastAsia="zh-CN"/>
        </w:rPr>
        <w:t>需提供高性能、高可靠性的应用服务器中间件，服务期内实现应用服务器上应用的轻松移植应用服务器软件，实现Tomcat的国产化替代，实现对应用服务器内所有服务、资源和应用的管理，为Java应用提供高性能、高可靠性、高安全性运行环境。</w:t>
      </w:r>
    </w:p>
    <w:p w14:paraId="14D82868">
      <w:pPr>
        <w:shd w:val="clear"/>
        <w:bidi w:val="0"/>
        <w:ind w:firstLine="480" w:firstLineChars="200"/>
        <w:rPr>
          <w:rFonts w:hint="default"/>
          <w:highlight w:val="none"/>
          <w:lang w:val="en-US" w:eastAsia="zh-CN"/>
        </w:rPr>
      </w:pPr>
      <w:r>
        <w:rPr>
          <w:rFonts w:hint="default"/>
          <w:highlight w:val="none"/>
          <w:lang w:val="en-US" w:eastAsia="zh-CN"/>
        </w:rPr>
        <w:t>产品应具备良好的生态环境适应能力，支持多种主流国产操作系统</w:t>
      </w:r>
      <w:r>
        <w:rPr>
          <w:rFonts w:hint="eastAsia"/>
          <w:highlight w:val="none"/>
          <w:lang w:val="en-US" w:eastAsia="zh-CN"/>
        </w:rPr>
        <w:t>、</w:t>
      </w:r>
      <w:r>
        <w:rPr>
          <w:rFonts w:hint="default"/>
          <w:highlight w:val="none"/>
          <w:lang w:val="en-US" w:eastAsia="zh-CN"/>
        </w:rPr>
        <w:t>支持多种主流国产数据库系统。软件自身应避免存在安全漏洞威胁</w:t>
      </w:r>
      <w:r>
        <w:rPr>
          <w:rFonts w:hint="eastAsia"/>
          <w:highlight w:val="none"/>
          <w:lang w:val="en-US" w:eastAsia="zh-CN"/>
        </w:rPr>
        <w:t>。</w:t>
      </w:r>
    </w:p>
    <w:p w14:paraId="5F10715A">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color w:val="000000" w:themeColor="text1"/>
          <w:sz w:val="24"/>
          <w:szCs w:val="24"/>
          <w:highlight w:val="none"/>
          <w:lang w:val="en-US" w:eastAsia="zh-CN"/>
          <w14:textFill>
            <w14:solidFill>
              <w14:schemeClr w14:val="tx1"/>
            </w14:solidFill>
          </w14:textFill>
        </w:rPr>
      </w:pPr>
      <w:r>
        <w:rPr>
          <w:rFonts w:hint="eastAsia" w:eastAsia="宋体" w:asciiTheme="minorAscii" w:hAnsiTheme="minorAscii"/>
          <w:bCs w:val="0"/>
          <w:color w:val="000000" w:themeColor="text1"/>
          <w:sz w:val="24"/>
          <w:szCs w:val="24"/>
          <w:highlight w:val="none"/>
          <w:lang w:val="en-US" w:eastAsia="zh-CN"/>
          <w14:textFill>
            <w14:solidFill>
              <w14:schemeClr w14:val="tx1"/>
            </w14:solidFill>
          </w14:textFill>
        </w:rPr>
        <w:t>12.通用密码服务</w:t>
      </w:r>
    </w:p>
    <w:p w14:paraId="0FEBC255">
      <w:pPr>
        <w:shd w:val="clear"/>
        <w:bidi w:val="0"/>
        <w:ind w:firstLine="48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采购通用密码服务1套。服务期内，通过密码服务平台所提供的密码服务实例提供以下服务（密码服务平台须符合GM/T 0028《密码模块安全技术要求》，</w:t>
      </w:r>
      <w:r>
        <w:rPr>
          <w:rFonts w:hint="default"/>
          <w:highlight w:val="none"/>
          <w:lang w:val="en-US" w:eastAsia="zh-CN"/>
        </w:rPr>
        <w:t>△</w:t>
      </w:r>
      <w:r>
        <w:rPr>
          <w:rFonts w:hint="eastAsia"/>
          <w:color w:val="000000" w:themeColor="text1"/>
          <w:highlight w:val="none"/>
          <w:lang w:val="en-US" w:eastAsia="zh-CN"/>
          <w14:textFill>
            <w14:solidFill>
              <w14:schemeClr w14:val="tx1"/>
            </w14:solidFill>
          </w14:textFill>
        </w:rPr>
        <w:t>可提供商用密码产品认证证书或商用密码检测认证中心显示证书有效的查询截图）：</w:t>
      </w:r>
    </w:p>
    <w:p w14:paraId="67420772">
      <w:pPr>
        <w:shd w:val="clear"/>
        <w:bidi w:val="0"/>
        <w:ind w:firstLine="48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（1）为应用实体提供基于PKI体系和数字证书的数字签名、验证签名等运算功能，可以保证关键业务信息的真实性、完整性和不可否认性。</w:t>
      </w:r>
    </w:p>
    <w:p w14:paraId="41596DF5">
      <w:pPr>
        <w:shd w:val="clear"/>
        <w:bidi w:val="0"/>
        <w:ind w:firstLine="48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（2）为应用系统提供数据加解密等密码运算服务，实现信息的机密性、完整性保护，保护服务器登录、数据传输加密和虚拟化环境等的数据安全。</w:t>
      </w:r>
    </w:p>
    <w:p w14:paraId="6C34FC06">
      <w:pPr>
        <w:shd w:val="clear"/>
        <w:bidi w:val="0"/>
        <w:ind w:firstLine="48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（3）对时间信息敏感的交易、数据进行时间戳签名，可确保事件发生时间与法律认可的标准时间一致，且时间及事件信息不可篡改和伪造。</w:t>
      </w:r>
    </w:p>
    <w:p w14:paraId="3F5788EE">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color w:val="000000" w:themeColor="text1"/>
          <w:sz w:val="24"/>
          <w:szCs w:val="24"/>
          <w:highlight w:val="none"/>
          <w:lang w:val="en-US" w:eastAsia="zh-CN"/>
          <w14:textFill>
            <w14:solidFill>
              <w14:schemeClr w14:val="tx1"/>
            </w14:solidFill>
          </w14:textFill>
        </w:rPr>
      </w:pPr>
      <w:r>
        <w:rPr>
          <w:rFonts w:hint="eastAsia" w:eastAsia="宋体" w:asciiTheme="minorAscii" w:hAnsiTheme="minorAscii"/>
          <w:bCs w:val="0"/>
          <w:color w:val="000000" w:themeColor="text1"/>
          <w:sz w:val="24"/>
          <w:szCs w:val="24"/>
          <w:highlight w:val="none"/>
          <w:lang w:val="en-US" w:eastAsia="zh-CN"/>
          <w14:textFill>
            <w14:solidFill>
              <w14:schemeClr w14:val="tx1"/>
            </w14:solidFill>
          </w14:textFill>
        </w:rPr>
        <w:t>13.云证书管理服务</w:t>
      </w:r>
    </w:p>
    <w:p w14:paraId="33C82381">
      <w:pPr>
        <w:shd w:val="clear"/>
        <w:bidi w:val="0"/>
        <w:ind w:firstLine="48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采购泛域名SSL证书1套，服务期内提供泛域名SSL证书服务。支持主流操作系统与软件库，支持主流浏览器。</w:t>
      </w:r>
    </w:p>
    <w:p w14:paraId="5C2064DD">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sz w:val="24"/>
          <w:szCs w:val="24"/>
          <w:highlight w:val="none"/>
          <w:lang w:val="en-US" w:eastAsia="zh-CN"/>
        </w:rPr>
      </w:pPr>
      <w:r>
        <w:rPr>
          <w:rFonts w:hint="eastAsia" w:eastAsia="宋体" w:asciiTheme="minorAscii" w:hAnsiTheme="minorAscii"/>
          <w:bCs w:val="0"/>
          <w:sz w:val="24"/>
          <w:szCs w:val="24"/>
          <w:highlight w:val="none"/>
          <w:lang w:val="en-US" w:eastAsia="zh-CN"/>
        </w:rPr>
        <w:t>14.国密浏览器</w:t>
      </w:r>
    </w:p>
    <w:p w14:paraId="5A412092">
      <w:pPr>
        <w:shd w:val="clear"/>
        <w:bidi w:val="0"/>
        <w:ind w:firstLine="480" w:firstLineChars="200"/>
        <w:rPr>
          <w:rFonts w:hint="eastAsia"/>
          <w:highlight w:val="none"/>
          <w:lang w:val="en-US" w:eastAsia="zh-CN"/>
        </w:rPr>
      </w:pPr>
      <w:r>
        <w:rPr>
          <w:rFonts w:hint="eastAsia"/>
          <w:highlight w:val="none"/>
          <w:lang w:val="en-US" w:eastAsia="zh-CN"/>
        </w:rPr>
        <w:t>采购国密浏览器10套，服务期内在云平台与系统运维人员之间建立安全通信通道。可设定在指定时间、浏览器退出时或每天首次启动时自动清除上网痕迹：包含浏览记录，下载记录，Cookie及其它网站数据，页面缓存，保存的密码和其他登录数据，自动填充表单数据。</w:t>
      </w:r>
    </w:p>
    <w:p w14:paraId="465E6A7D">
      <w:pPr>
        <w:shd w:val="clear"/>
        <w:bidi w:val="0"/>
        <w:ind w:firstLine="480" w:firstLineChars="200"/>
        <w:rPr>
          <w:rFonts w:hint="eastAsia"/>
          <w:highlight w:val="none"/>
          <w:lang w:val="en-US" w:eastAsia="zh-CN"/>
        </w:rPr>
      </w:pPr>
      <w:r>
        <w:rPr>
          <w:rFonts w:hint="default"/>
          <w:highlight w:val="none"/>
          <w:lang w:val="en-US" w:eastAsia="zh-CN"/>
        </w:rPr>
        <w:t>△</w:t>
      </w:r>
      <w:r>
        <w:rPr>
          <w:rFonts w:hint="eastAsia"/>
          <w:highlight w:val="none"/>
          <w:lang w:val="en-US" w:eastAsia="zh-CN"/>
        </w:rPr>
        <w:t>提供商用密码产品认证证书或商用密码检测认证中心显示证书有效的查询截图。</w:t>
      </w:r>
    </w:p>
    <w:p w14:paraId="1C502849">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eastAsia="宋体" w:asciiTheme="minorAscii" w:hAnsiTheme="minorAscii"/>
          <w:bCs w:val="0"/>
          <w:sz w:val="28"/>
          <w:szCs w:val="28"/>
          <w:highlight w:val="none"/>
          <w:lang w:val="en-US" w:eastAsia="zh-CN"/>
        </w:rPr>
      </w:pPr>
      <w:bookmarkStart w:id="481" w:name="_Toc6958"/>
      <w:r>
        <w:rPr>
          <w:rFonts w:hint="eastAsia" w:eastAsia="宋体" w:asciiTheme="minorAscii" w:hAnsiTheme="minorAscii"/>
          <w:bCs w:val="0"/>
          <w:sz w:val="28"/>
          <w:szCs w:val="28"/>
          <w:highlight w:val="none"/>
          <w:lang w:val="en-US" w:eastAsia="zh-CN"/>
        </w:rPr>
        <w:t>五、技术要求</w:t>
      </w:r>
      <w:bookmarkEnd w:id="465"/>
      <w:bookmarkEnd w:id="481"/>
    </w:p>
    <w:p w14:paraId="26CC3844">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default" w:eastAsia="宋体" w:asciiTheme="minorAscii" w:hAnsiTheme="minorAscii"/>
          <w:bCs w:val="0"/>
          <w:sz w:val="24"/>
          <w:szCs w:val="24"/>
          <w:highlight w:val="none"/>
          <w:lang w:val="en-US" w:eastAsia="zh-CN"/>
        </w:rPr>
      </w:pPr>
      <w:bookmarkStart w:id="482" w:name="_Toc7311"/>
      <w:bookmarkStart w:id="483" w:name="_Toc19315"/>
      <w:r>
        <w:rPr>
          <w:rFonts w:hint="eastAsia" w:eastAsia="宋体" w:asciiTheme="minorAscii" w:hAnsiTheme="minorAscii"/>
          <w:bCs w:val="0"/>
          <w:sz w:val="24"/>
          <w:szCs w:val="24"/>
          <w:highlight w:val="none"/>
          <w:lang w:val="en-US" w:eastAsia="zh-CN"/>
        </w:rPr>
        <w:t>（一）</w:t>
      </w:r>
      <w:r>
        <w:rPr>
          <w:rFonts w:hint="default" w:eastAsia="宋体" w:asciiTheme="minorAscii" w:hAnsiTheme="minorAscii"/>
          <w:bCs w:val="0"/>
          <w:sz w:val="24"/>
          <w:szCs w:val="24"/>
          <w:highlight w:val="none"/>
          <w:lang w:val="en-US" w:eastAsia="zh-CN"/>
        </w:rPr>
        <w:t>低代码开发能力要求</w:t>
      </w:r>
      <w:bookmarkEnd w:id="482"/>
      <w:bookmarkEnd w:id="483"/>
    </w:p>
    <w:p w14:paraId="4B27437B">
      <w:pPr>
        <w:shd w:val="clear"/>
        <w:bidi w:val="0"/>
        <w:ind w:firstLine="480" w:firstLineChars="200"/>
        <w:rPr>
          <w:rFonts w:hint="default"/>
          <w:highlight w:val="none"/>
          <w:lang w:val="en-US" w:eastAsia="zh-CN"/>
        </w:rPr>
      </w:pPr>
      <w:r>
        <w:rPr>
          <w:rFonts w:hint="default"/>
          <w:highlight w:val="none"/>
          <w:lang w:val="en-US" w:eastAsia="zh-CN"/>
        </w:rPr>
        <w:t>中标人在项目开发过程中，能够提供可视化的开发工具和组件库，跳过繁琐且易出错的技术细节，通过拖拽组件、灵活配置属性等方式完成需求开发，无需编写大量代码，快速构建应用程序，提高开发效率、促进快速创新，充分利用低代码开发技术，实现对核心业务、风险管控及内部管理的重建，实现数据可视化管理。</w:t>
      </w:r>
    </w:p>
    <w:p w14:paraId="707BBC02">
      <w:pPr>
        <w:shd w:val="clear"/>
        <w:bidi w:val="0"/>
        <w:ind w:firstLine="480" w:firstLineChars="200"/>
        <w:rPr>
          <w:rFonts w:hint="default"/>
          <w:highlight w:val="none"/>
          <w:lang w:val="en-US" w:eastAsia="zh-CN"/>
        </w:rPr>
      </w:pPr>
      <w:r>
        <w:rPr>
          <w:rFonts w:hint="default"/>
          <w:highlight w:val="none"/>
          <w:lang w:val="en-US" w:eastAsia="zh-CN"/>
        </w:rPr>
        <w:t>△通过业务分类定义工具，对业务的管理组织、管理角色、管理指标进行可视化配置；提供系统功能截图。</w:t>
      </w:r>
    </w:p>
    <w:p w14:paraId="3F9D606F">
      <w:pPr>
        <w:shd w:val="clear"/>
        <w:bidi w:val="0"/>
        <w:ind w:firstLine="480" w:firstLineChars="200"/>
        <w:rPr>
          <w:rFonts w:hint="default"/>
          <w:highlight w:val="none"/>
          <w:lang w:val="en-US" w:eastAsia="zh-CN"/>
        </w:rPr>
      </w:pPr>
      <w:r>
        <w:rPr>
          <w:rFonts w:hint="default"/>
          <w:highlight w:val="none"/>
          <w:lang w:val="en-US" w:eastAsia="zh-CN"/>
        </w:rPr>
        <w:t>△通过任务项定义工具，对任务项名称、流程、执行组织和执行角色进行可视化；提供系统功能截图。</w:t>
      </w:r>
    </w:p>
    <w:p w14:paraId="221BA413">
      <w:pPr>
        <w:shd w:val="clear"/>
        <w:bidi w:val="0"/>
        <w:ind w:firstLine="480" w:firstLineChars="200"/>
        <w:rPr>
          <w:rFonts w:hint="default"/>
          <w:highlight w:val="none"/>
          <w:lang w:val="en-US" w:eastAsia="zh-CN"/>
        </w:rPr>
      </w:pPr>
      <w:r>
        <w:rPr>
          <w:rFonts w:hint="default"/>
          <w:highlight w:val="none"/>
          <w:lang w:val="en-US" w:eastAsia="zh-CN"/>
        </w:rPr>
        <w:t>△通过事项定义工具，对事项的内容、证明材料、OCR、事项摘要、办理规则、打印、指标、业务提示语、事项唤起、审批意见、审批关键属性、按钮、事项评价、算法等要素进行可视化配置；提供系统功能截图。</w:t>
      </w:r>
    </w:p>
    <w:p w14:paraId="4B6D3490">
      <w:pPr>
        <w:shd w:val="clear"/>
        <w:bidi w:val="0"/>
        <w:ind w:firstLine="480" w:firstLineChars="200"/>
        <w:rPr>
          <w:rFonts w:hint="default"/>
          <w:highlight w:val="none"/>
          <w:lang w:val="en-US" w:eastAsia="zh-CN"/>
        </w:rPr>
      </w:pPr>
      <w:r>
        <w:rPr>
          <w:rFonts w:hint="default"/>
          <w:highlight w:val="none"/>
          <w:lang w:val="en-US" w:eastAsia="zh-CN"/>
        </w:rPr>
        <w:t>△通过事项规则定义工具，对业务的业务冻结规则、业务处理规则、资金处理规则、会计核算规则、服务调用规则、跨对象更新规则、订单处理规则进行可视化配置；提供系统功能截图。</w:t>
      </w:r>
    </w:p>
    <w:p w14:paraId="473ED1F6">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default" w:eastAsia="宋体" w:asciiTheme="minorAscii" w:hAnsiTheme="minorAscii"/>
          <w:bCs w:val="0"/>
          <w:sz w:val="24"/>
          <w:szCs w:val="24"/>
          <w:highlight w:val="none"/>
          <w:lang w:val="en-US" w:eastAsia="zh-CN"/>
        </w:rPr>
      </w:pPr>
      <w:bookmarkStart w:id="484" w:name="_Toc28957"/>
      <w:bookmarkStart w:id="485" w:name="_Toc12221"/>
      <w:r>
        <w:rPr>
          <w:rFonts w:hint="eastAsia" w:eastAsia="宋体" w:asciiTheme="minorAscii" w:hAnsiTheme="minorAscii"/>
          <w:bCs w:val="0"/>
          <w:sz w:val="24"/>
          <w:szCs w:val="24"/>
          <w:highlight w:val="none"/>
          <w:lang w:val="en-US" w:eastAsia="zh-CN"/>
        </w:rPr>
        <w:t>（二）服务不间断要求</w:t>
      </w:r>
      <w:bookmarkEnd w:id="484"/>
      <w:bookmarkEnd w:id="485"/>
    </w:p>
    <w:p w14:paraId="2BB75596">
      <w:pPr>
        <w:shd w:val="clear"/>
        <w:ind w:firstLine="480" w:firstLineChars="200"/>
        <w:rPr>
          <w:rFonts w:hint="eastAsia"/>
          <w:highlight w:val="none"/>
          <w:lang w:val="en-US" w:eastAsia="zh-CN"/>
        </w:rPr>
      </w:pPr>
      <w:r>
        <w:rPr>
          <w:rFonts w:hint="eastAsia"/>
          <w:highlight w:val="none"/>
          <w:lang w:val="en-US" w:eastAsia="zh-CN"/>
        </w:rPr>
        <w:t>1.</w:t>
      </w:r>
      <w:r>
        <w:rPr>
          <w:rFonts w:hint="default"/>
          <w:highlight w:val="none"/>
          <w:lang w:val="en-US" w:eastAsia="zh-CN"/>
        </w:rPr>
        <w:t>为确保数据完整，业务系统稳定运行，数据迁移顺利进行，保障业务连续性，涉及协调现有系统开发商配合的一切事宜，均由成交供应商和现有系统开发商协商解决，所产生的全部费用，由成交供应商自行负责，公积金中心</w:t>
      </w:r>
      <w:r>
        <w:rPr>
          <w:rFonts w:hint="eastAsia"/>
          <w:highlight w:val="none"/>
          <w:lang w:val="en-US" w:eastAsia="zh-CN"/>
        </w:rPr>
        <w:t>及住建厅</w:t>
      </w:r>
      <w:r>
        <w:rPr>
          <w:rFonts w:hint="default"/>
          <w:highlight w:val="none"/>
          <w:lang w:val="en-US" w:eastAsia="zh-CN"/>
        </w:rPr>
        <w:t>不负责任何协调性工作，此过程中不得影响原有业务的正常进行，否则成交供应商将承担相关的违约责任</w:t>
      </w:r>
      <w:r>
        <w:rPr>
          <w:rFonts w:hint="eastAsia"/>
          <w:highlight w:val="none"/>
          <w:lang w:val="en-US" w:eastAsia="zh-CN"/>
        </w:rPr>
        <w:t>。</w:t>
      </w:r>
    </w:p>
    <w:p w14:paraId="150F32E9">
      <w:pPr>
        <w:shd w:val="clear"/>
        <w:ind w:firstLine="480" w:firstLineChars="200"/>
        <w:rPr>
          <w:rFonts w:hint="default"/>
          <w:highlight w:val="none"/>
          <w:lang w:val="en-US" w:eastAsia="zh-CN"/>
        </w:rPr>
      </w:pPr>
      <w:r>
        <w:rPr>
          <w:rFonts w:hint="eastAsia"/>
          <w:highlight w:val="none"/>
          <w:lang w:val="en-US" w:eastAsia="zh-CN"/>
        </w:rPr>
        <w:t>2.</w:t>
      </w:r>
      <w:r>
        <w:rPr>
          <w:rFonts w:hint="default"/>
          <w:highlight w:val="none"/>
          <w:lang w:val="en-US" w:eastAsia="zh-CN"/>
        </w:rPr>
        <w:t>采购人有权在供应商中标后对其服务不间断能力进行考核验证，验证通过后，方可签订合同。考核期为中标后10个工作日，考核内容为本次服务内容的功能优化、故障修复，供应商应提供承诺函，如在规定考核期内不能按照考核要求进行服务，视为中标服务商提供虚假材料谋取中标、成交，依据《中华人民共和国政府采购法》规定，处以采购金额千分之五以上千分之十以下的罚款，列入不良行为记录名单，在一至三年内禁止参加政府采购活动，情节严重的，由工商行政管理机关吊销营业执照，构成犯罪的，依法追究刑事责任。</w:t>
      </w:r>
    </w:p>
    <w:p w14:paraId="64563EA4">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default" w:eastAsia="宋体" w:asciiTheme="minorAscii" w:hAnsiTheme="minorAscii"/>
          <w:bCs w:val="0"/>
          <w:sz w:val="24"/>
          <w:szCs w:val="24"/>
          <w:highlight w:val="none"/>
          <w:lang w:val="en-US" w:eastAsia="zh-CN"/>
        </w:rPr>
      </w:pPr>
      <w:bookmarkStart w:id="486" w:name="_Toc19284"/>
      <w:r>
        <w:rPr>
          <w:rFonts w:hint="eastAsia" w:eastAsia="宋体" w:asciiTheme="minorAscii" w:hAnsiTheme="minorAscii"/>
          <w:bCs w:val="0"/>
          <w:sz w:val="24"/>
          <w:szCs w:val="24"/>
          <w:highlight w:val="none"/>
          <w:lang w:val="en-US" w:eastAsia="zh-CN"/>
        </w:rPr>
        <w:t>（三）服务保障要求</w:t>
      </w:r>
      <w:bookmarkEnd w:id="486"/>
    </w:p>
    <w:p w14:paraId="37C0B2D2">
      <w:pPr>
        <w:shd w:val="clear"/>
        <w:ind w:firstLine="480" w:firstLineChars="200"/>
        <w:rPr>
          <w:rFonts w:hint="default"/>
          <w:highlight w:val="none"/>
          <w:lang w:val="en-US" w:eastAsia="zh-CN"/>
        </w:rPr>
      </w:pPr>
      <w:r>
        <w:rPr>
          <w:rFonts w:hint="default"/>
          <w:highlight w:val="none"/>
          <w:lang w:val="en-US" w:eastAsia="zh-CN"/>
        </w:rPr>
        <w:t>1.服务团队</w:t>
      </w:r>
    </w:p>
    <w:p w14:paraId="488F40B0">
      <w:pPr>
        <w:shd w:val="clear"/>
        <w:ind w:firstLine="480" w:firstLineChars="200"/>
        <w:rPr>
          <w:rFonts w:hint="default"/>
          <w:highlight w:val="none"/>
          <w:lang w:val="en-US" w:eastAsia="zh-CN"/>
        </w:rPr>
      </w:pPr>
      <w:r>
        <w:rPr>
          <w:rFonts w:hint="default"/>
          <w:highlight w:val="none"/>
          <w:lang w:val="en-US" w:eastAsia="zh-CN"/>
        </w:rPr>
        <w:t>不少于28人的针对本项目的专职技术支持服务团队（其中1人为驻场网络维护工程师，负责配合云服务进行安全维护），提供全年（包括节假日）7*24小时无间断技术支持，并开通相应技术支持电话、即时通讯软件支持等服务，提供技术问题解答，及时解决系统开发维护过程中遇到的疑难问题。</w:t>
      </w:r>
    </w:p>
    <w:p w14:paraId="45826F6E">
      <w:pPr>
        <w:shd w:val="clear"/>
        <w:ind w:firstLine="480" w:firstLineChars="200"/>
        <w:rPr>
          <w:rFonts w:hint="default"/>
          <w:highlight w:val="none"/>
          <w:lang w:val="en-US" w:eastAsia="zh-CN"/>
        </w:rPr>
      </w:pPr>
      <w:bookmarkStart w:id="487" w:name="_Toc2029"/>
      <w:r>
        <w:rPr>
          <w:rFonts w:hint="default"/>
          <w:highlight w:val="none"/>
          <w:lang w:val="en-US" w:eastAsia="zh-CN"/>
        </w:rPr>
        <w:t>2.功能优化</w:t>
      </w:r>
      <w:bookmarkEnd w:id="487"/>
    </w:p>
    <w:p w14:paraId="48A0A0FC">
      <w:pPr>
        <w:shd w:val="clear"/>
        <w:ind w:firstLine="480" w:firstLineChars="200"/>
        <w:rPr>
          <w:rFonts w:hint="default"/>
          <w:highlight w:val="none"/>
          <w:lang w:val="en-US" w:eastAsia="zh-CN"/>
        </w:rPr>
      </w:pPr>
      <w:r>
        <w:rPr>
          <w:rFonts w:hint="default"/>
          <w:highlight w:val="none"/>
          <w:lang w:val="en-US" w:eastAsia="zh-CN"/>
        </w:rPr>
        <w:t>依据本次运维服务产品内容，结合各中心实际业务需求，对系统使用过程中各中心提交的业务工单进行分析，提出解决意见与方案，进行优化。</w:t>
      </w:r>
    </w:p>
    <w:p w14:paraId="16936BB1">
      <w:pPr>
        <w:shd w:val="clear"/>
        <w:ind w:firstLine="480" w:firstLineChars="200"/>
        <w:rPr>
          <w:rFonts w:hint="default"/>
          <w:highlight w:val="none"/>
          <w:lang w:val="en-US" w:eastAsia="zh-CN"/>
        </w:rPr>
      </w:pPr>
      <w:bookmarkStart w:id="488" w:name="_Toc584"/>
      <w:r>
        <w:rPr>
          <w:rFonts w:hint="default"/>
          <w:highlight w:val="none"/>
          <w:lang w:val="en-US" w:eastAsia="zh-CN"/>
        </w:rPr>
        <w:t>3.性能优化</w:t>
      </w:r>
      <w:bookmarkEnd w:id="488"/>
    </w:p>
    <w:p w14:paraId="74B7763B">
      <w:pPr>
        <w:shd w:val="clear"/>
        <w:ind w:firstLine="480" w:firstLineChars="200"/>
        <w:rPr>
          <w:rFonts w:hint="default"/>
          <w:highlight w:val="none"/>
          <w:lang w:val="en-US" w:eastAsia="zh-CN"/>
        </w:rPr>
      </w:pPr>
      <w:r>
        <w:rPr>
          <w:rFonts w:hint="default"/>
          <w:highlight w:val="none"/>
          <w:lang w:val="en-US" w:eastAsia="zh-CN"/>
        </w:rPr>
        <w:t>根据系统性能监控分析工具，捕捉运行缓慢、影响效率的功能模块，对程序进行效率分析和优化完善。对周期批量业务程序进行优化，确保数据量不断增加的情况下，周期批量业务程序能够正常执行，不影响业务开展。</w:t>
      </w:r>
    </w:p>
    <w:p w14:paraId="2E277EF7">
      <w:pPr>
        <w:shd w:val="clear"/>
        <w:ind w:firstLine="480" w:firstLineChars="200"/>
        <w:rPr>
          <w:rFonts w:hint="default"/>
          <w:highlight w:val="none"/>
          <w:lang w:val="en-US" w:eastAsia="zh-CN"/>
        </w:rPr>
      </w:pPr>
      <w:bookmarkStart w:id="489" w:name="_Toc23199"/>
      <w:r>
        <w:rPr>
          <w:rFonts w:hint="default"/>
          <w:highlight w:val="none"/>
          <w:lang w:val="en-US" w:eastAsia="zh-CN"/>
        </w:rPr>
        <w:t>4.系统运维保障</w:t>
      </w:r>
      <w:bookmarkEnd w:id="489"/>
    </w:p>
    <w:p w14:paraId="36B66E26">
      <w:pPr>
        <w:shd w:val="clear"/>
        <w:ind w:firstLine="480" w:firstLineChars="200"/>
        <w:rPr>
          <w:rFonts w:hint="default"/>
          <w:highlight w:val="none"/>
          <w:lang w:val="en-US" w:eastAsia="zh-CN"/>
        </w:rPr>
      </w:pPr>
      <w:r>
        <w:rPr>
          <w:rFonts w:hint="default"/>
          <w:highlight w:val="none"/>
          <w:lang w:val="en-US" w:eastAsia="zh-CN"/>
        </w:rPr>
        <w:t>对用户通过正常业务流程无法操作、系统非正常报错的情况进行分析，反馈处理意见；系统运行不稳定或出现突发故障时，及时响应故障处理服务请求，及时查找、分析应用系统故障原因，提供应用层面技术支持；业务周期、财务周期出现错误时，协助分析问题并提出处理意见和方案并协助解决；解决或协助解决系统应用层面的其他故障问题，保障系统正常运行。</w:t>
      </w:r>
    </w:p>
    <w:p w14:paraId="0ABEB4C9">
      <w:pPr>
        <w:shd w:val="clear"/>
        <w:ind w:firstLine="480" w:firstLineChars="200"/>
        <w:rPr>
          <w:rFonts w:hint="default"/>
          <w:highlight w:val="none"/>
          <w:lang w:val="en-US" w:eastAsia="zh-CN"/>
        </w:rPr>
      </w:pPr>
      <w:bookmarkStart w:id="490" w:name="_Toc8984"/>
      <w:r>
        <w:rPr>
          <w:rFonts w:hint="default"/>
          <w:highlight w:val="none"/>
          <w:lang w:val="en-US" w:eastAsia="zh-CN"/>
        </w:rPr>
        <w:t>5.结息保障</w:t>
      </w:r>
      <w:bookmarkEnd w:id="490"/>
    </w:p>
    <w:p w14:paraId="71DE7908">
      <w:pPr>
        <w:shd w:val="clear"/>
        <w:ind w:firstLine="480" w:firstLineChars="200"/>
        <w:rPr>
          <w:rFonts w:hint="default"/>
          <w:highlight w:val="none"/>
          <w:lang w:val="en-US" w:eastAsia="zh-CN"/>
        </w:rPr>
      </w:pPr>
      <w:r>
        <w:rPr>
          <w:rFonts w:hint="default"/>
          <w:highlight w:val="none"/>
          <w:lang w:val="en-US" w:eastAsia="zh-CN"/>
        </w:rPr>
        <w:t>根据中心要求提供结息工作方案和结息计划，包括人员保障，协助中心做好结息利率的配置检查；结息前、期间及结息后，协助中心做好与银行间放款、扣款工作。</w:t>
      </w:r>
    </w:p>
    <w:p w14:paraId="08D15CAD">
      <w:pPr>
        <w:shd w:val="clear"/>
        <w:ind w:firstLine="480" w:firstLineChars="200"/>
        <w:rPr>
          <w:rFonts w:hint="default"/>
          <w:highlight w:val="none"/>
          <w:lang w:val="en-US" w:eastAsia="zh-CN"/>
        </w:rPr>
      </w:pPr>
      <w:bookmarkStart w:id="491" w:name="_Toc7717"/>
      <w:r>
        <w:rPr>
          <w:rFonts w:hint="default"/>
          <w:highlight w:val="none"/>
          <w:lang w:val="en-US" w:eastAsia="zh-CN"/>
        </w:rPr>
        <w:t>6.银行交易保障</w:t>
      </w:r>
      <w:bookmarkEnd w:id="491"/>
    </w:p>
    <w:p w14:paraId="2D29DDA2">
      <w:pPr>
        <w:shd w:val="clear"/>
        <w:ind w:firstLine="480" w:firstLineChars="200"/>
        <w:rPr>
          <w:rFonts w:hint="default"/>
          <w:highlight w:val="none"/>
          <w:lang w:val="en-US" w:eastAsia="zh-CN"/>
        </w:rPr>
      </w:pPr>
      <w:r>
        <w:rPr>
          <w:rFonts w:hint="default"/>
          <w:highlight w:val="none"/>
          <w:lang w:val="en-US" w:eastAsia="zh-CN"/>
        </w:rPr>
        <w:t>对日常结算交易状态及结果进行监控，对交易过程中发现的异常情况，及时查找、分析故障原因，经中心同意后及时处理，并详细记录事件工单，对重大事件提供重大事件处理报告。</w:t>
      </w:r>
    </w:p>
    <w:p w14:paraId="2B480022">
      <w:pPr>
        <w:shd w:val="clear"/>
        <w:ind w:firstLine="480" w:firstLineChars="200"/>
        <w:rPr>
          <w:rFonts w:hint="default"/>
          <w:highlight w:val="none"/>
          <w:lang w:val="en-US" w:eastAsia="zh-CN"/>
        </w:rPr>
      </w:pPr>
      <w:bookmarkStart w:id="492" w:name="_Toc5318"/>
      <w:r>
        <w:rPr>
          <w:rFonts w:hint="default"/>
          <w:highlight w:val="none"/>
          <w:lang w:val="en-US" w:eastAsia="zh-CN"/>
        </w:rPr>
        <w:t>7.数据报送保障</w:t>
      </w:r>
      <w:bookmarkEnd w:id="492"/>
    </w:p>
    <w:p w14:paraId="5D380320">
      <w:pPr>
        <w:shd w:val="clear"/>
        <w:ind w:firstLine="480" w:firstLineChars="200"/>
        <w:rPr>
          <w:rFonts w:hint="default"/>
          <w:highlight w:val="none"/>
          <w:lang w:val="en-US" w:eastAsia="zh-CN"/>
        </w:rPr>
      </w:pPr>
      <w:r>
        <w:rPr>
          <w:rFonts w:hint="default"/>
          <w:highlight w:val="none"/>
          <w:lang w:val="en-US" w:eastAsia="zh-CN"/>
        </w:rPr>
        <w:t>针对每日报送住建部数据，上报平台的数据问题以及异常数据问题，分析并给出解决方案，经中心同意后定期执行电子化程序检查，导出报表，并报送问题总结报告。</w:t>
      </w:r>
    </w:p>
    <w:p w14:paraId="72EDEBF4">
      <w:pPr>
        <w:shd w:val="clear"/>
        <w:ind w:firstLine="480" w:firstLineChars="200"/>
        <w:rPr>
          <w:rFonts w:hint="default"/>
          <w:highlight w:val="none"/>
          <w:lang w:val="en-US" w:eastAsia="zh-CN"/>
        </w:rPr>
      </w:pPr>
      <w:bookmarkStart w:id="493" w:name="_Toc2550"/>
      <w:r>
        <w:rPr>
          <w:rFonts w:hint="default"/>
          <w:highlight w:val="none"/>
          <w:lang w:val="en-US" w:eastAsia="zh-CN"/>
        </w:rPr>
        <w:t>8.日志分析</w:t>
      </w:r>
      <w:bookmarkEnd w:id="493"/>
    </w:p>
    <w:p w14:paraId="35F9271C">
      <w:pPr>
        <w:shd w:val="clear"/>
        <w:ind w:firstLine="480" w:firstLineChars="200"/>
        <w:rPr>
          <w:rFonts w:hint="default"/>
          <w:highlight w:val="none"/>
          <w:lang w:val="en-US" w:eastAsia="zh-CN"/>
        </w:rPr>
      </w:pPr>
      <w:r>
        <w:rPr>
          <w:rFonts w:hint="default"/>
          <w:highlight w:val="none"/>
          <w:lang w:val="en-US" w:eastAsia="zh-CN"/>
        </w:rPr>
        <w:t>收集整理自治区住房公积金业务管理云平台系统日志信息，对日志信息技术分析，及时发现信息系统的潜在风险，并提供日志分析报告。</w:t>
      </w:r>
    </w:p>
    <w:p w14:paraId="442E401E">
      <w:pPr>
        <w:shd w:val="clear"/>
        <w:ind w:firstLine="480" w:firstLineChars="200"/>
        <w:rPr>
          <w:rFonts w:hint="default"/>
          <w:highlight w:val="none"/>
          <w:lang w:val="en-US" w:eastAsia="zh-CN"/>
        </w:rPr>
      </w:pPr>
      <w:bookmarkStart w:id="494" w:name="_Toc11740"/>
      <w:r>
        <w:rPr>
          <w:rFonts w:hint="default"/>
          <w:highlight w:val="none"/>
          <w:lang w:val="en-US" w:eastAsia="zh-CN"/>
        </w:rPr>
        <w:t>9.巡检</w:t>
      </w:r>
      <w:bookmarkEnd w:id="494"/>
      <w:r>
        <w:rPr>
          <w:rFonts w:hint="default"/>
          <w:highlight w:val="none"/>
          <w:lang w:val="en-US" w:eastAsia="zh-CN"/>
        </w:rPr>
        <w:t>服务</w:t>
      </w:r>
    </w:p>
    <w:p w14:paraId="468960BB">
      <w:pPr>
        <w:shd w:val="clear"/>
        <w:ind w:firstLine="480" w:firstLineChars="200"/>
        <w:rPr>
          <w:rFonts w:hint="default"/>
          <w:highlight w:val="none"/>
          <w:lang w:val="en-US" w:eastAsia="zh-CN"/>
        </w:rPr>
      </w:pPr>
      <w:r>
        <w:rPr>
          <w:rFonts w:hint="default"/>
          <w:highlight w:val="none"/>
          <w:lang w:val="en-US" w:eastAsia="zh-CN"/>
        </w:rPr>
        <w:t>每日对系统运行状态进行巡检，包括：系统运行状态，云主机资源使用状态，故障记录等日常巡检工作。每季度至少对14个中心进行一次全面实地巡检和服务需求调研。</w:t>
      </w:r>
    </w:p>
    <w:p w14:paraId="4BE366F8">
      <w:pPr>
        <w:shd w:val="clear"/>
        <w:ind w:firstLine="480" w:firstLineChars="200"/>
        <w:rPr>
          <w:rFonts w:hint="default"/>
          <w:highlight w:val="none"/>
          <w:lang w:val="en-US" w:eastAsia="zh-CN"/>
        </w:rPr>
      </w:pPr>
      <w:bookmarkStart w:id="495" w:name="_Toc19389"/>
      <w:r>
        <w:rPr>
          <w:rFonts w:hint="default"/>
          <w:highlight w:val="none"/>
          <w:lang w:val="en-US" w:eastAsia="zh-CN"/>
        </w:rPr>
        <w:t>10.系统培训</w:t>
      </w:r>
      <w:bookmarkEnd w:id="495"/>
    </w:p>
    <w:p w14:paraId="4BC6293D">
      <w:pPr>
        <w:shd w:val="clear"/>
        <w:ind w:firstLine="480" w:firstLineChars="200"/>
        <w:rPr>
          <w:rFonts w:hint="default"/>
          <w:highlight w:val="none"/>
          <w:lang w:val="en-US" w:eastAsia="zh-CN"/>
        </w:rPr>
      </w:pPr>
      <w:r>
        <w:rPr>
          <w:rFonts w:hint="default"/>
          <w:highlight w:val="none"/>
          <w:lang w:val="en-US" w:eastAsia="zh-CN"/>
        </w:rPr>
        <w:t>中标服务商拟定详细的培训方案，协助各中心搭建业务系统培训环境。根据各中心培训工作需要，合理分配权限，提供模拟角色和用户清单，保证所有参加培训人员及时、准确的了解系统。对各自岗位对应的功能经过培训后实现熟练操作，基础培训可在项目服务过程中对相关人员穿插培训。</w:t>
      </w:r>
    </w:p>
    <w:p w14:paraId="1FAA2F86">
      <w:pPr>
        <w:shd w:val="clear"/>
        <w:ind w:firstLine="480" w:firstLineChars="200"/>
        <w:rPr>
          <w:rFonts w:hint="default"/>
          <w:highlight w:val="none"/>
          <w:lang w:val="en-US" w:eastAsia="zh-CN"/>
        </w:rPr>
      </w:pPr>
      <w:bookmarkStart w:id="496" w:name="_Toc22926"/>
      <w:r>
        <w:rPr>
          <w:rFonts w:hint="default"/>
          <w:highlight w:val="none"/>
          <w:lang w:val="en-US" w:eastAsia="zh-CN"/>
        </w:rPr>
        <w:t>11.重要时期保障</w:t>
      </w:r>
      <w:bookmarkEnd w:id="496"/>
    </w:p>
    <w:p w14:paraId="322AE2BF">
      <w:pPr>
        <w:shd w:val="clear"/>
        <w:ind w:firstLine="480" w:firstLineChars="200"/>
        <w:rPr>
          <w:rFonts w:hint="default"/>
          <w:highlight w:val="none"/>
          <w:lang w:val="en-US" w:eastAsia="zh-CN"/>
        </w:rPr>
      </w:pPr>
      <w:r>
        <w:rPr>
          <w:rFonts w:hint="default"/>
          <w:highlight w:val="none"/>
          <w:lang w:val="en-US" w:eastAsia="zh-CN"/>
        </w:rPr>
        <w:t>在“两会”或重要时期，对中心重要业务系统进行值守保障。</w:t>
      </w:r>
    </w:p>
    <w:p w14:paraId="081E2B77">
      <w:pPr>
        <w:shd w:val="clear"/>
        <w:ind w:firstLine="480" w:firstLineChars="200"/>
        <w:rPr>
          <w:rFonts w:hint="default"/>
          <w:highlight w:val="none"/>
          <w:lang w:val="en-US" w:eastAsia="zh-CN"/>
        </w:rPr>
      </w:pPr>
      <w:r>
        <w:rPr>
          <w:rFonts w:hint="default"/>
          <w:highlight w:val="none"/>
          <w:lang w:val="en-US" w:eastAsia="zh-CN"/>
        </w:rPr>
        <w:t>及时应对和处理信息系统运维事件，并提供值守记录。</w:t>
      </w:r>
    </w:p>
    <w:p w14:paraId="1E6C5BAD">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eastAsia="宋体" w:asciiTheme="minorAscii" w:hAnsiTheme="minorAscii"/>
          <w:bCs w:val="0"/>
          <w:sz w:val="28"/>
          <w:szCs w:val="28"/>
          <w:highlight w:val="none"/>
          <w:lang w:val="en-US" w:eastAsia="zh-CN"/>
        </w:rPr>
      </w:pPr>
      <w:bookmarkStart w:id="497" w:name="_Toc20285"/>
      <w:r>
        <w:rPr>
          <w:rFonts w:hint="eastAsia" w:eastAsia="宋体" w:asciiTheme="minorAscii" w:hAnsiTheme="minorAscii"/>
          <w:bCs w:val="0"/>
          <w:sz w:val="28"/>
          <w:szCs w:val="28"/>
          <w:highlight w:val="none"/>
          <w:lang w:val="en-US" w:eastAsia="zh-CN"/>
        </w:rPr>
        <w:t>六、其他要求</w:t>
      </w:r>
      <w:bookmarkEnd w:id="497"/>
    </w:p>
    <w:p w14:paraId="31517DD1">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default" w:eastAsia="宋体" w:asciiTheme="minorAscii" w:hAnsiTheme="minorAscii"/>
          <w:bCs w:val="0"/>
          <w:sz w:val="24"/>
          <w:szCs w:val="24"/>
          <w:highlight w:val="none"/>
          <w:lang w:val="en-US" w:eastAsia="zh-CN"/>
        </w:rPr>
      </w:pPr>
      <w:bookmarkStart w:id="498" w:name="_Toc32072"/>
      <w:bookmarkStart w:id="499" w:name="_Toc22031"/>
      <w:r>
        <w:rPr>
          <w:rFonts w:hint="eastAsia" w:eastAsia="宋体" w:asciiTheme="minorAscii" w:hAnsiTheme="minorAscii"/>
          <w:bCs w:val="0"/>
          <w:sz w:val="24"/>
          <w:szCs w:val="24"/>
          <w:highlight w:val="none"/>
          <w:lang w:val="en-US" w:eastAsia="zh-CN"/>
        </w:rPr>
        <w:t>（一）实施要求</w:t>
      </w:r>
      <w:bookmarkEnd w:id="498"/>
      <w:bookmarkEnd w:id="499"/>
    </w:p>
    <w:p w14:paraId="52747A3C">
      <w:pPr>
        <w:shd w:val="clear"/>
        <w:bidi w:val="0"/>
        <w:ind w:firstLine="480" w:firstLineChars="200"/>
        <w:rPr>
          <w:rFonts w:hint="default"/>
          <w:highlight w:val="none"/>
          <w:lang w:val="en-US" w:eastAsia="zh-CN"/>
        </w:rPr>
      </w:pPr>
      <w:r>
        <w:rPr>
          <w:rFonts w:hint="default"/>
          <w:highlight w:val="none"/>
          <w:lang w:val="en-US" w:eastAsia="zh-CN"/>
        </w:rPr>
        <w:t>供应商应严格按照软件工程规范进行项目管理，各阶段都应提交相应的计划、设计、实施等技术文档，并经采购人认可后方可进行下阶段工作；并应确保人力、物力的定量投入，定期提交项目进展情况报告及最新文档资料。</w:t>
      </w:r>
    </w:p>
    <w:p w14:paraId="57DCBA82">
      <w:pPr>
        <w:shd w:val="clear"/>
        <w:bidi w:val="0"/>
        <w:ind w:firstLine="480" w:firstLineChars="200"/>
        <w:rPr>
          <w:rFonts w:hint="eastAsia"/>
          <w:highlight w:val="none"/>
        </w:rPr>
      </w:pPr>
      <w:r>
        <w:rPr>
          <w:rFonts w:hint="eastAsia"/>
          <w:highlight w:val="none"/>
          <w:lang w:val="en-US" w:eastAsia="zh-CN"/>
        </w:rPr>
        <w:t>1.</w:t>
      </w:r>
      <w:r>
        <w:rPr>
          <w:rFonts w:hint="eastAsia"/>
          <w:highlight w:val="none"/>
        </w:rPr>
        <w:t>项目的人员及组织机构要求</w:t>
      </w:r>
    </w:p>
    <w:p w14:paraId="5922A4CD">
      <w:pPr>
        <w:shd w:val="clear"/>
        <w:bidi w:val="0"/>
        <w:ind w:firstLine="480" w:firstLineChars="200"/>
        <w:rPr>
          <w:rFonts w:hint="default"/>
          <w:highlight w:val="none"/>
          <w:lang w:val="en-US" w:eastAsia="zh-CN"/>
        </w:rPr>
      </w:pPr>
      <w:r>
        <w:rPr>
          <w:rFonts w:hint="eastAsia"/>
          <w:highlight w:val="none"/>
        </w:rPr>
        <w:t>供应商应拥有丰富的项目集成管理经验，利用专业的项目管理团队，整合各种资源，并经过优化配置，形成一个由各种适宜要素组成的优势互补、相互匹配、具有独特功能优势的团队。在充分利用现有系统软件、信息资源或整合信息系统的基础上，调整优化业务流程，制定功能或完善功能，改进服务，提高效率。</w:t>
      </w:r>
    </w:p>
    <w:p w14:paraId="3BF93037">
      <w:pPr>
        <w:shd w:val="clear"/>
        <w:bidi w:val="0"/>
        <w:ind w:firstLine="480" w:firstLineChars="200"/>
        <w:rPr>
          <w:rFonts w:hint="default"/>
          <w:highlight w:val="none"/>
          <w:lang w:val="en-US" w:eastAsia="zh-CN"/>
        </w:rPr>
      </w:pPr>
      <w:r>
        <w:rPr>
          <w:rFonts w:hint="default"/>
          <w:highlight w:val="none"/>
          <w:lang w:val="en-US" w:eastAsia="zh-CN"/>
        </w:rPr>
        <w:t>供应商必须成立合理的项目机构，至少具备与本项目建设范围所涉及的类别工程师的高素质人才参加本项目的建设。</w:t>
      </w:r>
    </w:p>
    <w:p w14:paraId="630C6647">
      <w:pPr>
        <w:shd w:val="clear"/>
        <w:bidi w:val="0"/>
        <w:ind w:firstLine="480" w:firstLineChars="200"/>
        <w:rPr>
          <w:rFonts w:hint="default"/>
          <w:highlight w:val="none"/>
          <w:lang w:val="en-US" w:eastAsia="zh-CN"/>
        </w:rPr>
      </w:pPr>
      <w:r>
        <w:rPr>
          <w:rFonts w:hint="eastAsia"/>
          <w:highlight w:val="none"/>
          <w:lang w:val="en-US" w:eastAsia="zh-CN"/>
        </w:rPr>
        <w:t>2.文档要求</w:t>
      </w:r>
    </w:p>
    <w:p w14:paraId="1A5E452F">
      <w:pPr>
        <w:shd w:val="clear"/>
        <w:bidi w:val="0"/>
        <w:ind w:firstLine="480" w:firstLineChars="200"/>
        <w:rPr>
          <w:rFonts w:hint="default"/>
          <w:highlight w:val="none"/>
          <w:lang w:val="en-US" w:eastAsia="zh-CN"/>
        </w:rPr>
      </w:pPr>
      <w:r>
        <w:rPr>
          <w:rFonts w:hint="default"/>
          <w:highlight w:val="none"/>
          <w:lang w:val="en-US" w:eastAsia="zh-CN"/>
        </w:rPr>
        <w:t>成交供应商在项目启动前列出在整个项目实施过程中所产生和需向用户提交的详细文档清单，包括文档名称、内容、提交用户的时间和方式等，所有技术文件必须是中文。</w:t>
      </w:r>
    </w:p>
    <w:p w14:paraId="307B05BF">
      <w:pPr>
        <w:shd w:val="clear"/>
        <w:bidi w:val="0"/>
        <w:ind w:firstLine="480" w:firstLineChars="200"/>
        <w:rPr>
          <w:rFonts w:hint="eastAsia"/>
          <w:highlight w:val="none"/>
          <w:lang w:val="en-US" w:eastAsia="zh-CN"/>
        </w:rPr>
      </w:pPr>
      <w:r>
        <w:rPr>
          <w:rFonts w:hint="eastAsia"/>
          <w:highlight w:val="none"/>
          <w:lang w:val="en-US" w:eastAsia="zh-CN"/>
        </w:rPr>
        <w:t>3.知识产权要求</w:t>
      </w:r>
    </w:p>
    <w:p w14:paraId="77559FAA">
      <w:pPr>
        <w:shd w:val="clear"/>
        <w:bidi w:val="0"/>
        <w:ind w:firstLine="480" w:firstLineChars="200"/>
        <w:rPr>
          <w:rFonts w:hint="eastAsia"/>
          <w:highlight w:val="none"/>
          <w:lang w:val="en-US" w:eastAsia="zh-CN"/>
        </w:rPr>
      </w:pPr>
      <w:r>
        <w:rPr>
          <w:rFonts w:hint="eastAsia"/>
          <w:highlight w:val="none"/>
          <w:lang w:val="en-US" w:eastAsia="zh-CN"/>
        </w:rPr>
        <w:t>成交供应商应具有规范的知识产权管理能力，建立标准的知识产权管理体系，保证本项目中其开发的成果不侵犯任何第三方的知识产权，不存在任何与此相关的争议。如采购人因使用本项目开发成果引起与第三方纠纷，产生的一切法律责任与费用由成交供应商承担。</w:t>
      </w:r>
    </w:p>
    <w:p w14:paraId="1B83EB96">
      <w:pPr>
        <w:shd w:val="clear"/>
        <w:bidi w:val="0"/>
        <w:ind w:firstLine="480" w:firstLineChars="200"/>
        <w:rPr>
          <w:rFonts w:hint="eastAsia"/>
          <w:highlight w:val="none"/>
          <w:lang w:val="en-US" w:eastAsia="zh-CN"/>
        </w:rPr>
      </w:pPr>
      <w:r>
        <w:rPr>
          <w:rFonts w:hint="eastAsia"/>
          <w:highlight w:val="none"/>
          <w:lang w:val="en-US" w:eastAsia="zh-CN"/>
        </w:rPr>
        <w:t>4.保密要求</w:t>
      </w:r>
    </w:p>
    <w:p w14:paraId="092FF951">
      <w:pPr>
        <w:shd w:val="clear"/>
        <w:bidi w:val="0"/>
        <w:ind w:firstLine="480" w:firstLineChars="200"/>
        <w:rPr>
          <w:rFonts w:hint="default"/>
          <w:highlight w:val="none"/>
          <w:lang w:val="en-US" w:eastAsia="zh-CN"/>
        </w:rPr>
      </w:pPr>
      <w:r>
        <w:rPr>
          <w:rFonts w:hint="default"/>
          <w:highlight w:val="none"/>
          <w:lang w:val="en-US" w:eastAsia="zh-CN"/>
        </w:rPr>
        <w:t>成交供应商必须对本项目技术文件以及由采购人提供的所有内部资料、技术文档和信息予以保密，未经采购人书面许可，不得以任何形式向第三方透露本项目的任何内容。</w:t>
      </w:r>
    </w:p>
    <w:p w14:paraId="7D0B763E">
      <w:pPr>
        <w:shd w:val="clear"/>
        <w:bidi w:val="0"/>
        <w:ind w:firstLine="480" w:firstLineChars="200"/>
        <w:rPr>
          <w:rFonts w:hint="default"/>
          <w:highlight w:val="none"/>
          <w:lang w:val="en-US" w:eastAsia="zh-CN"/>
        </w:rPr>
      </w:pPr>
      <w:r>
        <w:rPr>
          <w:rFonts w:hint="eastAsia"/>
          <w:highlight w:val="none"/>
          <w:lang w:val="en-US" w:eastAsia="zh-CN"/>
        </w:rPr>
        <w:t>5.风险检测要求</w:t>
      </w:r>
    </w:p>
    <w:p w14:paraId="1D3A4C20">
      <w:pPr>
        <w:shd w:val="clear"/>
        <w:bidi w:val="0"/>
        <w:ind w:firstLine="480" w:firstLineChars="200"/>
        <w:rPr>
          <w:rFonts w:hint="default"/>
          <w:highlight w:val="none"/>
          <w:lang w:val="en-US" w:eastAsia="zh-CN"/>
        </w:rPr>
      </w:pPr>
      <w:r>
        <w:rPr>
          <w:rFonts w:hint="default"/>
          <w:highlight w:val="none"/>
          <w:lang w:val="en-US" w:eastAsia="zh-CN"/>
        </w:rPr>
        <w:t>因本项目采购内容涉及中心重要业务数据，系统建设过程中均需要进行充分的风险检测，成交供应商应具备动态风险检测能力，主动、提前对项目风险进行防控及处理。</w:t>
      </w:r>
    </w:p>
    <w:p w14:paraId="47692343">
      <w:pPr>
        <w:shd w:val="clear"/>
        <w:bidi w:val="0"/>
        <w:ind w:firstLine="480" w:firstLineChars="200"/>
        <w:rPr>
          <w:rFonts w:hint="eastAsia"/>
          <w:highlight w:val="none"/>
          <w:lang w:val="en-US" w:eastAsia="zh-CN"/>
        </w:rPr>
      </w:pPr>
      <w:r>
        <w:rPr>
          <w:rFonts w:hint="eastAsia"/>
          <w:highlight w:val="none"/>
          <w:lang w:val="en-US" w:eastAsia="zh-CN"/>
        </w:rPr>
        <w:t>6.安全要求</w:t>
      </w:r>
    </w:p>
    <w:p w14:paraId="4301C88F">
      <w:pPr>
        <w:shd w:val="clear"/>
        <w:bidi w:val="0"/>
        <w:ind w:firstLine="480" w:firstLineChars="200"/>
        <w:rPr>
          <w:rFonts w:hint="default"/>
          <w:highlight w:val="none"/>
          <w:lang w:val="en-US" w:eastAsia="zh-CN"/>
        </w:rPr>
      </w:pPr>
      <w:r>
        <w:rPr>
          <w:rFonts w:hint="default"/>
          <w:highlight w:val="none"/>
          <w:lang w:val="en-US" w:eastAsia="zh-CN"/>
        </w:rPr>
        <w:t>供应商按照本招标文件要求，在软件服务项目实施过程中要充分考虑覆盖整个软件开发生命周期的安全管理，需求分析阶段应明确软件安全需求，设计阶段设计应符合安全准则功能，编码阶段应保证开发代码符合安全编码规范，落实可靠有效地安全测试和运行维护确保软件产品得以安全交付使用。</w:t>
      </w:r>
    </w:p>
    <w:p w14:paraId="07759BC0">
      <w:pPr>
        <w:shd w:val="clear"/>
        <w:bidi w:val="0"/>
        <w:ind w:firstLine="480" w:firstLineChars="200"/>
        <w:rPr>
          <w:rFonts w:hint="default"/>
          <w:highlight w:val="none"/>
          <w:lang w:val="en-US" w:eastAsia="zh-CN"/>
        </w:rPr>
      </w:pPr>
      <w:r>
        <w:rPr>
          <w:rFonts w:hint="default"/>
          <w:highlight w:val="none"/>
          <w:lang w:val="en-US" w:eastAsia="zh-CN"/>
        </w:rPr>
        <w:t>供应商应根据住建部住房公积金管理相关政策文件要求，结合</w:t>
      </w:r>
      <w:r>
        <w:rPr>
          <w:rFonts w:hint="eastAsia"/>
          <w:highlight w:val="none"/>
          <w:lang w:val="en-US" w:eastAsia="zh-CN"/>
        </w:rPr>
        <w:t>各</w:t>
      </w:r>
      <w:r>
        <w:rPr>
          <w:rFonts w:hint="default"/>
          <w:highlight w:val="none"/>
          <w:lang w:val="en-US" w:eastAsia="zh-CN"/>
        </w:rPr>
        <w:t>中心的实际业务现状及相关数据标准，做好安全运维工作，以规范标准和安全管理为保障措施，保证信息系统规范性、可用性和可靠性等要求，结合“互联网+”、“大数据”、“云计算”等新技术发展，有效防止网络攻击、篡改、挂马及数据遗失等安全问题，切实保障</w:t>
      </w:r>
      <w:r>
        <w:rPr>
          <w:rFonts w:hint="eastAsia"/>
          <w:highlight w:val="none"/>
          <w:lang w:val="en-US" w:eastAsia="zh-CN"/>
        </w:rPr>
        <w:t>各</w:t>
      </w:r>
      <w:r>
        <w:rPr>
          <w:rFonts w:hint="default"/>
          <w:highlight w:val="none"/>
          <w:lang w:val="en-US" w:eastAsia="zh-CN"/>
        </w:rPr>
        <w:t>中心资金和数据安全，满足新时代下住房公积金信息化建设转型需求。</w:t>
      </w:r>
    </w:p>
    <w:p w14:paraId="5219A088">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default" w:eastAsia="宋体" w:asciiTheme="minorAscii" w:hAnsiTheme="minorAscii"/>
          <w:bCs w:val="0"/>
          <w:sz w:val="24"/>
          <w:szCs w:val="24"/>
          <w:highlight w:val="none"/>
          <w:lang w:val="en-US" w:eastAsia="zh-CN"/>
        </w:rPr>
      </w:pPr>
      <w:bookmarkStart w:id="500" w:name="_Toc27735"/>
      <w:bookmarkStart w:id="501" w:name="_Toc12675"/>
      <w:r>
        <w:rPr>
          <w:rFonts w:hint="eastAsia" w:eastAsia="宋体" w:asciiTheme="minorAscii" w:hAnsiTheme="minorAscii"/>
          <w:bCs w:val="0"/>
          <w:sz w:val="24"/>
          <w:szCs w:val="24"/>
          <w:highlight w:val="none"/>
          <w:lang w:val="en-US" w:eastAsia="zh-CN"/>
        </w:rPr>
        <w:t>（二）服务标准要求</w:t>
      </w:r>
      <w:bookmarkEnd w:id="500"/>
      <w:bookmarkEnd w:id="501"/>
    </w:p>
    <w:p w14:paraId="68468D0D">
      <w:pPr>
        <w:shd w:val="clear"/>
        <w:ind w:firstLine="480" w:firstLineChars="200"/>
        <w:rPr>
          <w:rFonts w:hint="default"/>
          <w:highlight w:val="none"/>
          <w:lang w:val="en-US" w:eastAsia="zh-CN"/>
        </w:rPr>
      </w:pPr>
      <w:r>
        <w:rPr>
          <w:rFonts w:hint="default"/>
          <w:highlight w:val="none"/>
          <w:lang w:val="en-US" w:eastAsia="zh-CN"/>
        </w:rPr>
        <w:t>中标方在中标后需结合项目约定服务范围提供采购人资源目录清单（清单将作为项目服务的核心资源基准，包含系统在服务器端的信创软硬件运营资源、等保/商密标准涉及的运营资源）。若项目推进中出现超出清单的资源需求，需由双方基于实际必要性共同确认，协商确定，如确经双方事前确认的超出清单的资源费，由中标方承担。</w:t>
      </w:r>
    </w:p>
    <w:p w14:paraId="68E2F21A">
      <w:pPr>
        <w:shd w:val="clear"/>
        <w:ind w:firstLine="480" w:firstLineChars="200"/>
        <w:rPr>
          <w:rFonts w:hint="default"/>
          <w:highlight w:val="none"/>
          <w:lang w:val="en-US" w:eastAsia="zh-CN"/>
        </w:rPr>
      </w:pPr>
      <w:r>
        <w:rPr>
          <w:rFonts w:hint="default"/>
          <w:highlight w:val="none"/>
          <w:lang w:val="en-US" w:eastAsia="zh-CN"/>
        </w:rPr>
        <w:t>本项目运营服务期内，项目质量考核按采购人考核办法执行。</w:t>
      </w:r>
    </w:p>
    <w:p w14:paraId="69C6A2B1">
      <w:pPr>
        <w:shd w:val="clear"/>
        <w:ind w:firstLine="480" w:firstLineChars="200"/>
        <w:rPr>
          <w:rFonts w:hint="default"/>
          <w:highlight w:val="none"/>
          <w:lang w:val="en-US" w:eastAsia="zh-CN"/>
        </w:rPr>
      </w:pPr>
      <w:r>
        <w:rPr>
          <w:rFonts w:hint="default"/>
          <w:highlight w:val="none"/>
          <w:lang w:val="en-US" w:eastAsia="zh-CN"/>
        </w:rPr>
        <w:t>时效标准：</w:t>
      </w:r>
      <w:r>
        <w:rPr>
          <w:rFonts w:hint="eastAsia"/>
          <w:highlight w:val="none"/>
          <w:lang w:val="en-US" w:eastAsia="zh-CN"/>
        </w:rPr>
        <w:t>（1）</w:t>
      </w:r>
      <w:r>
        <w:rPr>
          <w:rFonts w:hint="default"/>
          <w:highlight w:val="none"/>
          <w:lang w:val="en-US" w:eastAsia="zh-CN"/>
        </w:rPr>
        <w:t>故障排查：7*24小时故障受理服务，1小时内系统恢复，8小时内故障排查处理完毕。</w:t>
      </w:r>
      <w:r>
        <w:rPr>
          <w:rFonts w:hint="eastAsia"/>
          <w:highlight w:val="none"/>
          <w:lang w:val="en-US" w:eastAsia="zh-CN"/>
        </w:rPr>
        <w:t>（2）</w:t>
      </w:r>
      <w:r>
        <w:rPr>
          <w:rFonts w:hint="default"/>
          <w:highlight w:val="none"/>
          <w:lang w:val="en-US" w:eastAsia="zh-CN"/>
        </w:rPr>
        <w:t>现场服务：现场服务响应需4小时内到达。</w:t>
      </w:r>
      <w:r>
        <w:rPr>
          <w:rFonts w:hint="eastAsia"/>
          <w:highlight w:val="none"/>
          <w:lang w:val="en-US" w:eastAsia="zh-CN"/>
        </w:rPr>
        <w:t>（3）</w:t>
      </w:r>
      <w:r>
        <w:rPr>
          <w:rFonts w:hint="default"/>
          <w:highlight w:val="none"/>
          <w:lang w:val="en-US" w:eastAsia="zh-CN"/>
        </w:rPr>
        <w:t>远程服务：需提供5*8小时远程服务。</w:t>
      </w:r>
      <w:r>
        <w:rPr>
          <w:rFonts w:hint="eastAsia"/>
          <w:highlight w:val="none"/>
          <w:lang w:val="en-US" w:eastAsia="zh-CN"/>
        </w:rPr>
        <w:t>（4）</w:t>
      </w:r>
      <w:r>
        <w:rPr>
          <w:rFonts w:hint="default"/>
          <w:highlight w:val="none"/>
          <w:lang w:val="en-US" w:eastAsia="zh-CN"/>
        </w:rPr>
        <w:t>需求开发：一般性业务系统新需求开发响应及完成时间不超过5个工作日，重大需求完成时间不得超过10个工作日。</w:t>
      </w:r>
    </w:p>
    <w:p w14:paraId="50530B56">
      <w:pPr>
        <w:pStyle w:val="3"/>
        <w:keepNext/>
        <w:keepLines/>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eastAsia="宋体" w:asciiTheme="minorAscii" w:hAnsiTheme="minorAscii"/>
          <w:bCs w:val="0"/>
          <w:sz w:val="24"/>
          <w:szCs w:val="24"/>
          <w:highlight w:val="none"/>
          <w:lang w:val="en-US" w:eastAsia="zh-CN"/>
        </w:rPr>
      </w:pPr>
      <w:r>
        <w:rPr>
          <w:rFonts w:hint="eastAsia" w:eastAsia="宋体" w:asciiTheme="minorAscii" w:hAnsiTheme="minorAscii"/>
          <w:bCs w:val="0"/>
          <w:sz w:val="24"/>
          <w:szCs w:val="24"/>
          <w:highlight w:val="none"/>
          <w:lang w:val="en-US" w:eastAsia="zh-CN"/>
        </w:rPr>
        <w:t>（三）接口要求</w:t>
      </w:r>
    </w:p>
    <w:p w14:paraId="31AF5AD0">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kern w:val="0"/>
          <w:sz w:val="24"/>
          <w:szCs w:val="24"/>
          <w:lang w:val="en-US" w:eastAsia="zh-CN"/>
        </w:rPr>
      </w:pPr>
      <w:r>
        <w:rPr>
          <w:rFonts w:hint="default"/>
          <w:highlight w:val="none"/>
          <w:lang w:val="en-US" w:eastAsia="zh-CN"/>
        </w:rPr>
        <w:t>未经甲方书面许可，严禁乙方私自对外提供数据或者提供相关数据接口，经甲方授权的，不得以任何理由收取任何费用。如乙方违反本约定，甲方有权解除合同，并追究乙方违约责任。</w:t>
      </w:r>
    </w:p>
    <w:bookmarkEnd w:id="448"/>
    <w:bookmarkEnd w:id="449"/>
    <w:p w14:paraId="0422D60E">
      <w:pPr>
        <w:pStyle w:val="3"/>
        <w:bidi w:val="0"/>
        <w:jc w:val="center"/>
        <w:rPr>
          <w:rFonts w:hint="eastAsia" w:ascii="宋体" w:hAnsi="宋体" w:eastAsia="宋体" w:cs="宋体"/>
          <w:lang w:val="en-US" w:eastAsia="zh-CN"/>
        </w:rPr>
        <w:sectPr>
          <w:pgSz w:w="11906" w:h="16838"/>
          <w:pgMar w:top="1440" w:right="1800" w:bottom="1440" w:left="1800" w:header="851" w:footer="765" w:gutter="0"/>
          <w:pgBorders>
            <w:top w:val="none" w:sz="0" w:space="0"/>
            <w:left w:val="none" w:sz="0" w:space="0"/>
            <w:bottom w:val="none" w:sz="0" w:space="0"/>
            <w:right w:val="none" w:sz="0" w:space="0"/>
          </w:pgBorders>
          <w:pgNumType w:fmt="numberInDash"/>
          <w:cols w:space="0" w:num="1"/>
          <w:rtlGutter w:val="0"/>
          <w:docGrid w:type="lines" w:linePitch="312" w:charSpace="0"/>
        </w:sectPr>
      </w:pPr>
      <w:bookmarkStart w:id="502" w:name="_Toc155185895"/>
      <w:bookmarkStart w:id="503" w:name="_Toc16371"/>
      <w:bookmarkStart w:id="504" w:name="_Toc9106"/>
      <w:bookmarkStart w:id="505" w:name="_Toc17715"/>
    </w:p>
    <w:p w14:paraId="11B227F7">
      <w:pPr>
        <w:pStyle w:val="3"/>
        <w:bidi w:val="0"/>
        <w:jc w:val="center"/>
        <w:rPr>
          <w:rFonts w:hint="eastAsia" w:ascii="宋体" w:hAnsi="宋体" w:eastAsia="宋体" w:cs="宋体"/>
          <w:lang w:val="en-US" w:eastAsia="zh-CN"/>
        </w:rPr>
      </w:pPr>
      <w:r>
        <w:rPr>
          <w:rFonts w:hint="eastAsia" w:ascii="宋体" w:hAnsi="宋体" w:eastAsia="宋体" w:cs="宋体"/>
          <w:lang w:val="en-US" w:eastAsia="zh-CN"/>
        </w:rPr>
        <w:t>第四章 资格审查</w:t>
      </w:r>
      <w:bookmarkEnd w:id="502"/>
      <w:bookmarkEnd w:id="503"/>
      <w:bookmarkEnd w:id="504"/>
      <w:bookmarkEnd w:id="505"/>
    </w:p>
    <w:p w14:paraId="213313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506" w:name="_Toc31801"/>
      <w:r>
        <w:rPr>
          <w:rFonts w:hint="eastAsia"/>
          <w:color w:val="auto"/>
          <w:sz w:val="28"/>
          <w:szCs w:val="28"/>
          <w:highlight w:val="none"/>
          <w:lang w:val="en-US" w:eastAsia="zh-CN"/>
        </w:rPr>
        <w:t>一、资格审查程序</w:t>
      </w:r>
      <w:bookmarkEnd w:id="506"/>
      <w:r>
        <w:rPr>
          <w:rFonts w:hint="eastAsia"/>
          <w:color w:val="auto"/>
          <w:sz w:val="28"/>
          <w:szCs w:val="28"/>
          <w:highlight w:val="none"/>
          <w:lang w:val="en-US" w:eastAsia="zh-CN"/>
        </w:rPr>
        <w:t xml:space="preserve"> </w:t>
      </w:r>
    </w:p>
    <w:p w14:paraId="4E4090D3">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 xml:space="preserve">家的，不进行评标。 </w:t>
      </w:r>
    </w:p>
    <w:p w14:paraId="1720E868">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507" w:name="_Toc19754"/>
      <w:r>
        <w:rPr>
          <w:rFonts w:hint="eastAsia"/>
          <w:color w:val="auto"/>
          <w:sz w:val="28"/>
          <w:szCs w:val="28"/>
          <w:highlight w:val="none"/>
          <w:lang w:val="en-US" w:eastAsia="zh-CN"/>
        </w:rPr>
        <w:t>二、资格审查要求</w:t>
      </w:r>
      <w:bookmarkEnd w:id="507"/>
      <w:r>
        <w:rPr>
          <w:rFonts w:hint="eastAsia"/>
          <w:color w:val="auto"/>
          <w:sz w:val="28"/>
          <w:szCs w:val="28"/>
          <w:highlight w:val="none"/>
          <w:lang w:val="en-US" w:eastAsia="zh-CN"/>
        </w:rPr>
        <w:t xml:space="preserve"> </w:t>
      </w:r>
    </w:p>
    <w:tbl>
      <w:tblPr>
        <w:tblStyle w:val="32"/>
        <w:tblW w:w="10890"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45"/>
        <w:gridCol w:w="6885"/>
        <w:gridCol w:w="450"/>
        <w:gridCol w:w="495"/>
        <w:gridCol w:w="510"/>
      </w:tblGrid>
      <w:tr w14:paraId="488B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5" w:type="dxa"/>
            <w:vMerge w:val="restart"/>
            <w:noWrap w:val="0"/>
            <w:vAlign w:val="center"/>
          </w:tcPr>
          <w:p w14:paraId="25BA5661">
            <w:pPr>
              <w:spacing w:line="360" w:lineRule="auto"/>
              <w:jc w:val="center"/>
              <w:rPr>
                <w:rFonts w:hint="eastAsia" w:ascii="宋体" w:hAnsi="宋体" w:cs="仿宋"/>
                <w:b/>
                <w:spacing w:val="-2"/>
                <w:sz w:val="24"/>
              </w:rPr>
            </w:pPr>
            <w:r>
              <w:rPr>
                <w:rFonts w:hint="eastAsia" w:ascii="宋体" w:hAnsi="宋体" w:cs="仿宋"/>
                <w:b/>
                <w:spacing w:val="-2"/>
                <w:sz w:val="24"/>
              </w:rPr>
              <w:t>序号</w:t>
            </w:r>
          </w:p>
        </w:tc>
        <w:tc>
          <w:tcPr>
            <w:tcW w:w="1845" w:type="dxa"/>
            <w:vMerge w:val="restart"/>
            <w:noWrap w:val="0"/>
            <w:vAlign w:val="center"/>
          </w:tcPr>
          <w:p w14:paraId="1F60459C">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6885" w:type="dxa"/>
            <w:vMerge w:val="restart"/>
            <w:noWrap w:val="0"/>
            <w:vAlign w:val="center"/>
          </w:tcPr>
          <w:p w14:paraId="68159111">
            <w:pPr>
              <w:spacing w:line="360" w:lineRule="auto"/>
              <w:jc w:val="center"/>
              <w:rPr>
                <w:rFonts w:hint="eastAsia" w:ascii="宋体" w:hAnsi="宋体" w:cs="仿宋"/>
                <w:b/>
                <w:spacing w:val="-2"/>
                <w:sz w:val="24"/>
              </w:rPr>
            </w:pPr>
            <w:r>
              <w:rPr>
                <w:rFonts w:hint="eastAsia" w:ascii="宋体" w:hAnsi="宋体" w:cs="仿宋"/>
                <w:b/>
                <w:spacing w:val="-2"/>
                <w:sz w:val="24"/>
              </w:rPr>
              <w:t>评审合格标准</w:t>
            </w:r>
          </w:p>
        </w:tc>
        <w:tc>
          <w:tcPr>
            <w:tcW w:w="1455" w:type="dxa"/>
            <w:gridSpan w:val="3"/>
            <w:noWrap w:val="0"/>
            <w:vAlign w:val="bottom"/>
          </w:tcPr>
          <w:p w14:paraId="405A68D6">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27E5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771A7EB0">
            <w:pPr>
              <w:spacing w:line="360" w:lineRule="auto"/>
              <w:jc w:val="center"/>
              <w:rPr>
                <w:rFonts w:hint="eastAsia" w:ascii="宋体" w:hAnsi="宋体" w:cs="仿宋"/>
                <w:b/>
                <w:spacing w:val="-2"/>
                <w:sz w:val="24"/>
              </w:rPr>
            </w:pPr>
          </w:p>
        </w:tc>
        <w:tc>
          <w:tcPr>
            <w:tcW w:w="1845" w:type="dxa"/>
            <w:vMerge w:val="continue"/>
            <w:noWrap w:val="0"/>
            <w:vAlign w:val="bottom"/>
          </w:tcPr>
          <w:p w14:paraId="2F65DDA9">
            <w:pPr>
              <w:spacing w:line="360" w:lineRule="auto"/>
              <w:jc w:val="center"/>
              <w:rPr>
                <w:rFonts w:hint="eastAsia" w:ascii="宋体" w:hAnsi="宋体" w:cs="仿宋"/>
                <w:b/>
                <w:spacing w:val="-2"/>
                <w:sz w:val="24"/>
              </w:rPr>
            </w:pPr>
          </w:p>
        </w:tc>
        <w:tc>
          <w:tcPr>
            <w:tcW w:w="6885" w:type="dxa"/>
            <w:vMerge w:val="continue"/>
            <w:noWrap w:val="0"/>
            <w:vAlign w:val="bottom"/>
          </w:tcPr>
          <w:p w14:paraId="083CF0C9">
            <w:pPr>
              <w:spacing w:line="360" w:lineRule="auto"/>
              <w:jc w:val="center"/>
              <w:rPr>
                <w:rFonts w:hint="eastAsia" w:ascii="宋体" w:hAnsi="宋体" w:cs="仿宋"/>
                <w:b/>
                <w:spacing w:val="-2"/>
                <w:sz w:val="24"/>
              </w:rPr>
            </w:pPr>
          </w:p>
        </w:tc>
        <w:tc>
          <w:tcPr>
            <w:tcW w:w="450" w:type="dxa"/>
            <w:noWrap w:val="0"/>
            <w:vAlign w:val="bottom"/>
          </w:tcPr>
          <w:p w14:paraId="0E220532">
            <w:pPr>
              <w:spacing w:line="360" w:lineRule="auto"/>
              <w:jc w:val="center"/>
              <w:rPr>
                <w:rFonts w:hint="eastAsia" w:ascii="宋体" w:hAnsi="宋体" w:cs="仿宋"/>
                <w:b/>
                <w:spacing w:val="-2"/>
                <w:sz w:val="24"/>
              </w:rPr>
            </w:pPr>
          </w:p>
        </w:tc>
        <w:tc>
          <w:tcPr>
            <w:tcW w:w="495" w:type="dxa"/>
            <w:noWrap w:val="0"/>
            <w:vAlign w:val="top"/>
          </w:tcPr>
          <w:p w14:paraId="29852A39">
            <w:pPr>
              <w:spacing w:line="360" w:lineRule="auto"/>
              <w:jc w:val="center"/>
              <w:rPr>
                <w:rFonts w:hint="eastAsia" w:ascii="宋体" w:hAnsi="宋体" w:cs="仿宋"/>
                <w:b/>
                <w:spacing w:val="-2"/>
                <w:sz w:val="24"/>
              </w:rPr>
            </w:pPr>
          </w:p>
        </w:tc>
        <w:tc>
          <w:tcPr>
            <w:tcW w:w="510" w:type="dxa"/>
            <w:noWrap w:val="0"/>
            <w:vAlign w:val="top"/>
          </w:tcPr>
          <w:p w14:paraId="0A4B895B">
            <w:pPr>
              <w:spacing w:line="360" w:lineRule="auto"/>
              <w:jc w:val="center"/>
              <w:rPr>
                <w:rFonts w:hint="eastAsia" w:ascii="宋体" w:hAnsi="宋体" w:cs="仿宋"/>
                <w:b/>
                <w:spacing w:val="-2"/>
                <w:sz w:val="24"/>
              </w:rPr>
            </w:pPr>
          </w:p>
        </w:tc>
      </w:tr>
      <w:tr w14:paraId="297E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14C0C32C">
            <w:pPr>
              <w:spacing w:line="360" w:lineRule="auto"/>
              <w:jc w:val="center"/>
              <w:rPr>
                <w:rFonts w:hint="eastAsia" w:ascii="宋体" w:hAnsi="宋体" w:cs="仿宋"/>
                <w:spacing w:val="-2"/>
                <w:sz w:val="24"/>
              </w:rPr>
            </w:pPr>
            <w:r>
              <w:rPr>
                <w:rFonts w:hint="eastAsia" w:ascii="宋体" w:hAnsi="宋体" w:cs="仿宋"/>
                <w:spacing w:val="-2"/>
                <w:sz w:val="24"/>
              </w:rPr>
              <w:t>1</w:t>
            </w:r>
          </w:p>
        </w:tc>
        <w:tc>
          <w:tcPr>
            <w:tcW w:w="1845" w:type="dxa"/>
            <w:noWrap w:val="0"/>
            <w:vAlign w:val="center"/>
          </w:tcPr>
          <w:p w14:paraId="7BB3AAA2">
            <w:pPr>
              <w:spacing w:line="360" w:lineRule="auto"/>
              <w:jc w:val="center"/>
              <w:rPr>
                <w:rFonts w:hint="eastAsia" w:ascii="宋体" w:hAnsi="宋体" w:cs="仿宋"/>
                <w:spacing w:val="-2"/>
                <w:sz w:val="24"/>
              </w:rPr>
            </w:pPr>
            <w:r>
              <w:rPr>
                <w:rFonts w:ascii="宋体" w:hAnsi="宋体" w:cs="仿宋"/>
                <w:sz w:val="24"/>
              </w:rPr>
              <w:t>营业执照等证明</w:t>
            </w:r>
          </w:p>
        </w:tc>
        <w:tc>
          <w:tcPr>
            <w:tcW w:w="6885" w:type="dxa"/>
            <w:noWrap w:val="0"/>
            <w:vAlign w:val="top"/>
          </w:tcPr>
          <w:p w14:paraId="66A56943">
            <w:pPr>
              <w:spacing w:line="360" w:lineRule="auto"/>
              <w:jc w:val="left"/>
              <w:rPr>
                <w:rFonts w:hint="eastAsia" w:ascii="宋体" w:hAnsi="宋体" w:cs="仿宋"/>
                <w:spacing w:val="-2"/>
                <w:sz w:val="24"/>
              </w:rPr>
            </w:pPr>
            <w:r>
              <w:rPr>
                <w:rFonts w:hint="eastAsia" w:ascii="宋体" w:hAnsi="宋体" w:cs="仿宋"/>
                <w:spacing w:val="-2"/>
                <w:sz w:val="24"/>
                <w:lang w:val="en-US" w:eastAsia="zh-CN"/>
              </w:rPr>
              <w:t>投标人为企业（包括合伙企业）的，应提供有效的“营业执照”；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投标人为事业单位的，应供有效的“事业单位法人证书”；</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投标人是非企业机构的，应供有效的“执业许可证”、“登记证书”等证明文件；</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投标人是个体工商户的，应供有效的“个体工商户营业执照”；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投标人是自然人的，应供有效的自然人身份证明。</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50" w:type="dxa"/>
            <w:noWrap w:val="0"/>
            <w:vAlign w:val="top"/>
          </w:tcPr>
          <w:p w14:paraId="7FA5116B">
            <w:pPr>
              <w:spacing w:line="360" w:lineRule="auto"/>
              <w:jc w:val="left"/>
              <w:rPr>
                <w:rFonts w:hint="eastAsia" w:ascii="宋体" w:hAnsi="宋体" w:cs="仿宋"/>
                <w:spacing w:val="-2"/>
                <w:sz w:val="24"/>
              </w:rPr>
            </w:pPr>
          </w:p>
        </w:tc>
        <w:tc>
          <w:tcPr>
            <w:tcW w:w="495" w:type="dxa"/>
            <w:noWrap w:val="0"/>
            <w:vAlign w:val="top"/>
          </w:tcPr>
          <w:p w14:paraId="57FBE00B">
            <w:pPr>
              <w:spacing w:line="360" w:lineRule="auto"/>
              <w:jc w:val="left"/>
              <w:rPr>
                <w:rFonts w:hint="eastAsia" w:ascii="宋体" w:hAnsi="宋体" w:cs="仿宋"/>
                <w:spacing w:val="-2"/>
                <w:sz w:val="24"/>
              </w:rPr>
            </w:pPr>
          </w:p>
        </w:tc>
        <w:tc>
          <w:tcPr>
            <w:tcW w:w="510" w:type="dxa"/>
            <w:noWrap w:val="0"/>
            <w:vAlign w:val="top"/>
          </w:tcPr>
          <w:p w14:paraId="2C7677FE">
            <w:pPr>
              <w:spacing w:line="360" w:lineRule="auto"/>
              <w:jc w:val="left"/>
              <w:rPr>
                <w:rFonts w:hint="eastAsia" w:ascii="宋体" w:hAnsi="宋体" w:cs="仿宋"/>
                <w:spacing w:val="-2"/>
                <w:sz w:val="24"/>
              </w:rPr>
            </w:pPr>
          </w:p>
        </w:tc>
      </w:tr>
      <w:tr w14:paraId="356D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5" w:type="dxa"/>
            <w:noWrap w:val="0"/>
            <w:vAlign w:val="center"/>
          </w:tcPr>
          <w:p w14:paraId="50341869">
            <w:pPr>
              <w:spacing w:line="360" w:lineRule="auto"/>
              <w:jc w:val="center"/>
              <w:rPr>
                <w:rFonts w:hint="eastAsia" w:ascii="宋体" w:hAnsi="宋体" w:cs="仿宋"/>
                <w:spacing w:val="-2"/>
                <w:sz w:val="24"/>
              </w:rPr>
            </w:pPr>
            <w:r>
              <w:rPr>
                <w:rFonts w:hint="eastAsia" w:ascii="宋体" w:hAnsi="宋体" w:cs="仿宋"/>
                <w:spacing w:val="-2"/>
                <w:sz w:val="24"/>
              </w:rPr>
              <w:t>2</w:t>
            </w:r>
          </w:p>
        </w:tc>
        <w:tc>
          <w:tcPr>
            <w:tcW w:w="1845" w:type="dxa"/>
            <w:noWrap w:val="0"/>
            <w:vAlign w:val="center"/>
          </w:tcPr>
          <w:p w14:paraId="799F7420">
            <w:pPr>
              <w:spacing w:line="360" w:lineRule="auto"/>
              <w:jc w:val="center"/>
              <w:rPr>
                <w:rFonts w:hint="eastAsia" w:ascii="宋体" w:hAnsi="宋体" w:cs="仿宋"/>
                <w:sz w:val="24"/>
              </w:rPr>
            </w:pPr>
            <w:r>
              <w:rPr>
                <w:rFonts w:hint="eastAsia" w:ascii="宋体" w:hAnsi="宋体" w:cs="仿宋"/>
                <w:sz w:val="24"/>
              </w:rPr>
              <w:t>法定代表人身份证明书及</w:t>
            </w:r>
            <w:r>
              <w:rPr>
                <w:rFonts w:ascii="宋体" w:hAnsi="宋体" w:cs="仿宋"/>
                <w:sz w:val="24"/>
              </w:rPr>
              <w:t>法定代表人授权书</w:t>
            </w:r>
          </w:p>
        </w:tc>
        <w:tc>
          <w:tcPr>
            <w:tcW w:w="6885" w:type="dxa"/>
            <w:noWrap w:val="0"/>
            <w:vAlign w:val="top"/>
          </w:tcPr>
          <w:p w14:paraId="36D4E828">
            <w:pPr>
              <w:spacing w:line="360" w:lineRule="auto"/>
              <w:jc w:val="left"/>
              <w:rPr>
                <w:rFonts w:ascii="宋体" w:hAnsi="宋体" w:cs="仿宋"/>
                <w:spacing w:val="-2"/>
                <w:sz w:val="24"/>
              </w:rPr>
            </w:pPr>
            <w:r>
              <w:rPr>
                <w:rFonts w:hint="eastAsia" w:ascii="宋体" w:hAnsi="宋体" w:cs="仿宋"/>
                <w:spacing w:val="-2"/>
                <w:sz w:val="24"/>
              </w:rPr>
              <w:t>（1）</w:t>
            </w:r>
            <w:r>
              <w:rPr>
                <w:rFonts w:ascii="宋体" w:hAnsi="宋体" w:cs="仿宋"/>
                <w:spacing w:val="-2"/>
                <w:sz w:val="24"/>
              </w:rPr>
              <w:t>按</w:t>
            </w:r>
            <w:r>
              <w:rPr>
                <w:rFonts w:hint="eastAsia" w:ascii="宋体" w:hAnsi="宋体" w:cs="仿宋"/>
                <w:spacing w:val="-2"/>
                <w:sz w:val="24"/>
                <w:lang w:val="en-US" w:eastAsia="zh-CN"/>
              </w:rPr>
              <w:t>招标</w:t>
            </w:r>
            <w:r>
              <w:rPr>
                <w:rFonts w:ascii="宋体" w:hAnsi="宋体" w:cs="仿宋"/>
                <w:spacing w:val="-2"/>
                <w:sz w:val="24"/>
              </w:rPr>
              <w:t>文件规定的格式填写、签署和盖章；</w:t>
            </w:r>
          </w:p>
          <w:p w14:paraId="3CD27199">
            <w:pPr>
              <w:spacing w:line="360" w:lineRule="auto"/>
              <w:jc w:val="left"/>
              <w:rPr>
                <w:rFonts w:hint="eastAsia" w:ascii="宋体" w:hAnsi="宋体" w:cs="仿宋"/>
                <w:spacing w:val="-2"/>
                <w:sz w:val="24"/>
              </w:rPr>
            </w:pPr>
            <w:r>
              <w:rPr>
                <w:rFonts w:hint="eastAsia" w:ascii="宋体" w:hAnsi="宋体" w:cs="仿宋"/>
                <w:spacing w:val="-2"/>
                <w:sz w:val="24"/>
              </w:rPr>
              <w:t>（2）法定代表人身份证明书附完整的</w:t>
            </w:r>
            <w:r>
              <w:rPr>
                <w:rFonts w:ascii="宋体" w:hAnsi="宋体" w:cs="仿宋"/>
                <w:spacing w:val="-2"/>
                <w:sz w:val="24"/>
              </w:rPr>
              <w:t>法定代表人身份证复印件</w:t>
            </w:r>
            <w:r>
              <w:rPr>
                <w:rFonts w:hint="eastAsia" w:ascii="宋体" w:hAnsi="宋体" w:cs="仿宋"/>
                <w:spacing w:val="-2"/>
                <w:sz w:val="24"/>
              </w:rPr>
              <w:t>，并</w:t>
            </w:r>
            <w:r>
              <w:rPr>
                <w:rFonts w:ascii="宋体" w:hAnsi="宋体" w:cs="仿宋"/>
                <w:spacing w:val="-2"/>
                <w:sz w:val="24"/>
              </w:rPr>
              <w:t>加盖公章</w:t>
            </w:r>
            <w:r>
              <w:rPr>
                <w:rFonts w:hint="eastAsia" w:ascii="宋体" w:hAnsi="宋体" w:cs="仿宋"/>
                <w:spacing w:val="-2"/>
                <w:sz w:val="24"/>
              </w:rPr>
              <w:t>；</w:t>
            </w:r>
          </w:p>
          <w:p w14:paraId="40ACA96C">
            <w:pPr>
              <w:spacing w:line="360" w:lineRule="auto"/>
              <w:jc w:val="left"/>
              <w:rPr>
                <w:rFonts w:hint="eastAsia" w:ascii="宋体" w:hAnsi="宋体" w:cs="仿宋"/>
                <w:spacing w:val="-2"/>
                <w:sz w:val="24"/>
              </w:rPr>
            </w:pPr>
            <w:r>
              <w:rPr>
                <w:rFonts w:hint="eastAsia" w:ascii="宋体" w:hAnsi="宋体" w:cs="仿宋"/>
                <w:spacing w:val="-2"/>
                <w:sz w:val="24"/>
              </w:rPr>
              <w:t>（3）法定代表人授权委托书</w:t>
            </w:r>
            <w:r>
              <w:rPr>
                <w:rFonts w:ascii="宋体" w:hAnsi="宋体" w:cs="仿宋"/>
                <w:spacing w:val="-2"/>
                <w:sz w:val="24"/>
              </w:rPr>
              <w:t>附完整的法定代表人身份证复印件、被授权人身份证复印件，</w:t>
            </w:r>
            <w:r>
              <w:rPr>
                <w:rFonts w:hint="eastAsia" w:ascii="宋体" w:hAnsi="宋体" w:cs="仿宋"/>
                <w:spacing w:val="-2"/>
                <w:sz w:val="24"/>
              </w:rPr>
              <w:t>并</w:t>
            </w:r>
            <w:r>
              <w:rPr>
                <w:rFonts w:ascii="宋体" w:hAnsi="宋体" w:cs="仿宋"/>
                <w:spacing w:val="-2"/>
                <w:sz w:val="24"/>
              </w:rPr>
              <w:t>加盖公章；</w:t>
            </w:r>
          </w:p>
        </w:tc>
        <w:tc>
          <w:tcPr>
            <w:tcW w:w="450" w:type="dxa"/>
            <w:noWrap w:val="0"/>
            <w:vAlign w:val="top"/>
          </w:tcPr>
          <w:p w14:paraId="71CCDF16">
            <w:pPr>
              <w:spacing w:line="360" w:lineRule="auto"/>
              <w:jc w:val="left"/>
              <w:rPr>
                <w:rFonts w:hint="eastAsia" w:ascii="宋体" w:hAnsi="宋体" w:cs="仿宋"/>
                <w:spacing w:val="-2"/>
                <w:sz w:val="24"/>
              </w:rPr>
            </w:pPr>
          </w:p>
        </w:tc>
        <w:tc>
          <w:tcPr>
            <w:tcW w:w="495" w:type="dxa"/>
            <w:noWrap w:val="0"/>
            <w:vAlign w:val="top"/>
          </w:tcPr>
          <w:p w14:paraId="11F466B1">
            <w:pPr>
              <w:spacing w:line="360" w:lineRule="auto"/>
              <w:jc w:val="left"/>
              <w:rPr>
                <w:rFonts w:hint="eastAsia" w:ascii="宋体" w:hAnsi="宋体" w:cs="仿宋"/>
                <w:spacing w:val="-2"/>
                <w:sz w:val="24"/>
              </w:rPr>
            </w:pPr>
          </w:p>
        </w:tc>
        <w:tc>
          <w:tcPr>
            <w:tcW w:w="510" w:type="dxa"/>
            <w:noWrap w:val="0"/>
            <w:vAlign w:val="top"/>
          </w:tcPr>
          <w:p w14:paraId="740C9DFA">
            <w:pPr>
              <w:spacing w:line="360" w:lineRule="auto"/>
              <w:jc w:val="left"/>
              <w:rPr>
                <w:rFonts w:hint="eastAsia" w:ascii="宋体" w:hAnsi="宋体" w:cs="仿宋"/>
                <w:spacing w:val="-2"/>
                <w:sz w:val="24"/>
              </w:rPr>
            </w:pPr>
          </w:p>
        </w:tc>
      </w:tr>
      <w:tr w14:paraId="4B3B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05" w:type="dxa"/>
            <w:noWrap w:val="0"/>
            <w:vAlign w:val="center"/>
          </w:tcPr>
          <w:p w14:paraId="6C05BFBD">
            <w:pPr>
              <w:spacing w:line="360" w:lineRule="auto"/>
              <w:jc w:val="center"/>
              <w:rPr>
                <w:rFonts w:hint="eastAsia" w:ascii="宋体" w:hAnsi="宋体" w:cs="仿宋"/>
                <w:spacing w:val="-2"/>
                <w:sz w:val="24"/>
              </w:rPr>
            </w:pPr>
            <w:r>
              <w:rPr>
                <w:rFonts w:hint="eastAsia" w:ascii="宋体" w:hAnsi="宋体" w:cs="仿宋"/>
                <w:spacing w:val="-2"/>
                <w:sz w:val="24"/>
              </w:rPr>
              <w:t>3</w:t>
            </w:r>
          </w:p>
        </w:tc>
        <w:tc>
          <w:tcPr>
            <w:tcW w:w="1845" w:type="dxa"/>
            <w:noWrap w:val="0"/>
            <w:vAlign w:val="center"/>
          </w:tcPr>
          <w:p w14:paraId="6FD3B444">
            <w:pPr>
              <w:spacing w:line="360" w:lineRule="auto"/>
              <w:jc w:val="center"/>
              <w:rPr>
                <w:rFonts w:hint="eastAsia" w:ascii="宋体" w:hAnsi="宋体" w:cs="仿宋"/>
                <w:spacing w:val="-2"/>
                <w:sz w:val="24"/>
              </w:rPr>
            </w:pPr>
            <w:r>
              <w:rPr>
                <w:rFonts w:hint="eastAsia" w:ascii="宋体" w:hAnsi="宋体" w:cs="仿宋"/>
                <w:sz w:val="24"/>
              </w:rPr>
              <w:t>具有良好的商业信誉和健全的财务会计制度</w:t>
            </w:r>
          </w:p>
        </w:tc>
        <w:tc>
          <w:tcPr>
            <w:tcW w:w="6885" w:type="dxa"/>
            <w:noWrap w:val="0"/>
            <w:vAlign w:val="top"/>
          </w:tcPr>
          <w:p w14:paraId="15BEA7B2">
            <w:pPr>
              <w:spacing w:line="360" w:lineRule="auto"/>
              <w:jc w:val="left"/>
              <w:rPr>
                <w:rFonts w:ascii="宋体" w:hAnsi="宋体" w:cs="仿宋"/>
                <w:spacing w:val="-2"/>
                <w:sz w:val="24"/>
              </w:rPr>
            </w:pPr>
            <w:r>
              <w:rPr>
                <w:rFonts w:ascii="宋体" w:hAnsi="宋体" w:cs="仿宋"/>
                <w:spacing w:val="-2"/>
                <w:sz w:val="24"/>
              </w:rPr>
              <w:t>（1）提供</w:t>
            </w:r>
            <w:r>
              <w:rPr>
                <w:rFonts w:hint="eastAsia" w:ascii="宋体" w:hAnsi="宋体" w:cs="宋体"/>
                <w:sz w:val="24"/>
                <w:lang w:eastAsia="zh-CN"/>
              </w:rPr>
              <w:t>202</w:t>
            </w:r>
            <w:r>
              <w:rPr>
                <w:rFonts w:hint="eastAsia" w:cs="宋体"/>
                <w:sz w:val="24"/>
                <w:lang w:val="en-US" w:eastAsia="zh-CN"/>
              </w:rPr>
              <w:t>3</w:t>
            </w:r>
            <w:r>
              <w:rPr>
                <w:rFonts w:hint="eastAsia" w:ascii="宋体" w:hAnsi="宋体" w:cs="宋体"/>
                <w:sz w:val="24"/>
                <w:lang w:eastAsia="zh-CN"/>
              </w:rPr>
              <w:t>年度</w:t>
            </w:r>
            <w:r>
              <w:rPr>
                <w:rFonts w:hint="eastAsia" w:cs="宋体"/>
                <w:sz w:val="24"/>
                <w:lang w:val="en-US" w:eastAsia="zh-CN"/>
              </w:rPr>
              <w:t>或2024年</w:t>
            </w:r>
            <w:r>
              <w:rPr>
                <w:rFonts w:hint="eastAsia" w:ascii="宋体" w:hAnsi="宋体" w:cs="宋体"/>
                <w:sz w:val="24"/>
                <w:lang w:eastAsia="zh-CN"/>
              </w:rPr>
              <w:t>至今任意一年的财务</w:t>
            </w:r>
            <w:r>
              <w:rPr>
                <w:rFonts w:hint="eastAsia" w:cs="宋体"/>
                <w:sz w:val="24"/>
                <w:lang w:val="en-US" w:eastAsia="zh-CN"/>
              </w:rPr>
              <w:t>审计</w:t>
            </w:r>
            <w:r>
              <w:rPr>
                <w:rFonts w:hint="eastAsia" w:ascii="宋体" w:hAnsi="宋体" w:cs="宋体"/>
                <w:sz w:val="24"/>
                <w:lang w:eastAsia="zh-CN"/>
              </w:rPr>
              <w:t>报告或财务报表或银行出具的资信证明</w:t>
            </w:r>
            <w:r>
              <w:rPr>
                <w:rFonts w:hint="eastAsia" w:ascii="宋体" w:hAnsi="宋体" w:cs="仿宋"/>
                <w:spacing w:val="-2"/>
                <w:sz w:val="24"/>
              </w:rPr>
              <w:t>；</w:t>
            </w:r>
          </w:p>
          <w:p w14:paraId="4D568E9E">
            <w:pPr>
              <w:spacing w:line="360" w:lineRule="auto"/>
              <w:jc w:val="left"/>
              <w:rPr>
                <w:rFonts w:hint="eastAsia" w:ascii="宋体" w:hAnsi="宋体" w:cs="仿宋"/>
                <w:spacing w:val="-2"/>
                <w:sz w:val="24"/>
              </w:rPr>
            </w:pPr>
            <w:r>
              <w:rPr>
                <w:rFonts w:ascii="宋体" w:hAnsi="宋体" w:cs="仿宋"/>
                <w:spacing w:val="-2"/>
                <w:sz w:val="24"/>
              </w:rPr>
              <w:t>（2）复印件加盖</w:t>
            </w:r>
            <w:r>
              <w:rPr>
                <w:rFonts w:hint="eastAsia" w:ascii="宋体" w:hAnsi="宋体" w:cs="仿宋"/>
                <w:spacing w:val="-2"/>
                <w:sz w:val="24"/>
              </w:rPr>
              <w:t>投标人</w:t>
            </w:r>
            <w:r>
              <w:rPr>
                <w:rFonts w:ascii="宋体" w:hAnsi="宋体" w:cs="仿宋"/>
                <w:spacing w:val="-2"/>
                <w:sz w:val="24"/>
              </w:rPr>
              <w:t xml:space="preserve">公章； </w:t>
            </w:r>
          </w:p>
        </w:tc>
        <w:tc>
          <w:tcPr>
            <w:tcW w:w="450" w:type="dxa"/>
            <w:noWrap w:val="0"/>
            <w:vAlign w:val="top"/>
          </w:tcPr>
          <w:p w14:paraId="1572F068">
            <w:pPr>
              <w:spacing w:line="360" w:lineRule="auto"/>
              <w:jc w:val="left"/>
              <w:rPr>
                <w:rFonts w:hint="eastAsia" w:ascii="宋体" w:hAnsi="宋体" w:cs="仿宋"/>
                <w:spacing w:val="-2"/>
                <w:sz w:val="24"/>
              </w:rPr>
            </w:pPr>
          </w:p>
        </w:tc>
        <w:tc>
          <w:tcPr>
            <w:tcW w:w="495" w:type="dxa"/>
            <w:noWrap w:val="0"/>
            <w:vAlign w:val="top"/>
          </w:tcPr>
          <w:p w14:paraId="7014463C">
            <w:pPr>
              <w:spacing w:line="360" w:lineRule="auto"/>
              <w:jc w:val="left"/>
              <w:rPr>
                <w:rFonts w:hint="eastAsia" w:ascii="宋体" w:hAnsi="宋体" w:cs="仿宋"/>
                <w:spacing w:val="-2"/>
                <w:sz w:val="24"/>
              </w:rPr>
            </w:pPr>
          </w:p>
        </w:tc>
        <w:tc>
          <w:tcPr>
            <w:tcW w:w="510" w:type="dxa"/>
            <w:noWrap w:val="0"/>
            <w:vAlign w:val="top"/>
          </w:tcPr>
          <w:p w14:paraId="3D561BC2">
            <w:pPr>
              <w:spacing w:line="360" w:lineRule="auto"/>
              <w:jc w:val="left"/>
              <w:rPr>
                <w:rFonts w:hint="eastAsia" w:ascii="宋体" w:hAnsi="宋体" w:cs="仿宋"/>
                <w:spacing w:val="-2"/>
                <w:sz w:val="24"/>
              </w:rPr>
            </w:pPr>
          </w:p>
        </w:tc>
      </w:tr>
      <w:tr w14:paraId="6252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227A7C0E">
            <w:pPr>
              <w:spacing w:line="360" w:lineRule="auto"/>
              <w:jc w:val="center"/>
              <w:rPr>
                <w:rFonts w:hint="eastAsia" w:ascii="宋体" w:hAnsi="宋体" w:cs="仿宋"/>
                <w:spacing w:val="-2"/>
                <w:sz w:val="24"/>
              </w:rPr>
            </w:pPr>
            <w:r>
              <w:rPr>
                <w:rFonts w:hint="eastAsia" w:ascii="宋体" w:hAnsi="宋体" w:cs="仿宋"/>
                <w:spacing w:val="-2"/>
                <w:sz w:val="24"/>
              </w:rPr>
              <w:t>4</w:t>
            </w:r>
          </w:p>
        </w:tc>
        <w:tc>
          <w:tcPr>
            <w:tcW w:w="1845" w:type="dxa"/>
            <w:noWrap w:val="0"/>
            <w:vAlign w:val="center"/>
          </w:tcPr>
          <w:p w14:paraId="4BDDB831">
            <w:pPr>
              <w:spacing w:line="360" w:lineRule="auto"/>
              <w:jc w:val="center"/>
              <w:rPr>
                <w:rFonts w:hint="eastAsia" w:ascii="宋体" w:hAnsi="宋体" w:cs="仿宋"/>
                <w:sz w:val="24"/>
              </w:rPr>
            </w:pPr>
            <w:r>
              <w:rPr>
                <w:rFonts w:hint="eastAsia" w:ascii="宋体" w:hAnsi="宋体" w:cs="仿宋"/>
                <w:sz w:val="24"/>
              </w:rPr>
              <w:t>具有履行合同所必需的设备和专业技术能力</w:t>
            </w:r>
          </w:p>
        </w:tc>
        <w:tc>
          <w:tcPr>
            <w:tcW w:w="6885" w:type="dxa"/>
            <w:noWrap w:val="0"/>
            <w:vAlign w:val="center"/>
          </w:tcPr>
          <w:p w14:paraId="41784BA8">
            <w:pPr>
              <w:spacing w:line="360" w:lineRule="auto"/>
              <w:jc w:val="left"/>
              <w:rPr>
                <w:rFonts w:hint="eastAsia" w:ascii="宋体" w:hAnsi="宋体" w:cs="仿宋"/>
                <w:spacing w:val="-2"/>
                <w:sz w:val="24"/>
              </w:rPr>
            </w:pPr>
            <w:r>
              <w:rPr>
                <w:rFonts w:hint="eastAsia" w:ascii="宋体" w:hAnsi="宋体" w:cs="仿宋"/>
                <w:spacing w:val="-2"/>
                <w:sz w:val="24"/>
              </w:rPr>
              <w:t>提供了可充分满足履行合同所需设备和专业技术能力的承诺（格式自拟）</w:t>
            </w:r>
          </w:p>
        </w:tc>
        <w:tc>
          <w:tcPr>
            <w:tcW w:w="450" w:type="dxa"/>
            <w:noWrap w:val="0"/>
            <w:vAlign w:val="top"/>
          </w:tcPr>
          <w:p w14:paraId="605B611A">
            <w:pPr>
              <w:spacing w:line="360" w:lineRule="auto"/>
              <w:jc w:val="left"/>
              <w:rPr>
                <w:rFonts w:hint="eastAsia" w:ascii="宋体" w:hAnsi="宋体" w:cs="仿宋"/>
                <w:spacing w:val="-2"/>
                <w:sz w:val="24"/>
              </w:rPr>
            </w:pPr>
          </w:p>
        </w:tc>
        <w:tc>
          <w:tcPr>
            <w:tcW w:w="495" w:type="dxa"/>
            <w:noWrap w:val="0"/>
            <w:vAlign w:val="top"/>
          </w:tcPr>
          <w:p w14:paraId="6D515E6C">
            <w:pPr>
              <w:spacing w:line="360" w:lineRule="auto"/>
              <w:jc w:val="left"/>
              <w:rPr>
                <w:rFonts w:hint="eastAsia" w:ascii="宋体" w:hAnsi="宋体" w:cs="仿宋"/>
                <w:spacing w:val="-2"/>
                <w:sz w:val="24"/>
              </w:rPr>
            </w:pPr>
          </w:p>
        </w:tc>
        <w:tc>
          <w:tcPr>
            <w:tcW w:w="510" w:type="dxa"/>
            <w:noWrap w:val="0"/>
            <w:vAlign w:val="top"/>
          </w:tcPr>
          <w:p w14:paraId="7E4C52B2">
            <w:pPr>
              <w:spacing w:line="360" w:lineRule="auto"/>
              <w:jc w:val="left"/>
              <w:rPr>
                <w:rFonts w:hint="eastAsia" w:ascii="宋体" w:hAnsi="宋体" w:cs="仿宋"/>
                <w:spacing w:val="-2"/>
                <w:sz w:val="24"/>
              </w:rPr>
            </w:pPr>
          </w:p>
        </w:tc>
      </w:tr>
      <w:tr w14:paraId="4578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7933BF6B">
            <w:pPr>
              <w:spacing w:line="360" w:lineRule="auto"/>
              <w:jc w:val="center"/>
              <w:rPr>
                <w:rFonts w:hint="eastAsia" w:ascii="宋体" w:hAnsi="宋体" w:cs="仿宋"/>
                <w:spacing w:val="-2"/>
                <w:sz w:val="24"/>
              </w:rPr>
            </w:pPr>
            <w:r>
              <w:rPr>
                <w:rFonts w:hint="eastAsia" w:ascii="宋体" w:hAnsi="宋体" w:cs="仿宋"/>
                <w:spacing w:val="-2"/>
                <w:sz w:val="24"/>
              </w:rPr>
              <w:t>5</w:t>
            </w:r>
          </w:p>
        </w:tc>
        <w:tc>
          <w:tcPr>
            <w:tcW w:w="1845" w:type="dxa"/>
            <w:noWrap w:val="0"/>
            <w:vAlign w:val="center"/>
          </w:tcPr>
          <w:p w14:paraId="30CBC19C">
            <w:pPr>
              <w:spacing w:line="360" w:lineRule="auto"/>
              <w:jc w:val="center"/>
              <w:rPr>
                <w:rFonts w:hint="eastAsia" w:ascii="宋体" w:hAnsi="宋体" w:cs="仿宋"/>
                <w:sz w:val="24"/>
              </w:rPr>
            </w:pPr>
            <w:r>
              <w:rPr>
                <w:rFonts w:hint="eastAsia" w:ascii="宋体" w:hAnsi="宋体" w:cs="仿宋"/>
                <w:sz w:val="24"/>
              </w:rPr>
              <w:t>有依法缴纳税收和社会保障资金的良好记录</w:t>
            </w:r>
          </w:p>
        </w:tc>
        <w:tc>
          <w:tcPr>
            <w:tcW w:w="6885" w:type="dxa"/>
            <w:noWrap w:val="0"/>
            <w:vAlign w:val="top"/>
          </w:tcPr>
          <w:p w14:paraId="58AE71C7">
            <w:pPr>
              <w:spacing w:line="360" w:lineRule="auto"/>
              <w:jc w:val="left"/>
              <w:rPr>
                <w:rFonts w:hint="eastAsia" w:ascii="宋体" w:hAnsi="宋体" w:cs="仿宋"/>
                <w:spacing w:val="-2"/>
                <w:sz w:val="24"/>
              </w:rPr>
            </w:pPr>
            <w:r>
              <w:rPr>
                <w:rFonts w:hint="eastAsia" w:ascii="宋体" w:hAnsi="宋体" w:cs="仿宋"/>
                <w:spacing w:val="-2"/>
                <w:sz w:val="24"/>
              </w:rPr>
              <w:t>（1）提供开标前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依法缴纳税收证明，证明材料可以是缴费的银行单据</w:t>
            </w:r>
            <w:r>
              <w:rPr>
                <w:rFonts w:hint="eastAsia" w:cs="仿宋"/>
                <w:spacing w:val="-2"/>
                <w:sz w:val="24"/>
                <w:lang w:eastAsia="zh-CN"/>
              </w:rPr>
              <w:t>、</w:t>
            </w:r>
            <w:r>
              <w:rPr>
                <w:rFonts w:hint="eastAsia" w:cs="仿宋"/>
                <w:spacing w:val="-2"/>
                <w:sz w:val="24"/>
                <w:lang w:val="en-US" w:eastAsia="zh-CN"/>
              </w:rPr>
              <w:t>完税证明</w:t>
            </w:r>
            <w:r>
              <w:rPr>
                <w:rFonts w:hint="eastAsia" w:ascii="宋体" w:hAnsi="宋体" w:cs="仿宋"/>
                <w:spacing w:val="-2"/>
                <w:sz w:val="24"/>
              </w:rPr>
              <w:t>等复印件并加盖公章或免缴纳证明；</w:t>
            </w:r>
          </w:p>
          <w:p w14:paraId="76DD4245">
            <w:pPr>
              <w:spacing w:line="360" w:lineRule="auto"/>
              <w:jc w:val="left"/>
              <w:rPr>
                <w:rFonts w:hint="eastAsia" w:eastAsia="仿宋"/>
              </w:rPr>
            </w:pPr>
            <w:r>
              <w:rPr>
                <w:rFonts w:hint="eastAsia" w:ascii="宋体" w:hAnsi="宋体" w:cs="仿宋"/>
                <w:spacing w:val="-2"/>
                <w:sz w:val="24"/>
              </w:rPr>
              <w:t>（2）提供开标前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依法缴纳社保证明，证明材料可以是缴费的银行单据</w:t>
            </w:r>
            <w:r>
              <w:rPr>
                <w:rFonts w:hint="eastAsia" w:cs="仿宋"/>
                <w:spacing w:val="-2"/>
                <w:sz w:val="24"/>
                <w:lang w:eastAsia="zh-CN"/>
              </w:rPr>
              <w:t>、</w:t>
            </w:r>
            <w:r>
              <w:rPr>
                <w:rFonts w:hint="eastAsia" w:cs="仿宋"/>
                <w:spacing w:val="-2"/>
                <w:sz w:val="24"/>
                <w:lang w:val="en-US" w:eastAsia="zh-CN"/>
              </w:rPr>
              <w:t>完税证明</w:t>
            </w:r>
            <w:r>
              <w:rPr>
                <w:rFonts w:hint="eastAsia" w:ascii="宋体" w:hAnsi="宋体" w:cs="仿宋"/>
                <w:spacing w:val="-2"/>
                <w:sz w:val="24"/>
              </w:rPr>
              <w:t>或社保机构开具的证明等复印件并加盖公章或免缴纳证明。</w:t>
            </w:r>
          </w:p>
        </w:tc>
        <w:tc>
          <w:tcPr>
            <w:tcW w:w="450" w:type="dxa"/>
            <w:noWrap w:val="0"/>
            <w:vAlign w:val="top"/>
          </w:tcPr>
          <w:p w14:paraId="266C723F">
            <w:pPr>
              <w:spacing w:line="360" w:lineRule="auto"/>
              <w:jc w:val="left"/>
              <w:rPr>
                <w:rFonts w:hint="eastAsia" w:ascii="宋体" w:hAnsi="宋体" w:cs="仿宋"/>
                <w:spacing w:val="-2"/>
                <w:sz w:val="24"/>
              </w:rPr>
            </w:pPr>
          </w:p>
        </w:tc>
        <w:tc>
          <w:tcPr>
            <w:tcW w:w="495" w:type="dxa"/>
            <w:noWrap w:val="0"/>
            <w:vAlign w:val="top"/>
          </w:tcPr>
          <w:p w14:paraId="49703C08">
            <w:pPr>
              <w:spacing w:line="360" w:lineRule="auto"/>
              <w:jc w:val="left"/>
              <w:rPr>
                <w:rFonts w:hint="eastAsia" w:ascii="宋体" w:hAnsi="宋体" w:cs="仿宋"/>
                <w:spacing w:val="-2"/>
                <w:sz w:val="24"/>
              </w:rPr>
            </w:pPr>
          </w:p>
        </w:tc>
        <w:tc>
          <w:tcPr>
            <w:tcW w:w="510" w:type="dxa"/>
            <w:noWrap w:val="0"/>
            <w:vAlign w:val="top"/>
          </w:tcPr>
          <w:p w14:paraId="3535196C">
            <w:pPr>
              <w:spacing w:line="360" w:lineRule="auto"/>
              <w:jc w:val="left"/>
              <w:rPr>
                <w:rFonts w:hint="eastAsia" w:ascii="宋体" w:hAnsi="宋体" w:cs="仿宋"/>
                <w:spacing w:val="-2"/>
                <w:sz w:val="24"/>
              </w:rPr>
            </w:pPr>
          </w:p>
        </w:tc>
      </w:tr>
      <w:tr w14:paraId="356C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090E8A4F">
            <w:pPr>
              <w:spacing w:line="360" w:lineRule="auto"/>
              <w:jc w:val="center"/>
              <w:rPr>
                <w:rFonts w:hint="eastAsia" w:ascii="宋体" w:hAnsi="宋体" w:cs="仿宋" w:eastAsiaTheme="minorEastAsia"/>
                <w:spacing w:val="-2"/>
                <w:sz w:val="24"/>
                <w:lang w:val="en-US" w:eastAsia="zh-CN"/>
              </w:rPr>
            </w:pPr>
            <w:r>
              <w:rPr>
                <w:rFonts w:hint="eastAsia" w:ascii="宋体" w:hAnsi="宋体" w:cs="仿宋"/>
                <w:spacing w:val="-2"/>
                <w:sz w:val="24"/>
                <w:lang w:val="en-US" w:eastAsia="zh-CN"/>
              </w:rPr>
              <w:t>6</w:t>
            </w:r>
          </w:p>
        </w:tc>
        <w:tc>
          <w:tcPr>
            <w:tcW w:w="1845" w:type="dxa"/>
            <w:noWrap w:val="0"/>
            <w:vAlign w:val="center"/>
          </w:tcPr>
          <w:p w14:paraId="6C0C6CAD">
            <w:pPr>
              <w:spacing w:line="360" w:lineRule="auto"/>
              <w:jc w:val="center"/>
              <w:rPr>
                <w:rFonts w:hint="eastAsia" w:ascii="宋体" w:hAnsi="宋体" w:cs="仿宋"/>
                <w:sz w:val="24"/>
              </w:rPr>
            </w:pPr>
            <w:r>
              <w:rPr>
                <w:rFonts w:hint="eastAsia"/>
                <w:sz w:val="24"/>
                <w:szCs w:val="32"/>
              </w:rPr>
              <w:t>反商业贿赂承诺</w:t>
            </w:r>
          </w:p>
        </w:tc>
        <w:tc>
          <w:tcPr>
            <w:tcW w:w="6885" w:type="dxa"/>
            <w:noWrap w:val="0"/>
            <w:vAlign w:val="top"/>
          </w:tcPr>
          <w:p w14:paraId="015DFB31">
            <w:pPr>
              <w:spacing w:line="360" w:lineRule="auto"/>
              <w:jc w:val="left"/>
              <w:rPr>
                <w:rFonts w:hint="eastAsia" w:ascii="宋体" w:hAnsi="宋体" w:cs="仿宋" w:eastAsiaTheme="minorEastAsia"/>
                <w:spacing w:val="-2"/>
                <w:sz w:val="24"/>
                <w:lang w:eastAsia="zh-CN"/>
              </w:rPr>
            </w:pPr>
            <w:r>
              <w:rPr>
                <w:rFonts w:hint="eastAsia"/>
                <w:sz w:val="24"/>
                <w:szCs w:val="32"/>
              </w:rPr>
              <w:t>提供针对本次项目《反商业贿赂承诺书》</w:t>
            </w:r>
            <w:r>
              <w:rPr>
                <w:rFonts w:hint="eastAsia"/>
                <w:sz w:val="24"/>
                <w:szCs w:val="32"/>
                <w:lang w:eastAsia="zh-CN"/>
              </w:rPr>
              <w:t>。</w:t>
            </w:r>
            <w:r>
              <w:rPr>
                <w:rFonts w:hint="eastAsia" w:ascii="宋体" w:hAnsi="宋体" w:cs="仿宋"/>
                <w:spacing w:val="-2"/>
                <w:sz w:val="24"/>
              </w:rPr>
              <w:t>（格式自拟）</w:t>
            </w:r>
          </w:p>
        </w:tc>
        <w:tc>
          <w:tcPr>
            <w:tcW w:w="450" w:type="dxa"/>
            <w:noWrap w:val="0"/>
            <w:vAlign w:val="top"/>
          </w:tcPr>
          <w:p w14:paraId="60D68FAC">
            <w:pPr>
              <w:spacing w:line="360" w:lineRule="auto"/>
              <w:jc w:val="left"/>
              <w:rPr>
                <w:rFonts w:hint="eastAsia" w:ascii="宋体" w:hAnsi="宋体" w:cs="仿宋"/>
                <w:spacing w:val="-2"/>
                <w:sz w:val="24"/>
              </w:rPr>
            </w:pPr>
          </w:p>
        </w:tc>
        <w:tc>
          <w:tcPr>
            <w:tcW w:w="495" w:type="dxa"/>
            <w:noWrap w:val="0"/>
            <w:vAlign w:val="top"/>
          </w:tcPr>
          <w:p w14:paraId="703CE05D">
            <w:pPr>
              <w:spacing w:line="360" w:lineRule="auto"/>
              <w:jc w:val="left"/>
              <w:rPr>
                <w:rFonts w:hint="eastAsia" w:ascii="宋体" w:hAnsi="宋体" w:cs="仿宋"/>
                <w:spacing w:val="-2"/>
                <w:sz w:val="24"/>
              </w:rPr>
            </w:pPr>
          </w:p>
        </w:tc>
        <w:tc>
          <w:tcPr>
            <w:tcW w:w="510" w:type="dxa"/>
            <w:noWrap w:val="0"/>
            <w:vAlign w:val="top"/>
          </w:tcPr>
          <w:p w14:paraId="594F34D3">
            <w:pPr>
              <w:spacing w:line="360" w:lineRule="auto"/>
              <w:jc w:val="left"/>
              <w:rPr>
                <w:rFonts w:hint="eastAsia" w:ascii="宋体" w:hAnsi="宋体" w:cs="仿宋"/>
                <w:spacing w:val="-2"/>
                <w:sz w:val="24"/>
              </w:rPr>
            </w:pPr>
          </w:p>
        </w:tc>
      </w:tr>
      <w:tr w14:paraId="439F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705" w:type="dxa"/>
            <w:noWrap w:val="0"/>
            <w:vAlign w:val="center"/>
          </w:tcPr>
          <w:p w14:paraId="1CA3649B">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7</w:t>
            </w:r>
          </w:p>
        </w:tc>
        <w:tc>
          <w:tcPr>
            <w:tcW w:w="1845" w:type="dxa"/>
            <w:noWrap w:val="0"/>
            <w:vAlign w:val="center"/>
          </w:tcPr>
          <w:p w14:paraId="4FD8CD1A">
            <w:pPr>
              <w:spacing w:line="360" w:lineRule="auto"/>
              <w:jc w:val="center"/>
              <w:rPr>
                <w:rFonts w:hint="eastAsia" w:ascii="宋体" w:hAnsi="宋体" w:cs="仿宋"/>
                <w:sz w:val="24"/>
              </w:rPr>
            </w:pPr>
            <w:r>
              <w:rPr>
                <w:rFonts w:hint="eastAsia" w:ascii="宋体" w:hAnsi="宋体" w:cs="仿宋"/>
                <w:sz w:val="24"/>
              </w:rPr>
              <w:t>投标人声明函</w:t>
            </w:r>
          </w:p>
        </w:tc>
        <w:tc>
          <w:tcPr>
            <w:tcW w:w="6885" w:type="dxa"/>
            <w:noWrap w:val="0"/>
            <w:vAlign w:val="top"/>
          </w:tcPr>
          <w:p w14:paraId="09BC2398">
            <w:pPr>
              <w:spacing w:line="360" w:lineRule="auto"/>
              <w:rPr>
                <w:rFonts w:hint="eastAsia" w:ascii="宋体" w:hAnsi="宋体" w:cs="仿宋"/>
                <w:sz w:val="24"/>
              </w:rPr>
            </w:pPr>
            <w:r>
              <w:rPr>
                <w:rFonts w:hint="eastAsia" w:ascii="宋体" w:hAnsi="宋体" w:cs="仿宋"/>
                <w:sz w:val="24"/>
              </w:rPr>
              <w:t>提供了参加政府采购活动前三年内，在经营活动中没有重大违法记录的书面声明；</w:t>
            </w:r>
          </w:p>
          <w:p w14:paraId="24D78821">
            <w:pPr>
              <w:spacing w:line="360" w:lineRule="auto"/>
              <w:rPr>
                <w:rFonts w:hint="eastAsia" w:ascii="宋体" w:hAnsi="宋体" w:cs="仿宋"/>
                <w:sz w:val="24"/>
              </w:rPr>
            </w:pPr>
            <w:r>
              <w:rPr>
                <w:rFonts w:hint="eastAsia" w:ascii="宋体" w:hAnsi="宋体" w:cs="宋体"/>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p>
        </w:tc>
        <w:tc>
          <w:tcPr>
            <w:tcW w:w="450" w:type="dxa"/>
            <w:noWrap w:val="0"/>
            <w:vAlign w:val="top"/>
          </w:tcPr>
          <w:p w14:paraId="36CCBBBD">
            <w:pPr>
              <w:spacing w:line="360" w:lineRule="auto"/>
              <w:jc w:val="left"/>
              <w:rPr>
                <w:rFonts w:hint="eastAsia" w:ascii="宋体" w:hAnsi="宋体" w:cs="仿宋"/>
                <w:spacing w:val="-2"/>
                <w:sz w:val="24"/>
              </w:rPr>
            </w:pPr>
          </w:p>
        </w:tc>
        <w:tc>
          <w:tcPr>
            <w:tcW w:w="495" w:type="dxa"/>
            <w:noWrap w:val="0"/>
            <w:vAlign w:val="top"/>
          </w:tcPr>
          <w:p w14:paraId="06F91211">
            <w:pPr>
              <w:spacing w:line="360" w:lineRule="auto"/>
              <w:jc w:val="left"/>
              <w:rPr>
                <w:rFonts w:hint="eastAsia" w:ascii="宋体" w:hAnsi="宋体" w:cs="仿宋"/>
                <w:spacing w:val="-2"/>
                <w:sz w:val="24"/>
              </w:rPr>
            </w:pPr>
          </w:p>
        </w:tc>
        <w:tc>
          <w:tcPr>
            <w:tcW w:w="510" w:type="dxa"/>
            <w:noWrap w:val="0"/>
            <w:vAlign w:val="top"/>
          </w:tcPr>
          <w:p w14:paraId="0410560A">
            <w:pPr>
              <w:spacing w:line="360" w:lineRule="auto"/>
              <w:jc w:val="left"/>
              <w:rPr>
                <w:rFonts w:hint="eastAsia" w:ascii="宋体" w:hAnsi="宋体" w:cs="仿宋"/>
                <w:spacing w:val="-2"/>
                <w:sz w:val="24"/>
              </w:rPr>
            </w:pPr>
          </w:p>
        </w:tc>
      </w:tr>
      <w:tr w14:paraId="13D7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705" w:type="dxa"/>
            <w:noWrap w:val="0"/>
            <w:vAlign w:val="center"/>
          </w:tcPr>
          <w:p w14:paraId="0A4B887C">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8</w:t>
            </w:r>
          </w:p>
        </w:tc>
        <w:tc>
          <w:tcPr>
            <w:tcW w:w="1845" w:type="dxa"/>
            <w:noWrap w:val="0"/>
            <w:vAlign w:val="center"/>
          </w:tcPr>
          <w:p w14:paraId="3E4952D6">
            <w:pPr>
              <w:spacing w:line="360" w:lineRule="auto"/>
              <w:jc w:val="center"/>
              <w:rPr>
                <w:rFonts w:hint="eastAsia" w:ascii="宋体" w:hAnsi="宋体" w:cs="仿宋"/>
                <w:sz w:val="24"/>
              </w:rPr>
            </w:pPr>
            <w:r>
              <w:rPr>
                <w:rFonts w:hint="eastAsia" w:ascii="宋体" w:hAnsi="宋体" w:cs="仿宋"/>
                <w:sz w:val="24"/>
              </w:rPr>
              <w:t>信用信息查询</w:t>
            </w:r>
          </w:p>
        </w:tc>
        <w:tc>
          <w:tcPr>
            <w:tcW w:w="6885" w:type="dxa"/>
            <w:noWrap w:val="0"/>
            <w:vAlign w:val="top"/>
          </w:tcPr>
          <w:p w14:paraId="60AD2C36">
            <w:pPr>
              <w:spacing w:line="360" w:lineRule="auto"/>
              <w:jc w:val="left"/>
              <w:rPr>
                <w:rFonts w:hint="eastAsia" w:ascii="宋体" w:hAnsi="宋体" w:cs="仿宋"/>
                <w:spacing w:val="-2"/>
                <w:sz w:val="24"/>
              </w:rPr>
            </w:pPr>
            <w:r>
              <w:rPr>
                <w:rFonts w:hint="eastAsia" w:ascii="宋体" w:hAnsi="宋体" w:cs="仿宋"/>
                <w:spacing w:val="-2"/>
                <w:sz w:val="24"/>
                <w:lang w:val="en-US" w:eastAsia="zh-CN"/>
              </w:rPr>
              <w:t>查询渠道：信用中国网站和中国政府采购网（www.creditchina.gov.cn 、www.ccgp.gov.cn）；</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截止时点：投标截止时间以后、资格审查阶段采购人或采购代理机构的实际查询时间；</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信用信息查询记录和证据留存具体方式：查询结果网页打印页作为查询记录和证据，与其他采购文件一并保存；</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450" w:type="dxa"/>
            <w:noWrap w:val="0"/>
            <w:vAlign w:val="top"/>
          </w:tcPr>
          <w:p w14:paraId="3A8C771A">
            <w:pPr>
              <w:spacing w:line="360" w:lineRule="auto"/>
              <w:jc w:val="left"/>
              <w:rPr>
                <w:rFonts w:hint="eastAsia" w:ascii="宋体" w:hAnsi="宋体" w:cs="仿宋"/>
                <w:spacing w:val="-2"/>
                <w:sz w:val="24"/>
              </w:rPr>
            </w:pPr>
          </w:p>
        </w:tc>
        <w:tc>
          <w:tcPr>
            <w:tcW w:w="495" w:type="dxa"/>
            <w:noWrap w:val="0"/>
            <w:vAlign w:val="top"/>
          </w:tcPr>
          <w:p w14:paraId="2AE545B8">
            <w:pPr>
              <w:spacing w:line="360" w:lineRule="auto"/>
              <w:jc w:val="left"/>
              <w:rPr>
                <w:rFonts w:hint="eastAsia" w:ascii="宋体" w:hAnsi="宋体" w:cs="仿宋"/>
                <w:spacing w:val="-2"/>
                <w:sz w:val="24"/>
              </w:rPr>
            </w:pPr>
          </w:p>
        </w:tc>
        <w:tc>
          <w:tcPr>
            <w:tcW w:w="510" w:type="dxa"/>
            <w:noWrap w:val="0"/>
            <w:vAlign w:val="top"/>
          </w:tcPr>
          <w:p w14:paraId="03C76E28">
            <w:pPr>
              <w:spacing w:line="360" w:lineRule="auto"/>
              <w:jc w:val="left"/>
              <w:rPr>
                <w:rFonts w:hint="eastAsia" w:ascii="宋体" w:hAnsi="宋体" w:cs="仿宋"/>
                <w:spacing w:val="-2"/>
                <w:sz w:val="24"/>
              </w:rPr>
            </w:pPr>
          </w:p>
        </w:tc>
      </w:tr>
      <w:tr w14:paraId="7CEA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550" w:type="dxa"/>
            <w:gridSpan w:val="2"/>
            <w:noWrap w:val="0"/>
            <w:vAlign w:val="center"/>
          </w:tcPr>
          <w:p w14:paraId="33B458EC">
            <w:pPr>
              <w:spacing w:line="360" w:lineRule="auto"/>
              <w:jc w:val="both"/>
              <w:rPr>
                <w:rFonts w:hint="eastAsia" w:ascii="宋体" w:hAnsi="宋体" w:cs="仿宋"/>
                <w:sz w:val="24"/>
              </w:rPr>
            </w:pPr>
            <w:r>
              <w:rPr>
                <w:rFonts w:hint="eastAsia" w:ascii="宋体" w:hAnsi="宋体" w:cs="仿宋"/>
                <w:spacing w:val="-2"/>
                <w:sz w:val="24"/>
              </w:rPr>
              <w:t>结论</w:t>
            </w:r>
          </w:p>
        </w:tc>
        <w:tc>
          <w:tcPr>
            <w:tcW w:w="6885" w:type="dxa"/>
            <w:noWrap w:val="0"/>
            <w:vAlign w:val="top"/>
          </w:tcPr>
          <w:p w14:paraId="5E33CE2F">
            <w:pPr>
              <w:spacing w:line="360" w:lineRule="auto"/>
              <w:jc w:val="left"/>
              <w:rPr>
                <w:rFonts w:hint="eastAsia" w:ascii="宋体" w:hAnsi="宋体" w:cs="仿宋"/>
                <w:spacing w:val="-2"/>
                <w:sz w:val="24"/>
              </w:rPr>
            </w:pPr>
          </w:p>
        </w:tc>
        <w:tc>
          <w:tcPr>
            <w:tcW w:w="450" w:type="dxa"/>
            <w:noWrap w:val="0"/>
            <w:vAlign w:val="top"/>
          </w:tcPr>
          <w:p w14:paraId="32A120C8">
            <w:pPr>
              <w:spacing w:line="360" w:lineRule="auto"/>
              <w:jc w:val="left"/>
              <w:rPr>
                <w:rFonts w:hint="eastAsia" w:ascii="宋体" w:hAnsi="宋体" w:cs="仿宋"/>
                <w:spacing w:val="-2"/>
                <w:sz w:val="24"/>
              </w:rPr>
            </w:pPr>
          </w:p>
        </w:tc>
        <w:tc>
          <w:tcPr>
            <w:tcW w:w="495" w:type="dxa"/>
            <w:noWrap w:val="0"/>
            <w:vAlign w:val="top"/>
          </w:tcPr>
          <w:p w14:paraId="0A30935F">
            <w:pPr>
              <w:spacing w:line="360" w:lineRule="auto"/>
              <w:jc w:val="left"/>
              <w:rPr>
                <w:rFonts w:hint="eastAsia" w:ascii="宋体" w:hAnsi="宋体" w:cs="仿宋"/>
                <w:spacing w:val="-2"/>
                <w:sz w:val="24"/>
              </w:rPr>
            </w:pPr>
          </w:p>
        </w:tc>
        <w:tc>
          <w:tcPr>
            <w:tcW w:w="510" w:type="dxa"/>
            <w:noWrap w:val="0"/>
            <w:vAlign w:val="top"/>
          </w:tcPr>
          <w:p w14:paraId="1B9C4736">
            <w:pPr>
              <w:spacing w:line="360" w:lineRule="auto"/>
              <w:jc w:val="left"/>
              <w:rPr>
                <w:rFonts w:hint="eastAsia" w:ascii="宋体" w:hAnsi="宋体" w:cs="仿宋"/>
                <w:spacing w:val="-2"/>
                <w:sz w:val="24"/>
              </w:rPr>
            </w:pPr>
          </w:p>
        </w:tc>
      </w:tr>
    </w:tbl>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CB9CD2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E275CC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2E58BC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23EF8A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6B4E95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C0F8FE6">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AB8F467">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BC66301">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pgSz w:w="11906" w:h="16838"/>
          <w:pgMar w:top="1440" w:right="1800" w:bottom="1440" w:left="1800" w:header="851" w:footer="765" w:gutter="0"/>
          <w:pgBorders>
            <w:top w:val="none" w:sz="0" w:space="0"/>
            <w:left w:val="none" w:sz="0" w:space="0"/>
            <w:bottom w:val="none" w:sz="0" w:space="0"/>
            <w:right w:val="none" w:sz="0" w:space="0"/>
          </w:pgBorders>
          <w:pgNumType w:fmt="numberInDash"/>
          <w:cols w:space="0" w:num="1"/>
          <w:rtlGutter w:val="0"/>
          <w:docGrid w:type="lines" w:linePitch="312" w:charSpace="0"/>
        </w:sectPr>
      </w:pPr>
      <w:bookmarkStart w:id="508" w:name="_Toc155185903"/>
      <w:bookmarkStart w:id="509" w:name="_Toc18814"/>
    </w:p>
    <w:p w14:paraId="21B53EAD">
      <w:pPr>
        <w:pStyle w:val="3"/>
        <w:bidi w:val="0"/>
        <w:rPr>
          <w:rFonts w:hint="eastAsia" w:ascii="宋体" w:hAnsi="宋体" w:eastAsia="宋体" w:cs="宋体"/>
          <w:lang w:val="en-US" w:eastAsia="zh-CN"/>
        </w:rPr>
      </w:pPr>
      <w:bookmarkStart w:id="510" w:name="_Toc21586"/>
      <w:bookmarkStart w:id="511" w:name="_Toc20602"/>
      <w:r>
        <w:rPr>
          <w:rFonts w:hint="eastAsia" w:ascii="宋体" w:hAnsi="宋体" w:eastAsia="宋体" w:cs="宋体"/>
          <w:lang w:val="en-US" w:eastAsia="zh-CN"/>
        </w:rPr>
        <w:t>第五章 评标方法</w:t>
      </w:r>
      <w:bookmarkEnd w:id="508"/>
      <w:r>
        <w:rPr>
          <w:rFonts w:hint="eastAsia" w:ascii="宋体" w:hAnsi="宋体" w:eastAsia="宋体" w:cs="宋体"/>
          <w:lang w:val="en-US" w:eastAsia="zh-CN"/>
        </w:rPr>
        <w:t>及标准</w:t>
      </w:r>
      <w:bookmarkEnd w:id="509"/>
      <w:bookmarkEnd w:id="510"/>
      <w:bookmarkEnd w:id="511"/>
    </w:p>
    <w:p w14:paraId="2BB6F8A4">
      <w:pPr>
        <w:pStyle w:val="39"/>
        <w:rPr>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val="en-US" w:eastAsia="zh-CN"/>
        </w:rPr>
        <w:t>及</w:t>
      </w:r>
      <w:r>
        <w:rPr>
          <w:rFonts w:hint="eastAsia"/>
          <w:color w:val="auto"/>
          <w:highlight w:val="none"/>
        </w:rPr>
        <w:t>相关法律法规确定以下评标</w:t>
      </w:r>
      <w:r>
        <w:rPr>
          <w:rFonts w:hint="eastAsia"/>
          <w:color w:val="auto"/>
          <w:highlight w:val="none"/>
          <w:lang w:val="en-US" w:eastAsia="zh-CN"/>
        </w:rPr>
        <w:t>方</w:t>
      </w:r>
      <w:r>
        <w:rPr>
          <w:rFonts w:hint="eastAsia"/>
          <w:color w:val="auto"/>
          <w:highlight w:val="none"/>
        </w:rPr>
        <w:t>法及标准。</w:t>
      </w:r>
    </w:p>
    <w:p w14:paraId="040C2DF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512" w:name="_Toc21370"/>
      <w:bookmarkStart w:id="513" w:name="_Toc272247709"/>
      <w:bookmarkStart w:id="514" w:name="_Toc494561962"/>
      <w:bookmarkStart w:id="515" w:name="_Toc109899903"/>
      <w:bookmarkStart w:id="516" w:name="_Toc109899484"/>
      <w:bookmarkStart w:id="517" w:name="_Toc109900322"/>
      <w:bookmarkStart w:id="518" w:name="_Toc278891606"/>
      <w:bookmarkStart w:id="519" w:name="_Toc140132826"/>
      <w:bookmarkStart w:id="520" w:name="_Toc61280402"/>
      <w:bookmarkStart w:id="521" w:name="_Toc511894518"/>
      <w:bookmarkStart w:id="522" w:name="_Toc155185905"/>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512"/>
    </w:p>
    <w:p w14:paraId="40F9AE81">
      <w:pPr>
        <w:pStyle w:val="39"/>
        <w:keepNext w:val="0"/>
        <w:keepLines w:val="0"/>
        <w:pageBreakBefore w:val="0"/>
        <w:widowControl w:val="0"/>
        <w:kinsoku/>
        <w:wordWrap w:val="0"/>
        <w:overflowPunct/>
        <w:topLinePunct w:val="0"/>
        <w:autoSpaceDE/>
        <w:autoSpaceDN/>
        <w:bidi w:val="0"/>
        <w:adjustRightInd/>
        <w:snapToGrid/>
        <w:ind w:firstLine="482"/>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523" w:name="_Toc4945"/>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523"/>
    </w:p>
    <w:p w14:paraId="2CEA851A">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24" w:name="_Toc27226"/>
      <w:bookmarkStart w:id="525" w:name="_Toc18989"/>
      <w:bookmarkStart w:id="526" w:name="_Toc30735"/>
      <w:r>
        <w:rPr>
          <w:rFonts w:hint="eastAsia" w:ascii="宋体" w:hAnsi="宋体" w:eastAsia="宋体" w:cs="宋体"/>
          <w:b/>
          <w:bCs/>
          <w:color w:val="auto"/>
          <w:kern w:val="2"/>
          <w:sz w:val="24"/>
          <w:szCs w:val="24"/>
          <w:highlight w:val="none"/>
          <w:lang w:val="zh-CN" w:eastAsia="zh-CN" w:bidi="ar-SA"/>
        </w:rPr>
        <w:t>（一）符合性审查</w:t>
      </w:r>
      <w:bookmarkEnd w:id="524"/>
      <w:bookmarkEnd w:id="525"/>
      <w:bookmarkEnd w:id="526"/>
    </w:p>
    <w:p w14:paraId="4E726315">
      <w:pPr>
        <w:pStyle w:val="39"/>
        <w:rPr>
          <w:rFonts w:hint="eastAsia"/>
          <w:color w:val="auto"/>
          <w:highlight w:val="none"/>
          <w:lang w:val="zh-CN"/>
        </w:rPr>
      </w:pPr>
      <w:r>
        <w:rPr>
          <w:rFonts w:hint="eastAsia"/>
          <w:color w:val="auto"/>
          <w:highlight w:val="none"/>
          <w:lang w:val="en-US" w:eastAsia="zh-CN"/>
        </w:rPr>
        <w:t>2.</w:t>
      </w:r>
      <w:r>
        <w:rPr>
          <w:rFonts w:hint="eastAsia"/>
          <w:color w:val="auto"/>
          <w:highlight w:val="none"/>
        </w:rPr>
        <w:t>评标委员会应当对</w:t>
      </w:r>
      <w:r>
        <w:rPr>
          <w:rFonts w:hint="eastAsia"/>
          <w:color w:val="auto"/>
          <w:highlight w:val="none"/>
          <w:lang w:val="en-US" w:eastAsia="zh-CN"/>
        </w:rPr>
        <w:t>通过</w:t>
      </w:r>
      <w:r>
        <w:rPr>
          <w:rFonts w:hint="eastAsia"/>
          <w:color w:val="auto"/>
          <w:highlight w:val="none"/>
        </w:rPr>
        <w:t>资格</w:t>
      </w:r>
      <w:r>
        <w:rPr>
          <w:rFonts w:hint="eastAsia"/>
          <w:color w:val="auto"/>
          <w:highlight w:val="none"/>
          <w:lang w:val="en-US" w:eastAsia="zh-CN"/>
        </w:rPr>
        <w:t>审查</w:t>
      </w:r>
      <w:r>
        <w:rPr>
          <w:rFonts w:hint="eastAsia"/>
          <w:color w:val="auto"/>
          <w:highlight w:val="none"/>
        </w:rPr>
        <w:t>的投标人的投标文件进行符合性审查，以确定其是否满足招标文件的实质性要求。投标人必须通过符合性审查的全部评审指标</w:t>
      </w:r>
      <w:r>
        <w:rPr>
          <w:rFonts w:hint="eastAsia"/>
          <w:color w:val="auto"/>
          <w:highlight w:val="none"/>
          <w:lang w:eastAsia="zh-CN"/>
        </w:rPr>
        <w:t>，</w:t>
      </w:r>
      <w:r>
        <w:rPr>
          <w:rFonts w:hint="eastAsia"/>
          <w:color w:val="auto"/>
          <w:highlight w:val="none"/>
        </w:rPr>
        <w:t>不满足招标文件的实质性要求的，</w:t>
      </w:r>
      <w:r>
        <w:rPr>
          <w:rFonts w:hint="eastAsia"/>
          <w:color w:val="auto"/>
          <w:highlight w:val="none"/>
          <w:lang w:val="en-US" w:eastAsia="zh-CN"/>
        </w:rPr>
        <w:t>其</w:t>
      </w:r>
      <w:r>
        <w:rPr>
          <w:rFonts w:hint="eastAsia"/>
          <w:b/>
          <w:bCs/>
          <w:color w:val="auto"/>
          <w:highlight w:val="none"/>
        </w:rPr>
        <w:t>投标无效</w:t>
      </w:r>
      <w:r>
        <w:rPr>
          <w:rFonts w:hint="eastAsia"/>
          <w:color w:val="auto"/>
          <w:highlight w:val="none"/>
        </w:rPr>
        <w:t>。</w:t>
      </w:r>
      <w:r>
        <w:rPr>
          <w:rFonts w:hint="eastAsia"/>
          <w:color w:val="auto"/>
          <w:highlight w:val="none"/>
          <w:lang w:val="en-US" w:eastAsia="zh-CN"/>
        </w:rPr>
        <w:t>具体内容详</w:t>
      </w:r>
      <w:r>
        <w:rPr>
          <w:rFonts w:hint="eastAsia"/>
          <w:color w:val="auto"/>
          <w:highlight w:val="none"/>
          <w:lang w:val="zh-CN"/>
        </w:rPr>
        <w:t>本章“</w:t>
      </w:r>
      <w:r>
        <w:rPr>
          <w:rFonts w:hint="eastAsia"/>
          <w:color w:val="auto"/>
          <w:highlight w:val="none"/>
          <w:lang w:val="en-US" w:eastAsia="zh-CN"/>
        </w:rPr>
        <w:t>四</w:t>
      </w:r>
      <w:r>
        <w:rPr>
          <w:rFonts w:hint="eastAsia"/>
          <w:color w:val="auto"/>
          <w:highlight w:val="none"/>
          <w:lang w:val="zh-CN"/>
        </w:rPr>
        <w:t>、评标标准”中</w:t>
      </w:r>
      <w:r>
        <w:rPr>
          <w:rFonts w:hint="eastAsia"/>
          <w:color w:val="auto"/>
          <w:highlight w:val="none"/>
          <w:lang w:val="en-US" w:eastAsia="zh-CN"/>
        </w:rPr>
        <w:t>的</w:t>
      </w:r>
      <w:r>
        <w:rPr>
          <w:rFonts w:hint="eastAsia"/>
          <w:color w:val="auto"/>
          <w:highlight w:val="none"/>
          <w:lang w:val="zh-CN"/>
        </w:rPr>
        <w:t>“（一）符合性审查”。</w:t>
      </w:r>
    </w:p>
    <w:p w14:paraId="6117DC47">
      <w:pPr>
        <w:pStyle w:val="39"/>
        <w:rPr>
          <w:rFonts w:hint="eastAsia"/>
          <w:color w:val="auto"/>
          <w:highlight w:val="none"/>
          <w:lang w:val="zh-CN"/>
        </w:rPr>
      </w:pPr>
      <w:r>
        <w:rPr>
          <w:rFonts w:hint="eastAsia"/>
          <w:color w:val="auto"/>
          <w:highlight w:val="none"/>
          <w:lang w:val="en-US" w:eastAsia="zh-CN"/>
        </w:rPr>
        <w:t>通过</w:t>
      </w:r>
      <w:r>
        <w:rPr>
          <w:rFonts w:hint="eastAsia"/>
          <w:color w:val="auto"/>
          <w:highlight w:val="none"/>
        </w:rPr>
        <w:t>符合性审查</w:t>
      </w:r>
      <w:r>
        <w:rPr>
          <w:rFonts w:hint="eastAsia"/>
          <w:color w:val="auto"/>
          <w:highlight w:val="none"/>
          <w:lang w:val="en-US" w:eastAsia="zh-CN"/>
        </w:rPr>
        <w:t>的</w:t>
      </w:r>
      <w:r>
        <w:rPr>
          <w:rFonts w:hint="eastAsia"/>
          <w:color w:val="auto"/>
          <w:highlight w:val="none"/>
        </w:rPr>
        <w:t>有效</w:t>
      </w:r>
      <w:r>
        <w:rPr>
          <w:rFonts w:hint="eastAsia"/>
          <w:color w:val="auto"/>
          <w:highlight w:val="none"/>
          <w:lang w:eastAsia="zh-CN"/>
        </w:rPr>
        <w:t>供应商</w:t>
      </w:r>
      <w:r>
        <w:rPr>
          <w:rFonts w:hint="eastAsia"/>
          <w:color w:val="auto"/>
          <w:highlight w:val="none"/>
        </w:rPr>
        <w:t>不足3家的应当终止采购活动，发布项目终止公告并说明原因，重新开展采购活动。</w:t>
      </w:r>
    </w:p>
    <w:p w14:paraId="34580356">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27" w:name="_Toc102116048"/>
      <w:bookmarkStart w:id="528" w:name="_Toc155185907"/>
      <w:bookmarkStart w:id="529" w:name="_Toc102114946"/>
      <w:bookmarkStart w:id="530" w:name="_Toc102116178"/>
      <w:bookmarkStart w:id="531" w:name="_Toc102119879"/>
      <w:bookmarkStart w:id="532" w:name="_Toc102057744"/>
      <w:bookmarkStart w:id="533" w:name="_Toc102056244"/>
      <w:bookmarkStart w:id="534" w:name="_Toc2036"/>
      <w:bookmarkStart w:id="535" w:name="_Toc20930"/>
      <w:bookmarkStart w:id="536" w:name="_Toc163492903"/>
      <w:bookmarkStart w:id="537" w:name="_Toc1047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527"/>
      <w:bookmarkEnd w:id="528"/>
      <w:bookmarkEnd w:id="529"/>
      <w:bookmarkEnd w:id="530"/>
      <w:bookmarkEnd w:id="531"/>
      <w:bookmarkEnd w:id="532"/>
      <w:bookmarkEnd w:id="533"/>
      <w:r>
        <w:rPr>
          <w:rFonts w:hint="eastAsia" w:ascii="宋体" w:hAnsi="宋体" w:eastAsia="宋体" w:cs="宋体"/>
          <w:b/>
          <w:bCs/>
          <w:color w:val="auto"/>
          <w:kern w:val="2"/>
          <w:sz w:val="24"/>
          <w:szCs w:val="24"/>
          <w:highlight w:val="none"/>
          <w:lang w:val="zh-CN" w:eastAsia="zh-CN" w:bidi="ar-SA"/>
        </w:rPr>
        <w:t>及修正</w:t>
      </w:r>
      <w:bookmarkEnd w:id="534"/>
      <w:bookmarkEnd w:id="535"/>
      <w:bookmarkEnd w:id="536"/>
      <w:bookmarkEnd w:id="537"/>
    </w:p>
    <w:p w14:paraId="0EC9197C">
      <w:pPr>
        <w:pStyle w:val="39"/>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3</w:t>
      </w:r>
      <w:r>
        <w:rPr>
          <w:color w:val="auto"/>
          <w:highlight w:val="none"/>
        </w:rPr>
        <w:t>.</w:t>
      </w:r>
      <w:r>
        <w:rPr>
          <w:rFonts w:hint="eastAsia"/>
          <w:iCs/>
          <w:color w:val="auto"/>
          <w:spacing w:val="-6"/>
          <w:sz w:val="24"/>
          <w:highlight w:val="none"/>
        </w:rPr>
        <w:t>评标期间，对于投标文件中含义不明确、同类问题表述不一致或者有明显文字和计算错误的内容需要投标人作出必要的澄清、说明或者补正的，评标委员会应当在</w:t>
      </w:r>
      <w:r>
        <w:rPr>
          <w:rFonts w:hint="eastAsia"/>
          <w:iCs/>
          <w:color w:val="auto"/>
          <w:spacing w:val="-6"/>
          <w:sz w:val="24"/>
          <w:highlight w:val="none"/>
          <w:lang w:val="en-US" w:eastAsia="zh-CN"/>
        </w:rPr>
        <w:t>政采云平台评标</w:t>
      </w:r>
      <w:r>
        <w:rPr>
          <w:rFonts w:hint="eastAsia"/>
          <w:iCs/>
          <w:color w:val="auto"/>
          <w:spacing w:val="-6"/>
          <w:sz w:val="24"/>
          <w:highlight w:val="none"/>
        </w:rPr>
        <w:t>系统中以书面形式要求投标人作出必要的澄清、说明或者补正。</w:t>
      </w:r>
    </w:p>
    <w:p w14:paraId="079329DA">
      <w:pPr>
        <w:pStyle w:val="39"/>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rPr>
        <w:t>投标人应按照评标委员会要求在规定时间内作出澄清、说明或者补正，</w:t>
      </w:r>
      <w:r>
        <w:rPr>
          <w:color w:val="auto"/>
          <w:highlight w:val="none"/>
        </w:rPr>
        <w:t>澄清、说明或者补正不得超出投标文件的范围或者改变投标文件的实质性内容。</w:t>
      </w:r>
    </w:p>
    <w:p w14:paraId="591A6455">
      <w:pPr>
        <w:pStyle w:val="39"/>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投标人的</w:t>
      </w:r>
      <w:r>
        <w:rPr>
          <w:color w:val="auto"/>
          <w:highlight w:val="none"/>
        </w:rPr>
        <w:t>澄清、说明或者补正</w:t>
      </w:r>
      <w:r>
        <w:rPr>
          <w:rFonts w:hint="eastAsia"/>
          <w:color w:val="auto"/>
          <w:highlight w:val="none"/>
        </w:rPr>
        <w:t>是其投标文件的有效组成部分，</w:t>
      </w:r>
      <w:r>
        <w:rPr>
          <w:color w:val="auto"/>
          <w:highlight w:val="none"/>
        </w:rPr>
        <w:t>澄清、说明或者补正应当</w:t>
      </w:r>
      <w:r>
        <w:rPr>
          <w:rFonts w:hint="eastAsia"/>
          <w:color w:val="auto"/>
          <w:highlight w:val="none"/>
        </w:rPr>
        <w:t>在</w:t>
      </w:r>
      <w:r>
        <w:rPr>
          <w:rFonts w:hint="eastAsia"/>
          <w:color w:val="auto"/>
          <w:highlight w:val="none"/>
          <w:lang w:val="en-US" w:eastAsia="zh-CN"/>
        </w:rPr>
        <w:t>政采云平台评标</w:t>
      </w:r>
      <w:r>
        <w:rPr>
          <w:rFonts w:hint="eastAsia"/>
          <w:color w:val="auto"/>
          <w:highlight w:val="none"/>
        </w:rPr>
        <w:t>系统中加盖电子印章后提交</w:t>
      </w:r>
      <w:r>
        <w:rPr>
          <w:color w:val="auto"/>
          <w:highlight w:val="none"/>
        </w:rPr>
        <w:t>。</w:t>
      </w:r>
    </w:p>
    <w:p w14:paraId="3B466024">
      <w:pPr>
        <w:pStyle w:val="39"/>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6</w:t>
      </w:r>
      <w:r>
        <w:rPr>
          <w:color w:val="auto"/>
          <w:highlight w:val="none"/>
        </w:rPr>
        <w:t>.</w:t>
      </w:r>
      <w:r>
        <w:rPr>
          <w:rFonts w:hint="eastAsia"/>
          <w:color w:val="auto"/>
          <w:highlight w:val="none"/>
        </w:rPr>
        <w:t>报价合理性说明：</w:t>
      </w:r>
      <w:r>
        <w:rPr>
          <w:color w:val="auto"/>
          <w:highlight w:val="none"/>
        </w:rPr>
        <w:t>评标委员会认为投标人的报价明显低于其他通过</w:t>
      </w:r>
      <w:r>
        <w:rPr>
          <w:rFonts w:hint="eastAsia"/>
          <w:color w:val="auto"/>
          <w:highlight w:val="none"/>
        </w:rPr>
        <w:t>符合性审查</w:t>
      </w:r>
      <w:r>
        <w:rPr>
          <w:color w:val="auto"/>
          <w:highlight w:val="none"/>
        </w:rPr>
        <w:t>投标人的报价，有可能影响</w:t>
      </w:r>
      <w:r>
        <w:rPr>
          <w:rFonts w:hint="eastAsia"/>
          <w:color w:val="auto"/>
          <w:highlight w:val="none"/>
          <w:lang w:val="en-US" w:eastAsia="zh-CN"/>
        </w:rPr>
        <w:t>服务</w:t>
      </w:r>
      <w:r>
        <w:rPr>
          <w:color w:val="auto"/>
          <w:highlight w:val="none"/>
        </w:rPr>
        <w:t>质量或者不能诚信履约的，</w:t>
      </w:r>
      <w:r>
        <w:rPr>
          <w:rFonts w:hint="eastAsia"/>
          <w:color w:val="auto"/>
          <w:highlight w:val="none"/>
          <w:lang w:val="en-US" w:eastAsia="zh-CN"/>
        </w:rPr>
        <w:t>应当</w:t>
      </w:r>
      <w:r>
        <w:rPr>
          <w:color w:val="auto"/>
          <w:highlight w:val="none"/>
        </w:rPr>
        <w:t>要求</w:t>
      </w:r>
      <w:r>
        <w:rPr>
          <w:rFonts w:hint="eastAsia"/>
          <w:color w:val="auto"/>
          <w:highlight w:val="none"/>
          <w:lang w:val="en-US" w:eastAsia="zh-CN"/>
        </w:rPr>
        <w:t>该投标人</w:t>
      </w:r>
      <w:r>
        <w:rPr>
          <w:rFonts w:hint="eastAsia"/>
          <w:color w:val="auto"/>
          <w:highlight w:val="none"/>
        </w:rPr>
        <w:t>在</w:t>
      </w:r>
      <w:r>
        <w:rPr>
          <w:color w:val="auto"/>
          <w:highlight w:val="none"/>
        </w:rPr>
        <w:t>合理的时间内提供说明，必要时提交相关证明材料；</w:t>
      </w:r>
      <w:r>
        <w:rPr>
          <w:rFonts w:hint="eastAsia"/>
          <w:color w:val="auto"/>
          <w:highlight w:val="none"/>
          <w:lang w:val="en-US" w:eastAsia="zh-CN"/>
        </w:rPr>
        <w:t>若</w:t>
      </w:r>
      <w:r>
        <w:rPr>
          <w:color w:val="auto"/>
          <w:highlight w:val="none"/>
        </w:rPr>
        <w:t>投标人不能证明其报价合理性的，评标委员</w:t>
      </w:r>
      <w:r>
        <w:rPr>
          <w:rFonts w:hint="eastAsia"/>
          <w:color w:val="auto"/>
          <w:highlight w:val="none"/>
          <w:lang w:val="en-US" w:eastAsia="zh-CN"/>
        </w:rPr>
        <w:t>会应当</w:t>
      </w:r>
      <w:r>
        <w:rPr>
          <w:rFonts w:hint="eastAsia"/>
          <w:color w:val="auto"/>
          <w:highlight w:val="none"/>
        </w:rPr>
        <w:t>将其作</w:t>
      </w:r>
      <w:r>
        <w:rPr>
          <w:b/>
          <w:bCs/>
          <w:color w:val="auto"/>
          <w:highlight w:val="none"/>
        </w:rPr>
        <w:t>无效投标</w:t>
      </w:r>
      <w:r>
        <w:rPr>
          <w:color w:val="auto"/>
          <w:highlight w:val="none"/>
        </w:rPr>
        <w:t>处理。</w:t>
      </w:r>
    </w:p>
    <w:p w14:paraId="4FD6345C">
      <w:pPr>
        <w:pStyle w:val="39"/>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39"/>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39"/>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39"/>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39"/>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39"/>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39"/>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38" w:name="_Toc13289"/>
      <w:bookmarkStart w:id="539" w:name="_Toc1388"/>
      <w:bookmarkStart w:id="540" w:name="_Toc853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538"/>
      <w:bookmarkEnd w:id="539"/>
      <w:bookmarkEnd w:id="540"/>
    </w:p>
    <w:p w14:paraId="2BE6ECB2">
      <w:pPr>
        <w:pStyle w:val="39"/>
        <w:rPr>
          <w:rFonts w:hint="eastAsia"/>
          <w:color w:val="auto"/>
          <w:highlight w:val="none"/>
        </w:rPr>
      </w:pPr>
      <w:r>
        <w:rPr>
          <w:rFonts w:hint="eastAsia"/>
          <w:color w:val="auto"/>
          <w:highlight w:val="none"/>
          <w:lang w:val="en-US" w:eastAsia="zh-CN"/>
        </w:rPr>
        <w:t>9.</w:t>
      </w:r>
      <w:r>
        <w:rPr>
          <w:rFonts w:hint="eastAsia"/>
          <w:color w:val="auto"/>
          <w:highlight w:val="none"/>
        </w:rPr>
        <w:t>评标委员会应当按照招标文件中规定的评标方法和标准，对符合性审查合格的投标文件进行商务和技术评</w:t>
      </w:r>
      <w:r>
        <w:rPr>
          <w:rFonts w:hint="eastAsia"/>
          <w:color w:val="auto"/>
          <w:highlight w:val="none"/>
          <w:lang w:val="en-US" w:eastAsia="zh-CN"/>
        </w:rPr>
        <w:t>估</w:t>
      </w:r>
      <w:r>
        <w:rPr>
          <w:rFonts w:hint="eastAsia"/>
          <w:color w:val="auto"/>
          <w:highlight w:val="none"/>
        </w:rPr>
        <w:t>，综合比较与评价</w:t>
      </w:r>
      <w:r>
        <w:rPr>
          <w:rFonts w:hint="eastAsia"/>
          <w:color w:val="auto"/>
          <w:highlight w:val="none"/>
          <w:lang w:val="en-US" w:eastAsia="zh-CN"/>
        </w:rPr>
        <w:t>；未通过符合性审查的投标文件不得进入比较与评价</w:t>
      </w:r>
      <w:r>
        <w:rPr>
          <w:rFonts w:hint="eastAsia"/>
          <w:color w:val="auto"/>
          <w:highlight w:val="none"/>
        </w:rPr>
        <w:t>。评审因素包括投标报价、商务技术以及落实政府采购政策。评审因素及标准见本章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rFonts w:hint="eastAsia"/>
          <w:color w:val="auto"/>
          <w:highlight w:val="none"/>
        </w:rPr>
        <w:t>。</w:t>
      </w:r>
    </w:p>
    <w:p w14:paraId="384D833B">
      <w:pPr>
        <w:pStyle w:val="39"/>
        <w:keepNext w:val="0"/>
        <w:keepLines w:val="0"/>
        <w:pageBreakBefore w:val="0"/>
        <w:widowControl w:val="0"/>
        <w:kinsoku/>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10</w:t>
      </w:r>
      <w:r>
        <w:rPr>
          <w:color w:val="auto"/>
          <w:highlight w:val="none"/>
        </w:rPr>
        <w:t>.</w:t>
      </w:r>
      <w:r>
        <w:rPr>
          <w:rFonts w:hint="eastAsia"/>
          <w:color w:val="auto"/>
          <w:highlight w:val="none"/>
        </w:rPr>
        <w:t>有效投标</w:t>
      </w:r>
      <w:r>
        <w:rPr>
          <w:rFonts w:hint="eastAsia"/>
          <w:color w:val="auto"/>
          <w:highlight w:val="none"/>
          <w:lang w:val="en-US" w:eastAsia="zh-CN"/>
        </w:rPr>
        <w:t>人</w:t>
      </w:r>
      <w:r>
        <w:rPr>
          <w:rFonts w:hint="eastAsia"/>
          <w:color w:val="auto"/>
          <w:highlight w:val="none"/>
        </w:rPr>
        <w:t>不足</w:t>
      </w:r>
      <w:r>
        <w:rPr>
          <w:color w:val="auto"/>
          <w:highlight w:val="none"/>
        </w:rPr>
        <w:t>3</w:t>
      </w:r>
      <w:r>
        <w:rPr>
          <w:rFonts w:hint="eastAsia"/>
          <w:color w:val="auto"/>
          <w:highlight w:val="none"/>
        </w:rPr>
        <w:t>家的应按</w:t>
      </w:r>
      <w:r>
        <w:rPr>
          <w:rFonts w:hint="eastAsia"/>
          <w:b/>
          <w:bCs/>
          <w:color w:val="auto"/>
          <w:highlight w:val="none"/>
        </w:rPr>
        <w:t>废标</w:t>
      </w:r>
      <w:r>
        <w:rPr>
          <w:rFonts w:hint="eastAsia"/>
          <w:color w:val="auto"/>
          <w:highlight w:val="none"/>
        </w:rPr>
        <w:t>处理。</w:t>
      </w:r>
    </w:p>
    <w:p w14:paraId="7C54BD9F">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41" w:name="_Toc22691"/>
      <w:bookmarkStart w:id="542" w:name="_Toc24190"/>
      <w:bookmarkStart w:id="543" w:name="_Toc427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541"/>
      <w:bookmarkEnd w:id="542"/>
      <w:bookmarkEnd w:id="543"/>
    </w:p>
    <w:p w14:paraId="21874171">
      <w:pPr>
        <w:pStyle w:val="39"/>
        <w:rPr>
          <w:color w:val="auto"/>
          <w:highlight w:val="none"/>
        </w:rPr>
      </w:pPr>
      <w:r>
        <w:rPr>
          <w:rFonts w:hint="eastAsia"/>
          <w:color w:val="auto"/>
          <w:highlight w:val="none"/>
          <w:lang w:val="en-US" w:eastAsia="zh-CN"/>
        </w:rPr>
        <w:t>11.</w:t>
      </w:r>
      <w:r>
        <w:rPr>
          <w:color w:val="auto"/>
          <w:highlight w:val="none"/>
        </w:rPr>
        <w:t>投标报价评审</w:t>
      </w:r>
    </w:p>
    <w:p w14:paraId="266BD854">
      <w:pPr>
        <w:pStyle w:val="39"/>
        <w:rPr>
          <w:color w:val="auto"/>
          <w:highlight w:val="none"/>
        </w:rPr>
      </w:pPr>
      <w:r>
        <w:rPr>
          <w:rFonts w:hint="eastAsia" w:ascii="宋体" w:hAnsi="宋体" w:eastAsia="宋体"/>
          <w:color w:val="auto"/>
          <w:highlight w:val="none"/>
          <w:lang w:val="en-US" w:eastAsia="zh-CN"/>
        </w:rPr>
        <w:t>11.1服务项目的价格分值占总分值的比重不得低于</w:t>
      </w:r>
      <w:r>
        <w:rPr>
          <w:rFonts w:hint="default" w:ascii="宋体" w:hAnsi="宋体" w:eastAsia="宋体"/>
          <w:color w:val="auto"/>
          <w:highlight w:val="none"/>
          <w:lang w:val="en-US" w:eastAsia="zh-CN"/>
        </w:rPr>
        <w:t>10%。</w:t>
      </w:r>
      <w:r>
        <w:rPr>
          <w:rFonts w:hint="eastAsia"/>
          <w:color w:val="auto"/>
          <w:highlight w:val="none"/>
          <w:lang w:val="en-US" w:eastAsia="zh-CN"/>
        </w:rPr>
        <w:t>执行国家统一定价标准和采用固定价格采购的项目，其价格不列为评审因素。</w:t>
      </w:r>
      <w:r>
        <w:rPr>
          <w:color w:val="auto"/>
          <w:highlight w:val="none"/>
        </w:rPr>
        <w:t>价格分应当采用低价优先法计算，即满足招标文件要求且投标价格最低的投标报价为评标基准价，其价格分为满分。其他投标人的价格分统一按照下列公式计算：</w:t>
      </w:r>
    </w:p>
    <w:p w14:paraId="2D86B7AD">
      <w:pPr>
        <w:pStyle w:val="39"/>
        <w:rPr>
          <w:color w:val="auto"/>
          <w:highlight w:val="none"/>
        </w:rPr>
      </w:pPr>
      <w:r>
        <w:rPr>
          <w:rFonts w:hint="eastAsia"/>
          <w:color w:val="auto"/>
          <w:highlight w:val="none"/>
        </w:rPr>
        <w:t>投标报价得分</w:t>
      </w:r>
      <w:r>
        <w:rPr>
          <w:color w:val="auto"/>
          <w:highlight w:val="none"/>
        </w:rPr>
        <w:t>=(评标基准价／投标报价)×</w:t>
      </w:r>
      <w:r>
        <w:rPr>
          <w:rFonts w:hint="eastAsia"/>
          <w:color w:val="auto"/>
          <w:highlight w:val="none"/>
        </w:rPr>
        <w:t>价格</w:t>
      </w:r>
      <w:r>
        <w:rPr>
          <w:rFonts w:hint="eastAsia"/>
          <w:color w:val="auto"/>
          <w:highlight w:val="none"/>
          <w:lang w:eastAsia="zh-CN"/>
        </w:rPr>
        <w:t>分值</w:t>
      </w:r>
    </w:p>
    <w:p w14:paraId="0CCB2E48">
      <w:pPr>
        <w:pStyle w:val="39"/>
        <w:rPr>
          <w:color w:val="auto"/>
          <w:highlight w:val="none"/>
        </w:rPr>
      </w:pPr>
      <w:r>
        <w:rPr>
          <w:rFonts w:hint="eastAsia"/>
          <w:color w:val="auto"/>
          <w:highlight w:val="none"/>
        </w:rPr>
        <w:t>评标过程中，不得去掉报价中的最高报价和最低报价。</w:t>
      </w:r>
    </w:p>
    <w:p w14:paraId="14E623B0">
      <w:pPr>
        <w:pStyle w:val="39"/>
        <w:rPr>
          <w:color w:val="auto"/>
          <w:highlight w:val="none"/>
        </w:rPr>
      </w:pPr>
      <w:r>
        <w:rPr>
          <w:rFonts w:hint="eastAsia"/>
          <w:color w:val="auto"/>
          <w:highlight w:val="none"/>
          <w:lang w:val="en-US" w:eastAsia="zh-CN"/>
        </w:rPr>
        <w:t>11.</w:t>
      </w:r>
      <w:r>
        <w:rPr>
          <w:color w:val="auto"/>
          <w:highlight w:val="none"/>
        </w:rPr>
        <w:t>2</w:t>
      </w:r>
      <w:r>
        <w:rPr>
          <w:rFonts w:hint="eastAsia"/>
          <w:iCs/>
          <w:color w:val="auto"/>
          <w:spacing w:val="-6"/>
          <w:sz w:val="24"/>
          <w:highlight w:val="none"/>
        </w:rPr>
        <w:t>除算术修正和落实政府采购政策的价格扣除外，不对投标报价进行调整；</w:t>
      </w:r>
    </w:p>
    <w:p w14:paraId="6DDDADCE">
      <w:pPr>
        <w:pStyle w:val="39"/>
        <w:rPr>
          <w:color w:val="auto"/>
          <w:highlight w:val="none"/>
        </w:rPr>
      </w:pPr>
      <w:r>
        <w:rPr>
          <w:rFonts w:hint="eastAsia"/>
          <w:color w:val="auto"/>
          <w:highlight w:val="none"/>
          <w:lang w:val="en-US" w:eastAsia="zh-CN"/>
        </w:rPr>
        <w:t>11.</w:t>
      </w:r>
      <w:r>
        <w:rPr>
          <w:color w:val="auto"/>
          <w:highlight w:val="none"/>
        </w:rPr>
        <w:t>3价</w:t>
      </w:r>
      <w:r>
        <w:rPr>
          <w:rFonts w:hint="eastAsia"/>
          <w:color w:val="auto"/>
          <w:highlight w:val="none"/>
        </w:rPr>
        <w:t>格</w:t>
      </w:r>
      <w:r>
        <w:rPr>
          <w:rFonts w:hint="eastAsia"/>
          <w:color w:val="auto"/>
          <w:highlight w:val="none"/>
          <w:lang w:eastAsia="zh-CN"/>
        </w:rPr>
        <w:t>分值</w:t>
      </w:r>
      <w:r>
        <w:rPr>
          <w:rFonts w:hint="eastAsia"/>
          <w:color w:val="auto"/>
          <w:highlight w:val="none"/>
        </w:rPr>
        <w:t>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color w:val="auto"/>
          <w:highlight w:val="none"/>
        </w:rPr>
        <w:t>。</w:t>
      </w:r>
    </w:p>
    <w:p w14:paraId="30866637">
      <w:pPr>
        <w:pStyle w:val="39"/>
        <w:rPr>
          <w:b w:val="0"/>
          <w:bCs w:val="0"/>
          <w:color w:val="auto"/>
          <w:highlight w:val="none"/>
        </w:rPr>
      </w:pPr>
      <w:r>
        <w:rPr>
          <w:rFonts w:hint="eastAsia"/>
          <w:b w:val="0"/>
          <w:bCs w:val="0"/>
          <w:color w:val="auto"/>
          <w:highlight w:val="none"/>
        </w:rPr>
        <w:t>1</w:t>
      </w:r>
      <w:r>
        <w:rPr>
          <w:rFonts w:hint="eastAsia"/>
          <w:b w:val="0"/>
          <w:bCs w:val="0"/>
          <w:color w:val="auto"/>
          <w:highlight w:val="none"/>
          <w:lang w:val="en-US" w:eastAsia="zh-CN"/>
        </w:rPr>
        <w:t>2</w:t>
      </w:r>
      <w:r>
        <w:rPr>
          <w:b w:val="0"/>
          <w:bCs w:val="0"/>
          <w:color w:val="auto"/>
          <w:highlight w:val="none"/>
        </w:rPr>
        <w:t>.</w:t>
      </w:r>
      <w:r>
        <w:rPr>
          <w:rFonts w:hint="eastAsia"/>
          <w:b w:val="0"/>
          <w:bCs w:val="0"/>
          <w:color w:val="auto"/>
          <w:highlight w:val="none"/>
        </w:rPr>
        <w:t>政府采购政策评审</w:t>
      </w:r>
    </w:p>
    <w:p w14:paraId="1627C557">
      <w:pPr>
        <w:pStyle w:val="39"/>
        <w:numPr>
          <w:ilvl w:val="0"/>
          <w:numId w:val="0"/>
        </w:numPr>
        <w:ind w:firstLine="480" w:firstLineChars="200"/>
        <w:rPr>
          <w:color w:val="auto"/>
          <w:highlight w:val="none"/>
        </w:rPr>
      </w:pPr>
      <w:r>
        <w:rPr>
          <w:color w:val="auto"/>
          <w:highlight w:val="none"/>
        </w:rPr>
        <w:t>1</w:t>
      </w:r>
      <w:r>
        <w:rPr>
          <w:rFonts w:hint="eastAsia"/>
          <w:color w:val="auto"/>
          <w:highlight w:val="none"/>
          <w:lang w:val="en-US" w:eastAsia="zh-CN"/>
        </w:rPr>
        <w:t>2</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，对小微企业中的监狱企业、残疾人福利性单位、采购产品纳入创新产品应用示范推荐目录内企业、采购产品获得节能产品或环境标志产品认证证书的企业报价按照本</w:t>
      </w:r>
      <w:r>
        <w:rPr>
          <w:rFonts w:hint="eastAsia"/>
          <w:color w:val="auto"/>
          <w:highlight w:val="none"/>
          <w:lang w:val="en-US" w:eastAsia="zh-CN"/>
        </w:rPr>
        <w:t>招标</w:t>
      </w:r>
      <w:r>
        <w:rPr>
          <w:rFonts w:hint="eastAsia"/>
          <w:color w:val="auto"/>
          <w:highlight w:val="none"/>
        </w:rPr>
        <w:t>文件</w:t>
      </w:r>
      <w:r>
        <w:rPr>
          <w:rFonts w:hint="eastAsia"/>
          <w:color w:val="auto"/>
          <w:highlight w:val="none"/>
          <w:lang w:eastAsia="zh-CN"/>
        </w:rPr>
        <w:t>“</w:t>
      </w:r>
      <w:r>
        <w:rPr>
          <w:rFonts w:hint="eastAsia"/>
          <w:color w:val="auto"/>
          <w:highlight w:val="none"/>
          <w:lang w:val="en-US" w:eastAsia="zh-CN"/>
        </w:rPr>
        <w:t>投标人</w:t>
      </w:r>
      <w:r>
        <w:rPr>
          <w:rFonts w:hint="eastAsia"/>
          <w:color w:val="auto"/>
          <w:highlight w:val="none"/>
        </w:rPr>
        <w:t>须知前附表”中的规定扣除，用扣除后的价格计算评审基准价</w:t>
      </w:r>
      <w:r>
        <w:rPr>
          <w:color w:val="auto"/>
          <w:highlight w:val="none"/>
        </w:rPr>
        <w:t>。</w:t>
      </w:r>
    </w:p>
    <w:p w14:paraId="1E5F4E03">
      <w:pPr>
        <w:pStyle w:val="39"/>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中的两种及以上，将不重复享受小微企业价格扣减的优惠政策。</w:t>
      </w:r>
    </w:p>
    <w:p w14:paraId="1A495953">
      <w:pPr>
        <w:pStyle w:val="39"/>
        <w:numPr>
          <w:ilvl w:val="0"/>
          <w:numId w:val="0"/>
        </w:numPr>
        <w:shd w:val="clear" w:color="auto" w:fill="FFFFFF" w:themeFill="background1"/>
        <w:ind w:firstLine="480" w:firstLineChars="200"/>
        <w:rPr>
          <w:rFonts w:ascii="宋体" w:hAnsi="宋体" w:eastAsia="宋体" w:cstheme="minorBidi"/>
          <w:color w:val="auto"/>
          <w:kern w:val="2"/>
          <w:sz w:val="24"/>
          <w:szCs w:val="22"/>
          <w:highlight w:val="none"/>
          <w:lang w:val="en-US" w:eastAsia="zh-CN" w:bidi="ar-SA"/>
        </w:rPr>
      </w:pPr>
      <w:r>
        <w:rPr>
          <w:rFonts w:ascii="宋体" w:hAnsi="宋体" w:eastAsia="宋体" w:cstheme="minorBidi"/>
          <w:color w:val="auto"/>
          <w:kern w:val="2"/>
          <w:sz w:val="24"/>
          <w:szCs w:val="22"/>
          <w:highlight w:val="none"/>
          <w:lang w:val="en-US" w:eastAsia="zh-CN" w:bidi="ar-SA"/>
        </w:rPr>
        <w:t>组成联合体或者接受分包的小微企业与联合体内其他企业、分包企业</w:t>
      </w:r>
      <w:r>
        <w:rPr>
          <w:rFonts w:hint="default" w:ascii="宋体" w:hAnsi="宋体" w:eastAsia="宋体" w:cstheme="minorBidi"/>
          <w:color w:val="auto"/>
          <w:kern w:val="2"/>
          <w:sz w:val="24"/>
          <w:szCs w:val="22"/>
          <w:highlight w:val="none"/>
          <w:lang w:val="en-US" w:eastAsia="zh-CN" w:bidi="ar-SA"/>
        </w:rPr>
        <w:t>之间存在直接控股、管理关系的，不享受价格扣除优惠政策。</w:t>
      </w:r>
    </w:p>
    <w:p w14:paraId="4FDAF77C">
      <w:pPr>
        <w:pStyle w:val="39"/>
        <w:numPr>
          <w:ilvl w:val="0"/>
          <w:numId w:val="0"/>
        </w:numPr>
        <w:ind w:firstLine="480" w:firstLineChars="200"/>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39"/>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874ED83">
      <w:pPr>
        <w:pStyle w:val="39"/>
        <w:numPr>
          <w:ilvl w:val="0"/>
          <w:numId w:val="0"/>
        </w:numPr>
        <w:ind w:firstLine="480" w:firstLineChars="200"/>
        <w:rPr>
          <w:rFonts w:hint="eastAsia" w:ascii="宋体" w:hAnsi="宋体" w:eastAsia="宋体"/>
          <w:color w:val="auto"/>
          <w:highlight w:val="none"/>
        </w:rPr>
      </w:pPr>
      <w:r>
        <w:rPr>
          <w:rFonts w:hint="eastAsia" w:ascii="宋体" w:hAnsi="宋体" w:eastAsia="宋体"/>
          <w:color w:val="auto"/>
          <w:highlight w:val="none"/>
          <w:lang w:val="en-US" w:eastAsia="zh-CN"/>
        </w:rPr>
        <w:t>12.4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548FFFDB">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44" w:name="_Toc8718"/>
      <w:bookmarkStart w:id="545" w:name="_Toc32272"/>
      <w:bookmarkStart w:id="546" w:name="_Toc1357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544"/>
      <w:bookmarkEnd w:id="545"/>
      <w:bookmarkEnd w:id="546"/>
    </w:p>
    <w:p w14:paraId="073A56A5">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13.评标过程中，各项分值一般精确到小数点后两位，评标得分应为商务评分、技术评分、报价评分之和。评标委员会各成员应汇总每个投标人的得分。</w:t>
      </w:r>
    </w:p>
    <w:p w14:paraId="0BE80DC7">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14.1分值汇总计算错误的；</w:t>
      </w:r>
    </w:p>
    <w:p w14:paraId="4404F7B4">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14.2分项评分超出评分标准范围的；</w:t>
      </w:r>
    </w:p>
    <w:p w14:paraId="18150CA8">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14.3评标委员会成员对客观评审因素评分不一致的；</w:t>
      </w:r>
    </w:p>
    <w:p w14:paraId="6BFAB3DA">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14.4经评标委员会认定评分畸高、畸低的。</w:t>
      </w:r>
    </w:p>
    <w:p w14:paraId="0FD26D1C">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47" w:name="_Toc16908"/>
      <w:bookmarkStart w:id="548" w:name="_Toc25831"/>
      <w:bookmarkStart w:id="549" w:name="_Toc108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547"/>
      <w:bookmarkEnd w:id="548"/>
      <w:bookmarkEnd w:id="549"/>
    </w:p>
    <w:p w14:paraId="514ADBD8">
      <w:pPr>
        <w:pStyle w:val="39"/>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39"/>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50" w:name="_Toc13628"/>
      <w:bookmarkStart w:id="551" w:name="_Toc7048"/>
      <w:bookmarkStart w:id="552" w:name="_Toc3106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550"/>
      <w:bookmarkEnd w:id="551"/>
      <w:bookmarkEnd w:id="552"/>
    </w:p>
    <w:p w14:paraId="3576CABA">
      <w:pPr>
        <w:pStyle w:val="39"/>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53" w:name="_Toc102114919"/>
      <w:bookmarkStart w:id="554" w:name="_Toc102119852"/>
      <w:bookmarkStart w:id="555" w:name="_Toc4897"/>
      <w:bookmarkStart w:id="556" w:name="_Toc102116151"/>
      <w:bookmarkStart w:id="557" w:name="_Toc163492906"/>
      <w:bookmarkStart w:id="558" w:name="_Toc102057717"/>
      <w:bookmarkStart w:id="559" w:name="_Toc102116021"/>
      <w:bookmarkStart w:id="560" w:name="_Toc25294"/>
      <w:bookmarkStart w:id="561" w:name="_Toc102056217"/>
      <w:bookmarkStart w:id="562" w:name="_Toc22304"/>
      <w:bookmarkStart w:id="563" w:name="_Toc15518591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553"/>
      <w:bookmarkEnd w:id="554"/>
      <w:bookmarkEnd w:id="555"/>
      <w:bookmarkEnd w:id="556"/>
      <w:bookmarkEnd w:id="557"/>
      <w:bookmarkEnd w:id="558"/>
      <w:bookmarkEnd w:id="559"/>
      <w:bookmarkEnd w:id="560"/>
      <w:bookmarkEnd w:id="561"/>
      <w:bookmarkEnd w:id="562"/>
      <w:bookmarkEnd w:id="563"/>
    </w:p>
    <w:p w14:paraId="2D93D6F8">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C5FC304">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64" w:name="_Toc102116152"/>
      <w:bookmarkStart w:id="565" w:name="_Toc102057718"/>
      <w:bookmarkStart w:id="566" w:name="_Toc20839"/>
      <w:bookmarkStart w:id="567" w:name="_Toc102116022"/>
      <w:bookmarkStart w:id="568" w:name="_Toc102114920"/>
      <w:bookmarkStart w:id="569" w:name="_Toc5243"/>
      <w:bookmarkStart w:id="570" w:name="_Toc155185914"/>
      <w:bookmarkStart w:id="571" w:name="_Toc102119853"/>
      <w:bookmarkStart w:id="572" w:name="_Toc14002"/>
      <w:bookmarkStart w:id="573" w:name="_Toc163492907"/>
      <w:bookmarkStart w:id="574" w:name="_Toc10205621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564"/>
      <w:bookmarkEnd w:id="565"/>
      <w:bookmarkEnd w:id="566"/>
      <w:bookmarkEnd w:id="567"/>
      <w:bookmarkEnd w:id="568"/>
      <w:bookmarkEnd w:id="569"/>
      <w:bookmarkEnd w:id="570"/>
      <w:bookmarkEnd w:id="571"/>
      <w:bookmarkEnd w:id="572"/>
      <w:bookmarkEnd w:id="573"/>
      <w:bookmarkEnd w:id="574"/>
    </w:p>
    <w:p w14:paraId="190044DE">
      <w:pPr>
        <w:pStyle w:val="39"/>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75" w:name="_Toc8262"/>
      <w:bookmarkStart w:id="576" w:name="_Toc13967"/>
      <w:bookmarkStart w:id="577" w:name="_Toc1059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575"/>
      <w:bookmarkEnd w:id="576"/>
      <w:bookmarkEnd w:id="577"/>
    </w:p>
    <w:p w14:paraId="461B653A">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39"/>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513"/>
    <w:bookmarkEnd w:id="514"/>
    <w:bookmarkEnd w:id="515"/>
    <w:bookmarkEnd w:id="516"/>
    <w:bookmarkEnd w:id="517"/>
    <w:bookmarkEnd w:id="518"/>
    <w:bookmarkEnd w:id="519"/>
    <w:bookmarkEnd w:id="520"/>
    <w:bookmarkEnd w:id="521"/>
    <w:bookmarkEnd w:id="522"/>
    <w:p w14:paraId="0BE29AB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578" w:name="_Toc22385"/>
      <w:bookmarkStart w:id="579" w:name="_Toc209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578"/>
      <w:bookmarkEnd w:id="579"/>
    </w:p>
    <w:p w14:paraId="6FC1DEB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80" w:name="_Toc29368"/>
      <w:bookmarkStart w:id="581" w:name="_Toc1508"/>
      <w:bookmarkStart w:id="582" w:name="_Toc163492909"/>
      <w:bookmarkStart w:id="583" w:name="_Toc12396"/>
      <w:r>
        <w:rPr>
          <w:rFonts w:hint="eastAsia" w:ascii="宋体" w:hAnsi="宋体" w:eastAsia="宋体" w:cs="宋体"/>
          <w:b/>
          <w:bCs/>
          <w:color w:val="auto"/>
          <w:kern w:val="2"/>
          <w:sz w:val="24"/>
          <w:szCs w:val="24"/>
          <w:highlight w:val="none"/>
          <w:lang w:val="zh-CN" w:eastAsia="zh-CN" w:bidi="ar-SA"/>
        </w:rPr>
        <w:t>（一）符合性审查表</w:t>
      </w:r>
      <w:bookmarkEnd w:id="580"/>
      <w:bookmarkEnd w:id="581"/>
      <w:bookmarkEnd w:id="582"/>
      <w:bookmarkEnd w:id="583"/>
    </w:p>
    <w:tbl>
      <w:tblPr>
        <w:tblStyle w:val="32"/>
        <w:tblW w:w="10354"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360"/>
        <w:gridCol w:w="758"/>
        <w:gridCol w:w="758"/>
        <w:gridCol w:w="758"/>
      </w:tblGrid>
      <w:tr w14:paraId="1787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20" w:type="dxa"/>
            <w:vMerge w:val="restart"/>
            <w:noWrap w:val="0"/>
            <w:vAlign w:val="bottom"/>
          </w:tcPr>
          <w:p w14:paraId="0C2B3C3D">
            <w:pPr>
              <w:spacing w:line="360" w:lineRule="auto"/>
              <w:jc w:val="center"/>
              <w:rPr>
                <w:rFonts w:hint="eastAsia" w:ascii="宋体" w:hAnsi="宋体" w:cs="仿宋"/>
                <w:b/>
                <w:spacing w:val="-2"/>
                <w:sz w:val="24"/>
              </w:rPr>
            </w:pPr>
            <w:bookmarkStart w:id="584" w:name="_Toc155185917"/>
            <w:bookmarkStart w:id="585" w:name="_Toc163492910"/>
            <w:r>
              <w:rPr>
                <w:rFonts w:hint="eastAsia" w:ascii="宋体" w:hAnsi="宋体" w:cs="仿宋"/>
                <w:b/>
                <w:spacing w:val="-2"/>
                <w:sz w:val="24"/>
              </w:rPr>
              <w:t>序号</w:t>
            </w:r>
          </w:p>
        </w:tc>
        <w:tc>
          <w:tcPr>
            <w:tcW w:w="7360" w:type="dxa"/>
            <w:vMerge w:val="restart"/>
            <w:noWrap w:val="0"/>
            <w:vAlign w:val="bottom"/>
          </w:tcPr>
          <w:p w14:paraId="148DEC54">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2274" w:type="dxa"/>
            <w:gridSpan w:val="3"/>
            <w:noWrap w:val="0"/>
            <w:vAlign w:val="bottom"/>
          </w:tcPr>
          <w:p w14:paraId="257D0465">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7FD2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20" w:type="dxa"/>
            <w:vMerge w:val="continue"/>
            <w:noWrap w:val="0"/>
            <w:vAlign w:val="bottom"/>
          </w:tcPr>
          <w:p w14:paraId="21661A92">
            <w:pPr>
              <w:spacing w:line="360" w:lineRule="auto"/>
              <w:jc w:val="center"/>
              <w:rPr>
                <w:rFonts w:hint="eastAsia" w:ascii="宋体" w:hAnsi="宋体" w:cs="仿宋"/>
                <w:b/>
                <w:spacing w:val="-2"/>
                <w:sz w:val="24"/>
              </w:rPr>
            </w:pPr>
          </w:p>
        </w:tc>
        <w:tc>
          <w:tcPr>
            <w:tcW w:w="7360" w:type="dxa"/>
            <w:vMerge w:val="continue"/>
            <w:noWrap w:val="0"/>
            <w:vAlign w:val="bottom"/>
          </w:tcPr>
          <w:p w14:paraId="77332FBE">
            <w:pPr>
              <w:spacing w:line="360" w:lineRule="auto"/>
              <w:jc w:val="center"/>
              <w:rPr>
                <w:rFonts w:hint="eastAsia" w:ascii="宋体" w:hAnsi="宋体" w:cs="仿宋"/>
                <w:b/>
                <w:spacing w:val="-2"/>
                <w:sz w:val="24"/>
              </w:rPr>
            </w:pPr>
          </w:p>
        </w:tc>
        <w:tc>
          <w:tcPr>
            <w:tcW w:w="758" w:type="dxa"/>
            <w:noWrap w:val="0"/>
            <w:vAlign w:val="bottom"/>
          </w:tcPr>
          <w:p w14:paraId="21E11788">
            <w:pPr>
              <w:spacing w:line="360" w:lineRule="auto"/>
              <w:jc w:val="center"/>
              <w:rPr>
                <w:rFonts w:hint="eastAsia" w:ascii="宋体" w:hAnsi="宋体" w:cs="仿宋"/>
                <w:b/>
                <w:spacing w:val="-2"/>
                <w:sz w:val="24"/>
              </w:rPr>
            </w:pPr>
          </w:p>
        </w:tc>
        <w:tc>
          <w:tcPr>
            <w:tcW w:w="758" w:type="dxa"/>
            <w:noWrap w:val="0"/>
            <w:vAlign w:val="top"/>
          </w:tcPr>
          <w:p w14:paraId="11D4A4E6">
            <w:pPr>
              <w:spacing w:line="360" w:lineRule="auto"/>
              <w:jc w:val="center"/>
              <w:rPr>
                <w:rFonts w:hint="eastAsia" w:ascii="宋体" w:hAnsi="宋体" w:cs="仿宋"/>
                <w:b/>
                <w:spacing w:val="-2"/>
                <w:sz w:val="24"/>
              </w:rPr>
            </w:pPr>
          </w:p>
        </w:tc>
        <w:tc>
          <w:tcPr>
            <w:tcW w:w="758" w:type="dxa"/>
            <w:noWrap w:val="0"/>
            <w:vAlign w:val="top"/>
          </w:tcPr>
          <w:p w14:paraId="6386DC30">
            <w:pPr>
              <w:spacing w:line="360" w:lineRule="auto"/>
              <w:jc w:val="center"/>
              <w:rPr>
                <w:rFonts w:hint="eastAsia" w:ascii="宋体" w:hAnsi="宋体" w:cs="仿宋"/>
                <w:b/>
                <w:spacing w:val="-2"/>
                <w:sz w:val="24"/>
              </w:rPr>
            </w:pPr>
          </w:p>
        </w:tc>
      </w:tr>
      <w:tr w14:paraId="450A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20" w:type="dxa"/>
            <w:noWrap w:val="0"/>
            <w:vAlign w:val="center"/>
          </w:tcPr>
          <w:p w14:paraId="5E05C8FE">
            <w:pPr>
              <w:pStyle w:val="13"/>
              <w:spacing w:line="360" w:lineRule="auto"/>
              <w:jc w:val="center"/>
              <w:rPr>
                <w:rFonts w:hint="eastAsia" w:ascii="宋体" w:hAnsi="宋体" w:eastAsia="宋体"/>
                <w:szCs w:val="24"/>
              </w:rPr>
            </w:pPr>
            <w:r>
              <w:rPr>
                <w:rFonts w:hint="eastAsia" w:ascii="宋体" w:hAnsi="宋体" w:eastAsia="宋体"/>
                <w:szCs w:val="24"/>
              </w:rPr>
              <w:t>1</w:t>
            </w:r>
          </w:p>
        </w:tc>
        <w:tc>
          <w:tcPr>
            <w:tcW w:w="7360" w:type="dxa"/>
            <w:noWrap w:val="0"/>
            <w:vAlign w:val="center"/>
          </w:tcPr>
          <w:p w14:paraId="3726ED64">
            <w:pPr>
              <w:spacing w:line="360" w:lineRule="auto"/>
              <w:rPr>
                <w:rFonts w:hint="eastAsia" w:ascii="宋体" w:hAnsi="宋体" w:cs="仿宋"/>
                <w:sz w:val="24"/>
              </w:rPr>
            </w:pPr>
            <w:r>
              <w:rPr>
                <w:rFonts w:hint="eastAsia" w:ascii="宋体" w:hAnsi="宋体" w:cs="仿宋"/>
                <w:color w:val="000000"/>
                <w:sz w:val="24"/>
              </w:rPr>
              <w:t>按</w:t>
            </w:r>
            <w:r>
              <w:rPr>
                <w:rFonts w:hint="eastAsia" w:cs="仿宋"/>
                <w:color w:val="000000"/>
                <w:sz w:val="24"/>
                <w:lang w:val="en-US" w:eastAsia="zh-CN"/>
              </w:rPr>
              <w:t>招标</w:t>
            </w:r>
            <w:r>
              <w:rPr>
                <w:rFonts w:hint="eastAsia" w:ascii="宋体" w:hAnsi="宋体" w:cs="仿宋"/>
                <w:color w:val="000000"/>
                <w:sz w:val="24"/>
              </w:rPr>
              <w:t>文件的规定提交</w:t>
            </w:r>
            <w:r>
              <w:rPr>
                <w:rFonts w:hint="eastAsia" w:cs="仿宋"/>
                <w:color w:val="000000"/>
                <w:sz w:val="24"/>
                <w:lang w:val="en-US" w:eastAsia="zh-CN"/>
              </w:rPr>
              <w:t>投标</w:t>
            </w:r>
            <w:r>
              <w:rPr>
                <w:rFonts w:hint="eastAsia" w:ascii="宋体" w:hAnsi="宋体" w:cs="仿宋"/>
                <w:color w:val="000000"/>
                <w:sz w:val="24"/>
              </w:rPr>
              <w:t>保证金的；</w:t>
            </w:r>
          </w:p>
        </w:tc>
        <w:tc>
          <w:tcPr>
            <w:tcW w:w="758" w:type="dxa"/>
            <w:noWrap w:val="0"/>
            <w:vAlign w:val="top"/>
          </w:tcPr>
          <w:p w14:paraId="647D0FFE">
            <w:pPr>
              <w:pStyle w:val="13"/>
              <w:rPr>
                <w:rFonts w:hint="eastAsia" w:ascii="宋体" w:hAnsi="宋体" w:eastAsia="宋体"/>
                <w:szCs w:val="24"/>
              </w:rPr>
            </w:pPr>
          </w:p>
        </w:tc>
        <w:tc>
          <w:tcPr>
            <w:tcW w:w="758" w:type="dxa"/>
            <w:noWrap w:val="0"/>
            <w:vAlign w:val="top"/>
          </w:tcPr>
          <w:p w14:paraId="0C859528">
            <w:pPr>
              <w:pStyle w:val="13"/>
              <w:rPr>
                <w:rFonts w:hint="eastAsia" w:ascii="宋体" w:hAnsi="宋体" w:eastAsia="宋体"/>
                <w:szCs w:val="24"/>
              </w:rPr>
            </w:pPr>
          </w:p>
        </w:tc>
        <w:tc>
          <w:tcPr>
            <w:tcW w:w="758" w:type="dxa"/>
            <w:noWrap w:val="0"/>
            <w:vAlign w:val="top"/>
          </w:tcPr>
          <w:p w14:paraId="55E38858">
            <w:pPr>
              <w:pStyle w:val="13"/>
              <w:rPr>
                <w:rFonts w:hint="eastAsia" w:ascii="宋体" w:hAnsi="宋体" w:eastAsia="宋体"/>
                <w:szCs w:val="24"/>
              </w:rPr>
            </w:pPr>
          </w:p>
        </w:tc>
      </w:tr>
      <w:tr w14:paraId="43BC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720" w:type="dxa"/>
            <w:noWrap w:val="0"/>
            <w:vAlign w:val="center"/>
          </w:tcPr>
          <w:p w14:paraId="5DEB8018">
            <w:pPr>
              <w:pStyle w:val="13"/>
              <w:spacing w:line="360" w:lineRule="auto"/>
              <w:jc w:val="center"/>
              <w:rPr>
                <w:rFonts w:hint="eastAsia" w:ascii="宋体" w:hAnsi="宋体" w:eastAsia="宋体"/>
                <w:szCs w:val="24"/>
              </w:rPr>
            </w:pPr>
            <w:r>
              <w:rPr>
                <w:rFonts w:hint="eastAsia" w:ascii="宋体" w:hAnsi="宋体" w:eastAsia="宋体"/>
                <w:szCs w:val="24"/>
              </w:rPr>
              <w:t>2</w:t>
            </w:r>
          </w:p>
        </w:tc>
        <w:tc>
          <w:tcPr>
            <w:tcW w:w="7360" w:type="dxa"/>
            <w:noWrap w:val="0"/>
            <w:vAlign w:val="center"/>
          </w:tcPr>
          <w:p w14:paraId="02779F6D">
            <w:pPr>
              <w:pStyle w:val="13"/>
              <w:spacing w:line="360" w:lineRule="auto"/>
              <w:rPr>
                <w:rFonts w:hint="eastAsia" w:ascii="宋体" w:hAnsi="宋体" w:eastAsia="宋体"/>
                <w:szCs w:val="24"/>
              </w:rPr>
            </w:pPr>
            <w:r>
              <w:rPr>
                <w:rFonts w:hint="eastAsia" w:ascii="宋体" w:hAnsi="宋体" w:eastAsia="宋体" w:cs="仿宋"/>
                <w:color w:val="000000"/>
                <w:szCs w:val="24"/>
                <w:lang w:val="en-US" w:eastAsia="zh-CN"/>
              </w:rPr>
              <w:t>投标</w:t>
            </w:r>
            <w:r>
              <w:rPr>
                <w:rFonts w:hint="eastAsia" w:ascii="宋体" w:hAnsi="宋体" w:eastAsia="宋体" w:cs="仿宋"/>
                <w:color w:val="000000"/>
                <w:szCs w:val="24"/>
              </w:rPr>
              <w:t>文件按</w:t>
            </w:r>
            <w:r>
              <w:rPr>
                <w:rFonts w:hint="eastAsia" w:ascii="宋体" w:hAnsi="宋体" w:eastAsia="宋体" w:cs="仿宋"/>
                <w:color w:val="000000"/>
                <w:szCs w:val="24"/>
                <w:lang w:val="en-US" w:eastAsia="zh-CN"/>
              </w:rPr>
              <w:t>招标</w:t>
            </w:r>
            <w:r>
              <w:rPr>
                <w:rFonts w:hint="eastAsia" w:ascii="宋体" w:hAnsi="宋体" w:eastAsia="宋体" w:cs="仿宋"/>
                <w:color w:val="000000"/>
                <w:szCs w:val="24"/>
              </w:rPr>
              <w:t>文件的规定要求签署、盖章的；</w:t>
            </w:r>
          </w:p>
        </w:tc>
        <w:tc>
          <w:tcPr>
            <w:tcW w:w="758" w:type="dxa"/>
            <w:noWrap w:val="0"/>
            <w:vAlign w:val="top"/>
          </w:tcPr>
          <w:p w14:paraId="2EB310AE">
            <w:pPr>
              <w:pStyle w:val="13"/>
              <w:rPr>
                <w:rFonts w:hint="eastAsia" w:ascii="宋体" w:hAnsi="宋体" w:eastAsia="宋体"/>
                <w:szCs w:val="24"/>
              </w:rPr>
            </w:pPr>
          </w:p>
        </w:tc>
        <w:tc>
          <w:tcPr>
            <w:tcW w:w="758" w:type="dxa"/>
            <w:noWrap w:val="0"/>
            <w:vAlign w:val="top"/>
          </w:tcPr>
          <w:p w14:paraId="61953D05">
            <w:pPr>
              <w:pStyle w:val="13"/>
              <w:rPr>
                <w:rFonts w:hint="eastAsia" w:ascii="宋体" w:hAnsi="宋体" w:eastAsia="宋体"/>
                <w:szCs w:val="24"/>
              </w:rPr>
            </w:pPr>
          </w:p>
        </w:tc>
        <w:tc>
          <w:tcPr>
            <w:tcW w:w="758" w:type="dxa"/>
            <w:noWrap w:val="0"/>
            <w:vAlign w:val="top"/>
          </w:tcPr>
          <w:p w14:paraId="6B8A37A2">
            <w:pPr>
              <w:pStyle w:val="13"/>
              <w:rPr>
                <w:rFonts w:hint="eastAsia" w:ascii="宋体" w:hAnsi="宋体" w:eastAsia="宋体"/>
                <w:szCs w:val="24"/>
              </w:rPr>
            </w:pPr>
          </w:p>
        </w:tc>
      </w:tr>
      <w:tr w14:paraId="66BF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0" w:type="dxa"/>
            <w:noWrap w:val="0"/>
            <w:vAlign w:val="center"/>
          </w:tcPr>
          <w:p w14:paraId="0AB5D786">
            <w:pPr>
              <w:pStyle w:val="13"/>
              <w:spacing w:line="360" w:lineRule="auto"/>
              <w:jc w:val="center"/>
              <w:rPr>
                <w:rFonts w:hint="eastAsia" w:ascii="宋体" w:hAnsi="宋体" w:eastAsia="宋体"/>
                <w:szCs w:val="24"/>
              </w:rPr>
            </w:pPr>
            <w:r>
              <w:rPr>
                <w:rFonts w:hint="eastAsia" w:ascii="宋体" w:hAnsi="宋体" w:eastAsia="宋体"/>
                <w:szCs w:val="24"/>
              </w:rPr>
              <w:t>3</w:t>
            </w:r>
          </w:p>
        </w:tc>
        <w:tc>
          <w:tcPr>
            <w:tcW w:w="7360" w:type="dxa"/>
            <w:noWrap w:val="0"/>
            <w:vAlign w:val="center"/>
          </w:tcPr>
          <w:p w14:paraId="55BCE3EA">
            <w:pPr>
              <w:spacing w:line="360" w:lineRule="auto"/>
              <w:rPr>
                <w:rFonts w:hint="eastAsia" w:ascii="宋体" w:hAnsi="宋体" w:cs="仿宋"/>
                <w:sz w:val="24"/>
              </w:rPr>
            </w:pPr>
            <w:r>
              <w:rPr>
                <w:rFonts w:hint="eastAsia" w:ascii="宋体" w:hAnsi="宋体"/>
                <w:color w:val="000000"/>
                <w:sz w:val="24"/>
                <w:lang w:val="en-US" w:eastAsia="zh-CN"/>
              </w:rPr>
              <w:t>合同履约期限</w:t>
            </w:r>
            <w:r>
              <w:rPr>
                <w:rFonts w:hint="eastAsia" w:ascii="宋体" w:hAnsi="宋体"/>
                <w:color w:val="000000"/>
                <w:sz w:val="24"/>
              </w:rPr>
              <w:t>满足</w:t>
            </w:r>
            <w:r>
              <w:rPr>
                <w:rFonts w:hint="eastAsia"/>
                <w:color w:val="000000"/>
                <w:sz w:val="24"/>
                <w:lang w:val="en-US" w:eastAsia="zh-CN"/>
              </w:rPr>
              <w:t>招标</w:t>
            </w:r>
            <w:r>
              <w:rPr>
                <w:rFonts w:hint="eastAsia" w:ascii="宋体" w:hAnsi="宋体"/>
                <w:color w:val="000000"/>
                <w:sz w:val="24"/>
              </w:rPr>
              <w:t>文件规定的；</w:t>
            </w:r>
          </w:p>
        </w:tc>
        <w:tc>
          <w:tcPr>
            <w:tcW w:w="758" w:type="dxa"/>
            <w:noWrap w:val="0"/>
            <w:vAlign w:val="top"/>
          </w:tcPr>
          <w:p w14:paraId="65872F6B">
            <w:pPr>
              <w:pStyle w:val="13"/>
              <w:rPr>
                <w:rFonts w:hint="eastAsia" w:ascii="宋体" w:hAnsi="宋体" w:eastAsia="宋体"/>
                <w:szCs w:val="24"/>
              </w:rPr>
            </w:pPr>
          </w:p>
        </w:tc>
        <w:tc>
          <w:tcPr>
            <w:tcW w:w="758" w:type="dxa"/>
            <w:noWrap w:val="0"/>
            <w:vAlign w:val="top"/>
          </w:tcPr>
          <w:p w14:paraId="6E2C995E">
            <w:pPr>
              <w:pStyle w:val="13"/>
              <w:rPr>
                <w:rFonts w:hint="eastAsia" w:ascii="宋体" w:hAnsi="宋体" w:eastAsia="宋体"/>
                <w:szCs w:val="24"/>
              </w:rPr>
            </w:pPr>
          </w:p>
        </w:tc>
        <w:tc>
          <w:tcPr>
            <w:tcW w:w="758" w:type="dxa"/>
            <w:noWrap w:val="0"/>
            <w:vAlign w:val="top"/>
          </w:tcPr>
          <w:p w14:paraId="74574276">
            <w:pPr>
              <w:pStyle w:val="13"/>
              <w:rPr>
                <w:rFonts w:hint="eastAsia" w:ascii="宋体" w:hAnsi="宋体" w:eastAsia="宋体"/>
                <w:szCs w:val="24"/>
              </w:rPr>
            </w:pPr>
          </w:p>
        </w:tc>
      </w:tr>
      <w:tr w14:paraId="2044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20" w:type="dxa"/>
            <w:noWrap w:val="0"/>
            <w:vAlign w:val="center"/>
          </w:tcPr>
          <w:p w14:paraId="5BC1D736">
            <w:pPr>
              <w:pStyle w:val="13"/>
              <w:spacing w:line="360" w:lineRule="auto"/>
              <w:jc w:val="center"/>
              <w:rPr>
                <w:rFonts w:hint="eastAsia" w:ascii="宋体" w:hAnsi="宋体" w:eastAsia="宋体"/>
                <w:szCs w:val="24"/>
              </w:rPr>
            </w:pPr>
            <w:r>
              <w:rPr>
                <w:rFonts w:hint="eastAsia" w:ascii="宋体" w:hAnsi="宋体" w:eastAsia="宋体"/>
                <w:szCs w:val="24"/>
              </w:rPr>
              <w:t>4</w:t>
            </w:r>
          </w:p>
        </w:tc>
        <w:tc>
          <w:tcPr>
            <w:tcW w:w="7360" w:type="dxa"/>
            <w:noWrap w:val="0"/>
            <w:vAlign w:val="center"/>
          </w:tcPr>
          <w:p w14:paraId="1525AD2B">
            <w:pPr>
              <w:spacing w:line="360" w:lineRule="auto"/>
              <w:rPr>
                <w:rFonts w:hint="eastAsia" w:ascii="宋体" w:hAnsi="宋体" w:cs="仿宋"/>
                <w:sz w:val="24"/>
              </w:rPr>
            </w:pPr>
            <w:r>
              <w:rPr>
                <w:rFonts w:hint="eastAsia" w:ascii="宋体" w:hAnsi="宋体" w:cs="仿宋"/>
                <w:color w:val="000000"/>
                <w:sz w:val="24"/>
                <w:lang w:val="en-US" w:eastAsia="zh-CN"/>
              </w:rPr>
              <w:t>投标</w:t>
            </w:r>
            <w:r>
              <w:rPr>
                <w:rFonts w:hint="eastAsia" w:ascii="宋体" w:hAnsi="宋体" w:cs="仿宋"/>
                <w:color w:val="000000"/>
                <w:sz w:val="24"/>
              </w:rPr>
              <w:t>报价按照规定要求报价，（包括</w:t>
            </w:r>
            <w:r>
              <w:rPr>
                <w:rFonts w:hint="eastAsia" w:ascii="宋体" w:hAnsi="宋体" w:cs="仿宋"/>
                <w:color w:val="000000"/>
                <w:sz w:val="24"/>
                <w:lang w:val="en-US" w:eastAsia="zh-CN"/>
              </w:rPr>
              <w:t>投标</w:t>
            </w:r>
            <w:r>
              <w:rPr>
                <w:rFonts w:hint="eastAsia" w:ascii="宋体" w:hAnsi="宋体" w:cs="仿宋"/>
                <w:color w:val="000000"/>
                <w:sz w:val="24"/>
              </w:rPr>
              <w:t>总报价及分项投标报价）均未超过预算金额或者最高限价，有且只有一个报价；</w:t>
            </w:r>
          </w:p>
        </w:tc>
        <w:tc>
          <w:tcPr>
            <w:tcW w:w="758" w:type="dxa"/>
            <w:noWrap w:val="0"/>
            <w:vAlign w:val="top"/>
          </w:tcPr>
          <w:p w14:paraId="593171A9">
            <w:pPr>
              <w:pStyle w:val="13"/>
              <w:rPr>
                <w:rFonts w:hint="eastAsia" w:ascii="宋体" w:hAnsi="宋体" w:eastAsia="宋体"/>
                <w:szCs w:val="24"/>
              </w:rPr>
            </w:pPr>
          </w:p>
        </w:tc>
        <w:tc>
          <w:tcPr>
            <w:tcW w:w="758" w:type="dxa"/>
            <w:noWrap w:val="0"/>
            <w:vAlign w:val="top"/>
          </w:tcPr>
          <w:p w14:paraId="3FAD0F41">
            <w:pPr>
              <w:pStyle w:val="13"/>
              <w:rPr>
                <w:rFonts w:hint="eastAsia" w:ascii="宋体" w:hAnsi="宋体" w:eastAsia="宋体"/>
                <w:szCs w:val="24"/>
              </w:rPr>
            </w:pPr>
          </w:p>
        </w:tc>
        <w:tc>
          <w:tcPr>
            <w:tcW w:w="758" w:type="dxa"/>
            <w:noWrap w:val="0"/>
            <w:vAlign w:val="top"/>
          </w:tcPr>
          <w:p w14:paraId="7420FA0F">
            <w:pPr>
              <w:pStyle w:val="13"/>
              <w:rPr>
                <w:rFonts w:hint="eastAsia" w:ascii="宋体" w:hAnsi="宋体" w:eastAsia="宋体"/>
                <w:szCs w:val="24"/>
              </w:rPr>
            </w:pPr>
          </w:p>
        </w:tc>
      </w:tr>
      <w:tr w14:paraId="656B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0" w:type="dxa"/>
            <w:noWrap w:val="0"/>
            <w:vAlign w:val="center"/>
          </w:tcPr>
          <w:p w14:paraId="1944E0F3">
            <w:pPr>
              <w:pStyle w:val="13"/>
              <w:spacing w:line="360" w:lineRule="auto"/>
              <w:jc w:val="center"/>
              <w:rPr>
                <w:rFonts w:hint="eastAsia" w:ascii="宋体" w:hAnsi="宋体" w:eastAsia="宋体"/>
                <w:szCs w:val="24"/>
              </w:rPr>
            </w:pPr>
            <w:r>
              <w:rPr>
                <w:rFonts w:hint="eastAsia" w:ascii="宋体" w:hAnsi="宋体" w:eastAsia="宋体"/>
                <w:szCs w:val="24"/>
              </w:rPr>
              <w:t>5</w:t>
            </w:r>
          </w:p>
        </w:tc>
        <w:tc>
          <w:tcPr>
            <w:tcW w:w="7360" w:type="dxa"/>
            <w:noWrap w:val="0"/>
            <w:vAlign w:val="center"/>
          </w:tcPr>
          <w:p w14:paraId="5697C34C">
            <w:pPr>
              <w:pStyle w:val="13"/>
              <w:spacing w:line="360" w:lineRule="auto"/>
              <w:rPr>
                <w:rFonts w:hint="eastAsia" w:ascii="宋体" w:hAnsi="宋体" w:eastAsia="宋体" w:cs="仿宋"/>
                <w:szCs w:val="24"/>
              </w:rPr>
            </w:pPr>
            <w:r>
              <w:rPr>
                <w:rFonts w:hint="eastAsia" w:ascii="宋体" w:hAnsi="宋体" w:eastAsia="宋体" w:cs="仿宋"/>
                <w:color w:val="000000"/>
                <w:szCs w:val="24"/>
                <w:lang w:val="en-US" w:eastAsia="zh-CN"/>
              </w:rPr>
              <w:t>投标</w:t>
            </w:r>
            <w:r>
              <w:rPr>
                <w:rFonts w:ascii="宋体" w:hAnsi="宋体" w:eastAsia="宋体" w:cs="仿宋"/>
                <w:color w:val="000000"/>
                <w:szCs w:val="24"/>
              </w:rPr>
              <w:t>有效期满足</w:t>
            </w:r>
            <w:r>
              <w:rPr>
                <w:rFonts w:hint="eastAsia" w:ascii="宋体" w:hAnsi="宋体" w:eastAsia="宋体" w:cs="仿宋"/>
                <w:color w:val="000000"/>
                <w:szCs w:val="24"/>
                <w:lang w:val="en-US" w:eastAsia="zh-CN"/>
              </w:rPr>
              <w:t>招标</w:t>
            </w:r>
            <w:r>
              <w:rPr>
                <w:rFonts w:hint="eastAsia" w:ascii="宋体" w:hAnsi="宋体" w:eastAsia="宋体" w:cs="仿宋"/>
                <w:color w:val="000000"/>
                <w:szCs w:val="24"/>
              </w:rPr>
              <w:t>文件</w:t>
            </w:r>
            <w:r>
              <w:rPr>
                <w:rFonts w:ascii="宋体" w:hAnsi="宋体" w:eastAsia="宋体" w:cs="仿宋"/>
                <w:color w:val="000000"/>
                <w:szCs w:val="24"/>
              </w:rPr>
              <w:t>要求</w:t>
            </w:r>
            <w:r>
              <w:rPr>
                <w:rFonts w:hint="eastAsia" w:ascii="宋体" w:hAnsi="宋体" w:eastAsia="宋体" w:cs="仿宋"/>
                <w:color w:val="000000"/>
                <w:szCs w:val="24"/>
              </w:rPr>
              <w:t>；</w:t>
            </w:r>
          </w:p>
        </w:tc>
        <w:tc>
          <w:tcPr>
            <w:tcW w:w="758" w:type="dxa"/>
            <w:noWrap w:val="0"/>
            <w:vAlign w:val="top"/>
          </w:tcPr>
          <w:p w14:paraId="33CF3925">
            <w:pPr>
              <w:pStyle w:val="13"/>
              <w:rPr>
                <w:rFonts w:hint="eastAsia" w:ascii="宋体" w:hAnsi="宋体" w:eastAsia="宋体"/>
                <w:szCs w:val="24"/>
              </w:rPr>
            </w:pPr>
          </w:p>
        </w:tc>
        <w:tc>
          <w:tcPr>
            <w:tcW w:w="758" w:type="dxa"/>
            <w:noWrap w:val="0"/>
            <w:vAlign w:val="top"/>
          </w:tcPr>
          <w:p w14:paraId="37F4EE43">
            <w:pPr>
              <w:pStyle w:val="13"/>
              <w:rPr>
                <w:rFonts w:hint="eastAsia" w:ascii="宋体" w:hAnsi="宋体" w:eastAsia="宋体"/>
                <w:szCs w:val="24"/>
              </w:rPr>
            </w:pPr>
          </w:p>
        </w:tc>
        <w:tc>
          <w:tcPr>
            <w:tcW w:w="758" w:type="dxa"/>
            <w:noWrap w:val="0"/>
            <w:vAlign w:val="top"/>
          </w:tcPr>
          <w:p w14:paraId="4198221D">
            <w:pPr>
              <w:pStyle w:val="13"/>
              <w:rPr>
                <w:rFonts w:hint="eastAsia" w:ascii="宋体" w:hAnsi="宋体" w:eastAsia="宋体"/>
                <w:szCs w:val="24"/>
              </w:rPr>
            </w:pPr>
          </w:p>
        </w:tc>
      </w:tr>
      <w:tr w14:paraId="1017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0" w:type="dxa"/>
            <w:noWrap w:val="0"/>
            <w:vAlign w:val="center"/>
          </w:tcPr>
          <w:p w14:paraId="61038DC7">
            <w:pPr>
              <w:pStyle w:val="13"/>
              <w:spacing w:line="360" w:lineRule="auto"/>
              <w:jc w:val="center"/>
              <w:rPr>
                <w:rFonts w:hint="eastAsia" w:ascii="宋体" w:hAnsi="宋体" w:eastAsia="宋体"/>
                <w:szCs w:val="24"/>
              </w:rPr>
            </w:pPr>
            <w:r>
              <w:rPr>
                <w:rFonts w:hint="eastAsia" w:ascii="宋体" w:hAnsi="宋体" w:eastAsia="宋体"/>
                <w:szCs w:val="24"/>
              </w:rPr>
              <w:t>6</w:t>
            </w:r>
          </w:p>
        </w:tc>
        <w:tc>
          <w:tcPr>
            <w:tcW w:w="7360" w:type="dxa"/>
            <w:noWrap w:val="0"/>
            <w:vAlign w:val="center"/>
          </w:tcPr>
          <w:p w14:paraId="198BD471">
            <w:pPr>
              <w:pStyle w:val="13"/>
              <w:spacing w:line="360" w:lineRule="auto"/>
              <w:rPr>
                <w:rFonts w:hint="eastAsia" w:ascii="宋体" w:hAnsi="宋体" w:eastAsia="宋体"/>
                <w:szCs w:val="24"/>
              </w:rPr>
            </w:pPr>
            <w:r>
              <w:rPr>
                <w:rFonts w:hint="eastAsia" w:ascii="宋体" w:hAnsi="宋体" w:eastAsia="宋体" w:cs="仿宋"/>
                <w:color w:val="000000"/>
                <w:szCs w:val="24"/>
              </w:rPr>
              <w:t>符合</w:t>
            </w:r>
            <w:r>
              <w:rPr>
                <w:rFonts w:hint="eastAsia" w:ascii="宋体" w:hAnsi="宋体" w:eastAsia="宋体" w:cs="仿宋"/>
                <w:color w:val="000000"/>
                <w:szCs w:val="24"/>
                <w:lang w:val="en-US" w:eastAsia="zh-CN"/>
              </w:rPr>
              <w:t>招标</w:t>
            </w:r>
            <w:r>
              <w:rPr>
                <w:rFonts w:hint="eastAsia" w:ascii="宋体" w:hAnsi="宋体" w:eastAsia="宋体" w:cs="仿宋"/>
                <w:color w:val="000000"/>
                <w:szCs w:val="24"/>
              </w:rPr>
              <w:t>文件中规定的其它实质性要求的；</w:t>
            </w:r>
          </w:p>
        </w:tc>
        <w:tc>
          <w:tcPr>
            <w:tcW w:w="758" w:type="dxa"/>
            <w:noWrap w:val="0"/>
            <w:vAlign w:val="top"/>
          </w:tcPr>
          <w:p w14:paraId="2B03C34B">
            <w:pPr>
              <w:pStyle w:val="13"/>
              <w:rPr>
                <w:rFonts w:hint="eastAsia" w:ascii="宋体" w:hAnsi="宋体" w:eastAsia="宋体"/>
                <w:szCs w:val="24"/>
              </w:rPr>
            </w:pPr>
          </w:p>
        </w:tc>
        <w:tc>
          <w:tcPr>
            <w:tcW w:w="758" w:type="dxa"/>
            <w:noWrap w:val="0"/>
            <w:vAlign w:val="top"/>
          </w:tcPr>
          <w:p w14:paraId="087567A9">
            <w:pPr>
              <w:pStyle w:val="13"/>
              <w:rPr>
                <w:rFonts w:hint="eastAsia" w:ascii="宋体" w:hAnsi="宋体" w:eastAsia="宋体"/>
                <w:szCs w:val="24"/>
              </w:rPr>
            </w:pPr>
          </w:p>
        </w:tc>
        <w:tc>
          <w:tcPr>
            <w:tcW w:w="758" w:type="dxa"/>
            <w:noWrap w:val="0"/>
            <w:vAlign w:val="top"/>
          </w:tcPr>
          <w:p w14:paraId="684BB80F">
            <w:pPr>
              <w:pStyle w:val="13"/>
              <w:rPr>
                <w:rFonts w:hint="eastAsia" w:ascii="宋体" w:hAnsi="宋体" w:eastAsia="宋体"/>
                <w:szCs w:val="24"/>
              </w:rPr>
            </w:pPr>
          </w:p>
        </w:tc>
      </w:tr>
      <w:tr w14:paraId="33D3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0" w:type="dxa"/>
            <w:noWrap w:val="0"/>
            <w:vAlign w:val="center"/>
          </w:tcPr>
          <w:p w14:paraId="3EDBED4D">
            <w:pPr>
              <w:pStyle w:val="13"/>
              <w:spacing w:line="360" w:lineRule="auto"/>
              <w:jc w:val="center"/>
              <w:rPr>
                <w:rFonts w:hint="eastAsia" w:ascii="宋体" w:hAnsi="宋体" w:eastAsia="宋体"/>
                <w:szCs w:val="24"/>
              </w:rPr>
            </w:pPr>
            <w:r>
              <w:rPr>
                <w:rFonts w:hint="eastAsia" w:ascii="宋体" w:hAnsi="宋体" w:eastAsia="宋体"/>
                <w:szCs w:val="24"/>
              </w:rPr>
              <w:t>7</w:t>
            </w:r>
          </w:p>
        </w:tc>
        <w:tc>
          <w:tcPr>
            <w:tcW w:w="7360" w:type="dxa"/>
            <w:noWrap w:val="0"/>
            <w:vAlign w:val="center"/>
          </w:tcPr>
          <w:p w14:paraId="516F6895">
            <w:pPr>
              <w:pStyle w:val="13"/>
              <w:spacing w:line="360" w:lineRule="auto"/>
              <w:rPr>
                <w:rFonts w:hint="eastAsia" w:ascii="宋体" w:hAnsi="宋体" w:eastAsia="宋体"/>
                <w:szCs w:val="24"/>
              </w:rPr>
            </w:pPr>
            <w:r>
              <w:rPr>
                <w:rFonts w:hint="eastAsia" w:ascii="宋体" w:hAnsi="宋体" w:eastAsia="宋体" w:cs="仿宋"/>
                <w:color w:val="000000"/>
                <w:szCs w:val="24"/>
                <w:lang w:val="en-US" w:eastAsia="zh-CN"/>
              </w:rPr>
              <w:t>投标</w:t>
            </w:r>
            <w:r>
              <w:rPr>
                <w:rFonts w:hint="eastAsia" w:ascii="宋体" w:hAnsi="宋体" w:eastAsia="宋体" w:cs="仿宋"/>
                <w:color w:val="000000"/>
                <w:szCs w:val="24"/>
              </w:rPr>
              <w:t>文件中未附有招标人不能接受的附加条件的；</w:t>
            </w:r>
          </w:p>
        </w:tc>
        <w:tc>
          <w:tcPr>
            <w:tcW w:w="758" w:type="dxa"/>
            <w:noWrap w:val="0"/>
            <w:vAlign w:val="top"/>
          </w:tcPr>
          <w:p w14:paraId="27303DE3">
            <w:pPr>
              <w:pStyle w:val="13"/>
              <w:rPr>
                <w:rFonts w:hint="eastAsia" w:ascii="宋体" w:hAnsi="宋体" w:eastAsia="宋体"/>
                <w:szCs w:val="24"/>
              </w:rPr>
            </w:pPr>
          </w:p>
        </w:tc>
        <w:tc>
          <w:tcPr>
            <w:tcW w:w="758" w:type="dxa"/>
            <w:noWrap w:val="0"/>
            <w:vAlign w:val="top"/>
          </w:tcPr>
          <w:p w14:paraId="5B4767A2">
            <w:pPr>
              <w:pStyle w:val="13"/>
              <w:rPr>
                <w:rFonts w:hint="eastAsia" w:ascii="宋体" w:hAnsi="宋体" w:eastAsia="宋体"/>
                <w:szCs w:val="24"/>
              </w:rPr>
            </w:pPr>
          </w:p>
        </w:tc>
        <w:tc>
          <w:tcPr>
            <w:tcW w:w="758" w:type="dxa"/>
            <w:noWrap w:val="0"/>
            <w:vAlign w:val="top"/>
          </w:tcPr>
          <w:p w14:paraId="5A3A579E">
            <w:pPr>
              <w:pStyle w:val="13"/>
              <w:rPr>
                <w:rFonts w:hint="eastAsia" w:ascii="宋体" w:hAnsi="宋体" w:eastAsia="宋体"/>
                <w:szCs w:val="24"/>
              </w:rPr>
            </w:pPr>
          </w:p>
        </w:tc>
      </w:tr>
      <w:tr w14:paraId="04DD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0" w:type="dxa"/>
            <w:noWrap w:val="0"/>
            <w:vAlign w:val="center"/>
          </w:tcPr>
          <w:p w14:paraId="3CEBEDAA">
            <w:pPr>
              <w:pStyle w:val="13"/>
              <w:spacing w:line="360" w:lineRule="auto"/>
              <w:jc w:val="center"/>
              <w:rPr>
                <w:rFonts w:hint="eastAsia" w:ascii="宋体" w:hAnsi="宋体" w:eastAsia="宋体"/>
                <w:szCs w:val="24"/>
                <w:lang w:eastAsia="zh-CN"/>
              </w:rPr>
            </w:pPr>
            <w:r>
              <w:rPr>
                <w:rFonts w:hint="eastAsia" w:ascii="宋体" w:hAnsi="宋体" w:eastAsia="宋体"/>
                <w:szCs w:val="24"/>
                <w:lang w:val="en-US" w:eastAsia="zh-CN"/>
              </w:rPr>
              <w:t>8</w:t>
            </w:r>
          </w:p>
        </w:tc>
        <w:tc>
          <w:tcPr>
            <w:tcW w:w="7360" w:type="dxa"/>
            <w:noWrap w:val="0"/>
            <w:vAlign w:val="center"/>
          </w:tcPr>
          <w:p w14:paraId="78173D77">
            <w:pPr>
              <w:spacing w:line="360" w:lineRule="auto"/>
              <w:rPr>
                <w:rFonts w:ascii="宋体" w:hAnsi="宋体" w:cs="仿宋"/>
                <w:sz w:val="24"/>
              </w:rPr>
            </w:pPr>
            <w:r>
              <w:rPr>
                <w:rFonts w:hint="eastAsia" w:ascii="宋体" w:hAnsi="宋体" w:cs="仿宋"/>
                <w:color w:val="000000"/>
                <w:sz w:val="24"/>
              </w:rPr>
              <w:t>不属于法律、法规和</w:t>
            </w:r>
            <w:r>
              <w:rPr>
                <w:rFonts w:hint="eastAsia" w:cs="仿宋"/>
                <w:color w:val="000000"/>
                <w:sz w:val="24"/>
                <w:lang w:val="en-US" w:eastAsia="zh-CN"/>
              </w:rPr>
              <w:t>招标</w:t>
            </w:r>
            <w:r>
              <w:rPr>
                <w:rFonts w:hint="eastAsia" w:ascii="宋体" w:hAnsi="宋体" w:cs="仿宋"/>
                <w:color w:val="000000"/>
                <w:sz w:val="24"/>
              </w:rPr>
              <w:t>文件中规定的其他无效响应情形的。</w:t>
            </w:r>
          </w:p>
        </w:tc>
        <w:tc>
          <w:tcPr>
            <w:tcW w:w="758" w:type="dxa"/>
            <w:noWrap w:val="0"/>
            <w:vAlign w:val="top"/>
          </w:tcPr>
          <w:p w14:paraId="79809FA2">
            <w:pPr>
              <w:pStyle w:val="13"/>
              <w:rPr>
                <w:rFonts w:hint="eastAsia" w:ascii="宋体" w:hAnsi="宋体" w:eastAsia="宋体"/>
                <w:szCs w:val="24"/>
              </w:rPr>
            </w:pPr>
          </w:p>
        </w:tc>
        <w:tc>
          <w:tcPr>
            <w:tcW w:w="758" w:type="dxa"/>
            <w:noWrap w:val="0"/>
            <w:vAlign w:val="top"/>
          </w:tcPr>
          <w:p w14:paraId="5A6827EA">
            <w:pPr>
              <w:pStyle w:val="13"/>
              <w:rPr>
                <w:rFonts w:hint="eastAsia" w:ascii="宋体" w:hAnsi="宋体" w:eastAsia="宋体"/>
                <w:szCs w:val="24"/>
              </w:rPr>
            </w:pPr>
          </w:p>
        </w:tc>
        <w:tc>
          <w:tcPr>
            <w:tcW w:w="758" w:type="dxa"/>
            <w:noWrap w:val="0"/>
            <w:vAlign w:val="top"/>
          </w:tcPr>
          <w:p w14:paraId="42B3D266">
            <w:pPr>
              <w:pStyle w:val="13"/>
              <w:rPr>
                <w:rFonts w:hint="eastAsia" w:ascii="宋体" w:hAnsi="宋体" w:eastAsia="宋体"/>
                <w:szCs w:val="24"/>
              </w:rPr>
            </w:pPr>
          </w:p>
        </w:tc>
      </w:tr>
      <w:tr w14:paraId="5EC1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20" w:type="dxa"/>
            <w:noWrap w:val="0"/>
            <w:vAlign w:val="top"/>
          </w:tcPr>
          <w:p w14:paraId="1BC0C2C3">
            <w:pPr>
              <w:pStyle w:val="13"/>
              <w:spacing w:line="360" w:lineRule="auto"/>
              <w:rPr>
                <w:rFonts w:hint="eastAsia" w:ascii="宋体" w:hAnsi="宋体" w:eastAsia="宋体"/>
                <w:szCs w:val="24"/>
              </w:rPr>
            </w:pPr>
          </w:p>
        </w:tc>
        <w:tc>
          <w:tcPr>
            <w:tcW w:w="7360" w:type="dxa"/>
            <w:noWrap w:val="0"/>
            <w:vAlign w:val="top"/>
          </w:tcPr>
          <w:p w14:paraId="556CB344">
            <w:pPr>
              <w:pStyle w:val="13"/>
              <w:spacing w:line="360" w:lineRule="auto"/>
              <w:rPr>
                <w:rFonts w:hint="eastAsia" w:ascii="宋体" w:hAnsi="宋体" w:eastAsia="宋体"/>
                <w:szCs w:val="24"/>
              </w:rPr>
            </w:pPr>
            <w:r>
              <w:rPr>
                <w:rFonts w:hint="eastAsia" w:ascii="宋体" w:hAnsi="宋体" w:eastAsia="宋体"/>
                <w:szCs w:val="24"/>
              </w:rPr>
              <w:t>结论</w:t>
            </w:r>
          </w:p>
        </w:tc>
        <w:tc>
          <w:tcPr>
            <w:tcW w:w="758" w:type="dxa"/>
            <w:noWrap w:val="0"/>
            <w:vAlign w:val="top"/>
          </w:tcPr>
          <w:p w14:paraId="0B810821">
            <w:pPr>
              <w:pStyle w:val="13"/>
              <w:rPr>
                <w:rFonts w:hint="eastAsia" w:ascii="宋体" w:hAnsi="宋体" w:eastAsia="宋体"/>
                <w:szCs w:val="24"/>
              </w:rPr>
            </w:pPr>
          </w:p>
        </w:tc>
        <w:tc>
          <w:tcPr>
            <w:tcW w:w="758" w:type="dxa"/>
            <w:noWrap w:val="0"/>
            <w:vAlign w:val="top"/>
          </w:tcPr>
          <w:p w14:paraId="041A4F27">
            <w:pPr>
              <w:pStyle w:val="13"/>
              <w:rPr>
                <w:rFonts w:hint="eastAsia" w:ascii="宋体" w:hAnsi="宋体" w:eastAsia="宋体"/>
                <w:szCs w:val="24"/>
              </w:rPr>
            </w:pPr>
          </w:p>
        </w:tc>
        <w:tc>
          <w:tcPr>
            <w:tcW w:w="758" w:type="dxa"/>
            <w:noWrap w:val="0"/>
            <w:vAlign w:val="top"/>
          </w:tcPr>
          <w:p w14:paraId="2C98439A">
            <w:pPr>
              <w:pStyle w:val="13"/>
              <w:rPr>
                <w:rFonts w:hint="eastAsia" w:ascii="宋体" w:hAnsi="宋体" w:eastAsia="宋体"/>
                <w:szCs w:val="24"/>
              </w:rPr>
            </w:pPr>
          </w:p>
        </w:tc>
      </w:tr>
    </w:tbl>
    <w:p w14:paraId="16A7E26A">
      <w:pPr>
        <w:rPr>
          <w:rFonts w:hint="eastAsia" w:ascii="宋体" w:hAnsi="宋体" w:eastAsia="宋体" w:cstheme="minorBidi"/>
          <w:b/>
          <w:bCs/>
          <w:color w:val="auto"/>
          <w:kern w:val="2"/>
          <w:sz w:val="30"/>
          <w:szCs w:val="32"/>
          <w:highlight w:val="none"/>
          <w:lang w:val="zh-CN" w:eastAsia="zh-CN" w:bidi="ar-SA"/>
        </w:rPr>
      </w:pPr>
      <w:r>
        <w:rPr>
          <w:rFonts w:hint="eastAsia" w:ascii="宋体" w:hAnsi="宋体" w:eastAsia="宋体" w:cstheme="minorBidi"/>
          <w:b/>
          <w:bCs/>
          <w:color w:val="auto"/>
          <w:kern w:val="2"/>
          <w:sz w:val="30"/>
          <w:szCs w:val="32"/>
          <w:highlight w:val="none"/>
          <w:lang w:val="zh-CN" w:eastAsia="zh-CN" w:bidi="ar-SA"/>
        </w:rPr>
        <w:br w:type="page"/>
      </w:r>
    </w:p>
    <w:p w14:paraId="3FE0903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86" w:name="_Toc27284"/>
      <w:bookmarkStart w:id="587" w:name="_Toc30949"/>
      <w:bookmarkStart w:id="588" w:name="_Toc9173"/>
      <w:r>
        <w:rPr>
          <w:rFonts w:hint="eastAsia" w:ascii="宋体" w:hAnsi="宋体" w:eastAsia="宋体" w:cs="宋体"/>
          <w:b/>
          <w:bCs/>
          <w:color w:val="auto"/>
          <w:kern w:val="2"/>
          <w:sz w:val="24"/>
          <w:szCs w:val="24"/>
          <w:highlight w:val="none"/>
          <w:lang w:val="zh-CN" w:eastAsia="zh-CN" w:bidi="ar-SA"/>
        </w:rPr>
        <w:t>（二）评分标准</w:t>
      </w:r>
      <w:bookmarkEnd w:id="584"/>
      <w:bookmarkEnd w:id="585"/>
      <w:bookmarkEnd w:id="586"/>
      <w:bookmarkEnd w:id="587"/>
      <w:bookmarkEnd w:id="588"/>
    </w:p>
    <w:tbl>
      <w:tblPr>
        <w:tblStyle w:val="33"/>
        <w:tblW w:w="9869"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350"/>
        <w:gridCol w:w="7329"/>
      </w:tblGrid>
      <w:tr w14:paraId="54DC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90" w:type="dxa"/>
            <w:noWrap w:val="0"/>
            <w:vAlign w:val="center"/>
          </w:tcPr>
          <w:p w14:paraId="5103E7AC">
            <w:pPr>
              <w:spacing w:line="400" w:lineRule="exact"/>
              <w:jc w:val="center"/>
              <w:rPr>
                <w:rFonts w:ascii="宋体" w:hAnsi="宋体" w:cs="宋体"/>
                <w:b/>
                <w:bCs/>
                <w:color w:val="auto"/>
                <w:kern w:val="0"/>
                <w:sz w:val="24"/>
              </w:rPr>
            </w:pPr>
            <w:r>
              <w:rPr>
                <w:rFonts w:hint="eastAsia" w:ascii="宋体" w:hAnsi="宋体" w:cs="宋体"/>
                <w:b/>
                <w:bCs/>
                <w:color w:val="auto"/>
                <w:kern w:val="0"/>
                <w:sz w:val="24"/>
              </w:rPr>
              <w:t>评审因素及分值</w:t>
            </w:r>
          </w:p>
        </w:tc>
        <w:tc>
          <w:tcPr>
            <w:tcW w:w="1350" w:type="dxa"/>
            <w:noWrap w:val="0"/>
            <w:vAlign w:val="center"/>
          </w:tcPr>
          <w:p w14:paraId="7E700BA0">
            <w:pPr>
              <w:spacing w:line="400" w:lineRule="exact"/>
              <w:jc w:val="center"/>
              <w:rPr>
                <w:rFonts w:ascii="宋体" w:hAnsi="宋体" w:cs="宋体"/>
                <w:b/>
                <w:bCs/>
                <w:color w:val="auto"/>
                <w:kern w:val="0"/>
                <w:sz w:val="24"/>
              </w:rPr>
            </w:pPr>
            <w:r>
              <w:rPr>
                <w:rFonts w:hint="eastAsia" w:ascii="宋体" w:hAnsi="宋体" w:cs="宋体"/>
                <w:b/>
                <w:bCs/>
                <w:color w:val="auto"/>
                <w:kern w:val="0"/>
                <w:sz w:val="24"/>
              </w:rPr>
              <w:t>单项分值</w:t>
            </w:r>
          </w:p>
        </w:tc>
        <w:tc>
          <w:tcPr>
            <w:tcW w:w="7329" w:type="dxa"/>
            <w:noWrap w:val="0"/>
            <w:vAlign w:val="center"/>
          </w:tcPr>
          <w:p w14:paraId="32653FF6">
            <w:pPr>
              <w:spacing w:line="400" w:lineRule="exact"/>
              <w:jc w:val="center"/>
              <w:rPr>
                <w:rFonts w:ascii="宋体" w:hAnsi="宋体" w:cs="宋体"/>
                <w:b/>
                <w:bCs/>
                <w:color w:val="auto"/>
                <w:kern w:val="0"/>
                <w:sz w:val="24"/>
              </w:rPr>
            </w:pPr>
            <w:r>
              <w:rPr>
                <w:rFonts w:hint="eastAsia" w:ascii="宋体" w:hAnsi="宋体" w:cs="宋体"/>
                <w:b/>
                <w:bCs/>
                <w:color w:val="auto"/>
                <w:kern w:val="0"/>
                <w:sz w:val="24"/>
              </w:rPr>
              <w:t>评分范围</w:t>
            </w:r>
          </w:p>
        </w:tc>
      </w:tr>
      <w:tr w14:paraId="32DB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0" w:type="dxa"/>
            <w:noWrap w:val="0"/>
            <w:vAlign w:val="center"/>
          </w:tcPr>
          <w:p w14:paraId="72581972">
            <w:pPr>
              <w:spacing w:line="400" w:lineRule="exact"/>
              <w:jc w:val="center"/>
              <w:rPr>
                <w:rFonts w:ascii="宋体" w:hAnsi="宋体" w:cs="宋体"/>
                <w:color w:val="auto"/>
                <w:kern w:val="0"/>
                <w:sz w:val="24"/>
              </w:rPr>
            </w:pPr>
            <w:r>
              <w:rPr>
                <w:rFonts w:hint="eastAsia" w:ascii="宋体" w:hAnsi="宋体" w:cs="宋体"/>
                <w:color w:val="auto"/>
                <w:kern w:val="0"/>
                <w:sz w:val="24"/>
              </w:rPr>
              <w:t>报价得分</w:t>
            </w:r>
          </w:p>
          <w:p w14:paraId="7E7DF055">
            <w:pPr>
              <w:pStyle w:val="30"/>
              <w:spacing w:line="400" w:lineRule="exact"/>
              <w:ind w:firstLine="0" w:firstLineChars="0"/>
              <w:rPr>
                <w:rFonts w:hAnsi="宋体" w:cs="宋体"/>
                <w:color w:val="auto"/>
                <w:sz w:val="24"/>
              </w:rPr>
            </w:pPr>
            <w:r>
              <w:rPr>
                <w:rFonts w:hint="eastAsia" w:ascii="宋体" w:hAnsi="宋体" w:eastAsia="宋体" w:cs="宋体"/>
                <w:color w:val="auto"/>
                <w:kern w:val="0"/>
                <w:sz w:val="24"/>
                <w:szCs w:val="22"/>
                <w:lang w:val="en-US" w:eastAsia="zh-CN" w:bidi="ar-SA"/>
              </w:rPr>
              <w:t>（</w:t>
            </w:r>
            <w:r>
              <w:rPr>
                <w:rFonts w:hint="eastAsia" w:eastAsia="宋体" w:cs="宋体"/>
                <w:color w:val="auto"/>
                <w:kern w:val="0"/>
                <w:sz w:val="24"/>
                <w:szCs w:val="22"/>
                <w:lang w:val="en-US" w:eastAsia="zh-CN" w:bidi="ar-SA"/>
              </w:rPr>
              <w:t>1</w:t>
            </w:r>
            <w:r>
              <w:rPr>
                <w:rFonts w:hint="eastAsia" w:ascii="宋体" w:hAnsi="宋体" w:eastAsia="宋体" w:cs="宋体"/>
                <w:color w:val="auto"/>
                <w:kern w:val="0"/>
                <w:sz w:val="24"/>
                <w:szCs w:val="22"/>
                <w:lang w:val="en-US" w:eastAsia="zh-CN" w:bidi="ar-SA"/>
              </w:rPr>
              <w:t>0分）</w:t>
            </w:r>
          </w:p>
        </w:tc>
        <w:tc>
          <w:tcPr>
            <w:tcW w:w="1350" w:type="dxa"/>
            <w:noWrap w:val="0"/>
            <w:vAlign w:val="center"/>
          </w:tcPr>
          <w:p w14:paraId="4B0A9D8B">
            <w:pPr>
              <w:spacing w:line="400" w:lineRule="exact"/>
              <w:jc w:val="center"/>
              <w:rPr>
                <w:rFonts w:ascii="宋体" w:hAnsi="宋体" w:cs="宋体"/>
                <w:color w:val="auto"/>
                <w:kern w:val="0"/>
                <w:sz w:val="24"/>
              </w:rPr>
            </w:pPr>
            <w:r>
              <w:rPr>
                <w:rFonts w:hint="eastAsia" w:cs="宋体"/>
                <w:color w:val="auto"/>
                <w:kern w:val="0"/>
                <w:sz w:val="24"/>
                <w:lang w:val="en-US" w:eastAsia="zh-CN"/>
              </w:rPr>
              <w:t>10</w:t>
            </w:r>
            <w:r>
              <w:rPr>
                <w:rFonts w:hint="eastAsia" w:ascii="宋体" w:hAnsi="宋体" w:cs="宋体"/>
                <w:color w:val="auto"/>
                <w:kern w:val="0"/>
                <w:sz w:val="24"/>
              </w:rPr>
              <w:t>分</w:t>
            </w:r>
          </w:p>
        </w:tc>
        <w:tc>
          <w:tcPr>
            <w:tcW w:w="7329" w:type="dxa"/>
            <w:noWrap w:val="0"/>
            <w:vAlign w:val="center"/>
          </w:tcPr>
          <w:p w14:paraId="12BC0B37">
            <w:pPr>
              <w:pStyle w:val="19"/>
              <w:spacing w:line="3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以实质性满足</w:t>
            </w:r>
            <w:r>
              <w:rPr>
                <w:rFonts w:hint="eastAsia" w:hAnsi="宋体" w:cs="宋体"/>
                <w:color w:val="auto"/>
                <w:sz w:val="24"/>
                <w:highlight w:val="none"/>
                <w:lang w:val="en-US" w:eastAsia="zh-CN"/>
              </w:rPr>
              <w:t>招标</w:t>
            </w:r>
            <w:r>
              <w:rPr>
                <w:rFonts w:hint="eastAsia" w:ascii="宋体" w:hAnsi="宋体" w:eastAsia="宋体" w:cs="宋体"/>
                <w:color w:val="auto"/>
                <w:sz w:val="24"/>
                <w:highlight w:val="none"/>
                <w:lang w:val="en-US" w:eastAsia="zh-CN"/>
              </w:rPr>
              <w:t>文件要求的最低投标报价为评审基准价，其它投标人的报价得分统一按照下列公式计算：</w:t>
            </w:r>
          </w:p>
          <w:p w14:paraId="0CA6A0D2">
            <w:pPr>
              <w:pStyle w:val="19"/>
              <w:spacing w:line="30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报价得分=（评审基准价/投标报价）*</w:t>
            </w:r>
            <w:r>
              <w:rPr>
                <w:rFonts w:hint="eastAsia"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p>
          <w:p w14:paraId="4D9BC969">
            <w:pPr>
              <w:pStyle w:val="19"/>
              <w:spacing w:line="300" w:lineRule="exact"/>
              <w:rPr>
                <w:rFonts w:ascii="宋体" w:hAnsi="宋体" w:cs="宋体"/>
                <w:color w:val="auto"/>
                <w:kern w:val="0"/>
                <w:sz w:val="24"/>
              </w:rPr>
            </w:pPr>
            <w:r>
              <w:rPr>
                <w:rFonts w:hint="eastAsia" w:ascii="宋体" w:hAnsi="宋体" w:eastAsia="宋体" w:cs="宋体"/>
                <w:color w:val="auto"/>
                <w:sz w:val="24"/>
                <w:highlight w:val="none"/>
                <w:lang w:val="en-US" w:eastAsia="zh-CN"/>
              </w:rPr>
              <w:t>结果四舍五入，小数点后保留两位。</w:t>
            </w:r>
            <w:r>
              <w:rPr>
                <w:rFonts w:hint="eastAsia" w:ascii="宋体" w:hAnsi="宋体" w:eastAsia="宋体" w:cs="宋体"/>
                <w:b/>
                <w:bCs/>
                <w:color w:val="auto"/>
                <w:sz w:val="21"/>
                <w:szCs w:val="16"/>
                <w:highlight w:val="none"/>
                <w:lang w:val="en-US" w:eastAsia="zh-CN"/>
              </w:rPr>
              <w:t>高于限价为无效报价。</w:t>
            </w:r>
            <w:r>
              <w:rPr>
                <w:rFonts w:hint="eastAsia" w:cs="仿宋" w:asciiTheme="minorEastAsia" w:hAnsiTheme="minorEastAsia" w:eastAsiaTheme="minorEastAsia"/>
                <w:bCs/>
                <w:color w:val="auto"/>
                <w:sz w:val="24"/>
                <w:szCs w:val="24"/>
                <w:lang w:val="en-US" w:eastAsia="zh-CN"/>
              </w:rPr>
              <w:t xml:space="preserve"> </w:t>
            </w:r>
          </w:p>
        </w:tc>
      </w:tr>
      <w:tr w14:paraId="03E3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1190" w:type="dxa"/>
            <w:vMerge w:val="restart"/>
            <w:noWrap w:val="0"/>
            <w:vAlign w:val="center"/>
          </w:tcPr>
          <w:p w14:paraId="56C59E14">
            <w:pPr>
              <w:spacing w:line="400" w:lineRule="exact"/>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商务得分</w:t>
            </w:r>
          </w:p>
          <w:p w14:paraId="341BD309">
            <w:pPr>
              <w:spacing w:line="400" w:lineRule="exact"/>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w:t>
            </w:r>
            <w:r>
              <w:rPr>
                <w:rFonts w:hint="eastAsia" w:cs="宋体"/>
                <w:color w:val="auto"/>
                <w:kern w:val="0"/>
                <w:sz w:val="24"/>
                <w:lang w:val="en-US" w:eastAsia="zh-CN"/>
              </w:rPr>
              <w:t>30</w:t>
            </w:r>
            <w:r>
              <w:rPr>
                <w:rFonts w:hint="eastAsia" w:ascii="宋体" w:hAnsi="宋体" w:cs="宋体"/>
                <w:color w:val="auto"/>
                <w:kern w:val="0"/>
                <w:sz w:val="24"/>
                <w:lang w:val="en-US" w:eastAsia="zh-CN"/>
              </w:rPr>
              <w:t>分）</w:t>
            </w:r>
          </w:p>
        </w:tc>
        <w:tc>
          <w:tcPr>
            <w:tcW w:w="1350" w:type="dxa"/>
            <w:noWrap w:val="0"/>
            <w:vAlign w:val="center"/>
          </w:tcPr>
          <w:p w14:paraId="6578EEB3">
            <w:pPr>
              <w:spacing w:line="400" w:lineRule="exact"/>
              <w:jc w:val="center"/>
              <w:rPr>
                <w:rFonts w:ascii="宋体" w:hAnsi="宋体" w:cs="宋体"/>
                <w:color w:val="auto"/>
                <w:kern w:val="0"/>
                <w:sz w:val="24"/>
              </w:rPr>
            </w:pPr>
            <w:r>
              <w:rPr>
                <w:rFonts w:hint="eastAsia" w:ascii="宋体" w:hAnsi="宋体" w:cs="宋体"/>
                <w:color w:val="auto"/>
                <w:kern w:val="0"/>
                <w:sz w:val="24"/>
              </w:rPr>
              <w:t>项目业绩</w:t>
            </w:r>
          </w:p>
          <w:p w14:paraId="223FDD88">
            <w:pPr>
              <w:spacing w:line="400" w:lineRule="exact"/>
              <w:jc w:val="center"/>
              <w:rPr>
                <w:rFonts w:ascii="宋体" w:hAnsi="宋体" w:cs="宋体"/>
                <w:color w:val="auto"/>
                <w:kern w:val="0"/>
                <w:sz w:val="24"/>
              </w:rPr>
            </w:pPr>
            <w:r>
              <w:rPr>
                <w:rFonts w:hint="eastAsia" w:ascii="宋体" w:hAnsi="宋体" w:cs="宋体"/>
                <w:color w:val="auto"/>
                <w:kern w:val="0"/>
                <w:sz w:val="24"/>
              </w:rPr>
              <w:t>（</w:t>
            </w:r>
            <w:r>
              <w:rPr>
                <w:rFonts w:hint="eastAsia" w:cs="宋体"/>
                <w:color w:val="auto"/>
                <w:kern w:val="0"/>
                <w:sz w:val="24"/>
                <w:lang w:val="en-US" w:eastAsia="zh-CN"/>
              </w:rPr>
              <w:t>5</w:t>
            </w:r>
            <w:r>
              <w:rPr>
                <w:rFonts w:hint="eastAsia" w:ascii="宋体" w:hAnsi="宋体" w:cs="宋体"/>
                <w:color w:val="auto"/>
                <w:kern w:val="0"/>
                <w:sz w:val="24"/>
              </w:rPr>
              <w:t>分）</w:t>
            </w:r>
          </w:p>
        </w:tc>
        <w:tc>
          <w:tcPr>
            <w:tcW w:w="7329" w:type="dxa"/>
            <w:noWrap w:val="0"/>
            <w:vAlign w:val="center"/>
          </w:tcPr>
          <w:p w14:paraId="3D0C410F">
            <w:pPr>
              <w:pStyle w:val="19"/>
              <w:spacing w:line="3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为了保证服务质量，了解我方需求，投标人需提供近三年（2022年1月1日至今，以证明材料的签署时间或合同服务生效时间为准）的类似业绩；每提供1项业绩得1分，最高得5分。</w:t>
            </w:r>
          </w:p>
          <w:p w14:paraId="11D9190B">
            <w:pPr>
              <w:pStyle w:val="19"/>
              <w:spacing w:line="300" w:lineRule="exact"/>
              <w:rPr>
                <w:rFonts w:hAnsi="宋体"/>
                <w:color w:val="auto"/>
                <w:kern w:val="2"/>
              </w:rPr>
            </w:pPr>
            <w:r>
              <w:rPr>
                <w:rFonts w:hint="eastAsia" w:ascii="宋体" w:hAnsi="宋体" w:eastAsia="宋体" w:cs="宋体"/>
                <w:b/>
                <w:bCs/>
                <w:color w:val="auto"/>
                <w:sz w:val="21"/>
                <w:szCs w:val="16"/>
                <w:highlight w:val="none"/>
                <w:lang w:val="en-US" w:eastAsia="zh-CN"/>
              </w:rPr>
              <w:t>注：需提供合同扫描件或复印件(须包含合同首末页、金额页、签字盖章页等关键页，合同关键处不得遮挡涂黑，日期清晰明确。)并加盖公章。未提供业绩证明材料（或证明材料不齐全的、或工作内容模糊不清的、或经评审专家认定为无效业绩的），其业绩不予认定。</w:t>
            </w:r>
          </w:p>
        </w:tc>
      </w:tr>
      <w:tr w14:paraId="65A4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90" w:type="dxa"/>
            <w:vMerge w:val="continue"/>
            <w:noWrap w:val="0"/>
            <w:vAlign w:val="center"/>
          </w:tcPr>
          <w:p w14:paraId="02C93A73">
            <w:pPr>
              <w:spacing w:line="400" w:lineRule="exact"/>
              <w:jc w:val="center"/>
              <w:rPr>
                <w:rFonts w:hint="eastAsia" w:ascii="宋体" w:hAnsi="宋体" w:cs="宋体"/>
                <w:color w:val="auto"/>
                <w:kern w:val="0"/>
                <w:sz w:val="24"/>
                <w:lang w:val="en-US" w:eastAsia="zh-CN"/>
              </w:rPr>
            </w:pPr>
          </w:p>
        </w:tc>
        <w:tc>
          <w:tcPr>
            <w:tcW w:w="1350" w:type="dxa"/>
            <w:noWrap w:val="0"/>
            <w:vAlign w:val="center"/>
          </w:tcPr>
          <w:p w14:paraId="14FFFB82">
            <w:pPr>
              <w:spacing w:line="400" w:lineRule="exact"/>
              <w:jc w:val="center"/>
              <w:rPr>
                <w:rFonts w:hint="eastAsia" w:ascii="宋体" w:hAnsi="宋体" w:cs="宋体" w:eastAsiaTheme="minorEastAsia"/>
                <w:color w:val="auto"/>
                <w:kern w:val="0"/>
                <w:sz w:val="24"/>
                <w:lang w:eastAsia="zh-CN"/>
              </w:rPr>
            </w:pPr>
            <w:r>
              <w:rPr>
                <w:rFonts w:hint="eastAsia" w:ascii="宋体" w:hAnsi="宋体" w:cs="宋体"/>
                <w:color w:val="auto"/>
                <w:kern w:val="0"/>
                <w:sz w:val="24"/>
                <w:lang w:val="en-US" w:eastAsia="zh-CN"/>
              </w:rPr>
              <w:t>综合实力</w:t>
            </w:r>
            <w:r>
              <w:rPr>
                <w:rFonts w:hint="eastAsia" w:ascii="宋体" w:hAnsi="宋体" w:cs="宋体"/>
                <w:color w:val="auto"/>
                <w:kern w:val="0"/>
                <w:sz w:val="24"/>
                <w:lang w:eastAsia="zh-CN"/>
              </w:rPr>
              <w:t>（</w:t>
            </w:r>
            <w:r>
              <w:rPr>
                <w:rFonts w:hint="eastAsia" w:cs="宋体"/>
                <w:color w:val="auto"/>
                <w:kern w:val="0"/>
                <w:sz w:val="24"/>
                <w:lang w:val="en-US" w:eastAsia="zh-CN"/>
              </w:rPr>
              <w:t>12</w:t>
            </w:r>
            <w:r>
              <w:rPr>
                <w:rFonts w:hint="eastAsia" w:ascii="宋体" w:hAnsi="宋体" w:cs="宋体"/>
                <w:color w:val="auto"/>
                <w:kern w:val="0"/>
                <w:sz w:val="24"/>
                <w:lang w:val="en-US" w:eastAsia="zh-CN"/>
              </w:rPr>
              <w:t>分</w:t>
            </w:r>
            <w:r>
              <w:rPr>
                <w:rFonts w:hint="eastAsia" w:ascii="宋体" w:hAnsi="宋体" w:cs="宋体"/>
                <w:color w:val="auto"/>
                <w:kern w:val="0"/>
                <w:sz w:val="24"/>
                <w:lang w:eastAsia="zh-CN"/>
              </w:rPr>
              <w:t>）</w:t>
            </w:r>
          </w:p>
        </w:tc>
        <w:tc>
          <w:tcPr>
            <w:tcW w:w="7329" w:type="dxa"/>
            <w:noWrap w:val="0"/>
            <w:vAlign w:val="center"/>
          </w:tcPr>
          <w:p w14:paraId="2B223250">
            <w:pPr>
              <w:pStyle w:val="19"/>
              <w:spacing w:line="3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1.投标人提供有效期内的知识产权管理体系认证证书（认证覆盖业务范围包含住房城乡建设、软件开发相关）的得</w:t>
            </w:r>
            <w:r>
              <w:rPr>
                <w:rFonts w:hint="eastAsia"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分，其他或没有不得分。</w:t>
            </w:r>
          </w:p>
          <w:p w14:paraId="1FCBC7D8">
            <w:pPr>
              <w:pStyle w:val="19"/>
              <w:spacing w:line="3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2.投标人提供有效期内的ISO27701隐私信息管理体系认证证书（认证覆盖业务范围包含软件开发相关）的得</w:t>
            </w:r>
            <w:r>
              <w:rPr>
                <w:rFonts w:hint="eastAsia"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分，其他或没有不得分。</w:t>
            </w:r>
          </w:p>
          <w:p w14:paraId="327CF5A6">
            <w:pPr>
              <w:pStyle w:val="19"/>
              <w:spacing w:line="3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3.投标人提供有效期内的ISO22301业务连续性管理体系认证证书（认证覆盖业务范围包含软件开发相关）的得</w:t>
            </w:r>
            <w:r>
              <w:rPr>
                <w:rFonts w:hint="eastAsia"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分，其他或没有不得分。</w:t>
            </w:r>
          </w:p>
          <w:p w14:paraId="180DE0CD">
            <w:pPr>
              <w:pStyle w:val="19"/>
              <w:spacing w:line="3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人具备公积金APP、数据交换智能交互服务、服务注册与发现、数智化数据看板、数字底座系统、iOCR识别、业务交流平台、数智化业财融合、敏感词检测系统服务能力，并提供对应的软件著作权登记证书，每有1项得1分，最多得9分。</w:t>
            </w:r>
          </w:p>
          <w:p w14:paraId="7E9DB61C">
            <w:pPr>
              <w:pStyle w:val="19"/>
              <w:spacing w:line="3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以上证书所属单位必须与投标人名称完全一致（如在企业名称发生变更前取得的证书需要提供企业变更名称证明），分公司及子公司证书无效。</w:t>
            </w:r>
          </w:p>
          <w:p w14:paraId="346AE85A">
            <w:pPr>
              <w:pStyle w:val="19"/>
              <w:spacing w:line="300" w:lineRule="exact"/>
              <w:rPr>
                <w:rFonts w:hint="eastAsia" w:hAnsi="宋体" w:eastAsia="宋体"/>
                <w:b/>
                <w:bCs/>
                <w:color w:val="auto"/>
                <w:kern w:val="2"/>
                <w:sz w:val="22"/>
                <w:szCs w:val="22"/>
                <w:lang w:eastAsia="zh-CN"/>
              </w:rPr>
            </w:pPr>
            <w:r>
              <w:rPr>
                <w:rFonts w:hint="eastAsia" w:ascii="宋体" w:hAnsi="宋体" w:eastAsia="宋体" w:cs="宋体"/>
                <w:b/>
                <w:bCs/>
                <w:color w:val="auto"/>
                <w:sz w:val="21"/>
                <w:szCs w:val="16"/>
                <w:highlight w:val="none"/>
                <w:lang w:val="en-US" w:eastAsia="zh-CN"/>
              </w:rPr>
              <w:t>注：以上证书需提供</w:t>
            </w:r>
            <w:r>
              <w:rPr>
                <w:rFonts w:hint="eastAsia" w:hAnsi="宋体" w:cs="宋体"/>
                <w:b/>
                <w:bCs/>
                <w:color w:val="auto"/>
                <w:sz w:val="21"/>
                <w:szCs w:val="16"/>
                <w:highlight w:val="none"/>
                <w:lang w:val="en-US" w:eastAsia="zh-CN"/>
              </w:rPr>
              <w:t>有效期内的</w:t>
            </w:r>
            <w:r>
              <w:rPr>
                <w:rFonts w:hint="eastAsia" w:ascii="宋体" w:hAnsi="宋体" w:eastAsia="宋体" w:cs="宋体"/>
                <w:b/>
                <w:bCs/>
                <w:color w:val="auto"/>
                <w:sz w:val="21"/>
                <w:szCs w:val="16"/>
                <w:highlight w:val="none"/>
                <w:lang w:val="en-US" w:eastAsia="zh-CN"/>
              </w:rPr>
              <w:t>证书</w:t>
            </w:r>
            <w:r>
              <w:rPr>
                <w:rFonts w:hint="eastAsia" w:hAnsi="宋体" w:cs="宋体"/>
                <w:b/>
                <w:bCs/>
                <w:color w:val="auto"/>
                <w:sz w:val="21"/>
                <w:szCs w:val="16"/>
                <w:highlight w:val="none"/>
                <w:lang w:val="en-US" w:eastAsia="zh-CN"/>
              </w:rPr>
              <w:t>扫描件</w:t>
            </w:r>
            <w:r>
              <w:rPr>
                <w:rFonts w:hint="eastAsia" w:ascii="宋体" w:hAnsi="宋体" w:eastAsia="宋体" w:cs="宋体"/>
                <w:b/>
                <w:bCs/>
                <w:color w:val="auto"/>
                <w:sz w:val="21"/>
                <w:szCs w:val="16"/>
                <w:highlight w:val="none"/>
                <w:lang w:val="en-US" w:eastAsia="zh-CN"/>
              </w:rPr>
              <w:t>并加盖公章</w:t>
            </w:r>
            <w:r>
              <w:rPr>
                <w:rFonts w:hint="eastAsia" w:hAnsi="宋体" w:cs="宋体"/>
                <w:b/>
                <w:bCs/>
                <w:color w:val="auto"/>
                <w:sz w:val="21"/>
                <w:szCs w:val="16"/>
                <w:highlight w:val="none"/>
                <w:lang w:val="en-US" w:eastAsia="zh-CN"/>
              </w:rPr>
              <w:t>。</w:t>
            </w:r>
            <w:r>
              <w:rPr>
                <w:rFonts w:hint="eastAsia" w:cs="仿宋" w:asciiTheme="minorEastAsia" w:hAnsiTheme="minorEastAsia" w:eastAsiaTheme="minorEastAsia"/>
                <w:bCs/>
                <w:color w:val="auto"/>
                <w:sz w:val="24"/>
                <w:szCs w:val="24"/>
                <w:lang w:val="en-US" w:eastAsia="zh-CN"/>
              </w:rPr>
              <w:t xml:space="preserve"> </w:t>
            </w:r>
          </w:p>
        </w:tc>
      </w:tr>
      <w:tr w14:paraId="79FD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90" w:type="dxa"/>
            <w:vMerge w:val="continue"/>
            <w:noWrap w:val="0"/>
            <w:vAlign w:val="center"/>
          </w:tcPr>
          <w:p w14:paraId="7714DC45">
            <w:pPr>
              <w:spacing w:line="400" w:lineRule="exact"/>
              <w:jc w:val="center"/>
              <w:rPr>
                <w:rFonts w:ascii="宋体" w:hAnsi="宋体" w:cs="宋体"/>
                <w:b/>
                <w:bCs/>
                <w:color w:val="auto"/>
                <w:kern w:val="0"/>
                <w:sz w:val="24"/>
              </w:rPr>
            </w:pPr>
          </w:p>
        </w:tc>
        <w:tc>
          <w:tcPr>
            <w:tcW w:w="1350" w:type="dxa"/>
            <w:noWrap w:val="0"/>
            <w:vAlign w:val="center"/>
          </w:tcPr>
          <w:p w14:paraId="06E73A22">
            <w:pPr>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服务人员及团队综合素质</w:t>
            </w:r>
          </w:p>
          <w:p w14:paraId="0C8B4F27">
            <w:pPr>
              <w:spacing w:line="400" w:lineRule="exact"/>
              <w:jc w:val="center"/>
              <w:rPr>
                <w:rFonts w:ascii="宋体" w:hAnsi="宋体" w:cs="宋体"/>
                <w:color w:val="auto"/>
                <w:kern w:val="0"/>
                <w:sz w:val="24"/>
              </w:rPr>
            </w:pPr>
            <w:r>
              <w:rPr>
                <w:rFonts w:hint="eastAsia" w:ascii="宋体" w:hAnsi="宋体" w:cs="宋体"/>
                <w:color w:val="auto"/>
                <w:kern w:val="0"/>
                <w:sz w:val="24"/>
              </w:rPr>
              <w:t>（</w:t>
            </w:r>
            <w:r>
              <w:rPr>
                <w:rFonts w:hint="eastAsia" w:cs="宋体"/>
                <w:color w:val="auto"/>
                <w:kern w:val="0"/>
                <w:sz w:val="24"/>
                <w:lang w:val="en-US" w:eastAsia="zh-CN"/>
              </w:rPr>
              <w:t>13</w:t>
            </w:r>
            <w:r>
              <w:rPr>
                <w:rFonts w:hint="eastAsia" w:ascii="宋体" w:hAnsi="宋体" w:cs="宋体"/>
                <w:color w:val="auto"/>
                <w:kern w:val="0"/>
                <w:sz w:val="24"/>
              </w:rPr>
              <w:t>分）</w:t>
            </w:r>
          </w:p>
        </w:tc>
        <w:tc>
          <w:tcPr>
            <w:tcW w:w="7329" w:type="dxa"/>
            <w:noWrap w:val="0"/>
            <w:vAlign w:val="center"/>
          </w:tcPr>
          <w:p w14:paraId="0F3092C7">
            <w:pPr>
              <w:pStyle w:val="19"/>
              <w:spacing w:line="3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1.投标人的项目经理（仅限一人）具有15年以上相关工作经验（以毕业证毕业时间为准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具备计算机相关专业本科及以上学历，具备计算机专业类的高级工程师职称证书，具备服务项目经理作业能力且具有IT服务项目经理证书，</w:t>
            </w:r>
            <w:r>
              <w:rPr>
                <w:rFonts w:hint="eastAsia" w:ascii="宋体" w:hAnsi="宋体" w:eastAsia="宋体" w:cs="宋体"/>
                <w:color w:val="auto"/>
                <w:sz w:val="24"/>
                <w:highlight w:val="none"/>
                <w:lang w:val="en-US" w:eastAsia="zh-CN"/>
              </w:rPr>
              <w:t>具备信创规划能力并具有信创规划管理师证书，</w:t>
            </w:r>
            <w:r>
              <w:rPr>
                <w:rFonts w:hint="eastAsia" w:ascii="宋体" w:hAnsi="宋体" w:eastAsia="宋体" w:cs="宋体"/>
                <w:color w:val="auto"/>
                <w:sz w:val="24"/>
                <w:highlight w:val="none"/>
              </w:rPr>
              <w:t>全部提供得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分，缺一项</w:t>
            </w:r>
            <w:r>
              <w:rPr>
                <w:rFonts w:hint="eastAsia" w:ascii="宋体" w:hAnsi="宋体" w:eastAsia="宋体" w:cs="宋体"/>
                <w:color w:val="auto"/>
                <w:sz w:val="24"/>
                <w:highlight w:val="none"/>
                <w:lang w:val="en-US" w:eastAsia="zh-CN"/>
              </w:rPr>
              <w:t>扣1分，扣完为止</w:t>
            </w:r>
            <w:r>
              <w:rPr>
                <w:rFonts w:hint="eastAsia" w:ascii="宋体" w:hAnsi="宋体" w:eastAsia="宋体" w:cs="宋体"/>
                <w:color w:val="auto"/>
                <w:sz w:val="24"/>
                <w:highlight w:val="none"/>
              </w:rPr>
              <w:t>。</w:t>
            </w:r>
            <w:r>
              <w:rPr>
                <w:rFonts w:hint="eastAsia" w:ascii="宋体" w:hAnsi="宋体" w:eastAsia="宋体" w:cs="宋体"/>
                <w:b/>
                <w:bCs/>
                <w:color w:val="auto"/>
                <w:sz w:val="21"/>
                <w:szCs w:val="16"/>
                <w:highlight w:val="none"/>
                <w:lang w:val="en-US" w:eastAsia="zh-CN"/>
              </w:rPr>
              <w:t>（注：需提供有效期内的证书扫描件或复印件并加盖公章。</w:t>
            </w:r>
            <w:r>
              <w:rPr>
                <w:rFonts w:hint="eastAsia" w:hAnsi="宋体" w:cs="宋体"/>
                <w:b/>
                <w:bCs/>
                <w:color w:val="auto"/>
                <w:sz w:val="21"/>
                <w:szCs w:val="16"/>
                <w:highlight w:val="none"/>
                <w:lang w:val="en-US" w:eastAsia="zh-CN"/>
              </w:rPr>
              <w:t>）</w:t>
            </w:r>
            <w:r>
              <w:rPr>
                <w:rFonts w:hint="eastAsia" w:cs="仿宋" w:asciiTheme="minorEastAsia" w:hAnsiTheme="minorEastAsia" w:eastAsiaTheme="minorEastAsia"/>
                <w:bCs/>
                <w:color w:val="auto"/>
                <w:sz w:val="24"/>
                <w:szCs w:val="24"/>
                <w:lang w:val="en-US" w:eastAsia="zh-CN"/>
              </w:rPr>
              <w:t xml:space="preserve"> </w:t>
            </w:r>
          </w:p>
          <w:p w14:paraId="0FD0D217">
            <w:pPr>
              <w:pStyle w:val="19"/>
              <w:spacing w:line="3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2.投标人的技术负责人（仅限一人）具备计算机相关专业本科及以上学历</w:t>
            </w:r>
            <w:r>
              <w:rPr>
                <w:rFonts w:hint="eastAsia" w:ascii="宋体" w:hAnsi="宋体" w:eastAsia="宋体" w:cs="宋体"/>
                <w:color w:val="auto"/>
                <w:sz w:val="24"/>
                <w:highlight w:val="none"/>
                <w:lang w:val="en-US" w:eastAsia="zh-CN"/>
              </w:rPr>
              <w:t>且</w:t>
            </w:r>
            <w:r>
              <w:rPr>
                <w:rFonts w:hint="eastAsia" w:ascii="宋体" w:hAnsi="宋体" w:eastAsia="宋体" w:cs="宋体"/>
                <w:color w:val="auto"/>
                <w:sz w:val="24"/>
                <w:highlight w:val="none"/>
              </w:rPr>
              <w:t>具有15年以上相关工作经验（以毕业证毕业时间为准</w:t>
            </w:r>
            <w:r>
              <w:rPr>
                <w:rFonts w:hint="eastAsia" w:hAnsi="宋体" w:cs="宋体"/>
                <w:color w:val="auto"/>
                <w:sz w:val="24"/>
                <w:highlight w:val="none"/>
                <w:lang w:eastAsia="zh-CN"/>
              </w:rPr>
              <w:t>）</w:t>
            </w:r>
            <w:r>
              <w:rPr>
                <w:rFonts w:hint="eastAsia" w:ascii="宋体" w:hAnsi="宋体" w:eastAsia="宋体" w:cs="宋体"/>
                <w:color w:val="auto"/>
                <w:sz w:val="24"/>
                <w:highlight w:val="none"/>
              </w:rPr>
              <w:t>，具有高级大数据分析师证书，并具备工程师及以上职称证书，全部提供得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分，缺一项</w:t>
            </w:r>
            <w:r>
              <w:rPr>
                <w:rFonts w:hint="eastAsia" w:hAnsi="宋体" w:cs="宋体"/>
                <w:color w:val="auto"/>
                <w:sz w:val="24"/>
                <w:highlight w:val="none"/>
                <w:lang w:val="en-US" w:eastAsia="zh-CN"/>
              </w:rPr>
              <w:t>扣1分，扣完为止</w:t>
            </w:r>
            <w:r>
              <w:rPr>
                <w:rFonts w:hint="eastAsia" w:ascii="宋体" w:hAnsi="宋体" w:eastAsia="宋体" w:cs="宋体"/>
                <w:color w:val="auto"/>
                <w:sz w:val="24"/>
                <w:highlight w:val="none"/>
              </w:rPr>
              <w:t>。</w:t>
            </w:r>
            <w:r>
              <w:rPr>
                <w:rFonts w:hint="eastAsia" w:ascii="宋体" w:hAnsi="宋体" w:eastAsia="宋体" w:cs="宋体"/>
                <w:b/>
                <w:bCs/>
                <w:color w:val="auto"/>
                <w:sz w:val="21"/>
                <w:szCs w:val="16"/>
                <w:highlight w:val="none"/>
                <w:lang w:val="en-US" w:eastAsia="zh-CN"/>
              </w:rPr>
              <w:t>（注：需提供</w:t>
            </w:r>
            <w:r>
              <w:rPr>
                <w:rFonts w:hint="eastAsia" w:hAnsi="宋体" w:cs="宋体"/>
                <w:b/>
                <w:bCs/>
                <w:color w:val="auto"/>
                <w:sz w:val="21"/>
                <w:szCs w:val="16"/>
                <w:highlight w:val="none"/>
                <w:lang w:val="en-US" w:eastAsia="zh-CN"/>
              </w:rPr>
              <w:t>有效期内的</w:t>
            </w:r>
            <w:r>
              <w:rPr>
                <w:rFonts w:hint="eastAsia" w:ascii="宋体" w:hAnsi="宋体" w:eastAsia="宋体" w:cs="宋体"/>
                <w:b/>
                <w:bCs/>
                <w:color w:val="auto"/>
                <w:sz w:val="21"/>
                <w:szCs w:val="16"/>
                <w:highlight w:val="none"/>
                <w:lang w:val="en-US" w:eastAsia="zh-CN"/>
              </w:rPr>
              <w:t>证书</w:t>
            </w:r>
            <w:r>
              <w:rPr>
                <w:rFonts w:hint="eastAsia" w:hAnsi="宋体" w:cs="宋体"/>
                <w:b/>
                <w:bCs/>
                <w:color w:val="auto"/>
                <w:sz w:val="21"/>
                <w:szCs w:val="16"/>
                <w:highlight w:val="none"/>
                <w:lang w:val="en-US" w:eastAsia="zh-CN"/>
              </w:rPr>
              <w:t>扫描件或复印件</w:t>
            </w:r>
            <w:r>
              <w:rPr>
                <w:rFonts w:hint="eastAsia" w:ascii="宋体" w:hAnsi="宋体" w:eastAsia="宋体" w:cs="宋体"/>
                <w:b/>
                <w:bCs/>
                <w:color w:val="auto"/>
                <w:sz w:val="21"/>
                <w:szCs w:val="16"/>
                <w:highlight w:val="none"/>
                <w:lang w:val="en-US" w:eastAsia="zh-CN"/>
              </w:rPr>
              <w:t>并加盖公章</w:t>
            </w:r>
            <w:r>
              <w:rPr>
                <w:rFonts w:hint="eastAsia" w:hAnsi="宋体" w:cs="宋体"/>
                <w:b/>
                <w:bCs/>
                <w:color w:val="auto"/>
                <w:sz w:val="21"/>
                <w:szCs w:val="16"/>
                <w:highlight w:val="none"/>
                <w:lang w:val="en-US" w:eastAsia="zh-CN"/>
              </w:rPr>
              <w:t>。）</w:t>
            </w:r>
            <w:r>
              <w:rPr>
                <w:rFonts w:hint="eastAsia" w:cs="仿宋" w:asciiTheme="minorEastAsia" w:hAnsiTheme="minorEastAsia" w:eastAsiaTheme="minorEastAsia"/>
                <w:bCs/>
                <w:color w:val="auto"/>
                <w:sz w:val="24"/>
                <w:szCs w:val="24"/>
                <w:lang w:val="en-US" w:eastAsia="zh-CN"/>
              </w:rPr>
              <w:t xml:space="preserve"> </w:t>
            </w:r>
          </w:p>
          <w:p w14:paraId="21E23ABD">
            <w:pPr>
              <w:pStyle w:val="19"/>
              <w:spacing w:line="3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3.根据其他项目团队人员配置进行评价，除项目经理及技术负责人外，成员具备信创集成项目管理师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高级信息系统项目管理师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软件评测师、数据治理工程师、数据库系统工程师、软件设计师，每具备一项证书得1分，同一项证书不重复得分，</w:t>
            </w:r>
            <w:r>
              <w:rPr>
                <w:rFonts w:hint="eastAsia" w:ascii="宋体" w:hAnsi="宋体" w:eastAsia="宋体" w:cs="宋体"/>
                <w:color w:val="auto"/>
                <w:sz w:val="24"/>
                <w:highlight w:val="none"/>
                <w:lang w:eastAsia="zh-CN"/>
              </w:rPr>
              <w:t>同一人员证书只加一次分，</w:t>
            </w:r>
            <w:r>
              <w:rPr>
                <w:rFonts w:hint="eastAsia" w:ascii="宋体" w:hAnsi="宋体" w:eastAsia="宋体" w:cs="宋体"/>
                <w:color w:val="auto"/>
                <w:sz w:val="24"/>
                <w:highlight w:val="none"/>
                <w:lang w:val="en-US" w:eastAsia="zh-CN"/>
              </w:rPr>
              <w:t>全部具备得6分，每缺少一类证书扣1分，扣完为止</w:t>
            </w:r>
            <w:r>
              <w:rPr>
                <w:rFonts w:hint="eastAsia" w:ascii="宋体" w:hAnsi="宋体" w:eastAsia="宋体" w:cs="宋体"/>
                <w:color w:val="auto"/>
                <w:sz w:val="24"/>
                <w:highlight w:val="none"/>
                <w:lang w:eastAsia="zh-CN"/>
              </w:rPr>
              <w:t>。</w:t>
            </w:r>
          </w:p>
          <w:p w14:paraId="3A14F072">
            <w:pPr>
              <w:pStyle w:val="19"/>
              <w:spacing w:line="300" w:lineRule="exact"/>
              <w:rPr>
                <w:rFonts w:hAnsi="宋体"/>
                <w:color w:val="auto"/>
                <w:kern w:val="2"/>
              </w:rPr>
            </w:pPr>
            <w:r>
              <w:rPr>
                <w:rFonts w:hint="eastAsia" w:ascii="宋体" w:hAnsi="宋体" w:eastAsia="宋体" w:cs="宋体"/>
                <w:b/>
                <w:bCs/>
                <w:color w:val="auto"/>
                <w:sz w:val="21"/>
                <w:szCs w:val="16"/>
                <w:highlight w:val="none"/>
                <w:lang w:val="en-US" w:eastAsia="zh-CN"/>
              </w:rPr>
              <w:t>说明：上述团队所有人员不得重复，须提供认证证书</w:t>
            </w:r>
            <w:r>
              <w:rPr>
                <w:rFonts w:hint="eastAsia" w:hAnsi="宋体" w:cs="宋体"/>
                <w:b/>
                <w:bCs/>
                <w:color w:val="auto"/>
                <w:sz w:val="21"/>
                <w:szCs w:val="16"/>
                <w:highlight w:val="none"/>
                <w:lang w:val="en-US" w:eastAsia="zh-CN"/>
              </w:rPr>
              <w:t>扫描件或</w:t>
            </w:r>
            <w:r>
              <w:rPr>
                <w:rFonts w:hint="eastAsia" w:ascii="宋体" w:hAnsi="宋体" w:eastAsia="宋体" w:cs="宋体"/>
                <w:b/>
                <w:bCs/>
                <w:color w:val="auto"/>
                <w:sz w:val="21"/>
                <w:szCs w:val="16"/>
                <w:highlight w:val="none"/>
                <w:lang w:val="en-US" w:eastAsia="zh-CN"/>
              </w:rPr>
              <w:t>复印件和本单位为其缴纳的近6个月任意一个月的社保缴费证明，否则不得分。</w:t>
            </w:r>
          </w:p>
        </w:tc>
      </w:tr>
      <w:tr w14:paraId="7652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90" w:type="dxa"/>
            <w:vMerge w:val="restart"/>
            <w:noWrap w:val="0"/>
            <w:vAlign w:val="center"/>
          </w:tcPr>
          <w:p w14:paraId="10C2DEC8">
            <w:pPr>
              <w:spacing w:line="400" w:lineRule="exact"/>
              <w:jc w:val="center"/>
              <w:rPr>
                <w:rFonts w:ascii="宋体" w:hAnsi="宋体" w:cs="宋体"/>
                <w:color w:val="auto"/>
                <w:kern w:val="0"/>
                <w:sz w:val="24"/>
              </w:rPr>
            </w:pPr>
            <w:r>
              <w:rPr>
                <w:rFonts w:hint="eastAsia" w:ascii="宋体" w:hAnsi="宋体" w:cs="宋体"/>
                <w:color w:val="auto"/>
                <w:kern w:val="0"/>
                <w:sz w:val="24"/>
              </w:rPr>
              <w:t>技术得分</w:t>
            </w:r>
          </w:p>
          <w:p w14:paraId="229CD095">
            <w:pPr>
              <w:pStyle w:val="30"/>
              <w:spacing w:line="400" w:lineRule="exact"/>
              <w:ind w:firstLine="0" w:firstLineChars="0"/>
              <w:rPr>
                <w:rFonts w:hAnsi="宋体" w:cs="宋体"/>
                <w:color w:val="auto"/>
                <w:kern w:val="0"/>
                <w:sz w:val="24"/>
              </w:rPr>
            </w:pPr>
            <w:r>
              <w:rPr>
                <w:rFonts w:hint="eastAsia" w:ascii="宋体" w:hAnsi="宋体" w:eastAsia="宋体" w:cs="宋体"/>
                <w:color w:val="auto"/>
                <w:kern w:val="0"/>
                <w:sz w:val="24"/>
                <w:szCs w:val="22"/>
                <w:lang w:val="en-US" w:eastAsia="zh-CN" w:bidi="ar-SA"/>
              </w:rPr>
              <w:t>（</w:t>
            </w:r>
            <w:r>
              <w:rPr>
                <w:rFonts w:hint="eastAsia" w:eastAsia="宋体" w:cs="宋体"/>
                <w:color w:val="auto"/>
                <w:kern w:val="0"/>
                <w:sz w:val="24"/>
                <w:szCs w:val="22"/>
                <w:lang w:val="en-US" w:eastAsia="zh-CN" w:bidi="ar-SA"/>
              </w:rPr>
              <w:t>60</w:t>
            </w:r>
            <w:r>
              <w:rPr>
                <w:rFonts w:hint="eastAsia" w:ascii="宋体" w:hAnsi="宋体" w:eastAsia="宋体" w:cs="宋体"/>
                <w:color w:val="auto"/>
                <w:kern w:val="0"/>
                <w:sz w:val="24"/>
                <w:szCs w:val="22"/>
                <w:lang w:val="en-US" w:eastAsia="zh-CN" w:bidi="ar-SA"/>
              </w:rPr>
              <w:t>分）</w:t>
            </w:r>
          </w:p>
        </w:tc>
        <w:tc>
          <w:tcPr>
            <w:tcW w:w="1350" w:type="dxa"/>
            <w:noWrap w:val="0"/>
            <w:vAlign w:val="center"/>
          </w:tcPr>
          <w:p w14:paraId="0DD7B010">
            <w:pPr>
              <w:spacing w:line="400" w:lineRule="exact"/>
              <w:jc w:val="center"/>
              <w:rPr>
                <w:rFonts w:hint="eastAsia" w:ascii="宋体" w:hAnsi="宋体" w:cs="宋体"/>
                <w:color w:val="auto"/>
                <w:kern w:val="0"/>
                <w:sz w:val="24"/>
              </w:rPr>
            </w:pPr>
            <w:r>
              <w:rPr>
                <w:rFonts w:hint="eastAsia" w:ascii="宋体" w:hAnsi="宋体" w:cs="宋体"/>
                <w:color w:val="auto"/>
                <w:kern w:val="0"/>
                <w:sz w:val="24"/>
                <w:lang w:val="en-US" w:eastAsia="zh-CN"/>
              </w:rPr>
              <w:t>△技术参数符合程度</w:t>
            </w:r>
            <w:r>
              <w:rPr>
                <w:rFonts w:hint="eastAsia" w:cs="宋体"/>
                <w:color w:val="auto"/>
                <w:kern w:val="0"/>
                <w:sz w:val="24"/>
                <w:lang w:val="en-US" w:eastAsia="zh-CN"/>
              </w:rPr>
              <w:t>（8分）</w:t>
            </w:r>
          </w:p>
        </w:tc>
        <w:tc>
          <w:tcPr>
            <w:tcW w:w="7329" w:type="dxa"/>
            <w:noWrap w:val="0"/>
            <w:vAlign w:val="center"/>
          </w:tcPr>
          <w:p w14:paraId="7249E125">
            <w:pPr>
              <w:pStyle w:val="19"/>
              <w:spacing w:line="3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供应商须对照第三章 采购需求 中</w:t>
            </w:r>
            <w:r>
              <w:rPr>
                <w:rFonts w:hint="eastAsia" w:ascii="宋体" w:hAnsi="宋体" w:eastAsia="宋体" w:cs="宋体"/>
                <w:color w:val="auto"/>
                <w:kern w:val="0"/>
                <w:sz w:val="24"/>
                <w:szCs w:val="24"/>
                <w:highlight w:val="none"/>
                <w:lang w:val="en-US" w:eastAsia="zh-CN"/>
              </w:rPr>
              <w:t>参数前标注△的技术参数条款</w:t>
            </w:r>
            <w:r>
              <w:rPr>
                <w:rFonts w:hint="eastAsia" w:ascii="宋体" w:hAnsi="宋体" w:eastAsia="宋体" w:cs="宋体"/>
                <w:color w:val="auto"/>
                <w:sz w:val="24"/>
                <w:highlight w:val="none"/>
                <w:lang w:val="en-US" w:eastAsia="zh-CN"/>
              </w:rPr>
              <w:t>，每出现一条负偏离的，扣1分，最多扣</w:t>
            </w:r>
            <w:r>
              <w:rPr>
                <w:rFonts w:hint="eastAsia"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分，扣完为止。</w:t>
            </w:r>
          </w:p>
          <w:p w14:paraId="100D64C3">
            <w:pPr>
              <w:pStyle w:val="19"/>
              <w:spacing w:line="300" w:lineRule="exact"/>
              <w:rPr>
                <w:rFonts w:hint="default" w:ascii="宋体" w:hAnsi="宋体" w:eastAsia="宋体" w:cs="宋体"/>
                <w:b/>
                <w:bCs/>
                <w:color w:val="auto"/>
                <w:sz w:val="21"/>
                <w:szCs w:val="16"/>
                <w:highlight w:val="none"/>
                <w:lang w:val="en-US" w:eastAsia="zh-CN"/>
              </w:rPr>
            </w:pPr>
            <w:r>
              <w:rPr>
                <w:rFonts w:hint="eastAsia" w:ascii="宋体" w:hAnsi="宋体" w:eastAsia="宋体" w:cs="宋体"/>
                <w:b/>
                <w:bCs/>
                <w:color w:val="auto"/>
                <w:sz w:val="21"/>
                <w:szCs w:val="16"/>
                <w:highlight w:val="none"/>
                <w:lang w:val="en-US" w:eastAsia="zh-CN"/>
              </w:rPr>
              <w:t>注：负偏离评审依据：①所提供的技术参数低于</w:t>
            </w:r>
            <w:r>
              <w:rPr>
                <w:rFonts w:hint="eastAsia" w:hAnsi="宋体" w:cs="宋体"/>
                <w:b/>
                <w:bCs/>
                <w:color w:val="auto"/>
                <w:sz w:val="21"/>
                <w:szCs w:val="16"/>
                <w:highlight w:val="none"/>
                <w:lang w:val="en-US" w:eastAsia="zh-CN"/>
              </w:rPr>
              <w:t>招标</w:t>
            </w:r>
            <w:r>
              <w:rPr>
                <w:rFonts w:hint="eastAsia" w:ascii="宋体" w:hAnsi="宋体" w:eastAsia="宋体" w:cs="宋体"/>
                <w:b/>
                <w:bCs/>
                <w:color w:val="auto"/>
                <w:sz w:val="21"/>
                <w:szCs w:val="16"/>
                <w:highlight w:val="none"/>
                <w:lang w:val="en-US" w:eastAsia="zh-CN"/>
              </w:rPr>
              <w:t>文件要求的，视为负偏离；②技术参数响应条款（以响应文件内采购需求偏离表为准）与</w:t>
            </w:r>
            <w:r>
              <w:rPr>
                <w:rFonts w:hint="eastAsia" w:hAnsi="宋体" w:cs="宋体"/>
                <w:b/>
                <w:bCs/>
                <w:color w:val="auto"/>
                <w:sz w:val="21"/>
                <w:szCs w:val="16"/>
                <w:highlight w:val="none"/>
                <w:lang w:val="en-US" w:eastAsia="zh-CN"/>
              </w:rPr>
              <w:t>招标</w:t>
            </w:r>
            <w:r>
              <w:rPr>
                <w:rFonts w:hint="eastAsia" w:ascii="宋体" w:hAnsi="宋体" w:eastAsia="宋体" w:cs="宋体"/>
                <w:b/>
                <w:bCs/>
                <w:color w:val="auto"/>
                <w:sz w:val="21"/>
                <w:szCs w:val="16"/>
                <w:highlight w:val="none"/>
                <w:lang w:val="en-US" w:eastAsia="zh-CN"/>
              </w:rPr>
              <w:t>文件对比有缺项、漏项的，视为负偏离；③相应证明材料不齐全的、或内容模糊不清的，视为负偏离。</w:t>
            </w:r>
          </w:p>
        </w:tc>
      </w:tr>
      <w:tr w14:paraId="5C4E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90" w:type="dxa"/>
            <w:vMerge w:val="continue"/>
            <w:noWrap w:val="0"/>
            <w:vAlign w:val="center"/>
          </w:tcPr>
          <w:p w14:paraId="7E0E87AA">
            <w:pPr>
              <w:pStyle w:val="30"/>
              <w:spacing w:line="400" w:lineRule="exact"/>
              <w:ind w:firstLine="0" w:firstLineChars="0"/>
              <w:rPr>
                <w:rFonts w:hAnsi="宋体" w:cs="宋体"/>
                <w:color w:val="auto"/>
                <w:kern w:val="0"/>
                <w:sz w:val="24"/>
              </w:rPr>
            </w:pPr>
          </w:p>
        </w:tc>
        <w:tc>
          <w:tcPr>
            <w:tcW w:w="1350" w:type="dxa"/>
            <w:noWrap w:val="0"/>
            <w:vAlign w:val="center"/>
          </w:tcPr>
          <w:p w14:paraId="50BE6AAB">
            <w:pPr>
              <w:spacing w:line="400" w:lineRule="exact"/>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项目总体服务方案</w:t>
            </w:r>
          </w:p>
          <w:p w14:paraId="4C1BBD51">
            <w:pPr>
              <w:pStyle w:val="2"/>
              <w:rPr>
                <w:rFonts w:hint="eastAsia"/>
                <w:color w:val="auto"/>
              </w:rPr>
            </w:pPr>
            <w:r>
              <w:rPr>
                <w:rFonts w:hint="eastAsia" w:ascii="宋体" w:hAnsi="宋体" w:eastAsia="宋体" w:cs="宋体"/>
                <w:color w:val="auto"/>
                <w:kern w:val="0"/>
                <w:sz w:val="24"/>
                <w:szCs w:val="22"/>
                <w:lang w:val="en-US" w:eastAsia="zh-CN" w:bidi="ar-SA"/>
              </w:rPr>
              <w:t>（</w:t>
            </w:r>
            <w:r>
              <w:rPr>
                <w:rFonts w:hint="eastAsia" w:eastAsia="宋体" w:cs="宋体"/>
                <w:color w:val="auto"/>
                <w:kern w:val="0"/>
                <w:sz w:val="24"/>
                <w:szCs w:val="22"/>
                <w:lang w:val="en-US" w:eastAsia="zh-CN" w:bidi="ar-SA"/>
              </w:rPr>
              <w:t>12</w:t>
            </w:r>
            <w:r>
              <w:rPr>
                <w:rFonts w:hint="eastAsia" w:ascii="宋体" w:hAnsi="宋体" w:eastAsia="宋体" w:cs="宋体"/>
                <w:color w:val="auto"/>
                <w:kern w:val="0"/>
                <w:sz w:val="24"/>
                <w:szCs w:val="22"/>
                <w:lang w:val="en-US" w:eastAsia="zh-CN" w:bidi="ar-SA"/>
              </w:rPr>
              <w:t>分）</w:t>
            </w:r>
          </w:p>
        </w:tc>
        <w:tc>
          <w:tcPr>
            <w:tcW w:w="7329" w:type="dxa"/>
            <w:noWrap w:val="0"/>
            <w:vAlign w:val="center"/>
          </w:tcPr>
          <w:p w14:paraId="3D550B24">
            <w:pPr>
              <w:pStyle w:val="19"/>
              <w:spacing w:line="3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投标人提供项目总体服务方案，包括</w:t>
            </w:r>
            <w:r>
              <w:rPr>
                <w:rFonts w:hint="eastAsia" w:hAnsi="宋体" w:cs="宋体"/>
                <w:color w:val="auto"/>
                <w:sz w:val="24"/>
                <w:highlight w:val="none"/>
                <w:lang w:val="en-US" w:eastAsia="zh-CN"/>
              </w:rPr>
              <w:t>但不限于</w:t>
            </w:r>
            <w:r>
              <w:rPr>
                <w:rFonts w:hint="eastAsia" w:ascii="宋体" w:hAnsi="宋体" w:eastAsia="宋体" w:cs="宋体"/>
                <w:color w:val="auto"/>
                <w:sz w:val="24"/>
                <w:highlight w:val="none"/>
                <w:lang w:val="en-US" w:eastAsia="zh-CN"/>
              </w:rPr>
              <w:t>①已上线系统运维服务②业务创新及新增业务服务方案③服务保障说明等3方面进行评审，方案内容完整齐全，符合项目实际的，得</w:t>
            </w:r>
            <w:r>
              <w:rPr>
                <w:rFonts w:hint="eastAsia"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分；每有一项内容存在缺陷的，每一项扣2分；每缺少一项方案内容的每一项扣</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分，扣完为止；未提供项目总体服务方案的，此项不得分。</w:t>
            </w:r>
          </w:p>
          <w:p w14:paraId="7A6A7D3D">
            <w:pPr>
              <w:pStyle w:val="19"/>
              <w:spacing w:line="300" w:lineRule="exact"/>
              <w:ind w:firstLine="422" w:firstLineChars="200"/>
              <w:rPr>
                <w:rFonts w:hint="eastAsia" w:ascii="宋体" w:hAnsi="宋体" w:eastAsia="宋体" w:cs="宋体"/>
                <w:b/>
                <w:bCs/>
                <w:color w:val="auto"/>
                <w:sz w:val="21"/>
                <w:szCs w:val="16"/>
                <w:highlight w:val="none"/>
                <w:lang w:val="en-US" w:eastAsia="zh-CN"/>
              </w:rPr>
            </w:pPr>
            <w:r>
              <w:rPr>
                <w:rFonts w:hint="eastAsia" w:ascii="宋体" w:hAnsi="宋体" w:eastAsia="宋体" w:cs="宋体"/>
                <w:b/>
                <w:bCs/>
                <w:color w:val="auto"/>
                <w:sz w:val="21"/>
                <w:szCs w:val="16"/>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6C3E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90" w:type="dxa"/>
            <w:vMerge w:val="continue"/>
            <w:noWrap w:val="0"/>
            <w:vAlign w:val="center"/>
          </w:tcPr>
          <w:p w14:paraId="52F04C21">
            <w:pPr>
              <w:pStyle w:val="30"/>
              <w:spacing w:line="400" w:lineRule="exact"/>
              <w:ind w:firstLine="0" w:firstLineChars="0"/>
              <w:rPr>
                <w:rFonts w:hAnsi="宋体" w:cs="宋体"/>
                <w:color w:val="auto"/>
                <w:kern w:val="0"/>
                <w:sz w:val="24"/>
              </w:rPr>
            </w:pPr>
          </w:p>
        </w:tc>
        <w:tc>
          <w:tcPr>
            <w:tcW w:w="1350" w:type="dxa"/>
            <w:noWrap w:val="0"/>
            <w:vAlign w:val="center"/>
          </w:tcPr>
          <w:p w14:paraId="0377A0C5">
            <w:pPr>
              <w:spacing w:line="400" w:lineRule="exact"/>
              <w:jc w:val="center"/>
              <w:rPr>
                <w:rFonts w:hint="eastAsia" w:cs="宋体"/>
                <w:color w:val="auto"/>
                <w:kern w:val="0"/>
                <w:sz w:val="24"/>
                <w:lang w:val="en-US" w:eastAsia="zh-CN"/>
              </w:rPr>
            </w:pPr>
            <w:r>
              <w:rPr>
                <w:rFonts w:hint="eastAsia" w:ascii="宋体" w:hAnsi="宋体" w:eastAsia="宋体" w:cs="宋体"/>
                <w:color w:val="auto"/>
                <w:kern w:val="0"/>
                <w:sz w:val="24"/>
                <w:szCs w:val="24"/>
                <w:highlight w:val="none"/>
                <w:lang w:val="en-US" w:eastAsia="zh-CN"/>
              </w:rPr>
              <w:t>服务不间断（</w:t>
            </w:r>
            <w:r>
              <w:rPr>
                <w:rFonts w:hint="eastAsia"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w:t>
            </w:r>
          </w:p>
        </w:tc>
        <w:tc>
          <w:tcPr>
            <w:tcW w:w="7329" w:type="dxa"/>
            <w:noWrap w:val="0"/>
            <w:vAlign w:val="center"/>
          </w:tcPr>
          <w:p w14:paraId="2F5C53FA">
            <w:pPr>
              <w:pStyle w:val="19"/>
              <w:spacing w:line="3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供应商应能够保证现有业务系统的平稳运行，服务的不间断。如非核心系统、监管系统、数据共享平台生产商，则供应商提供能够与核心系统、监管系统、数据共享平台生产商签订接口开发框架协议的承诺函，供应商提供承诺函的得</w:t>
            </w:r>
            <w:r>
              <w:rPr>
                <w:rFonts w:hint="eastAsia"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w:t>
            </w:r>
          </w:p>
          <w:p w14:paraId="2AE514EB">
            <w:pPr>
              <w:pStyle w:val="19"/>
              <w:spacing w:line="3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提供保障服务不间断、与现有系统无缝衔接的衔接方案等2项内容，充分考虑与现有系统保持一致连贯性。方案内容完整齐全，符合项目实际的，得4分；每有一项内容存在缺陷的每一项扣1分，每缺少一项方案内容的，每一项扣2分，扣完为止；未提供保障服务不间断、与现有系统无缝衔接的证明材料和衔接方案的，此项不得分。</w:t>
            </w:r>
          </w:p>
          <w:p w14:paraId="7FF91076">
            <w:pPr>
              <w:pStyle w:val="19"/>
              <w:spacing w:line="300" w:lineRule="exact"/>
              <w:ind w:firstLine="422" w:firstLineChars="200"/>
              <w:rPr>
                <w:rFonts w:hint="eastAsia" w:ascii="宋体" w:hAnsi="宋体" w:eastAsia="宋体" w:cs="宋体"/>
                <w:b/>
                <w:bCs/>
                <w:color w:val="auto"/>
                <w:sz w:val="21"/>
                <w:szCs w:val="16"/>
                <w:highlight w:val="none"/>
                <w:lang w:val="en-US" w:eastAsia="zh-CN"/>
              </w:rPr>
            </w:pPr>
            <w:r>
              <w:rPr>
                <w:rFonts w:hint="eastAsia" w:ascii="宋体" w:hAnsi="宋体" w:eastAsia="宋体" w:cs="宋体"/>
                <w:b/>
                <w:bCs/>
                <w:color w:val="auto"/>
                <w:sz w:val="21"/>
                <w:szCs w:val="16"/>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6C96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90" w:type="dxa"/>
            <w:vMerge w:val="continue"/>
            <w:noWrap w:val="0"/>
            <w:vAlign w:val="center"/>
          </w:tcPr>
          <w:p w14:paraId="43BFCBF1">
            <w:pPr>
              <w:pStyle w:val="30"/>
              <w:spacing w:line="400" w:lineRule="exact"/>
              <w:ind w:firstLine="0" w:firstLineChars="0"/>
              <w:rPr>
                <w:rFonts w:hAnsi="宋体" w:cs="宋体"/>
                <w:color w:val="auto"/>
                <w:kern w:val="0"/>
                <w:sz w:val="24"/>
              </w:rPr>
            </w:pPr>
          </w:p>
        </w:tc>
        <w:tc>
          <w:tcPr>
            <w:tcW w:w="1350" w:type="dxa"/>
            <w:noWrap w:val="0"/>
            <w:vAlign w:val="center"/>
          </w:tcPr>
          <w:p w14:paraId="5B80D641">
            <w:pPr>
              <w:spacing w:line="400" w:lineRule="exact"/>
              <w:jc w:val="center"/>
              <w:rPr>
                <w:rFonts w:hint="eastAsia" w:cs="宋体"/>
                <w:color w:val="auto"/>
                <w:kern w:val="0"/>
                <w:sz w:val="24"/>
                <w:lang w:val="en-US" w:eastAsia="zh-CN"/>
              </w:rPr>
            </w:pPr>
            <w:r>
              <w:rPr>
                <w:rFonts w:hint="eastAsia" w:cs="宋体"/>
                <w:color w:val="auto"/>
                <w:kern w:val="0"/>
                <w:sz w:val="24"/>
                <w:lang w:val="en-US" w:eastAsia="zh-CN"/>
              </w:rPr>
              <w:t>实施方案（12分）</w:t>
            </w:r>
          </w:p>
        </w:tc>
        <w:tc>
          <w:tcPr>
            <w:tcW w:w="7329" w:type="dxa"/>
            <w:noWrap w:val="0"/>
            <w:vAlign w:val="center"/>
          </w:tcPr>
          <w:p w14:paraId="4CEF35D3">
            <w:pPr>
              <w:pStyle w:val="19"/>
              <w:spacing w:line="3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合理可行的项目实施方案，包括实施计划、项目管理、质量保证措施等3方面进行评审，方案内容完整齐全，符合项目实际的，得12分；每有一项内容存在缺陷的，每一项扣2分；每缺少一项方案内容的每一项扣4分，扣完为止；未提供项目实施方案的，此项不得分。</w:t>
            </w:r>
          </w:p>
          <w:p w14:paraId="39DEB800">
            <w:pPr>
              <w:pStyle w:val="19"/>
              <w:spacing w:line="300" w:lineRule="exact"/>
              <w:ind w:firstLine="422" w:firstLineChars="200"/>
              <w:rPr>
                <w:rFonts w:hint="eastAsia" w:ascii="宋体" w:hAnsi="宋体" w:eastAsia="宋体" w:cs="宋体"/>
                <w:b/>
                <w:bCs/>
                <w:color w:val="auto"/>
                <w:sz w:val="21"/>
                <w:szCs w:val="16"/>
                <w:highlight w:val="none"/>
                <w:lang w:val="en-US" w:eastAsia="zh-CN"/>
              </w:rPr>
            </w:pPr>
            <w:r>
              <w:rPr>
                <w:rFonts w:hint="eastAsia" w:ascii="宋体" w:hAnsi="宋体" w:eastAsia="宋体" w:cs="宋体"/>
                <w:b/>
                <w:bCs/>
                <w:color w:val="auto"/>
                <w:sz w:val="21"/>
                <w:szCs w:val="16"/>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4EF5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90" w:type="dxa"/>
            <w:vMerge w:val="continue"/>
            <w:noWrap w:val="0"/>
            <w:vAlign w:val="center"/>
          </w:tcPr>
          <w:p w14:paraId="127B55A5">
            <w:pPr>
              <w:pStyle w:val="30"/>
              <w:spacing w:line="400" w:lineRule="exact"/>
              <w:ind w:firstLine="0" w:firstLineChars="0"/>
              <w:rPr>
                <w:rFonts w:hAnsi="宋体" w:cs="宋体"/>
                <w:color w:val="auto"/>
                <w:kern w:val="0"/>
                <w:sz w:val="24"/>
              </w:rPr>
            </w:pPr>
          </w:p>
        </w:tc>
        <w:tc>
          <w:tcPr>
            <w:tcW w:w="1350" w:type="dxa"/>
            <w:noWrap w:val="0"/>
            <w:vAlign w:val="center"/>
          </w:tcPr>
          <w:p w14:paraId="288E2417">
            <w:pPr>
              <w:spacing w:line="400" w:lineRule="exact"/>
              <w:jc w:val="center"/>
              <w:rPr>
                <w:rFonts w:hint="eastAsia" w:cs="宋体"/>
                <w:color w:val="auto"/>
                <w:kern w:val="0"/>
                <w:sz w:val="24"/>
                <w:lang w:val="en-US" w:eastAsia="zh-CN"/>
              </w:rPr>
            </w:pPr>
            <w:r>
              <w:rPr>
                <w:rFonts w:hint="eastAsia" w:ascii="宋体" w:hAnsi="宋体" w:cs="宋体"/>
                <w:color w:val="auto"/>
                <w:kern w:val="0"/>
                <w:sz w:val="24"/>
                <w:lang w:val="en-US" w:eastAsia="zh-CN"/>
              </w:rPr>
              <w:t>安全方案</w:t>
            </w:r>
            <w:r>
              <w:rPr>
                <w:rFonts w:hint="eastAsia" w:cs="宋体"/>
                <w:color w:val="auto"/>
                <w:kern w:val="0"/>
                <w:sz w:val="24"/>
                <w:lang w:val="en-US" w:eastAsia="zh-CN"/>
              </w:rPr>
              <w:t>（8分）</w:t>
            </w:r>
          </w:p>
        </w:tc>
        <w:tc>
          <w:tcPr>
            <w:tcW w:w="7329" w:type="dxa"/>
            <w:noWrap w:val="0"/>
            <w:vAlign w:val="center"/>
          </w:tcPr>
          <w:p w14:paraId="5B23D0DD">
            <w:pPr>
              <w:pStyle w:val="19"/>
              <w:spacing w:line="3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为保障各个系统及实施、运维过程的安全，满足系统安全要求，供应商根据项目内容及特点制定安全方案，包括</w:t>
            </w:r>
            <w:r>
              <w:rPr>
                <w:rFonts w:hint="eastAsia" w:hAnsi="宋体" w:cs="宋体"/>
                <w:color w:val="auto"/>
                <w:sz w:val="24"/>
                <w:highlight w:val="none"/>
                <w:lang w:val="en-US" w:eastAsia="zh-CN"/>
              </w:rPr>
              <w:t>但不限于</w:t>
            </w:r>
            <w:r>
              <w:rPr>
                <w:rFonts w:hint="eastAsia" w:ascii="宋体" w:hAnsi="宋体" w:eastAsia="宋体" w:cs="宋体"/>
                <w:color w:val="auto"/>
                <w:sz w:val="24"/>
                <w:highlight w:val="none"/>
                <w:lang w:val="en-US" w:eastAsia="zh-CN"/>
              </w:rPr>
              <w:t>：</w:t>
            </w:r>
            <w:r>
              <w:rPr>
                <w:rFonts w:hint="eastAsia" w:hAnsi="宋体" w:cs="宋体"/>
                <w:color w:val="auto"/>
                <w:sz w:val="24"/>
                <w:highlight w:val="none"/>
                <w:lang w:val="en-US" w:eastAsia="zh-CN"/>
              </w:rPr>
              <w:t>数据安全、实施安全及信息安全</w:t>
            </w:r>
            <w:r>
              <w:rPr>
                <w:rFonts w:hint="eastAsia" w:ascii="宋体" w:hAnsi="宋体" w:eastAsia="宋体" w:cs="宋体"/>
                <w:color w:val="auto"/>
                <w:sz w:val="24"/>
                <w:highlight w:val="none"/>
                <w:lang w:val="en-US" w:eastAsia="zh-CN"/>
              </w:rPr>
              <w:t>等</w:t>
            </w:r>
            <w:r>
              <w:rPr>
                <w:rFonts w:hint="eastAsia"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方面进行评审，方案内容完整齐全，符合项目实际的，得</w:t>
            </w:r>
            <w:r>
              <w:rPr>
                <w:rFonts w:hint="eastAsia"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分；每有一项内容存在缺陷的，每一项扣</w:t>
            </w:r>
            <w:r>
              <w:rPr>
                <w:rFonts w:hint="eastAsia"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分；每缺少一项方案内容的每一项扣</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分，扣完为止；未提供项目安全方案的，此项不得分。</w:t>
            </w:r>
          </w:p>
          <w:p w14:paraId="1C57F254">
            <w:pPr>
              <w:pStyle w:val="19"/>
              <w:spacing w:line="300" w:lineRule="exact"/>
              <w:ind w:firstLine="422" w:firstLineChars="200"/>
              <w:rPr>
                <w:rFonts w:hint="eastAsia" w:ascii="宋体" w:hAnsi="宋体" w:eastAsia="宋体" w:cs="宋体"/>
                <w:b/>
                <w:bCs/>
                <w:color w:val="auto"/>
                <w:sz w:val="21"/>
                <w:szCs w:val="16"/>
                <w:highlight w:val="none"/>
                <w:lang w:val="en-US" w:eastAsia="zh-CN"/>
              </w:rPr>
            </w:pPr>
            <w:r>
              <w:rPr>
                <w:rFonts w:hint="eastAsia" w:ascii="宋体" w:hAnsi="宋体" w:eastAsia="宋体" w:cs="宋体"/>
                <w:b/>
                <w:bCs/>
                <w:color w:val="auto"/>
                <w:sz w:val="21"/>
                <w:szCs w:val="16"/>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B95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90" w:type="dxa"/>
            <w:vMerge w:val="continue"/>
            <w:noWrap w:val="0"/>
            <w:vAlign w:val="center"/>
          </w:tcPr>
          <w:p w14:paraId="602B0790">
            <w:pPr>
              <w:pStyle w:val="30"/>
              <w:spacing w:line="400" w:lineRule="exact"/>
              <w:ind w:firstLine="0" w:firstLineChars="0"/>
              <w:rPr>
                <w:rFonts w:hAnsi="宋体" w:cs="宋体"/>
                <w:color w:val="auto"/>
                <w:kern w:val="0"/>
                <w:sz w:val="24"/>
              </w:rPr>
            </w:pPr>
          </w:p>
        </w:tc>
        <w:tc>
          <w:tcPr>
            <w:tcW w:w="1350" w:type="dxa"/>
            <w:noWrap w:val="0"/>
            <w:vAlign w:val="center"/>
          </w:tcPr>
          <w:p w14:paraId="7F27D237">
            <w:pPr>
              <w:spacing w:line="400" w:lineRule="exact"/>
              <w:jc w:val="center"/>
              <w:rPr>
                <w:rFonts w:hint="default" w:ascii="宋体" w:hAnsi="宋体" w:eastAsia="宋体" w:cs="宋体"/>
                <w:color w:val="auto"/>
                <w:kern w:val="0"/>
                <w:sz w:val="24"/>
                <w:lang w:val="en-US" w:eastAsia="zh-CN"/>
              </w:rPr>
            </w:pPr>
            <w:r>
              <w:rPr>
                <w:rFonts w:hint="eastAsia" w:cs="宋体"/>
                <w:color w:val="auto"/>
                <w:kern w:val="0"/>
                <w:sz w:val="24"/>
                <w:lang w:val="en-US" w:eastAsia="zh-CN"/>
              </w:rPr>
              <w:t>培训方案（8分）</w:t>
            </w:r>
          </w:p>
        </w:tc>
        <w:tc>
          <w:tcPr>
            <w:tcW w:w="7329" w:type="dxa"/>
            <w:noWrap w:val="0"/>
            <w:vAlign w:val="center"/>
          </w:tcPr>
          <w:p w14:paraId="652B2678">
            <w:pPr>
              <w:pStyle w:val="19"/>
              <w:spacing w:line="3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根据供应商提供的项目培训方案进行评分：</w:t>
            </w:r>
          </w:p>
          <w:p w14:paraId="20A11E3C">
            <w:pPr>
              <w:pStyle w:val="19"/>
              <w:spacing w:line="3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项目培训方案包括但不限于培训内容、培训方式、培训计划、培训体系等</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项内容，方案内容完整齐全，符合项目实际的，得</w:t>
            </w:r>
            <w:r>
              <w:rPr>
                <w:rFonts w:hint="eastAsia"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分；每有一项内容存在缺陷的每一项扣1分，每缺少一项方案内容的，每一项扣2分，扣完为止；未提供项目培训方案的，此项不得分。</w:t>
            </w:r>
          </w:p>
          <w:p w14:paraId="0F2013B0">
            <w:pPr>
              <w:pStyle w:val="19"/>
              <w:spacing w:line="300" w:lineRule="exact"/>
              <w:ind w:firstLine="422" w:firstLineChars="200"/>
              <w:rPr>
                <w:rFonts w:hint="eastAsia" w:ascii="宋体" w:hAnsi="宋体" w:eastAsia="宋体" w:cs="宋体"/>
                <w:b/>
                <w:bCs/>
                <w:color w:val="auto"/>
                <w:sz w:val="21"/>
                <w:szCs w:val="16"/>
                <w:highlight w:val="none"/>
                <w:lang w:val="en-US" w:eastAsia="zh-CN"/>
              </w:rPr>
            </w:pPr>
            <w:r>
              <w:rPr>
                <w:rFonts w:hint="eastAsia" w:ascii="宋体" w:hAnsi="宋体" w:eastAsia="宋体" w:cs="宋体"/>
                <w:b/>
                <w:bCs/>
                <w:color w:val="auto"/>
                <w:sz w:val="21"/>
                <w:szCs w:val="16"/>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719C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90" w:type="dxa"/>
            <w:vMerge w:val="continue"/>
            <w:noWrap w:val="0"/>
            <w:vAlign w:val="center"/>
          </w:tcPr>
          <w:p w14:paraId="13E19BE3">
            <w:pPr>
              <w:pStyle w:val="30"/>
              <w:spacing w:line="400" w:lineRule="exact"/>
              <w:ind w:firstLine="0" w:firstLineChars="0"/>
              <w:rPr>
                <w:rFonts w:hAnsi="宋体" w:cs="宋体"/>
                <w:color w:val="auto"/>
                <w:kern w:val="0"/>
                <w:sz w:val="24"/>
              </w:rPr>
            </w:pPr>
          </w:p>
        </w:tc>
        <w:tc>
          <w:tcPr>
            <w:tcW w:w="1350" w:type="dxa"/>
            <w:noWrap w:val="0"/>
            <w:vAlign w:val="center"/>
          </w:tcPr>
          <w:p w14:paraId="0A175AA5">
            <w:pPr>
              <w:spacing w:line="400" w:lineRule="exact"/>
              <w:jc w:val="center"/>
              <w:rPr>
                <w:rFonts w:hint="default" w:ascii="宋体" w:hAnsi="宋体" w:eastAsia="宋体" w:cs="宋体"/>
                <w:color w:val="auto"/>
                <w:kern w:val="0"/>
                <w:sz w:val="24"/>
                <w:lang w:val="en-US" w:eastAsia="zh-CN"/>
              </w:rPr>
            </w:pPr>
            <w:r>
              <w:rPr>
                <w:rFonts w:hint="eastAsia" w:cs="宋体"/>
                <w:color w:val="auto"/>
                <w:kern w:val="0"/>
                <w:sz w:val="24"/>
                <w:lang w:val="en-US" w:eastAsia="zh-CN"/>
              </w:rPr>
              <w:t>应急方案（6分）</w:t>
            </w:r>
          </w:p>
        </w:tc>
        <w:tc>
          <w:tcPr>
            <w:tcW w:w="7329" w:type="dxa"/>
            <w:noWrap w:val="0"/>
            <w:vAlign w:val="center"/>
          </w:tcPr>
          <w:p w14:paraId="778DE367">
            <w:pPr>
              <w:pStyle w:val="19"/>
              <w:spacing w:line="300" w:lineRule="exact"/>
              <w:ind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根据供应商提供的应急方案进行评分：</w:t>
            </w:r>
          </w:p>
          <w:p w14:paraId="086491F3">
            <w:pPr>
              <w:pStyle w:val="19"/>
              <w:spacing w:line="300" w:lineRule="exact"/>
              <w:ind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应急方案内容包括：应急体系设计、应急响应程序及措施等2方面。方案内容齐全，条理结构清晰，层次细化完善、准确响应项目要求得6分；每有一处内容存在“不足或瑕疵”的，每一项扣1.5分；每缺少一项方案内容的，每一项扣3分；扣完为止。</w:t>
            </w:r>
          </w:p>
          <w:p w14:paraId="69560B60">
            <w:pPr>
              <w:pStyle w:val="19"/>
              <w:spacing w:line="300" w:lineRule="exact"/>
              <w:ind w:firstLine="422" w:firstLineChars="200"/>
              <w:rPr>
                <w:rFonts w:hint="eastAsia" w:ascii="宋体" w:hAnsi="宋体" w:eastAsia="宋体" w:cs="宋体"/>
                <w:b/>
                <w:bCs/>
                <w:color w:val="auto"/>
                <w:sz w:val="21"/>
                <w:szCs w:val="16"/>
                <w:highlight w:val="none"/>
                <w:lang w:val="en-US" w:eastAsia="zh-CN"/>
              </w:rPr>
            </w:pPr>
            <w:r>
              <w:rPr>
                <w:rFonts w:hint="eastAsia" w:ascii="宋体" w:hAnsi="宋体" w:eastAsia="宋体" w:cs="宋体"/>
                <w:b/>
                <w:bCs/>
                <w:color w:val="auto"/>
                <w:sz w:val="21"/>
                <w:szCs w:val="16"/>
                <w:highlight w:val="none"/>
                <w:lang w:val="en-US" w:eastAsia="zh-CN"/>
              </w:rPr>
              <w:t>注：“不足或瑕疵”指内容不完整或缺少关键点；非专门针对本项目或不适用本项目特性、套用其他项目内容；对同一问题前后表述矛盾；存在逻辑漏洞、科学原理或常识错误；不利于本项目目标的实现、现有技术条件下不可能出现的情形等以上任意一种情形。</w:t>
            </w:r>
          </w:p>
        </w:tc>
      </w:tr>
    </w:tbl>
    <w:p w14:paraId="794462B8">
      <w:pPr>
        <w:pStyle w:val="39"/>
        <w:rPr>
          <w:rFonts w:hint="eastAsia"/>
          <w:color w:val="auto"/>
          <w:highlight w:val="none"/>
        </w:rPr>
      </w:pPr>
    </w:p>
    <w:p w14:paraId="47813109">
      <w:pPr>
        <w:pStyle w:val="39"/>
        <w:ind w:left="0" w:leftChars="0" w:firstLine="0" w:firstLineChars="0"/>
        <w:rPr>
          <w:rFonts w:hint="eastAsia"/>
          <w:color w:val="auto"/>
          <w:highlight w:val="none"/>
        </w:rPr>
      </w:pPr>
    </w:p>
    <w:p w14:paraId="2A84EE30">
      <w:pPr>
        <w:rPr>
          <w:color w:val="auto"/>
          <w:highlight w:val="none"/>
          <w:lang w:val="zh-CN"/>
        </w:rPr>
        <w:sectPr>
          <w:pgSz w:w="11906" w:h="16838"/>
          <w:pgMar w:top="1440" w:right="1800" w:bottom="1440" w:left="1800" w:header="851" w:footer="765"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54C87150">
      <w:pPr>
        <w:pStyle w:val="3"/>
        <w:bidi w:val="0"/>
        <w:rPr>
          <w:rFonts w:hint="eastAsia" w:ascii="宋体" w:hAnsi="宋体" w:eastAsia="宋体" w:cs="宋体"/>
          <w:lang w:val="zh-CN" w:eastAsia="zh-CN"/>
        </w:rPr>
      </w:pPr>
      <w:bookmarkStart w:id="589" w:name="_Toc155185918"/>
      <w:bookmarkStart w:id="590" w:name="_Toc520"/>
      <w:bookmarkStart w:id="591" w:name="_Toc17112"/>
      <w:bookmarkStart w:id="592" w:name="_Toc12131"/>
      <w:r>
        <w:rPr>
          <w:rFonts w:hint="eastAsia" w:ascii="宋体" w:hAnsi="宋体" w:eastAsia="宋体" w:cs="宋体"/>
          <w:lang w:val="zh-CN" w:eastAsia="zh-CN"/>
        </w:rPr>
        <w:t>第六</w:t>
      </w:r>
      <w:r>
        <w:rPr>
          <w:rFonts w:hint="eastAsia" w:ascii="宋体" w:hAnsi="宋体" w:eastAsia="宋体" w:cs="宋体"/>
          <w:highlight w:val="none"/>
          <w:lang w:val="zh-CN" w:eastAsia="zh-CN"/>
        </w:rPr>
        <w:t>章 合同</w:t>
      </w:r>
      <w:bookmarkEnd w:id="589"/>
      <w:r>
        <w:rPr>
          <w:rFonts w:hint="eastAsia" w:ascii="宋体" w:hAnsi="宋体" w:eastAsia="宋体" w:cs="宋体"/>
          <w:highlight w:val="none"/>
          <w:lang w:val="zh-CN" w:eastAsia="zh-CN"/>
        </w:rPr>
        <w:t>草案</w:t>
      </w:r>
      <w:bookmarkEnd w:id="590"/>
      <w:bookmarkEnd w:id="591"/>
      <w:bookmarkEnd w:id="592"/>
    </w:p>
    <w:p w14:paraId="0F73DEB3">
      <w:pPr>
        <w:wordWrap w:val="0"/>
        <w:jc w:val="center"/>
        <w:rPr>
          <w:bCs/>
          <w:color w:val="auto"/>
          <w:sz w:val="36"/>
          <w:szCs w:val="36"/>
          <w:highlight w:val="none"/>
        </w:rPr>
      </w:pPr>
      <w:r>
        <w:rPr>
          <w:rFonts w:hint="eastAsia"/>
          <w:color w:val="auto"/>
          <w:highlight w:val="none"/>
        </w:rPr>
        <w:t>（</w:t>
      </w:r>
      <w:r>
        <w:rPr>
          <w:rFonts w:hint="eastAsia"/>
          <w:color w:val="auto"/>
          <w:szCs w:val="24"/>
          <w:highlight w:val="none"/>
        </w:rPr>
        <w:t>此合同书仅作为签订正式合同时的参考，正式合同书应包括本参考格式的内容）</w:t>
      </w:r>
    </w:p>
    <w:p w14:paraId="51E629DD">
      <w:pPr>
        <w:wordWrap w:val="0"/>
        <w:rPr>
          <w:bCs/>
          <w:color w:val="auto"/>
          <w:sz w:val="28"/>
          <w:szCs w:val="28"/>
          <w:highlight w:val="none"/>
        </w:rPr>
      </w:pPr>
      <w:r>
        <w:rPr>
          <w:rFonts w:hint="eastAsia" w:cs="Helvetica"/>
          <w:bCs/>
          <w:color w:val="auto"/>
          <w:szCs w:val="24"/>
          <w:highlight w:val="none"/>
          <w:lang w:val="zh-CN"/>
        </w:rPr>
        <w:t>合同编号：</w:t>
      </w:r>
      <w:r>
        <w:rPr>
          <w:rFonts w:hint="eastAsia" w:cs="Helvetica"/>
          <w:bCs/>
          <w:color w:val="auto"/>
          <w:szCs w:val="24"/>
          <w:highlight w:val="none"/>
          <w:u w:val="single"/>
        </w:rPr>
        <w:t xml:space="preserve">              </w:t>
      </w:r>
    </w:p>
    <w:p w14:paraId="4DD54709">
      <w:pPr>
        <w:pStyle w:val="2"/>
        <w:spacing w:after="0"/>
        <w:jc w:val="center"/>
        <w:rPr>
          <w:rFonts w:ascii="宋体" w:hAnsi="宋体" w:cs="宋体"/>
          <w:b/>
          <w:bCs/>
          <w:color w:val="auto"/>
          <w:spacing w:val="-20"/>
          <w:kern w:val="44"/>
          <w:sz w:val="48"/>
          <w:szCs w:val="48"/>
          <w:highlight w:val="none"/>
        </w:rPr>
      </w:pPr>
      <w:bookmarkStart w:id="593" w:name="_Toc3995"/>
    </w:p>
    <w:p w14:paraId="3B059C39">
      <w:pPr>
        <w:pStyle w:val="2"/>
        <w:rPr>
          <w:color w:val="auto"/>
          <w:highlight w:val="none"/>
        </w:rPr>
      </w:pPr>
    </w:p>
    <w:p w14:paraId="1EAD278A">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594" w:name="_Toc3714"/>
      <w:bookmarkStart w:id="595" w:name="_Toc9350"/>
      <w:r>
        <w:rPr>
          <w:rFonts w:hint="eastAsia" w:ascii="宋体" w:hAnsi="宋体" w:eastAsia="宋体" w:cs="宋体"/>
          <w:b/>
          <w:bCs/>
          <w:color w:val="auto"/>
          <w:spacing w:val="-20"/>
          <w:kern w:val="44"/>
          <w:sz w:val="44"/>
          <w:szCs w:val="44"/>
          <w:highlight w:val="none"/>
          <w:lang w:val="en-US" w:eastAsia="zh-CN" w:bidi="ar-SA"/>
        </w:rPr>
        <w:t>政府采购合同参考范本</w:t>
      </w:r>
      <w:bookmarkEnd w:id="594"/>
      <w:bookmarkEnd w:id="595"/>
    </w:p>
    <w:p w14:paraId="4571CDB1">
      <w:pPr>
        <w:spacing w:line="48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596" w:name="_Toc22704"/>
      <w:bookmarkStart w:id="597" w:name="_Toc8560"/>
      <w:r>
        <w:rPr>
          <w:rFonts w:hint="eastAsia" w:ascii="宋体" w:hAnsi="宋体" w:eastAsia="宋体" w:cs="宋体"/>
          <w:b/>
          <w:bCs/>
          <w:color w:val="auto"/>
          <w:spacing w:val="-20"/>
          <w:kern w:val="44"/>
          <w:sz w:val="44"/>
          <w:szCs w:val="44"/>
          <w:highlight w:val="none"/>
          <w:lang w:val="en-US" w:eastAsia="zh-CN" w:bidi="ar-SA"/>
        </w:rPr>
        <w:t>（服务类）</w:t>
      </w:r>
      <w:bookmarkEnd w:id="596"/>
      <w:bookmarkEnd w:id="597"/>
    </w:p>
    <w:p w14:paraId="78DDAE5C">
      <w:pPr>
        <w:spacing w:line="480" w:lineRule="auto"/>
        <w:jc w:val="center"/>
        <w:rPr>
          <w:rFonts w:cs="Times New Roman" w:asciiTheme="minorEastAsia" w:hAnsiTheme="minorEastAsia" w:eastAsiaTheme="minorEastAsia"/>
          <w:b/>
          <w:color w:val="auto"/>
          <w:sz w:val="24"/>
          <w:szCs w:val="24"/>
          <w:highlight w:val="none"/>
        </w:rPr>
      </w:pPr>
    </w:p>
    <w:p w14:paraId="317A7DEF">
      <w:pPr>
        <w:spacing w:line="480" w:lineRule="auto"/>
        <w:jc w:val="center"/>
        <w:rPr>
          <w:rFonts w:cs="Times New Roman" w:asciiTheme="minorEastAsia" w:hAnsiTheme="minorEastAsia" w:eastAsiaTheme="minorEastAsia"/>
          <w:b/>
          <w:color w:val="auto"/>
          <w:sz w:val="24"/>
          <w:szCs w:val="24"/>
          <w:highlight w:val="none"/>
        </w:rPr>
      </w:pPr>
    </w:p>
    <w:p w14:paraId="55C3B597">
      <w:pPr>
        <w:spacing w:line="360" w:lineRule="auto"/>
        <w:jc w:val="center"/>
        <w:outlineLvl w:val="1"/>
        <w:rPr>
          <w:rFonts w:hint="eastAsia" w:ascii="宋体" w:hAnsi="宋体" w:eastAsia="宋体" w:cs="宋体"/>
          <w:b/>
          <w:color w:val="auto"/>
          <w:sz w:val="36"/>
          <w:szCs w:val="36"/>
          <w:highlight w:val="none"/>
        </w:rPr>
      </w:pPr>
      <w:bookmarkStart w:id="598" w:name="_Toc24900"/>
      <w:bookmarkStart w:id="599" w:name="_Toc2449"/>
      <w:bookmarkStart w:id="600" w:name="_Toc16803"/>
      <w:r>
        <w:rPr>
          <w:rFonts w:hint="eastAsia" w:ascii="宋体" w:hAnsi="宋体" w:eastAsia="宋体" w:cs="宋体"/>
          <w:b/>
          <w:color w:val="auto"/>
          <w:sz w:val="36"/>
          <w:szCs w:val="36"/>
          <w:highlight w:val="none"/>
        </w:rPr>
        <w:t>第一部分 合同书</w:t>
      </w:r>
      <w:bookmarkEnd w:id="598"/>
      <w:bookmarkEnd w:id="599"/>
      <w:bookmarkEnd w:id="600"/>
    </w:p>
    <w:p w14:paraId="4BA01776">
      <w:pPr>
        <w:spacing w:line="480" w:lineRule="auto"/>
        <w:jc w:val="center"/>
        <w:rPr>
          <w:rFonts w:cs="Times New Roman" w:asciiTheme="minorEastAsia" w:hAnsiTheme="minorEastAsia" w:eastAsiaTheme="minorEastAsia"/>
          <w:b/>
          <w:color w:val="auto"/>
          <w:sz w:val="24"/>
          <w:szCs w:val="24"/>
          <w:highlight w:val="none"/>
        </w:rPr>
      </w:pPr>
    </w:p>
    <w:p w14:paraId="5F204112">
      <w:pPr>
        <w:pStyle w:val="2"/>
        <w:rPr>
          <w:color w:val="auto"/>
          <w:highlight w:val="none"/>
        </w:rPr>
      </w:pPr>
    </w:p>
    <w:p w14:paraId="69570DA0">
      <w:pPr>
        <w:pStyle w:val="2"/>
        <w:rPr>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乙方（中标人）：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5343AE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方式采购活动，经</w:t>
      </w:r>
      <w:r>
        <w:rPr>
          <w:rFonts w:hint="eastAsia" w:ascii="宋体" w:hAnsi="宋体" w:eastAsia="宋体" w:cs="宋体"/>
          <w:color w:val="auto"/>
          <w:sz w:val="24"/>
          <w:szCs w:val="24"/>
          <w:highlight w:val="none"/>
          <w:u w:val="singl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）为本项目中标人，现按照采购文件确定的事项签订本合同。</w:t>
      </w:r>
    </w:p>
    <w:p w14:paraId="1A7D6614">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color w:val="auto"/>
          <w:sz w:val="24"/>
          <w:szCs w:val="24"/>
          <w:highlight w:val="none"/>
          <w:lang w:val="zh-CN"/>
        </w:rPr>
      </w:pPr>
      <w:bookmarkStart w:id="601" w:name="_Toc24059"/>
      <w:bookmarkStart w:id="602" w:name="_Toc1600"/>
      <w:bookmarkStart w:id="603" w:name="_Toc3029"/>
      <w:bookmarkStart w:id="604" w:name="_Toc32343"/>
      <w:bookmarkStart w:id="605" w:name="_Toc2232"/>
      <w:r>
        <w:rPr>
          <w:rFonts w:hint="eastAsia" w:ascii="宋体" w:hAnsi="宋体" w:eastAsia="宋体" w:cs="宋体"/>
          <w:b/>
          <w:bCs/>
          <w:color w:val="auto"/>
          <w:sz w:val="24"/>
          <w:szCs w:val="24"/>
          <w:highlight w:val="none"/>
          <w:lang w:val="zh-CN"/>
        </w:rPr>
        <w:t>1.1 合同组成部分</w:t>
      </w:r>
      <w:bookmarkEnd w:id="601"/>
      <w:bookmarkEnd w:id="602"/>
      <w:bookmarkEnd w:id="603"/>
      <w:bookmarkEnd w:id="604"/>
      <w:bookmarkEnd w:id="605"/>
    </w:p>
    <w:p w14:paraId="024A42B6">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20FA8DCC">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01E3C1E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7BCC15D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color w:val="auto"/>
          <w:sz w:val="24"/>
          <w:szCs w:val="24"/>
          <w:highlight w:val="none"/>
          <w:lang w:val="zh-CN"/>
        </w:rPr>
      </w:pPr>
      <w:bookmarkStart w:id="606" w:name="_Toc22185"/>
      <w:bookmarkStart w:id="607" w:name="_Toc6773"/>
      <w:bookmarkStart w:id="608" w:name="_Toc18585"/>
      <w:bookmarkStart w:id="609" w:name="_Toc2918"/>
      <w:bookmarkStart w:id="610" w:name="_Toc6311"/>
      <w:bookmarkStart w:id="611" w:name="_Toc4436"/>
      <w:bookmarkStart w:id="612" w:name="_Toc8950"/>
      <w:r>
        <w:rPr>
          <w:rFonts w:hint="eastAsia" w:ascii="宋体" w:hAnsi="宋体" w:eastAsia="宋体" w:cs="宋体"/>
          <w:b/>
          <w:bCs/>
          <w:color w:val="auto"/>
          <w:sz w:val="24"/>
          <w:szCs w:val="24"/>
          <w:highlight w:val="none"/>
          <w:lang w:val="zh-CN"/>
        </w:rPr>
        <w:t xml:space="preserve">1.2 </w:t>
      </w:r>
      <w:bookmarkEnd w:id="606"/>
      <w:bookmarkEnd w:id="607"/>
      <w:bookmarkEnd w:id="608"/>
      <w:bookmarkEnd w:id="609"/>
      <w:bookmarkEnd w:id="610"/>
      <w:r>
        <w:rPr>
          <w:rFonts w:hint="eastAsia" w:ascii="宋体" w:hAnsi="宋体" w:eastAsia="宋体" w:cs="宋体"/>
          <w:b/>
          <w:bCs/>
          <w:color w:val="auto"/>
          <w:sz w:val="24"/>
          <w:szCs w:val="24"/>
          <w:highlight w:val="none"/>
          <w:lang w:val="zh-CN"/>
        </w:rPr>
        <w:t>服务</w:t>
      </w:r>
      <w:bookmarkEnd w:id="611"/>
      <w:bookmarkEnd w:id="612"/>
    </w:p>
    <w:p w14:paraId="2A8C808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07EFA">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170C5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949008">
      <w:pPr>
        <w:spacing w:line="360" w:lineRule="auto"/>
        <w:ind w:firstLine="437"/>
        <w:outlineLvl w:val="2"/>
        <w:rPr>
          <w:rFonts w:hint="eastAsia" w:ascii="宋体" w:hAnsi="宋体" w:eastAsia="宋体" w:cs="宋体"/>
          <w:b/>
          <w:bCs/>
          <w:color w:val="auto"/>
          <w:sz w:val="24"/>
          <w:szCs w:val="24"/>
          <w:highlight w:val="none"/>
          <w:lang w:val="zh-CN"/>
        </w:rPr>
      </w:pPr>
      <w:bookmarkStart w:id="613" w:name="_Toc8047"/>
      <w:bookmarkStart w:id="614" w:name="_Toc21551"/>
      <w:bookmarkStart w:id="615" w:name="_Toc11350"/>
      <w:bookmarkStart w:id="616" w:name="_Toc21631"/>
      <w:bookmarkStart w:id="617" w:name="_Toc23292"/>
      <w:r>
        <w:rPr>
          <w:rFonts w:hint="eastAsia" w:ascii="宋体" w:hAnsi="宋体" w:eastAsia="宋体" w:cs="宋体"/>
          <w:b/>
          <w:bCs/>
          <w:color w:val="auto"/>
          <w:sz w:val="24"/>
          <w:szCs w:val="24"/>
          <w:highlight w:val="none"/>
          <w:lang w:val="zh-CN"/>
        </w:rPr>
        <w:t>1.3 价款</w:t>
      </w:r>
      <w:bookmarkEnd w:id="613"/>
      <w:bookmarkEnd w:id="614"/>
      <w:bookmarkEnd w:id="615"/>
      <w:bookmarkEnd w:id="616"/>
      <w:bookmarkEnd w:id="617"/>
    </w:p>
    <w:p w14:paraId="0E6E2DB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85CBE5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4C7FFB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0E415F66">
            <w:pPr>
              <w:ind w:firstLine="200"/>
              <w:jc w:val="center"/>
              <w:rPr>
                <w:rFonts w:hint="eastAsia" w:ascii="宋体" w:hAnsi="宋体" w:eastAsia="宋体" w:cs="宋体"/>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3722A032">
            <w:pPr>
              <w:ind w:firstLine="200"/>
              <w:jc w:val="center"/>
              <w:rPr>
                <w:rFonts w:hint="eastAsia" w:ascii="宋体" w:hAnsi="宋体" w:eastAsia="宋体" w:cs="宋体"/>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4CAABBD7">
            <w:pPr>
              <w:ind w:firstLine="200"/>
              <w:jc w:val="center"/>
              <w:rPr>
                <w:rFonts w:hint="eastAsia" w:ascii="宋体" w:hAnsi="宋体" w:eastAsia="宋体" w:cs="宋体"/>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14647217">
            <w:pPr>
              <w:ind w:firstLine="200"/>
              <w:jc w:val="center"/>
              <w:rPr>
                <w:rFonts w:hint="eastAsia" w:ascii="宋体" w:hAnsi="宋体" w:eastAsia="宋体" w:cs="宋体"/>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155BB530">
            <w:pPr>
              <w:ind w:firstLine="200"/>
              <w:jc w:val="center"/>
              <w:rPr>
                <w:rFonts w:hint="eastAsia" w:ascii="宋体" w:hAnsi="宋体" w:eastAsia="宋体" w:cs="宋体"/>
                <w:color w:val="auto"/>
                <w:sz w:val="24"/>
                <w:szCs w:val="24"/>
                <w:highlight w:val="none"/>
              </w:rPr>
            </w:pPr>
          </w:p>
        </w:tc>
      </w:tr>
    </w:tbl>
    <w:p w14:paraId="17E2FC9E">
      <w:pPr>
        <w:spacing w:line="360" w:lineRule="auto"/>
        <w:ind w:firstLine="437"/>
        <w:outlineLvl w:val="2"/>
        <w:rPr>
          <w:rFonts w:hint="eastAsia" w:ascii="宋体" w:hAnsi="宋体" w:eastAsia="宋体" w:cs="宋体"/>
          <w:b/>
          <w:bCs/>
          <w:color w:val="auto"/>
          <w:sz w:val="24"/>
          <w:szCs w:val="24"/>
          <w:highlight w:val="none"/>
          <w:lang w:val="zh-CN"/>
        </w:rPr>
      </w:pPr>
      <w:bookmarkStart w:id="618" w:name="_Toc22618"/>
      <w:bookmarkStart w:id="619" w:name="_Toc21546"/>
      <w:bookmarkStart w:id="620" w:name="_Toc10340"/>
      <w:bookmarkStart w:id="621" w:name="_Toc20171"/>
      <w:bookmarkStart w:id="622" w:name="_Toc1814"/>
      <w:r>
        <w:rPr>
          <w:rFonts w:hint="eastAsia" w:ascii="宋体" w:hAnsi="宋体" w:eastAsia="宋体" w:cs="宋体"/>
          <w:b/>
          <w:bCs/>
          <w:color w:val="auto"/>
          <w:sz w:val="24"/>
          <w:szCs w:val="24"/>
          <w:highlight w:val="none"/>
          <w:lang w:val="zh-CN"/>
        </w:rPr>
        <w:t>1.4 付款方式和发票开具方式</w:t>
      </w:r>
      <w:bookmarkEnd w:id="618"/>
      <w:bookmarkEnd w:id="619"/>
      <w:bookmarkEnd w:id="620"/>
      <w:bookmarkEnd w:id="621"/>
      <w:bookmarkEnd w:id="622"/>
    </w:p>
    <w:p w14:paraId="0D15CC0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91FB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035217">
      <w:pPr>
        <w:spacing w:line="360" w:lineRule="auto"/>
        <w:ind w:firstLine="437"/>
        <w:outlineLvl w:val="2"/>
        <w:rPr>
          <w:rFonts w:hint="eastAsia" w:ascii="宋体" w:hAnsi="宋体" w:eastAsia="宋体" w:cs="宋体"/>
          <w:b/>
          <w:bCs/>
          <w:color w:val="auto"/>
          <w:sz w:val="24"/>
          <w:szCs w:val="24"/>
          <w:highlight w:val="none"/>
          <w:lang w:val="zh-CN"/>
        </w:rPr>
      </w:pPr>
      <w:bookmarkStart w:id="623" w:name="_Toc19304"/>
      <w:bookmarkStart w:id="624" w:name="_Toc21443"/>
      <w:bookmarkStart w:id="625" w:name="_Toc32071"/>
      <w:bookmarkStart w:id="626" w:name="_Toc2846"/>
      <w:bookmarkStart w:id="627" w:name="_Toc15519"/>
      <w:r>
        <w:rPr>
          <w:rFonts w:hint="eastAsia" w:ascii="宋体" w:hAnsi="宋体" w:eastAsia="宋体" w:cs="宋体"/>
          <w:b/>
          <w:bCs/>
          <w:color w:val="auto"/>
          <w:sz w:val="24"/>
          <w:szCs w:val="24"/>
          <w:highlight w:val="none"/>
          <w:lang w:val="zh-CN"/>
        </w:rPr>
        <w:t>1.5 服务期限、地点和方式</w:t>
      </w:r>
      <w:bookmarkEnd w:id="623"/>
      <w:bookmarkEnd w:id="624"/>
      <w:bookmarkEnd w:id="625"/>
      <w:bookmarkEnd w:id="626"/>
      <w:bookmarkEnd w:id="627"/>
    </w:p>
    <w:p w14:paraId="5A2C5E65">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F65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E4FC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2ED679">
      <w:pPr>
        <w:spacing w:line="360" w:lineRule="auto"/>
        <w:ind w:firstLine="437"/>
        <w:outlineLvl w:val="2"/>
        <w:rPr>
          <w:rFonts w:hint="eastAsia" w:ascii="宋体" w:hAnsi="宋体" w:eastAsia="宋体" w:cs="宋体"/>
          <w:b/>
          <w:bCs/>
          <w:color w:val="auto"/>
          <w:sz w:val="24"/>
          <w:szCs w:val="24"/>
          <w:highlight w:val="none"/>
          <w:lang w:val="zh-CN"/>
        </w:rPr>
      </w:pPr>
      <w:bookmarkStart w:id="628" w:name="_Toc27250"/>
      <w:bookmarkStart w:id="629" w:name="_Toc21423"/>
      <w:bookmarkStart w:id="630" w:name="_Toc19554"/>
      <w:bookmarkStart w:id="631" w:name="_Toc26348"/>
      <w:bookmarkStart w:id="632" w:name="_Toc9372"/>
      <w:r>
        <w:rPr>
          <w:rFonts w:hint="eastAsia" w:ascii="宋体" w:hAnsi="宋体" w:eastAsia="宋体" w:cs="宋体"/>
          <w:b/>
          <w:bCs/>
          <w:color w:val="auto"/>
          <w:sz w:val="24"/>
          <w:szCs w:val="24"/>
          <w:highlight w:val="none"/>
          <w:lang w:val="zh-CN"/>
        </w:rPr>
        <w:t>1.6 违约责任</w:t>
      </w:r>
      <w:bookmarkEnd w:id="628"/>
      <w:bookmarkEnd w:id="629"/>
      <w:bookmarkEnd w:id="630"/>
      <w:bookmarkEnd w:id="631"/>
      <w:bookmarkEnd w:id="632"/>
    </w:p>
    <w:p w14:paraId="5DD129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color w:val="auto"/>
          <w:sz w:val="24"/>
          <w:szCs w:val="24"/>
          <w:highlight w:val="none"/>
          <w:lang w:val="zh-CN"/>
        </w:rPr>
      </w:pPr>
      <w:bookmarkStart w:id="633" w:name="_Toc28375"/>
      <w:bookmarkStart w:id="634" w:name="_Toc16021"/>
      <w:bookmarkStart w:id="635" w:name="_Toc20996"/>
      <w:bookmarkStart w:id="636" w:name="_Toc15583"/>
      <w:bookmarkStart w:id="637" w:name="_Toc10408"/>
      <w:r>
        <w:rPr>
          <w:rFonts w:hint="eastAsia" w:ascii="宋体" w:hAnsi="宋体" w:eastAsia="宋体" w:cs="宋体"/>
          <w:b/>
          <w:bCs/>
          <w:color w:val="auto"/>
          <w:sz w:val="24"/>
          <w:szCs w:val="24"/>
          <w:highlight w:val="none"/>
          <w:lang w:val="zh-CN"/>
        </w:rPr>
        <w:t>1.7 合同争议的解决</w:t>
      </w:r>
      <w:bookmarkEnd w:id="633"/>
      <w:bookmarkEnd w:id="634"/>
      <w:bookmarkEnd w:id="635"/>
      <w:bookmarkEnd w:id="636"/>
      <w:bookmarkEnd w:id="637"/>
    </w:p>
    <w:p w14:paraId="7C025F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856D4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21D8E3B4">
      <w:pPr>
        <w:spacing w:line="360" w:lineRule="auto"/>
        <w:ind w:firstLine="437"/>
        <w:outlineLvl w:val="2"/>
        <w:rPr>
          <w:rFonts w:hint="eastAsia" w:ascii="宋体" w:hAnsi="宋体" w:eastAsia="宋体" w:cs="宋体"/>
          <w:b/>
          <w:bCs/>
          <w:color w:val="auto"/>
          <w:sz w:val="24"/>
          <w:szCs w:val="24"/>
          <w:highlight w:val="none"/>
          <w:lang w:val="zh-CN"/>
        </w:rPr>
      </w:pPr>
      <w:bookmarkStart w:id="638" w:name="_Toc21422"/>
      <w:bookmarkStart w:id="639" w:name="_Toc11173"/>
      <w:bookmarkStart w:id="640" w:name="_Toc7245"/>
      <w:bookmarkStart w:id="641" w:name="_Toc14122"/>
      <w:bookmarkStart w:id="642" w:name="_Toc15322"/>
      <w:r>
        <w:rPr>
          <w:rFonts w:hint="eastAsia" w:ascii="宋体" w:hAnsi="宋体" w:eastAsia="宋体" w:cs="宋体"/>
          <w:b/>
          <w:bCs/>
          <w:color w:val="auto"/>
          <w:sz w:val="24"/>
          <w:szCs w:val="24"/>
          <w:highlight w:val="none"/>
          <w:lang w:val="zh-CN"/>
        </w:rPr>
        <w:t>1.8 合同生效</w:t>
      </w:r>
      <w:bookmarkEnd w:id="638"/>
      <w:bookmarkEnd w:id="639"/>
      <w:bookmarkEnd w:id="640"/>
      <w:bookmarkEnd w:id="641"/>
      <w:bookmarkEnd w:id="642"/>
    </w:p>
    <w:p w14:paraId="5961B88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643"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644" w:name="_Hlk110099149"/>
      <w:r>
        <w:rPr>
          <w:rFonts w:hint="eastAsia" w:ascii="宋体" w:hAnsi="宋体" w:eastAsia="宋体" w:cs="宋体"/>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644"/>
    <w:p w14:paraId="4D631BBC">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37D2F896">
      <w:pPr>
        <w:spacing w:line="360" w:lineRule="auto"/>
        <w:jc w:val="center"/>
        <w:outlineLvl w:val="1"/>
        <w:rPr>
          <w:rFonts w:hint="eastAsia" w:ascii="宋体" w:hAnsi="宋体" w:eastAsia="宋体" w:cs="宋体"/>
          <w:b/>
          <w:color w:val="auto"/>
          <w:sz w:val="36"/>
          <w:szCs w:val="36"/>
          <w:highlight w:val="none"/>
        </w:rPr>
      </w:pPr>
      <w:bookmarkStart w:id="645" w:name="_Toc13256"/>
      <w:bookmarkStart w:id="646" w:name="_Toc4008"/>
      <w:bookmarkStart w:id="647" w:name="_Toc415"/>
      <w:r>
        <w:rPr>
          <w:rFonts w:hint="eastAsia" w:ascii="宋体" w:hAnsi="宋体" w:eastAsia="宋体" w:cs="宋体"/>
          <w:b/>
          <w:color w:val="auto"/>
          <w:sz w:val="36"/>
          <w:szCs w:val="36"/>
          <w:highlight w:val="none"/>
        </w:rPr>
        <w:t>第二部分 合同一般条款</w:t>
      </w:r>
      <w:bookmarkEnd w:id="643"/>
      <w:bookmarkEnd w:id="645"/>
      <w:bookmarkEnd w:id="646"/>
      <w:bookmarkEnd w:id="647"/>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48" w:name="_Ref467378499"/>
      <w:bookmarkStart w:id="649" w:name="_Toc19614"/>
      <w:bookmarkStart w:id="650" w:name="_Ref467379101"/>
      <w:bookmarkStart w:id="651" w:name="_Ref467378404"/>
      <w:bookmarkStart w:id="652" w:name="_Ref467379109"/>
      <w:bookmarkStart w:id="653" w:name="_Ref467379225"/>
      <w:bookmarkStart w:id="654" w:name="_Ref467378463"/>
      <w:bookmarkStart w:id="655" w:name="_Toc487900349"/>
      <w:bookmarkStart w:id="656" w:name="_Toc16917"/>
      <w:bookmarkStart w:id="657" w:name="_Ref467379205"/>
      <w:bookmarkStart w:id="658" w:name="_Toc279701240"/>
      <w:bookmarkStart w:id="659" w:name="_Toc28763"/>
      <w:bookmarkStart w:id="660" w:name="_Toc259093669"/>
      <w:bookmarkStart w:id="661" w:name="_Toc6755"/>
      <w:bookmarkStart w:id="662" w:name="_Ref467379214"/>
      <w:bookmarkStart w:id="663" w:name="_Ref467379195"/>
      <w:bookmarkStart w:id="664" w:name="_Ref467379094"/>
      <w:bookmarkStart w:id="665" w:name="_Toc15955"/>
      <w:r>
        <w:rPr>
          <w:rFonts w:hint="eastAsia" w:ascii="宋体" w:hAnsi="宋体" w:eastAsia="宋体" w:cs="宋体"/>
          <w:b/>
          <w:bCs/>
          <w:i w:val="0"/>
          <w:iCs w:val="0"/>
          <w:color w:val="auto"/>
          <w:sz w:val="24"/>
          <w:szCs w:val="24"/>
          <w:highlight w:val="none"/>
          <w:lang w:val="zh-CN"/>
        </w:rPr>
        <w:t>2.1 定义</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666" w:name="_Ref467378840"/>
      <w:r>
        <w:rPr>
          <w:rFonts w:hint="eastAsia" w:ascii="宋体" w:hAnsi="宋体" w:eastAsia="宋体" w:cs="宋体"/>
          <w:i w:val="0"/>
          <w:iCs w:val="0"/>
          <w:color w:val="auto"/>
          <w:sz w:val="24"/>
          <w:szCs w:val="24"/>
          <w:highlight w:val="none"/>
        </w:rPr>
        <w:t>2.1.4“甲方”系指与中标人签署合同的采购人</w:t>
      </w:r>
      <w:bookmarkEnd w:id="666"/>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667" w:name="_Ref467379400"/>
      <w:r>
        <w:rPr>
          <w:rFonts w:hint="eastAsia" w:ascii="宋体" w:hAnsi="宋体" w:eastAsia="宋体" w:cs="宋体"/>
          <w:i w:val="0"/>
          <w:iCs w:val="0"/>
          <w:color w:val="auto"/>
          <w:sz w:val="24"/>
          <w:szCs w:val="24"/>
          <w:highlight w:val="none"/>
        </w:rPr>
        <w:t>2.1.5“乙方”系指根据合同约定提供服务的中标人</w:t>
      </w:r>
      <w:bookmarkEnd w:id="667"/>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668" w:name="_Ref467379436"/>
      <w:r>
        <w:rPr>
          <w:rFonts w:hint="eastAsia" w:ascii="宋体" w:hAnsi="宋体" w:eastAsia="宋体" w:cs="宋体"/>
          <w:i w:val="0"/>
          <w:iCs w:val="0"/>
          <w:color w:val="auto"/>
          <w:sz w:val="24"/>
          <w:szCs w:val="24"/>
          <w:highlight w:val="none"/>
        </w:rPr>
        <w:t>2.1.6“现场”系指合同约定提供服务的地点。</w:t>
      </w:r>
      <w:bookmarkEnd w:id="668"/>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69" w:name="_Toc487900350"/>
      <w:bookmarkStart w:id="670" w:name="_Toc13336"/>
      <w:bookmarkStart w:id="671" w:name="_Toc32079"/>
      <w:bookmarkStart w:id="672" w:name="_Toc279701241"/>
      <w:bookmarkStart w:id="673" w:name="_Toc32504"/>
      <w:bookmarkStart w:id="674" w:name="_Toc28490"/>
      <w:bookmarkStart w:id="675" w:name="_Toc259093670"/>
      <w:bookmarkStart w:id="676" w:name="_Toc27635"/>
      <w:r>
        <w:rPr>
          <w:rFonts w:hint="eastAsia" w:ascii="宋体" w:hAnsi="宋体" w:eastAsia="宋体" w:cs="宋体"/>
          <w:b/>
          <w:bCs/>
          <w:i w:val="0"/>
          <w:iCs w:val="0"/>
          <w:color w:val="auto"/>
          <w:sz w:val="24"/>
          <w:szCs w:val="24"/>
          <w:highlight w:val="none"/>
          <w:lang w:val="zh-CN"/>
        </w:rPr>
        <w:t>2.2 技术规范</w:t>
      </w:r>
      <w:bookmarkEnd w:id="669"/>
      <w:bookmarkEnd w:id="670"/>
      <w:bookmarkEnd w:id="671"/>
      <w:bookmarkEnd w:id="672"/>
      <w:bookmarkEnd w:id="673"/>
      <w:bookmarkEnd w:id="674"/>
      <w:bookmarkEnd w:id="675"/>
      <w:bookmarkEnd w:id="676"/>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77" w:name="_Toc9829"/>
      <w:bookmarkStart w:id="678" w:name="_Toc15907"/>
      <w:bookmarkStart w:id="679" w:name="_Toc487900351"/>
      <w:bookmarkStart w:id="680" w:name="_Toc31634"/>
      <w:bookmarkStart w:id="681" w:name="_Toc259093671"/>
      <w:bookmarkStart w:id="682" w:name="_Toc17683"/>
      <w:bookmarkStart w:id="683" w:name="_Toc279701242"/>
      <w:bookmarkStart w:id="684" w:name="_Toc27853"/>
      <w:r>
        <w:rPr>
          <w:rFonts w:hint="eastAsia" w:ascii="宋体" w:hAnsi="宋体" w:eastAsia="宋体" w:cs="宋体"/>
          <w:b/>
          <w:bCs/>
          <w:i w:val="0"/>
          <w:iCs w:val="0"/>
          <w:color w:val="auto"/>
          <w:sz w:val="24"/>
          <w:szCs w:val="24"/>
          <w:highlight w:val="none"/>
          <w:lang w:val="zh-CN"/>
        </w:rPr>
        <w:t>2.3 知识产权</w:t>
      </w:r>
      <w:bookmarkEnd w:id="677"/>
      <w:bookmarkEnd w:id="678"/>
      <w:bookmarkEnd w:id="679"/>
      <w:bookmarkEnd w:id="680"/>
      <w:bookmarkEnd w:id="681"/>
      <w:bookmarkEnd w:id="682"/>
      <w:bookmarkEnd w:id="683"/>
      <w:bookmarkEnd w:id="684"/>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85" w:name="_Ref467379542"/>
      <w:bookmarkStart w:id="686" w:name="_Ref467378591"/>
      <w:bookmarkStart w:id="687" w:name="_Ref467378541"/>
      <w:bookmarkStart w:id="688" w:name="_Toc279701245"/>
      <w:bookmarkStart w:id="689" w:name="_Ref467379527"/>
      <w:bookmarkStart w:id="690" w:name="_Ref467379536"/>
      <w:bookmarkStart w:id="691" w:name="_Toc259093674"/>
      <w:bookmarkStart w:id="692" w:name="_Toc487900354"/>
      <w:bookmarkStart w:id="693" w:name="_Toc26182"/>
      <w:bookmarkStart w:id="694" w:name="_Toc30272"/>
      <w:bookmarkStart w:id="695" w:name="_Toc29150"/>
      <w:bookmarkStart w:id="696" w:name="_Toc19074"/>
      <w:bookmarkStart w:id="697" w:name="_Toc28304"/>
      <w:r>
        <w:rPr>
          <w:rFonts w:hint="eastAsia" w:ascii="宋体" w:hAnsi="宋体" w:eastAsia="宋体" w:cs="宋体"/>
          <w:b/>
          <w:bCs/>
          <w:i w:val="0"/>
          <w:iCs w:val="0"/>
          <w:color w:val="auto"/>
          <w:sz w:val="24"/>
          <w:szCs w:val="24"/>
          <w:highlight w:val="none"/>
          <w:lang w:val="zh-CN"/>
        </w:rPr>
        <w:t>2.</w:t>
      </w:r>
      <w:bookmarkEnd w:id="685"/>
      <w:bookmarkEnd w:id="686"/>
      <w:bookmarkEnd w:id="687"/>
      <w:bookmarkEnd w:id="688"/>
      <w:bookmarkEnd w:id="689"/>
      <w:bookmarkEnd w:id="690"/>
      <w:bookmarkEnd w:id="691"/>
      <w:bookmarkEnd w:id="692"/>
      <w:r>
        <w:rPr>
          <w:rFonts w:hint="eastAsia" w:ascii="宋体" w:hAnsi="宋体" w:eastAsia="宋体" w:cs="宋体"/>
          <w:b/>
          <w:bCs/>
          <w:i w:val="0"/>
          <w:iCs w:val="0"/>
          <w:color w:val="auto"/>
          <w:sz w:val="24"/>
          <w:szCs w:val="24"/>
          <w:highlight w:val="none"/>
          <w:lang w:val="zh-CN"/>
        </w:rPr>
        <w:t>4 履约检查和问题反馈</w:t>
      </w:r>
      <w:bookmarkEnd w:id="693"/>
      <w:bookmarkEnd w:id="694"/>
      <w:bookmarkEnd w:id="695"/>
      <w:bookmarkEnd w:id="696"/>
      <w:bookmarkEnd w:id="697"/>
    </w:p>
    <w:p w14:paraId="1F572855">
      <w:pPr>
        <w:spacing w:line="360" w:lineRule="auto"/>
        <w:ind w:firstLine="435"/>
        <w:rPr>
          <w:rFonts w:hint="eastAsia" w:ascii="宋体" w:hAnsi="宋体" w:eastAsia="宋体" w:cs="宋体"/>
          <w:i w:val="0"/>
          <w:iCs w:val="0"/>
          <w:color w:val="auto"/>
          <w:sz w:val="24"/>
          <w:szCs w:val="24"/>
          <w:highlight w:val="none"/>
        </w:rPr>
      </w:pPr>
      <w:bookmarkStart w:id="698" w:name="_Toc186431854"/>
      <w:bookmarkStart w:id="699" w:name="_Toc487900357"/>
      <w:bookmarkStart w:id="700" w:name="_Toc279701247"/>
      <w:bookmarkStart w:id="701" w:name="_Ref467379807"/>
      <w:bookmarkStart w:id="702" w:name="_Ref467379793"/>
      <w:bookmarkStart w:id="703" w:name="_Toc259093676"/>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698"/>
      <w:bookmarkStart w:id="704" w:name="_Toc186431855"/>
      <w:r>
        <w:rPr>
          <w:rFonts w:hint="eastAsia" w:ascii="宋体" w:hAnsi="宋体" w:eastAsia="宋体" w:cs="宋体"/>
          <w:i w:val="0"/>
          <w:iCs w:val="0"/>
          <w:color w:val="auto"/>
          <w:sz w:val="24"/>
          <w:szCs w:val="24"/>
          <w:highlight w:val="none"/>
        </w:rPr>
        <w:t>。</w:t>
      </w:r>
    </w:p>
    <w:bookmarkEnd w:id="704"/>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05" w:name="_Toc745"/>
      <w:bookmarkStart w:id="706" w:name="_Toc28451"/>
      <w:bookmarkStart w:id="707" w:name="_Toc7836"/>
      <w:bookmarkStart w:id="708" w:name="_Toc6918"/>
      <w:bookmarkStart w:id="709" w:name="_Toc19219"/>
      <w:r>
        <w:rPr>
          <w:rFonts w:hint="eastAsia" w:ascii="宋体" w:hAnsi="宋体" w:eastAsia="宋体" w:cs="宋体"/>
          <w:b/>
          <w:bCs/>
          <w:i w:val="0"/>
          <w:iCs w:val="0"/>
          <w:color w:val="auto"/>
          <w:sz w:val="24"/>
          <w:szCs w:val="24"/>
          <w:highlight w:val="none"/>
          <w:lang w:val="zh-CN"/>
        </w:rPr>
        <w:t>2.5 结算方式和付款条件</w:t>
      </w:r>
      <w:bookmarkEnd w:id="699"/>
      <w:bookmarkEnd w:id="700"/>
      <w:bookmarkEnd w:id="701"/>
      <w:bookmarkEnd w:id="702"/>
      <w:bookmarkEnd w:id="703"/>
      <w:bookmarkEnd w:id="705"/>
      <w:bookmarkEnd w:id="706"/>
      <w:bookmarkEnd w:id="707"/>
      <w:bookmarkEnd w:id="708"/>
      <w:bookmarkEnd w:id="709"/>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10" w:name="_Ref467379863"/>
      <w:bookmarkStart w:id="711" w:name="_Ref467379923"/>
      <w:bookmarkStart w:id="712" w:name="_Toc487900358"/>
      <w:bookmarkStart w:id="713" w:name="_Toc259093677"/>
      <w:bookmarkStart w:id="714" w:name="_Toc279701248"/>
      <w:bookmarkStart w:id="715" w:name="_Ref467379852"/>
      <w:bookmarkStart w:id="716" w:name="_Toc8947"/>
      <w:bookmarkStart w:id="717" w:name="_Toc774"/>
      <w:bookmarkStart w:id="718" w:name="_Toc16110"/>
      <w:bookmarkStart w:id="719" w:name="_Toc6627"/>
      <w:bookmarkStart w:id="720" w:name="_Toc3225"/>
      <w:r>
        <w:rPr>
          <w:rFonts w:hint="eastAsia" w:ascii="宋体" w:hAnsi="宋体" w:eastAsia="宋体" w:cs="宋体"/>
          <w:b/>
          <w:bCs/>
          <w:i w:val="0"/>
          <w:iCs w:val="0"/>
          <w:color w:val="auto"/>
          <w:sz w:val="24"/>
          <w:szCs w:val="24"/>
          <w:highlight w:val="none"/>
          <w:lang w:val="zh-CN"/>
        </w:rPr>
        <w:t>2.6 技术资料</w:t>
      </w:r>
      <w:bookmarkEnd w:id="710"/>
      <w:bookmarkEnd w:id="711"/>
      <w:bookmarkEnd w:id="712"/>
      <w:bookmarkEnd w:id="713"/>
      <w:bookmarkEnd w:id="714"/>
      <w:bookmarkEnd w:id="715"/>
      <w:r>
        <w:rPr>
          <w:rFonts w:hint="eastAsia" w:ascii="宋体" w:hAnsi="宋体" w:eastAsia="宋体" w:cs="宋体"/>
          <w:b/>
          <w:bCs/>
          <w:i w:val="0"/>
          <w:iCs w:val="0"/>
          <w:color w:val="auto"/>
          <w:sz w:val="24"/>
          <w:szCs w:val="24"/>
          <w:highlight w:val="none"/>
          <w:lang w:val="zh-CN"/>
        </w:rPr>
        <w:t>和保密义务</w:t>
      </w:r>
      <w:bookmarkEnd w:id="716"/>
      <w:bookmarkEnd w:id="717"/>
      <w:bookmarkEnd w:id="718"/>
      <w:bookmarkEnd w:id="719"/>
      <w:bookmarkEnd w:id="720"/>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21" w:name="_Toc20401"/>
      <w:bookmarkStart w:id="722" w:name="_Toc1434"/>
      <w:bookmarkStart w:id="723" w:name="_Toc7860"/>
      <w:r>
        <w:rPr>
          <w:rFonts w:hint="eastAsia" w:ascii="宋体" w:hAnsi="宋体" w:eastAsia="宋体" w:cs="宋体"/>
          <w:b/>
          <w:bCs/>
          <w:i w:val="0"/>
          <w:iCs w:val="0"/>
          <w:color w:val="auto"/>
          <w:sz w:val="24"/>
          <w:szCs w:val="24"/>
          <w:highlight w:val="none"/>
          <w:lang w:val="zh-CN"/>
        </w:rPr>
        <w:t>2.7 质量保证</w:t>
      </w:r>
      <w:bookmarkEnd w:id="721"/>
      <w:bookmarkEnd w:id="722"/>
      <w:bookmarkEnd w:id="723"/>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724" w:name="_Toc20440"/>
      <w:bookmarkStart w:id="725" w:name="_Toc27251"/>
      <w:bookmarkStart w:id="726" w:name="_Toc22267"/>
      <w:r>
        <w:rPr>
          <w:rFonts w:hint="eastAsia" w:ascii="宋体" w:hAnsi="宋体" w:eastAsia="宋体" w:cs="宋体"/>
          <w:b/>
          <w:i w:val="0"/>
          <w:iCs w:val="0"/>
          <w:color w:val="auto"/>
          <w:sz w:val="24"/>
          <w:szCs w:val="24"/>
          <w:highlight w:val="none"/>
        </w:rPr>
        <w:t>2.8 延迟履行</w:t>
      </w:r>
      <w:bookmarkEnd w:id="724"/>
      <w:bookmarkEnd w:id="725"/>
      <w:bookmarkEnd w:id="726"/>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27" w:name="_Toc22045"/>
      <w:bookmarkStart w:id="728" w:name="_Toc106"/>
      <w:bookmarkStart w:id="729" w:name="_Toc7502"/>
      <w:bookmarkStart w:id="730" w:name="_Ref467378121"/>
      <w:bookmarkStart w:id="731" w:name="_Toc487900364"/>
      <w:bookmarkStart w:id="732" w:name="_Toc259093683"/>
      <w:bookmarkStart w:id="733" w:name="_Toc279701254"/>
      <w:r>
        <w:rPr>
          <w:rFonts w:hint="eastAsia" w:ascii="宋体" w:hAnsi="宋体" w:eastAsia="宋体" w:cs="宋体"/>
          <w:b/>
          <w:bCs/>
          <w:i w:val="0"/>
          <w:iCs w:val="0"/>
          <w:color w:val="auto"/>
          <w:sz w:val="24"/>
          <w:szCs w:val="24"/>
          <w:highlight w:val="none"/>
          <w:lang w:val="zh-CN"/>
        </w:rPr>
        <w:t>2.9 合同变更</w:t>
      </w:r>
      <w:bookmarkEnd w:id="727"/>
      <w:bookmarkEnd w:id="728"/>
      <w:bookmarkEnd w:id="729"/>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734" w:name="_Toc279701259"/>
      <w:bookmarkStart w:id="735" w:name="_Toc487900369"/>
      <w:bookmarkStart w:id="736" w:name="_Toc259093688"/>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37" w:name="_Toc19955"/>
      <w:bookmarkStart w:id="738" w:name="_Toc22955"/>
      <w:bookmarkStart w:id="739" w:name="_Toc10366"/>
      <w:bookmarkStart w:id="740" w:name="_Toc15237"/>
      <w:bookmarkStart w:id="741" w:name="_Toc20243"/>
      <w:r>
        <w:rPr>
          <w:rFonts w:hint="eastAsia" w:ascii="宋体" w:hAnsi="宋体" w:eastAsia="宋体" w:cs="宋体"/>
          <w:b/>
          <w:bCs/>
          <w:i w:val="0"/>
          <w:iCs w:val="0"/>
          <w:color w:val="auto"/>
          <w:sz w:val="24"/>
          <w:szCs w:val="24"/>
          <w:highlight w:val="none"/>
          <w:lang w:val="zh-CN"/>
        </w:rPr>
        <w:t>2.10 合同转让</w:t>
      </w:r>
      <w:bookmarkEnd w:id="734"/>
      <w:bookmarkEnd w:id="735"/>
      <w:bookmarkEnd w:id="736"/>
      <w:r>
        <w:rPr>
          <w:rFonts w:hint="eastAsia" w:ascii="宋体" w:hAnsi="宋体" w:eastAsia="宋体" w:cs="宋体"/>
          <w:b/>
          <w:bCs/>
          <w:i w:val="0"/>
          <w:iCs w:val="0"/>
          <w:color w:val="auto"/>
          <w:sz w:val="24"/>
          <w:szCs w:val="24"/>
          <w:highlight w:val="none"/>
          <w:lang w:val="zh-CN"/>
        </w:rPr>
        <w:t>和分包</w:t>
      </w:r>
      <w:bookmarkEnd w:id="737"/>
      <w:bookmarkEnd w:id="738"/>
      <w:bookmarkEnd w:id="739"/>
      <w:bookmarkEnd w:id="740"/>
      <w:bookmarkEnd w:id="741"/>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42" w:name="_Toc10157"/>
      <w:bookmarkStart w:id="743" w:name="_Toc16508"/>
      <w:bookmarkStart w:id="744" w:name="_Toc13566"/>
      <w:bookmarkStart w:id="745" w:name="_Toc22946"/>
      <w:bookmarkStart w:id="746" w:name="_Toc14066"/>
      <w:r>
        <w:rPr>
          <w:rFonts w:hint="eastAsia" w:ascii="宋体" w:hAnsi="宋体" w:eastAsia="宋体" w:cs="宋体"/>
          <w:b/>
          <w:bCs/>
          <w:i w:val="0"/>
          <w:iCs w:val="0"/>
          <w:color w:val="auto"/>
          <w:sz w:val="24"/>
          <w:szCs w:val="24"/>
          <w:highlight w:val="none"/>
          <w:lang w:val="zh-CN"/>
        </w:rPr>
        <w:t>2.11 不可抗力</w:t>
      </w:r>
      <w:bookmarkEnd w:id="742"/>
      <w:bookmarkEnd w:id="743"/>
      <w:bookmarkEnd w:id="744"/>
      <w:bookmarkEnd w:id="745"/>
      <w:bookmarkEnd w:id="746"/>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47" w:name="_Toc6969"/>
      <w:bookmarkStart w:id="748" w:name="_Toc30676"/>
      <w:bookmarkStart w:id="749" w:name="_Toc689"/>
      <w:bookmarkStart w:id="750" w:name="_Toc24332"/>
      <w:bookmarkStart w:id="751" w:name="_Toc487900365"/>
      <w:bookmarkStart w:id="752" w:name="_Toc12787"/>
      <w:bookmarkStart w:id="753" w:name="_Toc279701255"/>
      <w:bookmarkStart w:id="754" w:name="_Toc259093684"/>
      <w:r>
        <w:rPr>
          <w:rFonts w:hint="eastAsia" w:ascii="宋体" w:hAnsi="宋体" w:eastAsia="宋体" w:cs="宋体"/>
          <w:b/>
          <w:bCs/>
          <w:i w:val="0"/>
          <w:iCs w:val="0"/>
          <w:color w:val="auto"/>
          <w:sz w:val="24"/>
          <w:szCs w:val="24"/>
          <w:highlight w:val="none"/>
          <w:lang w:val="zh-CN"/>
        </w:rPr>
        <w:t>2.12 税费</w:t>
      </w:r>
      <w:bookmarkEnd w:id="747"/>
      <w:bookmarkEnd w:id="748"/>
      <w:bookmarkEnd w:id="749"/>
      <w:bookmarkEnd w:id="750"/>
      <w:bookmarkEnd w:id="751"/>
      <w:bookmarkEnd w:id="752"/>
      <w:bookmarkEnd w:id="753"/>
      <w:bookmarkEnd w:id="754"/>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55" w:name="_Toc259093687"/>
      <w:bookmarkStart w:id="756" w:name="_Toc2206"/>
      <w:bookmarkStart w:id="757" w:name="_Toc7102"/>
      <w:bookmarkStart w:id="758" w:name="_Toc8298"/>
      <w:bookmarkStart w:id="759" w:name="_Toc16959"/>
      <w:bookmarkStart w:id="760" w:name="_Toc279701258"/>
      <w:bookmarkStart w:id="761" w:name="_Toc30741"/>
      <w:bookmarkStart w:id="762" w:name="_Toc487900368"/>
      <w:r>
        <w:rPr>
          <w:rFonts w:hint="eastAsia" w:ascii="宋体" w:hAnsi="宋体" w:eastAsia="宋体" w:cs="宋体"/>
          <w:b/>
          <w:bCs/>
          <w:i w:val="0"/>
          <w:iCs w:val="0"/>
          <w:color w:val="auto"/>
          <w:sz w:val="24"/>
          <w:szCs w:val="24"/>
          <w:highlight w:val="none"/>
          <w:lang w:val="zh-CN"/>
        </w:rPr>
        <w:t>2.13 乙方破产</w:t>
      </w:r>
      <w:bookmarkEnd w:id="755"/>
      <w:bookmarkEnd w:id="756"/>
      <w:bookmarkEnd w:id="757"/>
      <w:bookmarkEnd w:id="758"/>
      <w:bookmarkEnd w:id="759"/>
      <w:bookmarkEnd w:id="760"/>
      <w:bookmarkEnd w:id="761"/>
      <w:bookmarkEnd w:id="762"/>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763" w:name="_Toc15387"/>
      <w:bookmarkStart w:id="764" w:name="_Toc9036"/>
      <w:bookmarkStart w:id="765" w:name="_Toc29333"/>
      <w:bookmarkStart w:id="766" w:name="_Toc6134"/>
      <w:bookmarkStart w:id="767" w:name="_Toc13537"/>
      <w:r>
        <w:rPr>
          <w:rFonts w:hint="eastAsia" w:ascii="宋体" w:hAnsi="宋体" w:eastAsia="宋体" w:cs="宋体"/>
          <w:b/>
          <w:bCs/>
          <w:i w:val="0"/>
          <w:iCs w:val="0"/>
          <w:color w:val="auto"/>
          <w:sz w:val="24"/>
          <w:szCs w:val="24"/>
          <w:highlight w:val="none"/>
          <w:lang w:val="zh-CN"/>
        </w:rPr>
        <w:t>2.14 合同中止、终止</w:t>
      </w:r>
      <w:bookmarkEnd w:id="763"/>
      <w:bookmarkEnd w:id="764"/>
      <w:bookmarkEnd w:id="765"/>
      <w:bookmarkEnd w:id="766"/>
      <w:bookmarkEnd w:id="767"/>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68" w:name="_Toc14791"/>
      <w:bookmarkStart w:id="769" w:name="_Toc14563"/>
      <w:bookmarkStart w:id="770" w:name="_Toc6596"/>
      <w:bookmarkStart w:id="771" w:name="_Toc7061"/>
      <w:bookmarkStart w:id="772" w:name="_Toc1125"/>
      <w:r>
        <w:rPr>
          <w:rFonts w:hint="eastAsia" w:ascii="宋体" w:hAnsi="宋体" w:eastAsia="宋体" w:cs="宋体"/>
          <w:b/>
          <w:bCs/>
          <w:i w:val="0"/>
          <w:iCs w:val="0"/>
          <w:color w:val="auto"/>
          <w:sz w:val="24"/>
          <w:szCs w:val="24"/>
          <w:highlight w:val="none"/>
          <w:lang w:val="zh-CN"/>
        </w:rPr>
        <w:t>2.15 检验和验收</w:t>
      </w:r>
      <w:bookmarkEnd w:id="768"/>
      <w:bookmarkEnd w:id="769"/>
      <w:bookmarkEnd w:id="770"/>
      <w:bookmarkEnd w:id="771"/>
      <w:bookmarkEnd w:id="772"/>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730"/>
    <w:bookmarkEnd w:id="731"/>
    <w:bookmarkEnd w:id="732"/>
    <w:bookmarkEnd w:id="733"/>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773" w:name="_Toc31923"/>
      <w:bookmarkStart w:id="774" w:name="_Toc28706"/>
      <w:bookmarkStart w:id="775" w:name="_Toc487900373"/>
      <w:bookmarkStart w:id="776" w:name="_Toc10330"/>
      <w:bookmarkStart w:id="777" w:name="_Toc18567"/>
      <w:bookmarkStart w:id="778" w:name="_Toc259093692"/>
      <w:bookmarkStart w:id="779" w:name="_Toc279701263"/>
      <w:bookmarkStart w:id="780" w:name="_Toc1277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773"/>
      <w:bookmarkEnd w:id="774"/>
      <w:bookmarkEnd w:id="775"/>
      <w:bookmarkEnd w:id="776"/>
      <w:bookmarkEnd w:id="777"/>
      <w:bookmarkEnd w:id="778"/>
      <w:bookmarkEnd w:id="779"/>
      <w:bookmarkEnd w:id="780"/>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781" w:name="_Toc279701264"/>
      <w:bookmarkStart w:id="782" w:name="_Toc13059"/>
      <w:bookmarkStart w:id="783" w:name="_Toc12004"/>
      <w:bookmarkStart w:id="784" w:name="_Toc3148"/>
      <w:bookmarkStart w:id="785" w:name="_Toc16673"/>
      <w:bookmarkStart w:id="786" w:name="_Toc259093693"/>
      <w:bookmarkStart w:id="787" w:name="_Toc30894"/>
      <w:bookmarkStart w:id="788" w:name="_Toc487900374"/>
      <w:r>
        <w:rPr>
          <w:rFonts w:hint="eastAsia" w:ascii="宋体" w:hAnsi="宋体" w:eastAsia="宋体" w:cs="宋体"/>
          <w:b/>
          <w:bCs/>
          <w:i w:val="0"/>
          <w:iCs w:val="0"/>
          <w:color w:val="auto"/>
          <w:sz w:val="24"/>
          <w:szCs w:val="24"/>
          <w:highlight w:val="none"/>
          <w:lang w:val="zh-CN"/>
        </w:rPr>
        <w:t>2.17 履约保证金</w:t>
      </w:r>
      <w:bookmarkEnd w:id="781"/>
      <w:bookmarkEnd w:id="782"/>
      <w:bookmarkEnd w:id="783"/>
      <w:bookmarkEnd w:id="784"/>
      <w:bookmarkEnd w:id="785"/>
      <w:bookmarkEnd w:id="786"/>
      <w:bookmarkEnd w:id="787"/>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88"/>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789" w:name="_Toc6885"/>
      <w:bookmarkStart w:id="790" w:name="_Toc11238"/>
      <w:bookmarkStart w:id="791" w:name="_Toc7242"/>
      <w:bookmarkStart w:id="792" w:name="_Toc14001"/>
      <w:bookmarkStart w:id="793" w:name="_Toc19890"/>
      <w:r>
        <w:rPr>
          <w:rFonts w:hint="eastAsia" w:ascii="宋体" w:hAnsi="宋体" w:eastAsia="宋体" w:cs="宋体"/>
          <w:b/>
          <w:bCs/>
          <w:i w:val="0"/>
          <w:iCs w:val="0"/>
          <w:color w:val="auto"/>
          <w:sz w:val="24"/>
          <w:szCs w:val="24"/>
          <w:highlight w:val="none"/>
          <w:lang w:val="zh-CN"/>
        </w:rPr>
        <w:t>2.18 合同份数</w:t>
      </w:r>
      <w:bookmarkEnd w:id="789"/>
      <w:bookmarkEnd w:id="790"/>
      <w:bookmarkEnd w:id="791"/>
      <w:bookmarkEnd w:id="792"/>
      <w:bookmarkEnd w:id="793"/>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color w:val="auto"/>
          <w:sz w:val="36"/>
          <w:szCs w:val="36"/>
          <w:highlight w:val="none"/>
        </w:rPr>
      </w:pPr>
      <w:r>
        <w:rPr>
          <w:rFonts w:cs="Times New Roman" w:asciiTheme="minorEastAsia" w:hAnsiTheme="minorEastAsia" w:eastAsiaTheme="minorEastAsia"/>
          <w:color w:val="auto"/>
          <w:sz w:val="24"/>
          <w:szCs w:val="24"/>
          <w:highlight w:val="none"/>
        </w:rPr>
        <w:br w:type="page"/>
      </w:r>
      <w:bookmarkStart w:id="794" w:name="_Toc24453"/>
      <w:bookmarkStart w:id="795" w:name="_Toc3736"/>
      <w:bookmarkStart w:id="796" w:name="_Toc19801"/>
      <w:r>
        <w:rPr>
          <w:rFonts w:hint="eastAsia" w:ascii="宋体" w:hAnsi="宋体" w:eastAsia="宋体" w:cs="宋体"/>
          <w:b/>
          <w:color w:val="auto"/>
          <w:sz w:val="36"/>
          <w:szCs w:val="36"/>
          <w:highlight w:val="none"/>
        </w:rPr>
        <w:t>第三部分 合同专用条款</w:t>
      </w:r>
      <w:bookmarkEnd w:id="794"/>
      <w:bookmarkEnd w:id="795"/>
      <w:bookmarkEnd w:id="796"/>
    </w:p>
    <w:p w14:paraId="3D7C59F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E297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color w:val="auto"/>
                <w:sz w:val="24"/>
                <w:szCs w:val="24"/>
                <w:highlight w:val="none"/>
              </w:rPr>
            </w:pPr>
          </w:p>
        </w:tc>
        <w:tc>
          <w:tcPr>
            <w:tcW w:w="7568" w:type="dxa"/>
            <w:vAlign w:val="center"/>
          </w:tcPr>
          <w:p w14:paraId="40655C46">
            <w:pPr>
              <w:spacing w:line="560" w:lineRule="exact"/>
              <w:rPr>
                <w:rFonts w:hint="eastAsia" w:ascii="宋体" w:hAnsi="宋体" w:eastAsia="宋体" w:cs="宋体"/>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color w:val="auto"/>
                <w:sz w:val="24"/>
                <w:szCs w:val="24"/>
                <w:highlight w:val="none"/>
              </w:rPr>
            </w:pPr>
          </w:p>
        </w:tc>
        <w:tc>
          <w:tcPr>
            <w:tcW w:w="7568" w:type="dxa"/>
            <w:vAlign w:val="center"/>
          </w:tcPr>
          <w:p w14:paraId="32E7ECB0">
            <w:pPr>
              <w:spacing w:line="560" w:lineRule="exact"/>
              <w:rPr>
                <w:rFonts w:hint="eastAsia" w:ascii="宋体" w:hAnsi="宋体" w:eastAsia="宋体" w:cs="宋体"/>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color w:val="auto"/>
                <w:sz w:val="24"/>
                <w:szCs w:val="24"/>
                <w:highlight w:val="none"/>
              </w:rPr>
            </w:pPr>
          </w:p>
        </w:tc>
        <w:tc>
          <w:tcPr>
            <w:tcW w:w="7568" w:type="dxa"/>
            <w:vAlign w:val="center"/>
          </w:tcPr>
          <w:p w14:paraId="611385EA">
            <w:pPr>
              <w:spacing w:line="560" w:lineRule="exact"/>
              <w:rPr>
                <w:rFonts w:hint="eastAsia" w:ascii="宋体" w:hAnsi="宋体" w:eastAsia="宋体" w:cs="宋体"/>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color w:val="auto"/>
                <w:sz w:val="24"/>
                <w:szCs w:val="24"/>
                <w:highlight w:val="none"/>
              </w:rPr>
            </w:pPr>
          </w:p>
        </w:tc>
        <w:tc>
          <w:tcPr>
            <w:tcW w:w="7568" w:type="dxa"/>
            <w:vAlign w:val="center"/>
          </w:tcPr>
          <w:p w14:paraId="728B2346">
            <w:pPr>
              <w:spacing w:line="560" w:lineRule="exact"/>
              <w:rPr>
                <w:rFonts w:hint="eastAsia" w:ascii="宋体" w:hAnsi="宋体" w:eastAsia="宋体" w:cs="宋体"/>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color w:val="auto"/>
                <w:sz w:val="24"/>
                <w:szCs w:val="24"/>
                <w:highlight w:val="none"/>
              </w:rPr>
            </w:pPr>
          </w:p>
        </w:tc>
        <w:tc>
          <w:tcPr>
            <w:tcW w:w="7568" w:type="dxa"/>
            <w:vAlign w:val="center"/>
          </w:tcPr>
          <w:p w14:paraId="41CA5680">
            <w:pPr>
              <w:spacing w:line="560" w:lineRule="exact"/>
              <w:rPr>
                <w:rFonts w:hint="eastAsia" w:ascii="宋体" w:hAnsi="宋体" w:eastAsia="宋体" w:cs="宋体"/>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color w:val="auto"/>
                <w:sz w:val="24"/>
                <w:szCs w:val="24"/>
                <w:highlight w:val="none"/>
              </w:rPr>
            </w:pPr>
          </w:p>
        </w:tc>
        <w:tc>
          <w:tcPr>
            <w:tcW w:w="7568" w:type="dxa"/>
            <w:vAlign w:val="center"/>
          </w:tcPr>
          <w:p w14:paraId="5CD2BDDA">
            <w:pPr>
              <w:spacing w:line="560" w:lineRule="exact"/>
              <w:rPr>
                <w:rFonts w:hint="eastAsia" w:ascii="宋体" w:hAnsi="宋体" w:eastAsia="宋体" w:cs="宋体"/>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color w:val="auto"/>
                <w:sz w:val="24"/>
                <w:szCs w:val="24"/>
                <w:highlight w:val="none"/>
              </w:rPr>
            </w:pPr>
          </w:p>
        </w:tc>
        <w:tc>
          <w:tcPr>
            <w:tcW w:w="7568" w:type="dxa"/>
            <w:vAlign w:val="center"/>
          </w:tcPr>
          <w:p w14:paraId="7E92421C">
            <w:pPr>
              <w:spacing w:line="560" w:lineRule="exact"/>
              <w:rPr>
                <w:rFonts w:hint="eastAsia" w:ascii="宋体" w:hAnsi="宋体" w:eastAsia="宋体" w:cs="宋体"/>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color w:val="auto"/>
                <w:sz w:val="24"/>
                <w:szCs w:val="24"/>
                <w:highlight w:val="none"/>
              </w:rPr>
            </w:pPr>
          </w:p>
        </w:tc>
        <w:tc>
          <w:tcPr>
            <w:tcW w:w="7568" w:type="dxa"/>
            <w:vAlign w:val="center"/>
          </w:tcPr>
          <w:p w14:paraId="4A52371D">
            <w:pPr>
              <w:spacing w:line="560" w:lineRule="exact"/>
              <w:rPr>
                <w:rFonts w:hint="eastAsia" w:ascii="宋体" w:hAnsi="宋体" w:eastAsia="宋体" w:cs="宋体"/>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color w:val="auto"/>
                <w:sz w:val="24"/>
                <w:szCs w:val="24"/>
                <w:highlight w:val="none"/>
              </w:rPr>
            </w:pPr>
          </w:p>
        </w:tc>
        <w:tc>
          <w:tcPr>
            <w:tcW w:w="7568" w:type="dxa"/>
            <w:vAlign w:val="center"/>
          </w:tcPr>
          <w:p w14:paraId="6035952A">
            <w:pPr>
              <w:spacing w:line="560" w:lineRule="exact"/>
              <w:rPr>
                <w:rFonts w:hint="eastAsia" w:ascii="宋体" w:hAnsi="宋体" w:eastAsia="宋体" w:cs="宋体"/>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color w:val="auto"/>
                <w:sz w:val="24"/>
                <w:szCs w:val="24"/>
                <w:highlight w:val="none"/>
              </w:rPr>
            </w:pPr>
          </w:p>
        </w:tc>
        <w:tc>
          <w:tcPr>
            <w:tcW w:w="7568" w:type="dxa"/>
            <w:vAlign w:val="center"/>
          </w:tcPr>
          <w:p w14:paraId="3AE9AB17">
            <w:pPr>
              <w:spacing w:line="560" w:lineRule="exact"/>
              <w:rPr>
                <w:rFonts w:hint="eastAsia" w:ascii="宋体" w:hAnsi="宋体" w:eastAsia="宋体" w:cs="宋体"/>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color w:val="auto"/>
                <w:sz w:val="24"/>
                <w:szCs w:val="24"/>
                <w:highlight w:val="none"/>
              </w:rPr>
            </w:pPr>
          </w:p>
        </w:tc>
      </w:tr>
    </w:tbl>
    <w:p w14:paraId="1FAB85DE">
      <w:pPr>
        <w:spacing w:line="360" w:lineRule="auto"/>
        <w:rPr>
          <w:rFonts w:asciiTheme="minorEastAsia" w:hAnsiTheme="minorEastAsia" w:eastAsiaTheme="minorEastAsia"/>
          <w:color w:val="auto"/>
          <w:sz w:val="24"/>
          <w:highlight w:val="none"/>
        </w:rPr>
      </w:pPr>
    </w:p>
    <w:p w14:paraId="02ABD43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593"/>
    <w:p w14:paraId="5CAF3138">
      <w:pPr>
        <w:pStyle w:val="3"/>
        <w:bidi w:val="0"/>
        <w:rPr>
          <w:rFonts w:hint="eastAsia" w:ascii="宋体" w:hAnsi="宋体" w:eastAsia="宋体" w:cs="宋体"/>
          <w:lang w:val="en-US" w:eastAsia="zh-CN"/>
        </w:rPr>
      </w:pPr>
      <w:bookmarkStart w:id="797" w:name="_Toc4770"/>
      <w:bookmarkStart w:id="798" w:name="_Toc155185919"/>
      <w:bookmarkStart w:id="799" w:name="_Toc28408"/>
      <w:bookmarkStart w:id="800" w:name="_Toc94"/>
      <w:r>
        <w:rPr>
          <w:rFonts w:hint="eastAsia" w:ascii="宋体" w:hAnsi="宋体" w:eastAsia="宋体" w:cs="宋体"/>
          <w:lang w:val="en-US" w:eastAsia="zh-CN"/>
        </w:rPr>
        <w:t>第七章 投标文件格式</w:t>
      </w:r>
      <w:bookmarkEnd w:id="797"/>
      <w:bookmarkEnd w:id="798"/>
      <w:bookmarkEnd w:id="799"/>
      <w:bookmarkEnd w:id="800"/>
    </w:p>
    <w:p w14:paraId="375DA88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p w14:paraId="6994B875">
      <w:pPr>
        <w:autoSpaceDE w:val="0"/>
        <w:autoSpaceDN w:val="0"/>
        <w:adjustRightInd w:val="0"/>
        <w:rPr>
          <w:color w:val="auto"/>
          <w:sz w:val="21"/>
          <w:szCs w:val="24"/>
          <w:highlight w:val="none"/>
        </w:rPr>
      </w:pPr>
    </w:p>
    <w:p w14:paraId="2280C3BA">
      <w:pPr>
        <w:pStyle w:val="4"/>
        <w:bidi w:val="0"/>
        <w:jc w:val="center"/>
        <w:rPr>
          <w:sz w:val="84"/>
          <w:szCs w:val="84"/>
        </w:rPr>
      </w:pPr>
      <w:bookmarkStart w:id="801" w:name="_Toc29969"/>
      <w:r>
        <w:rPr>
          <w:rFonts w:hint="eastAsia"/>
          <w:sz w:val="84"/>
          <w:szCs w:val="84"/>
        </w:rPr>
        <w:t>投 标 文 件</w:t>
      </w:r>
      <w:bookmarkEnd w:id="801"/>
    </w:p>
    <w:p w14:paraId="026E8C70">
      <w:pPr>
        <w:autoSpaceDE w:val="0"/>
        <w:autoSpaceDN w:val="0"/>
        <w:adjustRightInd w:val="0"/>
        <w:rPr>
          <w:color w:val="auto"/>
          <w:sz w:val="21"/>
          <w:szCs w:val="21"/>
          <w:highlight w:val="none"/>
        </w:rPr>
      </w:pPr>
    </w:p>
    <w:p w14:paraId="3AC4FDEC">
      <w:pPr>
        <w:autoSpaceDE w:val="0"/>
        <w:autoSpaceDN w:val="0"/>
        <w:adjustRightInd w:val="0"/>
        <w:rPr>
          <w:color w:val="auto"/>
          <w:sz w:val="21"/>
          <w:szCs w:val="21"/>
          <w:highlight w:val="none"/>
        </w:rPr>
      </w:pPr>
    </w:p>
    <w:p w14:paraId="5A805ADF">
      <w:pPr>
        <w:autoSpaceDE w:val="0"/>
        <w:autoSpaceDN w:val="0"/>
        <w:adjustRightInd w:val="0"/>
        <w:rPr>
          <w:color w:val="auto"/>
          <w:sz w:val="21"/>
          <w:szCs w:val="21"/>
          <w:highlight w:val="none"/>
        </w:rPr>
      </w:pPr>
    </w:p>
    <w:p w14:paraId="63F784D3">
      <w:pPr>
        <w:autoSpaceDE w:val="0"/>
        <w:autoSpaceDN w:val="0"/>
        <w:adjustRightInd w:val="0"/>
        <w:rPr>
          <w:color w:val="auto"/>
          <w:sz w:val="21"/>
          <w:szCs w:val="21"/>
          <w:highlight w:val="none"/>
        </w:rPr>
      </w:pPr>
    </w:p>
    <w:p w14:paraId="530A0D2F">
      <w:pPr>
        <w:autoSpaceDE w:val="0"/>
        <w:autoSpaceDN w:val="0"/>
        <w:adjustRightInd w:val="0"/>
        <w:rPr>
          <w:color w:val="auto"/>
          <w:sz w:val="21"/>
          <w:szCs w:val="21"/>
          <w:highlight w:val="none"/>
        </w:rPr>
      </w:pPr>
    </w:p>
    <w:p w14:paraId="2085130F">
      <w:pPr>
        <w:autoSpaceDE w:val="0"/>
        <w:autoSpaceDN w:val="0"/>
        <w:adjustRightInd w:val="0"/>
        <w:rPr>
          <w:color w:val="auto"/>
          <w:sz w:val="21"/>
          <w:szCs w:val="21"/>
          <w:highlight w:val="none"/>
        </w:rPr>
      </w:pPr>
    </w:p>
    <w:p w14:paraId="39700BDA">
      <w:pPr>
        <w:autoSpaceDE w:val="0"/>
        <w:autoSpaceDN w:val="0"/>
        <w:adjustRightInd w:val="0"/>
        <w:rPr>
          <w:color w:val="auto"/>
          <w:sz w:val="21"/>
          <w:szCs w:val="21"/>
          <w:highlight w:val="none"/>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8E4F8B1">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5BCD2A7">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联系人</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9FFA4AE">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联系电话</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1BBAE95">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联系地址</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1949919">
      <w:pPr>
        <w:ind w:firstLine="640" w:firstLineChars="200"/>
        <w:jc w:val="center"/>
        <w:rPr>
          <w:rFonts w:hint="eastAsia" w:cs="仿宋_GB2312"/>
          <w:i w:val="0"/>
          <w:iCs w:val="0"/>
          <w:color w:val="auto"/>
          <w:highlight w:val="none"/>
          <w:lang w:val="zh-CN"/>
        </w:rPr>
      </w:pPr>
      <w:r>
        <w:rPr>
          <w:rFonts w:hint="eastAsia" w:ascii="宋体" w:hAnsi="宋体" w:eastAsia="宋体" w:cs="宋体"/>
          <w:i w:val="0"/>
          <w:iCs w:val="0"/>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4"/>
        <w:bidi w:val="0"/>
        <w:rPr>
          <w:rFonts w:hint="eastAsia"/>
          <w:sz w:val="28"/>
          <w:szCs w:val="28"/>
          <w:lang w:val="en-US" w:eastAsia="zh-CN"/>
        </w:rPr>
      </w:pPr>
      <w:bookmarkStart w:id="802" w:name="_Toc25215"/>
      <w:bookmarkStart w:id="803" w:name="_Toc155185927"/>
      <w:r>
        <w:rPr>
          <w:rFonts w:hint="eastAsia"/>
          <w:sz w:val="28"/>
          <w:szCs w:val="28"/>
          <w:lang w:val="en-US" w:eastAsia="zh-CN"/>
        </w:rPr>
        <w:t>一、满足《中华人民共和国政府采购法》第二十二条规定</w:t>
      </w:r>
      <w:bookmarkEnd w:id="802"/>
    </w:p>
    <w:bookmarkEnd w:id="803"/>
    <w:p w14:paraId="4C0324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2881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CA2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4C09F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32393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47F836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r>
        <w:rPr>
          <w:rFonts w:hint="eastAsia" w:cs="宋体"/>
          <w:b w:val="0"/>
          <w:bCs w:val="0"/>
          <w:color w:val="auto"/>
          <w:kern w:val="0"/>
          <w:sz w:val="24"/>
          <w:szCs w:val="24"/>
          <w:highlight w:val="none"/>
          <w:lang w:val="en-US" w:eastAsia="zh-CN"/>
        </w:rPr>
        <w:t>。</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FE2A9CA">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6FC7F68F">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804" w:name="_Toc15114"/>
      <w:bookmarkStart w:id="805" w:name="_Toc23771"/>
      <w:r>
        <w:rPr>
          <w:rFonts w:hint="eastAsia" w:eastAsia="宋体" w:cstheme="majorBidi"/>
          <w:b/>
          <w:bCs/>
          <w:color w:val="auto"/>
          <w:kern w:val="2"/>
          <w:sz w:val="24"/>
          <w:szCs w:val="24"/>
          <w:highlight w:val="none"/>
          <w:lang w:val="en-US" w:eastAsia="zh-CN" w:bidi="ar-SA"/>
        </w:rPr>
        <w:t>（二）政府采购供应商信用承诺函</w:t>
      </w:r>
      <w:bookmarkEnd w:id="804"/>
      <w:bookmarkEnd w:id="805"/>
    </w:p>
    <w:p w14:paraId="695B752A">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BF1CBC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14E343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F4CE840">
      <w:pPr>
        <w:spacing w:line="560" w:lineRule="exact"/>
        <w:ind w:firstLine="480" w:firstLineChars="200"/>
        <w:rPr>
          <w:rFonts w:hint="eastAsia" w:ascii="宋体" w:hAnsi="宋体" w:eastAsia="宋体" w:cs="宋体"/>
          <w:color w:val="auto"/>
          <w:kern w:val="0"/>
          <w:sz w:val="24"/>
          <w:szCs w:val="24"/>
          <w:highlight w:val="none"/>
        </w:rPr>
      </w:pPr>
    </w:p>
    <w:p w14:paraId="776D870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53CD75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C579D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25387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550B1C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221E54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56D831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26A1F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8BFD22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30747A8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63B75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B6C39AD">
      <w:pPr>
        <w:spacing w:line="560" w:lineRule="exact"/>
        <w:rPr>
          <w:rFonts w:hint="eastAsia" w:ascii="宋体" w:hAnsi="宋体" w:eastAsia="宋体" w:cs="宋体"/>
          <w:color w:val="auto"/>
          <w:kern w:val="0"/>
          <w:sz w:val="24"/>
          <w:szCs w:val="24"/>
          <w:highlight w:val="none"/>
        </w:rPr>
      </w:pPr>
    </w:p>
    <w:p w14:paraId="49F57DB1">
      <w:pPr>
        <w:spacing w:line="560" w:lineRule="exact"/>
        <w:rPr>
          <w:rFonts w:hint="eastAsia" w:ascii="宋体" w:hAnsi="宋体" w:eastAsia="宋体" w:cs="宋体"/>
          <w:color w:val="auto"/>
          <w:kern w:val="0"/>
          <w:sz w:val="24"/>
          <w:szCs w:val="24"/>
          <w:highlight w:val="none"/>
        </w:rPr>
      </w:pPr>
    </w:p>
    <w:p w14:paraId="5AA4881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5C65A8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法定代表人、负责人、本人、或授权代表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24E5AD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CB41018">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70BE810B">
      <w:pPr>
        <w:bidi w:val="0"/>
        <w:rPr>
          <w:rFonts w:hint="eastAsia"/>
          <w:sz w:val="28"/>
          <w:szCs w:val="24"/>
          <w:lang w:val="zh-CN" w:eastAsia="zh-CN"/>
        </w:rPr>
      </w:pPr>
      <w:bookmarkStart w:id="806" w:name="_Toc163492923"/>
      <w:bookmarkStart w:id="807" w:name="_Toc155185930"/>
      <w:bookmarkStart w:id="808" w:name="_Toc109900336"/>
      <w:bookmarkStart w:id="809" w:name="_Toc140132840"/>
      <w:bookmarkStart w:id="810" w:name="_Toc109899498"/>
      <w:bookmarkStart w:id="811" w:name="_Toc109899917"/>
      <w:bookmarkStart w:id="812" w:name="_Toc21383"/>
      <w:r>
        <w:rPr>
          <w:rFonts w:hint="eastAsia"/>
          <w:b/>
          <w:bCs/>
          <w:sz w:val="28"/>
          <w:szCs w:val="24"/>
          <w:lang w:val="en-US" w:eastAsia="zh-CN"/>
        </w:rPr>
        <w:t>二、</w:t>
      </w:r>
      <w:bookmarkEnd w:id="806"/>
      <w:bookmarkEnd w:id="807"/>
      <w:bookmarkEnd w:id="808"/>
      <w:bookmarkEnd w:id="809"/>
      <w:bookmarkEnd w:id="810"/>
      <w:bookmarkEnd w:id="811"/>
      <w:bookmarkStart w:id="813" w:name="_Toc155185931"/>
      <w:r>
        <w:rPr>
          <w:rFonts w:hint="eastAsia"/>
          <w:b/>
          <w:bCs/>
          <w:sz w:val="28"/>
          <w:szCs w:val="24"/>
          <w:lang w:val="zh-CN" w:eastAsia="zh-CN"/>
        </w:rPr>
        <w:t>联合体协议书</w:t>
      </w:r>
      <w:bookmarkEnd w:id="813"/>
      <w:r>
        <w:rPr>
          <w:rFonts w:hint="eastAsia"/>
          <w:sz w:val="28"/>
          <w:szCs w:val="24"/>
          <w:lang w:val="zh-CN" w:eastAsia="zh-CN"/>
        </w:rPr>
        <w:t>【如适用】</w:t>
      </w:r>
      <w:bookmarkEnd w:id="812"/>
    </w:p>
    <w:p w14:paraId="39563C7F">
      <w:pPr>
        <w:snapToGrid w:val="0"/>
        <w:spacing w:line="360" w:lineRule="auto"/>
        <w:jc w:val="center"/>
        <w:outlineLvl w:val="0"/>
        <w:rPr>
          <w:rFonts w:hint="eastAsia" w:ascii="宋体" w:hAnsi="宋体" w:cs="宋体"/>
          <w:b/>
          <w:color w:val="auto"/>
          <w:kern w:val="0"/>
          <w:sz w:val="32"/>
          <w:szCs w:val="32"/>
          <w:highlight w:val="none"/>
        </w:rPr>
      </w:pPr>
    </w:p>
    <w:p w14:paraId="23E3BC9F">
      <w:pPr>
        <w:snapToGrid w:val="0"/>
        <w:spacing w:line="360" w:lineRule="auto"/>
        <w:jc w:val="center"/>
        <w:outlineLvl w:val="0"/>
        <w:rPr>
          <w:rFonts w:hint="eastAsia" w:ascii="宋体" w:hAnsi="宋体" w:cs="宋体"/>
          <w:b/>
          <w:color w:val="auto"/>
          <w:kern w:val="0"/>
          <w:sz w:val="32"/>
          <w:szCs w:val="32"/>
          <w:highlight w:val="none"/>
        </w:rPr>
      </w:pPr>
      <w:bookmarkStart w:id="814" w:name="_Toc631"/>
      <w:bookmarkStart w:id="815" w:name="_Toc6437"/>
      <w:bookmarkStart w:id="816" w:name="_Toc9915"/>
      <w:bookmarkStart w:id="817" w:name="_Toc25634"/>
      <w:r>
        <w:rPr>
          <w:rFonts w:hint="eastAsia" w:ascii="宋体" w:hAnsi="宋体" w:cs="宋体"/>
          <w:b/>
          <w:color w:val="auto"/>
          <w:kern w:val="0"/>
          <w:sz w:val="32"/>
          <w:szCs w:val="32"/>
          <w:highlight w:val="none"/>
        </w:rPr>
        <w:t>联合体协议书</w:t>
      </w:r>
      <w:bookmarkEnd w:id="814"/>
      <w:bookmarkEnd w:id="815"/>
      <w:bookmarkEnd w:id="816"/>
      <w:bookmarkEnd w:id="817"/>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818"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818"/>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ABC4BD">
      <w:pPr>
        <w:snapToGrid w:val="0"/>
        <w:spacing w:line="360" w:lineRule="auto"/>
        <w:ind w:firstLine="576"/>
        <w:rPr>
          <w:rFonts w:hint="eastAsia" w:ascii="宋体" w:hAnsi="宋体" w:cs="宋体"/>
          <w:color w:val="auto"/>
          <w:kern w:val="0"/>
          <w:sz w:val="24"/>
          <w:highlight w:val="none"/>
          <w:lang w:val="zh-CN"/>
        </w:rPr>
      </w:pPr>
    </w:p>
    <w:p w14:paraId="4D791421">
      <w:pPr>
        <w:snapToGrid w:val="0"/>
        <w:spacing w:line="360" w:lineRule="auto"/>
        <w:ind w:firstLine="576"/>
        <w:rPr>
          <w:rFonts w:hint="eastAsia" w:ascii="宋体" w:hAnsi="宋体" w:cs="宋体"/>
          <w:color w:val="auto"/>
          <w:kern w:val="0"/>
          <w:sz w:val="24"/>
          <w:highlight w:val="none"/>
          <w:lang w:val="zh-CN"/>
        </w:rPr>
      </w:pPr>
    </w:p>
    <w:p w14:paraId="1BE31DA1">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F94648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54D30BD">
      <w:pPr>
        <w:bidi w:val="0"/>
        <w:rPr>
          <w:rFonts w:hint="eastAsia"/>
          <w:sz w:val="28"/>
          <w:szCs w:val="24"/>
          <w:lang w:val="zh-CN" w:eastAsia="zh-CN"/>
        </w:rPr>
      </w:pPr>
      <w:bookmarkStart w:id="819" w:name="_Toc31421"/>
      <w:bookmarkStart w:id="820" w:name="_Toc162299566"/>
      <w:bookmarkStart w:id="821" w:name="_Toc156490356"/>
      <w:bookmarkStart w:id="822" w:name="_Hlk101169080"/>
      <w:r>
        <w:rPr>
          <w:rFonts w:hint="eastAsia"/>
          <w:b/>
          <w:bCs/>
          <w:sz w:val="28"/>
          <w:szCs w:val="24"/>
          <w:lang w:val="en-US" w:eastAsia="zh-CN"/>
        </w:rPr>
        <w:t>三、</w:t>
      </w:r>
      <w:r>
        <w:rPr>
          <w:rFonts w:hint="eastAsia"/>
          <w:b/>
          <w:bCs/>
          <w:sz w:val="28"/>
          <w:szCs w:val="24"/>
          <w:lang w:val="zh-CN" w:eastAsia="zh-CN"/>
        </w:rPr>
        <w:t>分包意向协议书</w:t>
      </w:r>
      <w:r>
        <w:rPr>
          <w:rFonts w:hint="eastAsia"/>
          <w:sz w:val="28"/>
          <w:szCs w:val="24"/>
          <w:lang w:val="zh-CN" w:eastAsia="zh-CN"/>
        </w:rPr>
        <w:t>【如适用】</w:t>
      </w:r>
      <w:bookmarkEnd w:id="819"/>
      <w:bookmarkEnd w:id="820"/>
      <w:bookmarkEnd w:id="821"/>
    </w:p>
    <w:p w14:paraId="72EF9FB2">
      <w:pPr>
        <w:snapToGrid w:val="0"/>
        <w:spacing w:line="360" w:lineRule="auto"/>
        <w:jc w:val="center"/>
        <w:outlineLvl w:val="0"/>
        <w:rPr>
          <w:rFonts w:hint="eastAsia" w:ascii="宋体" w:hAnsi="宋体" w:cs="宋体"/>
          <w:b/>
          <w:color w:val="auto"/>
          <w:kern w:val="0"/>
          <w:sz w:val="32"/>
          <w:szCs w:val="32"/>
          <w:highlight w:val="none"/>
        </w:rPr>
      </w:pPr>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823" w:name="_Toc13860"/>
      <w:bookmarkStart w:id="824" w:name="_Toc24460"/>
      <w:bookmarkStart w:id="825" w:name="_Toc766"/>
      <w:bookmarkStart w:id="826" w:name="_Toc16974"/>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823"/>
      <w:bookmarkEnd w:id="824"/>
      <w:bookmarkEnd w:id="825"/>
      <w:bookmarkEnd w:id="826"/>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4"/>
        <w:tabs>
          <w:tab w:val="left" w:pos="432"/>
        </w:tabs>
        <w:ind w:left="758" w:leftChars="316" w:firstLine="229" w:firstLineChars="95"/>
        <w:rPr>
          <w:rFonts w:ascii="宋体" w:hAnsi="宋体" w:eastAsia="宋体" w:cs="宋体"/>
          <w:color w:val="auto"/>
          <w:kern w:val="0"/>
          <w:sz w:val="24"/>
          <w:szCs w:val="24"/>
          <w:highlight w:val="none"/>
        </w:rPr>
      </w:pPr>
      <w:bookmarkStart w:id="827" w:name="_Toc7988"/>
      <w:bookmarkStart w:id="828" w:name="_Toc29070"/>
      <w:r>
        <w:rPr>
          <w:rFonts w:hint="eastAsia" w:ascii="宋体" w:hAnsi="宋体" w:eastAsia="宋体" w:cs="宋体"/>
          <w:color w:val="auto"/>
          <w:kern w:val="0"/>
          <w:sz w:val="24"/>
          <w:szCs w:val="24"/>
          <w:highlight w:val="none"/>
        </w:rPr>
        <w:t>……</w:t>
      </w:r>
      <w:bookmarkEnd w:id="827"/>
      <w:bookmarkEnd w:id="828"/>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829"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829"/>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DC21D17">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286910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AD0D69">
      <w:pPr>
        <w:snapToGrid w:val="0"/>
        <w:spacing w:line="360" w:lineRule="auto"/>
        <w:jc w:val="right"/>
        <w:rPr>
          <w:rFonts w:ascii="宋体" w:hAnsi="宋体" w:cs="宋体"/>
          <w:color w:val="auto"/>
          <w:kern w:val="0"/>
          <w:sz w:val="24"/>
          <w:highlight w:val="none"/>
          <w:lang w:val="zh-CN"/>
        </w:rPr>
      </w:pP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822"/>
    <w:p w14:paraId="5775F461">
      <w:pPr>
        <w:ind w:left="2520" w:leftChars="1050"/>
        <w:rPr>
          <w:color w:val="auto"/>
          <w:highlight w:val="none"/>
        </w:rPr>
      </w:pPr>
      <w:r>
        <w:rPr>
          <w:rFonts w:cs="Courier New"/>
          <w:color w:val="auto"/>
          <w:szCs w:val="24"/>
          <w:highlight w:val="none"/>
        </w:rPr>
        <w:br w:type="page"/>
      </w:r>
    </w:p>
    <w:p w14:paraId="6C745F3D">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830" w:name="_Toc155185932"/>
      <w:bookmarkStart w:id="831" w:name="_Toc163492926"/>
      <w:bookmarkStart w:id="832" w:name="_Toc8875"/>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830"/>
      <w:bookmarkEnd w:id="831"/>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832"/>
    </w:p>
    <w:p w14:paraId="0076F407">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833" w:name="_Toc17038"/>
      <w:bookmarkStart w:id="834" w:name="_Toc163492938"/>
      <w:bookmarkStart w:id="835" w:name="_Toc8350"/>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833"/>
      <w:bookmarkEnd w:id="834"/>
      <w:bookmarkEnd w:id="835"/>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51"/>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51"/>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51"/>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51"/>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51"/>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51"/>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51"/>
              <w:jc w:val="center"/>
              <w:rPr>
                <w:color w:val="auto"/>
                <w:sz w:val="21"/>
                <w:szCs w:val="21"/>
                <w:highlight w:val="none"/>
              </w:rPr>
            </w:pPr>
            <w:r>
              <w:rPr>
                <w:rFonts w:hint="eastAsia"/>
                <w:color w:val="auto"/>
                <w:sz w:val="21"/>
                <w:szCs w:val="21"/>
                <w:highlight w:val="none"/>
              </w:rPr>
              <w:t>单价</w:t>
            </w:r>
          </w:p>
          <w:p w14:paraId="022A35EE">
            <w:pPr>
              <w:pStyle w:val="51"/>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51"/>
              <w:jc w:val="center"/>
              <w:rPr>
                <w:color w:val="auto"/>
                <w:sz w:val="21"/>
                <w:szCs w:val="21"/>
                <w:highlight w:val="none"/>
              </w:rPr>
            </w:pPr>
            <w:r>
              <w:rPr>
                <w:rFonts w:hint="eastAsia"/>
                <w:color w:val="auto"/>
                <w:sz w:val="21"/>
                <w:szCs w:val="21"/>
                <w:highlight w:val="none"/>
              </w:rPr>
              <w:t>总价</w:t>
            </w:r>
          </w:p>
          <w:p w14:paraId="13E39665">
            <w:pPr>
              <w:pStyle w:val="51"/>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51"/>
              <w:jc w:val="center"/>
              <w:rPr>
                <w:color w:val="auto"/>
                <w:sz w:val="21"/>
                <w:szCs w:val="21"/>
                <w:highlight w:val="none"/>
              </w:rPr>
            </w:pPr>
            <w:r>
              <w:rPr>
                <w:rFonts w:hint="eastAsia"/>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51"/>
              <w:numPr>
                <w:ilvl w:val="0"/>
                <w:numId w:val="4"/>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51"/>
              <w:jc w:val="center"/>
              <w:rPr>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51"/>
              <w:numPr>
                <w:ilvl w:val="0"/>
                <w:numId w:val="4"/>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51"/>
              <w:jc w:val="center"/>
              <w:rPr>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51"/>
              <w:numPr>
                <w:ilvl w:val="0"/>
                <w:numId w:val="4"/>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51"/>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51"/>
              <w:jc w:val="center"/>
              <w:rPr>
                <w:color w:val="auto"/>
                <w:sz w:val="21"/>
                <w:szCs w:val="21"/>
                <w:highlight w:val="none"/>
              </w:rPr>
            </w:pPr>
          </w:p>
        </w:tc>
      </w:tr>
    </w:tbl>
    <w:p w14:paraId="0BF4E52B">
      <w:pPr>
        <w:spacing w:line="300" w:lineRule="auto"/>
        <w:rPr>
          <w:rFonts w:ascii="Arial" w:hAnsi="Arial" w:cs="Arial"/>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51"/>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51"/>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51"/>
              <w:jc w:val="center"/>
              <w:rPr>
                <w:color w:val="auto"/>
                <w:sz w:val="21"/>
                <w:szCs w:val="21"/>
                <w:highlight w:val="none"/>
              </w:rPr>
            </w:pPr>
            <w:r>
              <w:rPr>
                <w:rFonts w:hint="eastAsia"/>
                <w:color w:val="auto"/>
                <w:sz w:val="21"/>
                <w:szCs w:val="21"/>
                <w:highlight w:val="none"/>
              </w:rPr>
              <w:t>制造商</w:t>
            </w:r>
          </w:p>
          <w:p w14:paraId="43D7ECA8">
            <w:pPr>
              <w:pStyle w:val="51"/>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51"/>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51"/>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51"/>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51"/>
              <w:jc w:val="center"/>
              <w:rPr>
                <w:color w:val="auto"/>
                <w:sz w:val="21"/>
                <w:szCs w:val="21"/>
                <w:highlight w:val="none"/>
              </w:rPr>
            </w:pPr>
            <w:r>
              <w:rPr>
                <w:rFonts w:hint="eastAsia"/>
                <w:color w:val="auto"/>
                <w:sz w:val="21"/>
                <w:szCs w:val="21"/>
                <w:highlight w:val="none"/>
              </w:rPr>
              <w:t>单价</w:t>
            </w:r>
          </w:p>
          <w:p w14:paraId="0270B2E8">
            <w:pPr>
              <w:pStyle w:val="51"/>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51"/>
              <w:jc w:val="center"/>
              <w:rPr>
                <w:color w:val="auto"/>
                <w:sz w:val="21"/>
                <w:szCs w:val="21"/>
                <w:highlight w:val="none"/>
              </w:rPr>
            </w:pPr>
            <w:r>
              <w:rPr>
                <w:rFonts w:hint="eastAsia"/>
                <w:color w:val="auto"/>
                <w:sz w:val="21"/>
                <w:szCs w:val="21"/>
                <w:highlight w:val="none"/>
              </w:rPr>
              <w:t>总价</w:t>
            </w:r>
          </w:p>
          <w:p w14:paraId="461D4258">
            <w:pPr>
              <w:pStyle w:val="51"/>
              <w:jc w:val="center"/>
              <w:rPr>
                <w:color w:val="auto"/>
                <w:sz w:val="21"/>
                <w:szCs w:val="21"/>
                <w:highlight w:val="none"/>
              </w:rPr>
            </w:pPr>
            <w:r>
              <w:rPr>
                <w:rFonts w:hint="eastAsia"/>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51"/>
              <w:numPr>
                <w:ilvl w:val="0"/>
                <w:numId w:val="5"/>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51"/>
              <w:jc w:val="center"/>
              <w:rPr>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51"/>
              <w:numPr>
                <w:ilvl w:val="0"/>
                <w:numId w:val="5"/>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51"/>
              <w:jc w:val="center"/>
              <w:rPr>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51"/>
              <w:numPr>
                <w:ilvl w:val="0"/>
                <w:numId w:val="5"/>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51"/>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51"/>
              <w:jc w:val="center"/>
              <w:rPr>
                <w:color w:val="auto"/>
                <w:sz w:val="21"/>
                <w:szCs w:val="21"/>
                <w:highlight w:val="none"/>
              </w:rPr>
            </w:pPr>
          </w:p>
        </w:tc>
      </w:tr>
    </w:tbl>
    <w:p w14:paraId="04CE5F65">
      <w:pPr>
        <w:spacing w:line="300" w:lineRule="auto"/>
        <w:rPr>
          <w:rFonts w:ascii="Arial" w:hAnsi="Arial" w:cs="Arial"/>
          <w:color w:val="auto"/>
          <w:szCs w:val="21"/>
          <w:highlight w:val="none"/>
        </w:rPr>
      </w:pPr>
    </w:p>
    <w:p w14:paraId="4FDC8CE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4AE49928">
      <w:pPr>
        <w:spacing w:line="300" w:lineRule="auto"/>
        <w:rPr>
          <w:rFonts w:ascii="Arial" w:hAnsi="Arial" w:cs="Arial"/>
          <w:color w:val="auto"/>
          <w:szCs w:val="21"/>
          <w:highlight w:val="none"/>
        </w:rPr>
      </w:pPr>
    </w:p>
    <w:p w14:paraId="054561C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A4D567">
      <w:pPr>
        <w:rPr>
          <w:rFonts w:ascii="Arial" w:hAnsi="Arial" w:cs="Arial"/>
          <w:color w:val="auto"/>
          <w:szCs w:val="21"/>
          <w:highlight w:val="none"/>
        </w:rPr>
      </w:pPr>
      <w:r>
        <w:rPr>
          <w:rFonts w:ascii="Arial" w:hAnsi="Arial" w:cs="Arial"/>
          <w:color w:val="auto"/>
          <w:szCs w:val="21"/>
          <w:highlight w:val="none"/>
        </w:rPr>
        <w:t>日期：</w:t>
      </w:r>
    </w:p>
    <w:p w14:paraId="0A67E61C">
      <w:pPr>
        <w:rPr>
          <w:rFonts w:ascii="Arial" w:hAnsi="Arial" w:cs="Arial"/>
          <w:color w:val="auto"/>
          <w:szCs w:val="21"/>
          <w:highlight w:val="none"/>
        </w:rPr>
      </w:pPr>
    </w:p>
    <w:p w14:paraId="70617D68">
      <w:pPr>
        <w:rPr>
          <w:rFonts w:ascii="Arial" w:hAnsi="Arial" w:cs="Arial"/>
          <w:color w:val="auto"/>
          <w:szCs w:val="21"/>
          <w:highlight w:val="none"/>
        </w:rPr>
      </w:pPr>
      <w:r>
        <w:rPr>
          <w:rFonts w:ascii="Arial" w:hAnsi="Arial" w:cs="Arial"/>
          <w:color w:val="auto"/>
          <w:szCs w:val="21"/>
          <w:highlight w:val="none"/>
        </w:rPr>
        <w:br w:type="page"/>
      </w:r>
    </w:p>
    <w:p w14:paraId="2A9F81A4">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836" w:name="_Toc24277"/>
      <w:bookmarkStart w:id="837" w:name="_Toc29603"/>
      <w:bookmarkStart w:id="838" w:name="_Toc163492939"/>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836"/>
      <w:bookmarkEnd w:id="837"/>
      <w:bookmarkEnd w:id="838"/>
    </w:p>
    <w:p w14:paraId="16CFCD4A">
      <w:pPr>
        <w:pStyle w:val="41"/>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5E2CB0B5">
      <w:pPr>
        <w:keepNext w:val="0"/>
        <w:keepLines w:val="0"/>
        <w:widowControl/>
        <w:suppressLineNumbers w:val="0"/>
        <w:ind w:firstLine="562" w:firstLineChars="200"/>
        <w:jc w:val="left"/>
        <w:rPr>
          <w:rStyle w:val="35"/>
          <w:rFonts w:hint="eastAsia" w:ascii="宋体" w:hAnsi="宋体" w:eastAsia="宋体" w:cs="宋体"/>
          <w:color w:val="auto"/>
          <w:kern w:val="0"/>
          <w:sz w:val="28"/>
          <w:szCs w:val="28"/>
          <w:highlight w:val="none"/>
          <w:lang w:val="en-US" w:eastAsia="zh-CN" w:bidi="ar"/>
        </w:rPr>
      </w:pPr>
    </w:p>
    <w:p w14:paraId="62EF0AA4">
      <w:pPr>
        <w:keepNext w:val="0"/>
        <w:keepLines w:val="0"/>
        <w:widowControl/>
        <w:suppressLineNumbers w:val="0"/>
        <w:ind w:firstLine="482" w:firstLineChars="200"/>
        <w:jc w:val="left"/>
        <w:rPr>
          <w:rStyle w:val="35"/>
          <w:rFonts w:hint="eastAsia" w:ascii="宋体" w:hAnsi="宋体" w:eastAsia="宋体" w:cs="宋体"/>
          <w:color w:val="auto"/>
          <w:kern w:val="0"/>
          <w:sz w:val="28"/>
          <w:szCs w:val="28"/>
          <w:highlight w:val="none"/>
          <w:lang w:val="en-US" w:eastAsia="zh-CN" w:bidi="ar"/>
        </w:rPr>
      </w:pPr>
      <w:r>
        <w:rPr>
          <w:rStyle w:val="35"/>
          <w:rFonts w:hint="eastAsia" w:ascii="宋体" w:hAnsi="宋体" w:eastAsia="宋体" w:cs="宋体"/>
          <w:color w:val="auto"/>
          <w:kern w:val="0"/>
          <w:sz w:val="24"/>
          <w:szCs w:val="24"/>
          <w:highlight w:val="none"/>
          <w:lang w:val="en-US" w:eastAsia="zh-CN" w:bidi="ar"/>
        </w:rPr>
        <w:t>（一）关于</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中小企业声明函</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5"/>
          <w:rFonts w:hint="eastAsia" w:ascii="宋体" w:hAnsi="宋体" w:eastAsia="宋体" w:cs="宋体"/>
          <w:color w:val="auto"/>
          <w:kern w:val="0"/>
          <w:sz w:val="24"/>
          <w:szCs w:val="24"/>
          <w:highlight w:val="none"/>
          <w:lang w:val="en-US" w:eastAsia="zh-CN" w:bidi="ar"/>
        </w:rPr>
      </w:pPr>
      <w:r>
        <w:rPr>
          <w:rStyle w:val="35"/>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6B42F924">
      <w:pPr>
        <w:rPr>
          <w:rFonts w:cs="宋体"/>
          <w:color w:val="auto"/>
          <w:spacing w:val="6"/>
          <w:sz w:val="21"/>
          <w:szCs w:val="21"/>
          <w:highlight w:val="none"/>
        </w:rPr>
      </w:pPr>
    </w:p>
    <w:p w14:paraId="1FCED5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sectPr>
          <w:headerReference r:id="rId8" w:type="default"/>
          <w:footerReference r:id="rId9"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5"/>
          <w:rFonts w:hint="eastAsia" w:ascii="宋体" w:hAnsi="宋体" w:eastAsia="宋体" w:cs="宋体"/>
          <w:b/>
          <w:bCs w:val="0"/>
          <w:color w:val="auto"/>
          <w:sz w:val="28"/>
          <w:szCs w:val="28"/>
          <w:highlight w:val="none"/>
        </w:rPr>
      </w:pPr>
      <w:r>
        <w:rPr>
          <w:rStyle w:val="35"/>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bookmarkStart w:id="839" w:name="_Toc163492940"/>
      <w:r>
        <w:rPr>
          <w:rFonts w:hint="eastAsia"/>
          <w:b/>
          <w:bCs/>
          <w:color w:val="auto"/>
          <w:highlight w:val="none"/>
          <w:lang w:val="en-US" w:eastAsia="zh-CN"/>
        </w:rPr>
        <w:t>附件3：</w:t>
      </w:r>
    </w:p>
    <w:p w14:paraId="754A877D">
      <w:pPr>
        <w:rPr>
          <w:rFonts w:hint="eastAsia" w:cs="宋体"/>
          <w:color w:val="auto"/>
          <w:spacing w:val="6"/>
          <w:sz w:val="21"/>
          <w:szCs w:val="21"/>
          <w:highlight w:val="none"/>
        </w:rPr>
      </w:pPr>
    </w:p>
    <w:p w14:paraId="36D4DB1B">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22DC8AB1">
      <w:pPr>
        <w:rPr>
          <w:rFonts w:hint="eastAsia" w:cs="宋体"/>
          <w:color w:val="auto"/>
          <w:spacing w:val="6"/>
          <w:sz w:val="21"/>
          <w:szCs w:val="21"/>
          <w:highlight w:val="none"/>
          <w:lang w:val="en-US" w:eastAsia="zh-CN"/>
        </w:rPr>
      </w:pPr>
    </w:p>
    <w:p w14:paraId="62A6A0C9">
      <w:pPr>
        <w:rPr>
          <w:rFonts w:hint="eastAsia" w:cs="宋体"/>
          <w:color w:val="auto"/>
          <w:spacing w:val="6"/>
          <w:sz w:val="21"/>
          <w:szCs w:val="21"/>
          <w:highlight w:val="none"/>
          <w:lang w:val="en-US" w:eastAsia="zh-CN"/>
        </w:rPr>
      </w:pPr>
    </w:p>
    <w:p w14:paraId="10A8E63C">
      <w:pPr>
        <w:rPr>
          <w:rFonts w:hint="eastAsia" w:cs="宋体"/>
          <w:color w:val="auto"/>
          <w:spacing w:val="6"/>
          <w:sz w:val="21"/>
          <w:szCs w:val="21"/>
          <w:highlight w:val="none"/>
          <w:lang w:val="en-US" w:eastAsia="zh-CN"/>
        </w:rPr>
      </w:pPr>
    </w:p>
    <w:p w14:paraId="422FF70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E48D324">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5"/>
          <w:rFonts w:hint="eastAsia"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5"/>
          <w:rFonts w:hint="eastAsia"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5"/>
          <w:rFonts w:hint="eastAsia"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十一、本规定自发布之日起实施</w:t>
      </w:r>
      <w:r>
        <w:rPr>
          <w:rStyle w:val="35"/>
          <w:rFonts w:hint="eastAsia"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68CB75F">
      <w:pPr>
        <w:rPr>
          <w:rFonts w:hint="eastAsia" w:cs="宋体"/>
          <w:color w:val="auto"/>
          <w:spacing w:val="6"/>
          <w:sz w:val="24"/>
          <w:szCs w:val="24"/>
          <w:highlight w:val="none"/>
          <w:lang w:val="en-US" w:eastAsia="zh-CN"/>
        </w:rPr>
      </w:pPr>
    </w:p>
    <w:p w14:paraId="46228B00">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9"/>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9"/>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0711552D">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840" w:name="_Toc16227"/>
      <w:bookmarkStart w:id="841" w:name="_Toc30764"/>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839"/>
      <w:bookmarkEnd w:id="840"/>
      <w:bookmarkEnd w:id="841"/>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9"/>
        <w:spacing w:line="360" w:lineRule="auto"/>
        <w:jc w:val="center"/>
        <w:rPr>
          <w:rFonts w:hint="eastAsia" w:ascii="宋体" w:hAnsi="宋体" w:eastAsia="宋体" w:cs="宋体"/>
          <w:b/>
          <w:bCs w:val="0"/>
          <w:color w:val="auto"/>
          <w:sz w:val="32"/>
          <w:szCs w:val="32"/>
          <w:highlight w:val="none"/>
        </w:rPr>
      </w:pPr>
    </w:p>
    <w:p w14:paraId="3EAA5E2A">
      <w:pPr>
        <w:pStyle w:val="19"/>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05E6EFA2">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842" w:name="_Toc31652"/>
      <w:bookmarkStart w:id="843" w:name="_Toc163492941"/>
      <w:bookmarkStart w:id="844" w:name="_Toc13465"/>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842"/>
      <w:bookmarkEnd w:id="843"/>
      <w:bookmarkEnd w:id="844"/>
    </w:p>
    <w:p w14:paraId="0EAC9468">
      <w:pPr>
        <w:pStyle w:val="41"/>
        <w:numPr>
          <w:ilvl w:val="0"/>
          <w:numId w:val="0"/>
        </w:numPr>
        <w:ind w:left="420" w:leftChars="0" w:hanging="420" w:firstLineChars="0"/>
        <w:jc w:val="center"/>
        <w:rPr>
          <w:rFonts w:hint="eastAsia"/>
          <w:b/>
          <w:bCs/>
          <w:color w:val="auto"/>
          <w:sz w:val="32"/>
          <w:szCs w:val="32"/>
          <w:highlight w:val="none"/>
        </w:rPr>
      </w:pPr>
    </w:p>
    <w:p w14:paraId="091B47EA">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B9EE2D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845" w:name="_Toc24696"/>
      <w:r>
        <w:rPr>
          <w:rFonts w:hint="eastAsia" w:cstheme="majorBidi"/>
          <w:b/>
          <w:bCs/>
          <w:color w:val="auto"/>
          <w:kern w:val="2"/>
          <w:sz w:val="28"/>
          <w:szCs w:val="28"/>
          <w:highlight w:val="none"/>
          <w:lang w:val="en-US" w:eastAsia="zh-CN" w:bidi="ar-SA"/>
        </w:rPr>
        <w:t>五、不参与围标串标承诺书</w:t>
      </w:r>
      <w:bookmarkEnd w:id="845"/>
    </w:p>
    <w:p w14:paraId="70D7F20B">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2"/>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法定代表人、负责人、本人、或授权代表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2"/>
        <w:rPr>
          <w:rFonts w:hint="eastAsia"/>
          <w:color w:val="auto"/>
          <w:highlight w:val="none"/>
          <w:lang w:val="en-US" w:eastAsia="zh-CN"/>
        </w:rPr>
      </w:pPr>
    </w:p>
    <w:p w14:paraId="6FC519D1">
      <w:pPr>
        <w:pStyle w:val="2"/>
        <w:rPr>
          <w:rFonts w:hint="eastAsia"/>
          <w:color w:val="auto"/>
          <w:highlight w:val="none"/>
          <w:lang w:val="en-US" w:eastAsia="zh-CN"/>
        </w:rPr>
      </w:pPr>
    </w:p>
    <w:p w14:paraId="7500053D">
      <w:pPr>
        <w:pStyle w:val="2"/>
        <w:rPr>
          <w:rFonts w:hint="eastAsia"/>
          <w:color w:val="auto"/>
          <w:highlight w:val="none"/>
          <w:lang w:val="en-US" w:eastAsia="zh-CN"/>
        </w:rPr>
      </w:pPr>
    </w:p>
    <w:p w14:paraId="5BF64493">
      <w:pPr>
        <w:pStyle w:val="2"/>
        <w:rPr>
          <w:rFonts w:hint="eastAsia"/>
          <w:color w:val="auto"/>
          <w:highlight w:val="none"/>
          <w:lang w:val="en-US" w:eastAsia="zh-CN"/>
        </w:rPr>
      </w:pPr>
    </w:p>
    <w:p w14:paraId="5CA01A8B">
      <w:pPr>
        <w:pStyle w:val="2"/>
        <w:rPr>
          <w:rFonts w:hint="eastAsia"/>
          <w:color w:val="auto"/>
          <w:highlight w:val="none"/>
          <w:lang w:val="en-US" w:eastAsia="zh-CN"/>
        </w:rPr>
      </w:pPr>
    </w:p>
    <w:p w14:paraId="029F743D">
      <w:pPr>
        <w:pStyle w:val="2"/>
        <w:rPr>
          <w:rFonts w:hint="eastAsia"/>
          <w:color w:val="auto"/>
          <w:highlight w:val="none"/>
          <w:lang w:val="en-US" w:eastAsia="zh-CN"/>
        </w:rPr>
      </w:pPr>
    </w:p>
    <w:p w14:paraId="41587146">
      <w:pPr>
        <w:pStyle w:val="2"/>
        <w:rPr>
          <w:rFonts w:hint="eastAsia"/>
          <w:color w:val="auto"/>
          <w:highlight w:val="none"/>
          <w:lang w:val="en-US" w:eastAsia="zh-CN"/>
        </w:rPr>
      </w:pPr>
    </w:p>
    <w:p w14:paraId="7CD2757F">
      <w:pPr>
        <w:pStyle w:val="2"/>
        <w:rPr>
          <w:rFonts w:hint="eastAsia"/>
          <w:color w:val="auto"/>
          <w:highlight w:val="none"/>
          <w:lang w:val="en-US" w:eastAsia="zh-CN"/>
        </w:rPr>
      </w:pPr>
    </w:p>
    <w:p w14:paraId="7EE0D7C2">
      <w:pPr>
        <w:pStyle w:val="2"/>
        <w:rPr>
          <w:rFonts w:hint="eastAsia"/>
          <w:color w:val="auto"/>
          <w:highlight w:val="none"/>
          <w:lang w:val="en-US" w:eastAsia="zh-CN"/>
        </w:rPr>
      </w:pPr>
    </w:p>
    <w:p w14:paraId="34406338">
      <w:pPr>
        <w:pStyle w:val="2"/>
        <w:rPr>
          <w:rFonts w:hint="eastAsia"/>
          <w:color w:val="auto"/>
          <w:highlight w:val="none"/>
          <w:lang w:val="en-US" w:eastAsia="zh-CN"/>
        </w:rPr>
      </w:pPr>
    </w:p>
    <w:p w14:paraId="30C8D33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846" w:name="_Toc2869"/>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846"/>
    </w:p>
    <w:p w14:paraId="0C24F0AE">
      <w:pPr>
        <w:pStyle w:val="39"/>
        <w:rPr>
          <w:rFonts w:hint="eastAsia"/>
          <w:color w:val="auto"/>
          <w:highlight w:val="none"/>
        </w:rPr>
      </w:pPr>
      <w:r>
        <w:rPr>
          <w:rFonts w:hint="eastAsia" w:cs="Courier New"/>
          <w:color w:val="auto"/>
          <w:szCs w:val="24"/>
          <w:highlight w:val="none"/>
        </w:rPr>
        <w:t>投标人认为需提供的其它相关资格证明材料</w:t>
      </w:r>
    </w:p>
    <w:p w14:paraId="7C2C3E83">
      <w:pPr>
        <w:pStyle w:val="39"/>
        <w:rPr>
          <w:rFonts w:hint="eastAsia"/>
          <w:color w:val="auto"/>
          <w:highlight w:val="none"/>
        </w:rPr>
      </w:pPr>
    </w:p>
    <w:p w14:paraId="58A36194">
      <w:pPr>
        <w:pStyle w:val="39"/>
        <w:rPr>
          <w:rFonts w:hint="eastAsia"/>
          <w:color w:val="auto"/>
          <w:highlight w:val="none"/>
        </w:rPr>
      </w:pPr>
    </w:p>
    <w:p w14:paraId="3553B395">
      <w:pPr>
        <w:pStyle w:val="39"/>
        <w:rPr>
          <w:rFonts w:hint="eastAsia"/>
          <w:color w:val="auto"/>
          <w:highlight w:val="none"/>
        </w:rPr>
      </w:pPr>
    </w:p>
    <w:p w14:paraId="49D404FC">
      <w:pPr>
        <w:pStyle w:val="39"/>
        <w:rPr>
          <w:rFonts w:hint="eastAsia"/>
          <w:color w:val="auto"/>
          <w:highlight w:val="none"/>
        </w:rPr>
      </w:pPr>
    </w:p>
    <w:p w14:paraId="4B98E4B6">
      <w:pPr>
        <w:pStyle w:val="39"/>
        <w:rPr>
          <w:rFonts w:hint="eastAsia"/>
          <w:color w:val="auto"/>
          <w:highlight w:val="none"/>
        </w:rPr>
      </w:pPr>
    </w:p>
    <w:p w14:paraId="737FEDD3">
      <w:pPr>
        <w:pStyle w:val="39"/>
        <w:rPr>
          <w:rFonts w:hint="eastAsia"/>
          <w:color w:val="auto"/>
          <w:highlight w:val="none"/>
        </w:rPr>
      </w:pPr>
    </w:p>
    <w:p w14:paraId="1C876135">
      <w:pPr>
        <w:pStyle w:val="39"/>
        <w:rPr>
          <w:rFonts w:hint="eastAsia"/>
          <w:color w:val="auto"/>
          <w:highlight w:val="none"/>
        </w:rPr>
      </w:pPr>
    </w:p>
    <w:p w14:paraId="7E85C842">
      <w:pPr>
        <w:pStyle w:val="39"/>
        <w:rPr>
          <w:rFonts w:hint="eastAsia"/>
          <w:color w:val="auto"/>
          <w:highlight w:val="none"/>
        </w:rPr>
      </w:pPr>
    </w:p>
    <w:p w14:paraId="4CBE3B0D">
      <w:pPr>
        <w:pStyle w:val="39"/>
        <w:rPr>
          <w:rFonts w:hint="eastAsia"/>
          <w:color w:val="auto"/>
          <w:highlight w:val="none"/>
        </w:rPr>
      </w:pPr>
    </w:p>
    <w:p w14:paraId="2E6E451F">
      <w:pPr>
        <w:pStyle w:val="39"/>
        <w:rPr>
          <w:rFonts w:hint="eastAsia"/>
          <w:color w:val="auto"/>
          <w:highlight w:val="none"/>
        </w:rPr>
      </w:pPr>
    </w:p>
    <w:p w14:paraId="38DC2C55">
      <w:pPr>
        <w:pStyle w:val="39"/>
        <w:rPr>
          <w:rFonts w:hint="eastAsia"/>
          <w:color w:val="auto"/>
          <w:highlight w:val="none"/>
        </w:rPr>
      </w:pPr>
    </w:p>
    <w:p w14:paraId="04DAFD3C">
      <w:pPr>
        <w:pStyle w:val="39"/>
        <w:rPr>
          <w:rFonts w:hint="eastAsia"/>
          <w:color w:val="auto"/>
          <w:highlight w:val="none"/>
        </w:rPr>
      </w:pPr>
    </w:p>
    <w:p w14:paraId="51E24CDC">
      <w:pPr>
        <w:pStyle w:val="39"/>
        <w:rPr>
          <w:rFonts w:hint="eastAsia"/>
          <w:color w:val="auto"/>
          <w:highlight w:val="none"/>
        </w:rPr>
      </w:pPr>
    </w:p>
    <w:p w14:paraId="1AC1942E">
      <w:pPr>
        <w:pStyle w:val="39"/>
        <w:rPr>
          <w:rFonts w:hint="eastAsia"/>
          <w:color w:val="auto"/>
          <w:highlight w:val="none"/>
        </w:rPr>
      </w:pPr>
    </w:p>
    <w:p w14:paraId="4722E259">
      <w:pPr>
        <w:pStyle w:val="39"/>
        <w:rPr>
          <w:rFonts w:hint="eastAsia"/>
          <w:color w:val="auto"/>
          <w:highlight w:val="none"/>
        </w:rPr>
      </w:pPr>
    </w:p>
    <w:p w14:paraId="07033BD3">
      <w:pPr>
        <w:pStyle w:val="39"/>
        <w:rPr>
          <w:rFonts w:hint="eastAsia"/>
          <w:color w:val="auto"/>
          <w:highlight w:val="none"/>
        </w:rPr>
      </w:pPr>
    </w:p>
    <w:p w14:paraId="6E1D094D">
      <w:pPr>
        <w:pStyle w:val="39"/>
        <w:rPr>
          <w:rFonts w:hint="eastAsia"/>
          <w:color w:val="auto"/>
          <w:highlight w:val="none"/>
        </w:rPr>
      </w:pPr>
    </w:p>
    <w:p w14:paraId="23B0DB54">
      <w:pPr>
        <w:pStyle w:val="39"/>
        <w:rPr>
          <w:rFonts w:hint="eastAsia"/>
          <w:color w:val="auto"/>
          <w:highlight w:val="none"/>
        </w:rPr>
      </w:pPr>
    </w:p>
    <w:p w14:paraId="07159DF6">
      <w:pPr>
        <w:pStyle w:val="39"/>
        <w:rPr>
          <w:rFonts w:hint="eastAsia"/>
          <w:color w:val="auto"/>
          <w:highlight w:val="none"/>
        </w:rPr>
      </w:pPr>
    </w:p>
    <w:p w14:paraId="44B3A5AA">
      <w:pPr>
        <w:pStyle w:val="39"/>
        <w:rPr>
          <w:rFonts w:hint="eastAsia"/>
          <w:color w:val="auto"/>
          <w:highlight w:val="none"/>
        </w:rPr>
      </w:pPr>
    </w:p>
    <w:p w14:paraId="05BB178A">
      <w:pPr>
        <w:pStyle w:val="39"/>
        <w:rPr>
          <w:rFonts w:hint="eastAsia"/>
          <w:color w:val="auto"/>
          <w:highlight w:val="none"/>
        </w:rPr>
      </w:pPr>
    </w:p>
    <w:p w14:paraId="0E7980AB">
      <w:pPr>
        <w:pStyle w:val="39"/>
        <w:rPr>
          <w:rFonts w:hint="eastAsia"/>
          <w:color w:val="auto"/>
          <w:highlight w:val="none"/>
        </w:rPr>
      </w:pPr>
    </w:p>
    <w:p w14:paraId="5A09B930">
      <w:pPr>
        <w:pStyle w:val="39"/>
        <w:rPr>
          <w:rFonts w:hint="eastAsia"/>
          <w:color w:val="auto"/>
          <w:highlight w:val="none"/>
        </w:rPr>
      </w:pPr>
    </w:p>
    <w:p w14:paraId="3FB1F62E">
      <w:pPr>
        <w:pStyle w:val="39"/>
        <w:rPr>
          <w:rFonts w:hint="eastAsia"/>
          <w:color w:val="auto"/>
          <w:highlight w:val="none"/>
        </w:rPr>
      </w:pPr>
    </w:p>
    <w:p w14:paraId="69D25AC1">
      <w:pPr>
        <w:pStyle w:val="39"/>
        <w:rPr>
          <w:rFonts w:hint="eastAsia"/>
          <w:color w:val="auto"/>
          <w:highlight w:val="none"/>
        </w:rPr>
      </w:pPr>
    </w:p>
    <w:p w14:paraId="3E9AC4C9">
      <w:pPr>
        <w:pStyle w:val="39"/>
        <w:rPr>
          <w:rFonts w:hint="eastAsia"/>
          <w:color w:val="auto"/>
          <w:highlight w:val="none"/>
        </w:rPr>
      </w:pPr>
    </w:p>
    <w:p w14:paraId="730DA0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847" w:name="_Toc28928"/>
      <w:r>
        <w:rPr>
          <w:rFonts w:hint="eastAsia" w:cstheme="majorBidi"/>
          <w:b/>
          <w:bCs/>
          <w:color w:val="auto"/>
          <w:kern w:val="2"/>
          <w:sz w:val="32"/>
          <w:szCs w:val="32"/>
          <w:highlight w:val="none"/>
          <w:lang w:val="en-US" w:eastAsia="zh-CN" w:bidi="ar-SA"/>
        </w:rPr>
        <w:t>七、开标一览表</w:t>
      </w:r>
      <w:bookmarkEnd w:id="847"/>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lang w:val="en-US" w:eastAsia="zh-CN"/>
              </w:rPr>
              <w:t>服务</w:t>
            </w:r>
            <w:r>
              <w:rPr>
                <w:rFonts w:hint="eastAsia"/>
                <w:color w:val="auto"/>
                <w:sz w:val="24"/>
                <w:szCs w:val="24"/>
                <w:highlight w:val="none"/>
              </w:rPr>
              <w:t>期限</w:t>
            </w:r>
          </w:p>
        </w:tc>
        <w:tc>
          <w:tcPr>
            <w:tcW w:w="2611" w:type="dxa"/>
            <w:vAlign w:val="center"/>
          </w:tcPr>
          <w:p w14:paraId="620875ED">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color w:val="auto"/>
                <w:sz w:val="24"/>
                <w:szCs w:val="24"/>
                <w:highlight w:val="none"/>
              </w:rPr>
            </w:pPr>
          </w:p>
        </w:tc>
        <w:tc>
          <w:tcPr>
            <w:tcW w:w="2352" w:type="dxa"/>
            <w:vAlign w:val="center"/>
          </w:tcPr>
          <w:p w14:paraId="45A40F19">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2F86517">
            <w:pPr>
              <w:jc w:val="both"/>
              <w:rPr>
                <w:color w:val="auto"/>
                <w:sz w:val="24"/>
                <w:szCs w:val="24"/>
                <w:highlight w:val="none"/>
              </w:rPr>
            </w:pPr>
            <w:r>
              <w:rPr>
                <w:rFonts w:hint="eastAsia"/>
                <w:color w:val="auto"/>
                <w:sz w:val="24"/>
                <w:szCs w:val="24"/>
                <w:highlight w:val="none"/>
                <w:lang w:val="en-US" w:eastAsia="zh-CN"/>
              </w:rPr>
              <w:t>大写：</w:t>
            </w:r>
          </w:p>
        </w:tc>
        <w:tc>
          <w:tcPr>
            <w:tcW w:w="2161" w:type="dxa"/>
            <w:vAlign w:val="center"/>
          </w:tcPr>
          <w:p w14:paraId="3409D243">
            <w:pPr>
              <w:jc w:val="center"/>
              <w:rPr>
                <w:color w:val="auto"/>
                <w:sz w:val="24"/>
                <w:szCs w:val="24"/>
                <w:highlight w:val="none"/>
              </w:rPr>
            </w:pPr>
          </w:p>
        </w:tc>
        <w:tc>
          <w:tcPr>
            <w:tcW w:w="2611" w:type="dxa"/>
            <w:vAlign w:val="center"/>
          </w:tcPr>
          <w:p w14:paraId="35602B49">
            <w:pPr>
              <w:jc w:val="center"/>
              <w:rPr>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2"/>
        <w:rPr>
          <w:rFonts w:cs="Arial"/>
          <w:color w:val="auto"/>
          <w:szCs w:val="24"/>
          <w:highlight w:val="none"/>
        </w:rPr>
      </w:pPr>
    </w:p>
    <w:p w14:paraId="4C551945">
      <w:pPr>
        <w:pStyle w:val="2"/>
        <w:rPr>
          <w:rFonts w:cs="Arial"/>
          <w:color w:val="auto"/>
          <w:szCs w:val="24"/>
          <w:highlight w:val="none"/>
        </w:rPr>
      </w:pPr>
    </w:p>
    <w:p w14:paraId="09ACCEBB">
      <w:pPr>
        <w:pStyle w:val="2"/>
        <w:rPr>
          <w:rFonts w:cs="Arial"/>
          <w:color w:val="auto"/>
          <w:szCs w:val="24"/>
          <w:highlight w:val="none"/>
        </w:rPr>
      </w:pPr>
    </w:p>
    <w:p w14:paraId="54CAC625">
      <w:pPr>
        <w:pStyle w:val="2"/>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3B3B887F">
      <w:pPr>
        <w:pStyle w:val="2"/>
        <w:ind w:firstLine="420" w:firstLineChars="200"/>
        <w:rPr>
          <w:rFonts w:hint="eastAsia" w:ascii="宋体" w:hAnsi="宋体" w:eastAsia="宋体" w:cs="宋体"/>
          <w:color w:val="auto"/>
          <w:sz w:val="24"/>
          <w:szCs w:val="24"/>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848" w:name="_Toc17062"/>
      <w:r>
        <w:rPr>
          <w:rFonts w:hint="eastAsia" w:cstheme="majorBidi"/>
          <w:b/>
          <w:bCs/>
          <w:color w:val="auto"/>
          <w:kern w:val="2"/>
          <w:sz w:val="32"/>
          <w:szCs w:val="32"/>
          <w:highlight w:val="none"/>
          <w:lang w:val="en-US" w:eastAsia="zh-CN" w:bidi="ar-SA"/>
        </w:rPr>
        <w:t>八、分项报价表</w:t>
      </w:r>
      <w:bookmarkEnd w:id="848"/>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374BEE8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849" w:name="_Toc155185921"/>
      <w:bookmarkStart w:id="850" w:name="_Toc25402"/>
      <w:bookmarkStart w:id="851" w:name="_Toc3577"/>
      <w:bookmarkStart w:id="852" w:name="_Toc109900327"/>
      <w:bookmarkStart w:id="853" w:name="_Toc109899908"/>
      <w:bookmarkStart w:id="854" w:name="_Toc140132831"/>
      <w:bookmarkStart w:id="855" w:name="_Toc23604"/>
      <w:bookmarkStart w:id="856" w:name="_Toc109899489"/>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、投标函</w:t>
      </w:r>
      <w:bookmarkEnd w:id="849"/>
      <w:bookmarkEnd w:id="850"/>
      <w:bookmarkEnd w:id="851"/>
      <w:bookmarkEnd w:id="852"/>
      <w:bookmarkEnd w:id="853"/>
      <w:bookmarkEnd w:id="854"/>
      <w:bookmarkEnd w:id="855"/>
      <w:bookmarkEnd w:id="856"/>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857" w:name="_Hlk161604053"/>
      <w:r>
        <w:rPr>
          <w:rFonts w:hint="eastAsia"/>
          <w:color w:val="auto"/>
          <w:szCs w:val="24"/>
          <w:highlight w:val="none"/>
        </w:rPr>
        <w:t>我方承诺本《投标函》的签章对本投标文件全部内容具有约束力并承担法律责任。</w:t>
      </w:r>
      <w:bookmarkEnd w:id="857"/>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21203E4D">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858" w:name="_Toc12459"/>
      <w:bookmarkStart w:id="859" w:name="_Toc155185924"/>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858"/>
      <w:bookmarkEnd w:id="859"/>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860" w:name="_Toc155185925"/>
      <w:bookmarkStart w:id="861" w:name="_Toc26391"/>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、授权委托书</w:t>
      </w:r>
      <w:bookmarkEnd w:id="860"/>
      <w:bookmarkEnd w:id="861"/>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862" w:name="_Toc163492928"/>
      <w:bookmarkStart w:id="863" w:name="_Toc155185934"/>
      <w:bookmarkStart w:id="864" w:name="_Toc27408"/>
      <w:r>
        <w:rPr>
          <w:rFonts w:hint="eastAsia" w:cstheme="majorBidi"/>
          <w:b/>
          <w:bCs/>
          <w:color w:val="auto"/>
          <w:kern w:val="2"/>
          <w:sz w:val="32"/>
          <w:szCs w:val="32"/>
          <w:highlight w:val="none"/>
          <w:lang w:val="en-US" w:eastAsia="zh-CN" w:bidi="ar-SA"/>
        </w:rPr>
        <w:t>十二</w:t>
      </w:r>
      <w:r>
        <w:rPr>
          <w:rFonts w:hint="eastAsia" w:eastAsia="宋体" w:asciiTheme="majorHAnsi" w:hAnsiTheme="majorHAnsi" w:cstheme="majorBidi"/>
          <w:b/>
          <w:bCs/>
          <w:color w:val="auto"/>
          <w:kern w:val="2"/>
          <w:sz w:val="32"/>
          <w:szCs w:val="32"/>
          <w:highlight w:val="none"/>
          <w:lang w:val="en-US" w:eastAsia="zh-CN" w:bidi="ar-SA"/>
        </w:rPr>
        <w:t>、</w:t>
      </w:r>
      <w:bookmarkEnd w:id="862"/>
      <w:bookmarkEnd w:id="863"/>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864"/>
    </w:p>
    <w:p w14:paraId="2AB445CF">
      <w:pPr>
        <w:pStyle w:val="2"/>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2"/>
        <w:rPr>
          <w:rFonts w:hint="eastAsia" w:eastAsia="宋体" w:asciiTheme="majorHAnsi" w:hAnsiTheme="majorHAnsi" w:cstheme="majorBidi"/>
          <w:b/>
          <w:bCs/>
          <w:color w:val="auto"/>
          <w:kern w:val="2"/>
          <w:sz w:val="24"/>
          <w:szCs w:val="24"/>
          <w:highlight w:val="none"/>
          <w:lang w:val="en-US" w:eastAsia="zh-CN" w:bidi="ar-SA"/>
        </w:rPr>
      </w:pPr>
    </w:p>
    <w:p w14:paraId="2CC927CA">
      <w:pPr>
        <w:pStyle w:val="2"/>
        <w:rPr>
          <w:rFonts w:hint="eastAsia" w:eastAsia="宋体" w:asciiTheme="majorHAnsi" w:hAnsiTheme="majorHAnsi" w:cstheme="majorBidi"/>
          <w:b/>
          <w:bCs/>
          <w:color w:val="auto"/>
          <w:kern w:val="2"/>
          <w:sz w:val="24"/>
          <w:szCs w:val="24"/>
          <w:highlight w:val="none"/>
          <w:lang w:val="en-US" w:eastAsia="zh-CN" w:bidi="ar-SA"/>
        </w:rPr>
      </w:pPr>
    </w:p>
    <w:p w14:paraId="18FDCDE0">
      <w:pPr>
        <w:pStyle w:val="2"/>
        <w:rPr>
          <w:rFonts w:hint="eastAsia" w:eastAsia="宋体" w:asciiTheme="majorHAnsi" w:hAnsiTheme="majorHAnsi" w:cstheme="majorBidi"/>
          <w:b/>
          <w:bCs/>
          <w:color w:val="auto"/>
          <w:kern w:val="2"/>
          <w:sz w:val="24"/>
          <w:szCs w:val="24"/>
          <w:highlight w:val="none"/>
          <w:lang w:val="en-US" w:eastAsia="zh-CN" w:bidi="ar-SA"/>
        </w:rPr>
      </w:pPr>
    </w:p>
    <w:p w14:paraId="287724F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865" w:name="_Toc18155"/>
      <w:r>
        <w:rPr>
          <w:rFonts w:hint="eastAsia" w:cstheme="majorBidi"/>
          <w:b/>
          <w:bCs/>
          <w:color w:val="auto"/>
          <w:kern w:val="2"/>
          <w:sz w:val="32"/>
          <w:szCs w:val="32"/>
          <w:highlight w:val="none"/>
          <w:lang w:val="en-US" w:eastAsia="zh-CN" w:bidi="ar-SA"/>
        </w:rPr>
        <w:t>十三</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865"/>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2"/>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7278D52">
            <w:pPr>
              <w:jc w:val="center"/>
              <w:rPr>
                <w:rFonts w:hint="eastAsia" w:ascii="宋体" w:hAnsi="宋体" w:eastAsia="宋体" w:cs="宋体"/>
                <w:color w:val="auto"/>
                <w:sz w:val="21"/>
                <w:szCs w:val="21"/>
                <w:highlight w:val="none"/>
              </w:rPr>
            </w:pPr>
            <w:bookmarkStart w:id="866" w:name="_Hlk46779239"/>
            <w:r>
              <w:rPr>
                <w:rFonts w:hint="eastAsia" w:ascii="宋体" w:hAnsi="宋体" w:eastAsia="宋体" w:cs="宋体"/>
                <w:color w:val="auto"/>
                <w:sz w:val="21"/>
                <w:szCs w:val="21"/>
                <w:highlight w:val="none"/>
              </w:rPr>
              <w:t>序号</w:t>
            </w:r>
          </w:p>
        </w:tc>
        <w:tc>
          <w:tcPr>
            <w:tcW w:w="1080" w:type="dxa"/>
            <w:vAlign w:val="center"/>
          </w:tcPr>
          <w:p w14:paraId="5EA65C0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15F7119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7F2B95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83" w:type="dxa"/>
            <w:vAlign w:val="center"/>
          </w:tcPr>
          <w:p w14:paraId="56A8775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68" w:type="dxa"/>
            <w:vAlign w:val="center"/>
          </w:tcPr>
          <w:p w14:paraId="55D436A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中标（成交）金额</w:t>
            </w:r>
          </w:p>
        </w:tc>
        <w:tc>
          <w:tcPr>
            <w:tcW w:w="960" w:type="dxa"/>
            <w:vAlign w:val="center"/>
          </w:tcPr>
          <w:p w14:paraId="0DD0D2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607D7E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25A72089">
            <w:pPr>
              <w:rPr>
                <w:rFonts w:hint="eastAsia" w:ascii="宋体" w:hAnsi="宋体" w:eastAsia="宋体" w:cs="宋体"/>
                <w:color w:val="auto"/>
                <w:sz w:val="21"/>
                <w:szCs w:val="21"/>
                <w:highlight w:val="none"/>
              </w:rPr>
            </w:pPr>
          </w:p>
        </w:tc>
        <w:tc>
          <w:tcPr>
            <w:tcW w:w="1248" w:type="dxa"/>
            <w:vAlign w:val="center"/>
          </w:tcPr>
          <w:p w14:paraId="6F3805E3">
            <w:pPr>
              <w:rPr>
                <w:rFonts w:hint="eastAsia" w:ascii="宋体" w:hAnsi="宋体" w:eastAsia="宋体" w:cs="宋体"/>
                <w:color w:val="auto"/>
                <w:sz w:val="21"/>
                <w:szCs w:val="21"/>
                <w:highlight w:val="none"/>
              </w:rPr>
            </w:pPr>
          </w:p>
        </w:tc>
        <w:tc>
          <w:tcPr>
            <w:tcW w:w="1129" w:type="dxa"/>
            <w:vAlign w:val="center"/>
          </w:tcPr>
          <w:p w14:paraId="7CB7C00C">
            <w:pPr>
              <w:rPr>
                <w:rFonts w:hint="eastAsia" w:ascii="宋体" w:hAnsi="宋体" w:eastAsia="宋体" w:cs="宋体"/>
                <w:color w:val="auto"/>
                <w:sz w:val="21"/>
                <w:szCs w:val="21"/>
                <w:highlight w:val="none"/>
              </w:rPr>
            </w:pPr>
          </w:p>
        </w:tc>
        <w:tc>
          <w:tcPr>
            <w:tcW w:w="1283" w:type="dxa"/>
            <w:vAlign w:val="center"/>
          </w:tcPr>
          <w:p w14:paraId="60DAC622">
            <w:pPr>
              <w:rPr>
                <w:rFonts w:hint="eastAsia" w:ascii="宋体" w:hAnsi="宋体" w:eastAsia="宋体" w:cs="宋体"/>
                <w:color w:val="auto"/>
                <w:sz w:val="21"/>
                <w:szCs w:val="21"/>
                <w:highlight w:val="none"/>
              </w:rPr>
            </w:pPr>
          </w:p>
        </w:tc>
        <w:tc>
          <w:tcPr>
            <w:tcW w:w="1368" w:type="dxa"/>
            <w:vAlign w:val="center"/>
          </w:tcPr>
          <w:p w14:paraId="5436BEC1">
            <w:pPr>
              <w:rPr>
                <w:rFonts w:hint="eastAsia" w:ascii="宋体" w:hAnsi="宋体" w:eastAsia="宋体" w:cs="宋体"/>
                <w:color w:val="auto"/>
                <w:sz w:val="21"/>
                <w:szCs w:val="21"/>
                <w:highlight w:val="none"/>
              </w:rPr>
            </w:pPr>
          </w:p>
        </w:tc>
        <w:tc>
          <w:tcPr>
            <w:tcW w:w="960" w:type="dxa"/>
            <w:vAlign w:val="center"/>
          </w:tcPr>
          <w:p w14:paraId="4A8D26BB">
            <w:pPr>
              <w:rPr>
                <w:rFonts w:hint="eastAsia" w:ascii="宋体" w:hAnsi="宋体" w:eastAsia="宋体" w:cs="宋体"/>
                <w:color w:val="auto"/>
                <w:sz w:val="21"/>
                <w:szCs w:val="21"/>
                <w:highlight w:val="none"/>
              </w:rPr>
            </w:pPr>
          </w:p>
        </w:tc>
        <w:tc>
          <w:tcPr>
            <w:tcW w:w="1176" w:type="dxa"/>
            <w:vAlign w:val="center"/>
          </w:tcPr>
          <w:p w14:paraId="6799D8A5">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3C7437EA">
            <w:pPr>
              <w:rPr>
                <w:rFonts w:hint="eastAsia" w:ascii="宋体" w:hAnsi="宋体" w:eastAsia="宋体" w:cs="宋体"/>
                <w:color w:val="auto"/>
                <w:sz w:val="21"/>
                <w:szCs w:val="21"/>
                <w:highlight w:val="none"/>
              </w:rPr>
            </w:pPr>
          </w:p>
        </w:tc>
        <w:tc>
          <w:tcPr>
            <w:tcW w:w="1248" w:type="dxa"/>
            <w:vAlign w:val="center"/>
          </w:tcPr>
          <w:p w14:paraId="753A8A2D">
            <w:pPr>
              <w:rPr>
                <w:rFonts w:hint="eastAsia" w:ascii="宋体" w:hAnsi="宋体" w:eastAsia="宋体" w:cs="宋体"/>
                <w:color w:val="auto"/>
                <w:sz w:val="21"/>
                <w:szCs w:val="21"/>
                <w:highlight w:val="none"/>
              </w:rPr>
            </w:pPr>
          </w:p>
        </w:tc>
        <w:tc>
          <w:tcPr>
            <w:tcW w:w="1129" w:type="dxa"/>
            <w:vAlign w:val="center"/>
          </w:tcPr>
          <w:p w14:paraId="02634890">
            <w:pPr>
              <w:rPr>
                <w:rFonts w:hint="eastAsia" w:ascii="宋体" w:hAnsi="宋体" w:eastAsia="宋体" w:cs="宋体"/>
                <w:color w:val="auto"/>
                <w:sz w:val="21"/>
                <w:szCs w:val="21"/>
                <w:highlight w:val="none"/>
              </w:rPr>
            </w:pPr>
          </w:p>
        </w:tc>
        <w:tc>
          <w:tcPr>
            <w:tcW w:w="1283" w:type="dxa"/>
            <w:vAlign w:val="center"/>
          </w:tcPr>
          <w:p w14:paraId="3563AED4">
            <w:pPr>
              <w:rPr>
                <w:rFonts w:hint="eastAsia" w:ascii="宋体" w:hAnsi="宋体" w:eastAsia="宋体" w:cs="宋体"/>
                <w:color w:val="auto"/>
                <w:sz w:val="21"/>
                <w:szCs w:val="21"/>
                <w:highlight w:val="none"/>
              </w:rPr>
            </w:pPr>
          </w:p>
        </w:tc>
        <w:tc>
          <w:tcPr>
            <w:tcW w:w="1368" w:type="dxa"/>
            <w:vAlign w:val="center"/>
          </w:tcPr>
          <w:p w14:paraId="4ED6DFCE">
            <w:pPr>
              <w:rPr>
                <w:rFonts w:hint="eastAsia" w:ascii="宋体" w:hAnsi="宋体" w:eastAsia="宋体" w:cs="宋体"/>
                <w:color w:val="auto"/>
                <w:sz w:val="21"/>
                <w:szCs w:val="21"/>
                <w:highlight w:val="none"/>
              </w:rPr>
            </w:pPr>
          </w:p>
        </w:tc>
        <w:tc>
          <w:tcPr>
            <w:tcW w:w="960" w:type="dxa"/>
            <w:vAlign w:val="center"/>
          </w:tcPr>
          <w:p w14:paraId="3DDF15B1">
            <w:pPr>
              <w:rPr>
                <w:rFonts w:hint="eastAsia" w:ascii="宋体" w:hAnsi="宋体" w:eastAsia="宋体" w:cs="宋体"/>
                <w:color w:val="auto"/>
                <w:sz w:val="21"/>
                <w:szCs w:val="21"/>
                <w:highlight w:val="none"/>
              </w:rPr>
            </w:pPr>
          </w:p>
        </w:tc>
        <w:tc>
          <w:tcPr>
            <w:tcW w:w="1176" w:type="dxa"/>
            <w:vAlign w:val="center"/>
          </w:tcPr>
          <w:p w14:paraId="069D1E24">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5AFF132B">
            <w:pPr>
              <w:rPr>
                <w:rFonts w:hint="eastAsia" w:ascii="宋体" w:hAnsi="宋体" w:eastAsia="宋体" w:cs="宋体"/>
                <w:color w:val="auto"/>
                <w:sz w:val="21"/>
                <w:szCs w:val="21"/>
                <w:highlight w:val="none"/>
              </w:rPr>
            </w:pPr>
          </w:p>
        </w:tc>
        <w:tc>
          <w:tcPr>
            <w:tcW w:w="1248" w:type="dxa"/>
            <w:vAlign w:val="center"/>
          </w:tcPr>
          <w:p w14:paraId="40DFA463">
            <w:pPr>
              <w:rPr>
                <w:rFonts w:hint="eastAsia" w:ascii="宋体" w:hAnsi="宋体" w:eastAsia="宋体" w:cs="宋体"/>
                <w:color w:val="auto"/>
                <w:sz w:val="21"/>
                <w:szCs w:val="21"/>
                <w:highlight w:val="none"/>
              </w:rPr>
            </w:pPr>
          </w:p>
        </w:tc>
        <w:tc>
          <w:tcPr>
            <w:tcW w:w="1129" w:type="dxa"/>
            <w:vAlign w:val="center"/>
          </w:tcPr>
          <w:p w14:paraId="192188BA">
            <w:pPr>
              <w:rPr>
                <w:rFonts w:hint="eastAsia" w:ascii="宋体" w:hAnsi="宋体" w:eastAsia="宋体" w:cs="宋体"/>
                <w:color w:val="auto"/>
                <w:sz w:val="21"/>
                <w:szCs w:val="21"/>
                <w:highlight w:val="none"/>
              </w:rPr>
            </w:pPr>
          </w:p>
        </w:tc>
        <w:tc>
          <w:tcPr>
            <w:tcW w:w="1283" w:type="dxa"/>
            <w:vAlign w:val="center"/>
          </w:tcPr>
          <w:p w14:paraId="58044B96">
            <w:pPr>
              <w:rPr>
                <w:rFonts w:hint="eastAsia" w:ascii="宋体" w:hAnsi="宋体" w:eastAsia="宋体" w:cs="宋体"/>
                <w:color w:val="auto"/>
                <w:sz w:val="21"/>
                <w:szCs w:val="21"/>
                <w:highlight w:val="none"/>
              </w:rPr>
            </w:pPr>
          </w:p>
        </w:tc>
        <w:tc>
          <w:tcPr>
            <w:tcW w:w="1368" w:type="dxa"/>
            <w:vAlign w:val="center"/>
          </w:tcPr>
          <w:p w14:paraId="10BAB04D">
            <w:pPr>
              <w:rPr>
                <w:rFonts w:hint="eastAsia" w:ascii="宋体" w:hAnsi="宋体" w:eastAsia="宋体" w:cs="宋体"/>
                <w:color w:val="auto"/>
                <w:sz w:val="21"/>
                <w:szCs w:val="21"/>
                <w:highlight w:val="none"/>
              </w:rPr>
            </w:pPr>
          </w:p>
        </w:tc>
        <w:tc>
          <w:tcPr>
            <w:tcW w:w="960" w:type="dxa"/>
            <w:vAlign w:val="center"/>
          </w:tcPr>
          <w:p w14:paraId="38FE3D5D">
            <w:pPr>
              <w:rPr>
                <w:rFonts w:hint="eastAsia" w:ascii="宋体" w:hAnsi="宋体" w:eastAsia="宋体" w:cs="宋体"/>
                <w:color w:val="auto"/>
                <w:sz w:val="21"/>
                <w:szCs w:val="21"/>
                <w:highlight w:val="none"/>
              </w:rPr>
            </w:pPr>
          </w:p>
        </w:tc>
        <w:tc>
          <w:tcPr>
            <w:tcW w:w="1176" w:type="dxa"/>
            <w:vAlign w:val="center"/>
          </w:tcPr>
          <w:p w14:paraId="048AC4DE">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129" w:type="dxa"/>
            <w:vAlign w:val="center"/>
          </w:tcPr>
          <w:p w14:paraId="502FE2B6">
            <w:pPr>
              <w:rPr>
                <w:rFonts w:hint="eastAsia" w:ascii="宋体" w:hAnsi="宋体" w:eastAsia="宋体" w:cs="宋体"/>
                <w:color w:val="auto"/>
                <w:sz w:val="21"/>
                <w:szCs w:val="21"/>
                <w:highlight w:val="none"/>
              </w:rPr>
            </w:pPr>
          </w:p>
        </w:tc>
        <w:tc>
          <w:tcPr>
            <w:tcW w:w="1283" w:type="dxa"/>
            <w:vAlign w:val="center"/>
          </w:tcPr>
          <w:p w14:paraId="44F7BE63">
            <w:pPr>
              <w:rPr>
                <w:rFonts w:hint="eastAsia" w:ascii="宋体" w:hAnsi="宋体" w:eastAsia="宋体" w:cs="宋体"/>
                <w:color w:val="auto"/>
                <w:sz w:val="21"/>
                <w:szCs w:val="21"/>
                <w:highlight w:val="none"/>
              </w:rPr>
            </w:pPr>
          </w:p>
        </w:tc>
        <w:tc>
          <w:tcPr>
            <w:tcW w:w="1368" w:type="dxa"/>
            <w:vAlign w:val="center"/>
          </w:tcPr>
          <w:p w14:paraId="463BDC1B">
            <w:pPr>
              <w:rPr>
                <w:rFonts w:hint="eastAsia" w:ascii="宋体" w:hAnsi="宋体" w:eastAsia="宋体" w:cs="宋体"/>
                <w:color w:val="auto"/>
                <w:sz w:val="21"/>
                <w:szCs w:val="21"/>
                <w:highlight w:val="none"/>
              </w:rPr>
            </w:pPr>
          </w:p>
        </w:tc>
        <w:tc>
          <w:tcPr>
            <w:tcW w:w="960" w:type="dxa"/>
            <w:vAlign w:val="center"/>
          </w:tcPr>
          <w:p w14:paraId="5208210B">
            <w:pPr>
              <w:rPr>
                <w:rFonts w:hint="eastAsia" w:ascii="宋体" w:hAnsi="宋体" w:eastAsia="宋体" w:cs="宋体"/>
                <w:color w:val="auto"/>
                <w:sz w:val="21"/>
                <w:szCs w:val="21"/>
                <w:highlight w:val="none"/>
              </w:rPr>
            </w:pPr>
          </w:p>
        </w:tc>
        <w:tc>
          <w:tcPr>
            <w:tcW w:w="1176"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129" w:type="dxa"/>
            <w:vAlign w:val="center"/>
          </w:tcPr>
          <w:p w14:paraId="0BFD5658">
            <w:pPr>
              <w:rPr>
                <w:rFonts w:hint="eastAsia" w:ascii="宋体" w:hAnsi="宋体" w:eastAsia="宋体" w:cs="宋体"/>
                <w:color w:val="auto"/>
                <w:sz w:val="21"/>
                <w:szCs w:val="21"/>
                <w:highlight w:val="none"/>
              </w:rPr>
            </w:pPr>
          </w:p>
        </w:tc>
        <w:tc>
          <w:tcPr>
            <w:tcW w:w="1283" w:type="dxa"/>
            <w:vAlign w:val="center"/>
          </w:tcPr>
          <w:p w14:paraId="56955758">
            <w:pPr>
              <w:rPr>
                <w:rFonts w:hint="eastAsia" w:ascii="宋体" w:hAnsi="宋体" w:eastAsia="宋体" w:cs="宋体"/>
                <w:color w:val="auto"/>
                <w:sz w:val="21"/>
                <w:szCs w:val="21"/>
                <w:highlight w:val="none"/>
              </w:rPr>
            </w:pPr>
          </w:p>
        </w:tc>
        <w:tc>
          <w:tcPr>
            <w:tcW w:w="1368" w:type="dxa"/>
            <w:vAlign w:val="center"/>
          </w:tcPr>
          <w:p w14:paraId="6AF4F252">
            <w:pPr>
              <w:rPr>
                <w:rFonts w:hint="eastAsia" w:ascii="宋体" w:hAnsi="宋体" w:eastAsia="宋体" w:cs="宋体"/>
                <w:color w:val="auto"/>
                <w:sz w:val="21"/>
                <w:szCs w:val="21"/>
                <w:highlight w:val="none"/>
              </w:rPr>
            </w:pPr>
          </w:p>
        </w:tc>
        <w:tc>
          <w:tcPr>
            <w:tcW w:w="960" w:type="dxa"/>
            <w:vAlign w:val="center"/>
          </w:tcPr>
          <w:p w14:paraId="0E461DD3">
            <w:pPr>
              <w:rPr>
                <w:rFonts w:hint="eastAsia" w:ascii="宋体" w:hAnsi="宋体" w:eastAsia="宋体" w:cs="宋体"/>
                <w:color w:val="auto"/>
                <w:sz w:val="21"/>
                <w:szCs w:val="21"/>
                <w:highlight w:val="none"/>
              </w:rPr>
            </w:pPr>
          </w:p>
        </w:tc>
        <w:tc>
          <w:tcPr>
            <w:tcW w:w="1176" w:type="dxa"/>
            <w:vAlign w:val="center"/>
          </w:tcPr>
          <w:p w14:paraId="5804A0BF">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30E7C832">
            <w:pPr>
              <w:rPr>
                <w:rFonts w:hint="eastAsia" w:ascii="宋体" w:hAnsi="宋体" w:eastAsia="宋体" w:cs="宋体"/>
                <w:color w:val="auto"/>
                <w:sz w:val="21"/>
                <w:szCs w:val="21"/>
                <w:highlight w:val="none"/>
              </w:rPr>
            </w:pPr>
          </w:p>
        </w:tc>
        <w:tc>
          <w:tcPr>
            <w:tcW w:w="1248" w:type="dxa"/>
            <w:vAlign w:val="center"/>
          </w:tcPr>
          <w:p w14:paraId="147B2F98">
            <w:pPr>
              <w:rPr>
                <w:rFonts w:hint="eastAsia" w:ascii="宋体" w:hAnsi="宋体" w:eastAsia="宋体" w:cs="宋体"/>
                <w:color w:val="auto"/>
                <w:sz w:val="21"/>
                <w:szCs w:val="21"/>
                <w:highlight w:val="none"/>
              </w:rPr>
            </w:pPr>
          </w:p>
        </w:tc>
        <w:tc>
          <w:tcPr>
            <w:tcW w:w="1129" w:type="dxa"/>
            <w:vAlign w:val="center"/>
          </w:tcPr>
          <w:p w14:paraId="61B0E0D4">
            <w:pPr>
              <w:rPr>
                <w:rFonts w:hint="eastAsia" w:ascii="宋体" w:hAnsi="宋体" w:eastAsia="宋体" w:cs="宋体"/>
                <w:color w:val="auto"/>
                <w:sz w:val="21"/>
                <w:szCs w:val="21"/>
                <w:highlight w:val="none"/>
              </w:rPr>
            </w:pPr>
          </w:p>
        </w:tc>
        <w:tc>
          <w:tcPr>
            <w:tcW w:w="1283" w:type="dxa"/>
            <w:vAlign w:val="center"/>
          </w:tcPr>
          <w:p w14:paraId="6B918799">
            <w:pPr>
              <w:rPr>
                <w:rFonts w:hint="eastAsia" w:ascii="宋体" w:hAnsi="宋体" w:eastAsia="宋体" w:cs="宋体"/>
                <w:color w:val="auto"/>
                <w:sz w:val="21"/>
                <w:szCs w:val="21"/>
                <w:highlight w:val="none"/>
              </w:rPr>
            </w:pPr>
          </w:p>
        </w:tc>
        <w:tc>
          <w:tcPr>
            <w:tcW w:w="1368" w:type="dxa"/>
            <w:vAlign w:val="center"/>
          </w:tcPr>
          <w:p w14:paraId="1BCEEA1A">
            <w:pPr>
              <w:rPr>
                <w:rFonts w:hint="eastAsia" w:ascii="宋体" w:hAnsi="宋体" w:eastAsia="宋体" w:cs="宋体"/>
                <w:color w:val="auto"/>
                <w:sz w:val="21"/>
                <w:szCs w:val="21"/>
                <w:highlight w:val="none"/>
              </w:rPr>
            </w:pPr>
          </w:p>
        </w:tc>
        <w:tc>
          <w:tcPr>
            <w:tcW w:w="960" w:type="dxa"/>
            <w:vAlign w:val="center"/>
          </w:tcPr>
          <w:p w14:paraId="4A3F6BEC">
            <w:pPr>
              <w:rPr>
                <w:rFonts w:hint="eastAsia" w:ascii="宋体" w:hAnsi="宋体" w:eastAsia="宋体" w:cs="宋体"/>
                <w:color w:val="auto"/>
                <w:sz w:val="21"/>
                <w:szCs w:val="21"/>
                <w:highlight w:val="none"/>
              </w:rPr>
            </w:pPr>
          </w:p>
        </w:tc>
        <w:tc>
          <w:tcPr>
            <w:tcW w:w="1176" w:type="dxa"/>
            <w:vAlign w:val="center"/>
          </w:tcPr>
          <w:p w14:paraId="459FE74C">
            <w:pPr>
              <w:rPr>
                <w:rFonts w:hint="eastAsia" w:ascii="宋体" w:hAnsi="宋体" w:eastAsia="宋体" w:cs="宋体"/>
                <w:color w:val="auto"/>
                <w:sz w:val="21"/>
                <w:szCs w:val="21"/>
                <w:highlight w:val="none"/>
              </w:rPr>
            </w:pPr>
          </w:p>
        </w:tc>
      </w:tr>
      <w:bookmarkEnd w:id="866"/>
    </w:tbl>
    <w:p w14:paraId="0D2F5038">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7D75AD1">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867" w:name="_Toc13134"/>
      <w:r>
        <w:rPr>
          <w:rFonts w:hint="eastAsia" w:cstheme="majorBidi"/>
          <w:b/>
          <w:bCs/>
          <w:color w:val="auto"/>
          <w:kern w:val="2"/>
          <w:sz w:val="32"/>
          <w:szCs w:val="32"/>
          <w:highlight w:val="none"/>
          <w:lang w:val="en-US" w:eastAsia="zh-CN" w:bidi="ar-SA"/>
        </w:rPr>
        <w:t>十四</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867"/>
    </w:p>
    <w:tbl>
      <w:tblPr>
        <w:tblStyle w:val="3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1"/>
              <w:jc w:val="center"/>
              <w:rPr>
                <w:rFonts w:hint="eastAsia" w:ascii="宋体" w:hAnsi="宋体" w:eastAsia="宋体" w:cs="宋体"/>
                <w:color w:val="auto"/>
                <w:sz w:val="21"/>
                <w:szCs w:val="21"/>
                <w:highlight w:val="none"/>
              </w:rPr>
            </w:pPr>
            <w:bookmarkStart w:id="868" w:name="_Toc99533292"/>
            <w:bookmarkStart w:id="869" w:name="_Toc100090784"/>
            <w:r>
              <w:rPr>
                <w:rFonts w:hint="eastAsia" w:ascii="宋体" w:hAnsi="宋体" w:eastAsia="宋体" w:cs="宋体"/>
                <w:color w:val="auto"/>
                <w:sz w:val="21"/>
                <w:szCs w:val="21"/>
                <w:highlight w:val="none"/>
              </w:rPr>
              <w:t>1</w:t>
            </w:r>
            <w:bookmarkEnd w:id="868"/>
            <w:bookmarkEnd w:id="869"/>
          </w:p>
        </w:tc>
        <w:tc>
          <w:tcPr>
            <w:tcW w:w="1267" w:type="dxa"/>
            <w:vAlign w:val="center"/>
          </w:tcPr>
          <w:p w14:paraId="04D72608">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1"/>
              <w:jc w:val="center"/>
              <w:rPr>
                <w:rFonts w:hint="eastAsia" w:ascii="宋体" w:hAnsi="宋体" w:eastAsia="宋体" w:cs="宋体"/>
                <w:color w:val="auto"/>
                <w:sz w:val="21"/>
                <w:szCs w:val="21"/>
                <w:highlight w:val="none"/>
              </w:rPr>
            </w:pPr>
          </w:p>
        </w:tc>
        <w:tc>
          <w:tcPr>
            <w:tcW w:w="1860" w:type="dxa"/>
            <w:vAlign w:val="center"/>
          </w:tcPr>
          <w:p w14:paraId="7F355EC3">
            <w:pPr>
              <w:pStyle w:val="51"/>
              <w:jc w:val="center"/>
              <w:rPr>
                <w:rFonts w:hint="eastAsia" w:ascii="宋体" w:hAnsi="宋体" w:eastAsia="宋体" w:cs="宋体"/>
                <w:color w:val="auto"/>
                <w:sz w:val="21"/>
                <w:szCs w:val="21"/>
                <w:highlight w:val="none"/>
              </w:rPr>
            </w:pPr>
          </w:p>
        </w:tc>
        <w:tc>
          <w:tcPr>
            <w:tcW w:w="1356" w:type="dxa"/>
            <w:vAlign w:val="center"/>
          </w:tcPr>
          <w:p w14:paraId="11476DCE">
            <w:pPr>
              <w:pStyle w:val="51"/>
              <w:jc w:val="center"/>
              <w:rPr>
                <w:rFonts w:hint="eastAsia" w:ascii="宋体" w:hAnsi="宋体" w:eastAsia="宋体" w:cs="宋体"/>
                <w:color w:val="auto"/>
                <w:sz w:val="21"/>
                <w:szCs w:val="21"/>
                <w:highlight w:val="none"/>
              </w:rPr>
            </w:pPr>
          </w:p>
        </w:tc>
        <w:tc>
          <w:tcPr>
            <w:tcW w:w="816" w:type="dxa"/>
            <w:vAlign w:val="center"/>
          </w:tcPr>
          <w:p w14:paraId="30F5864D">
            <w:pPr>
              <w:pStyle w:val="51"/>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1"/>
              <w:jc w:val="center"/>
              <w:rPr>
                <w:rFonts w:hint="eastAsia" w:ascii="宋体" w:hAnsi="宋体" w:eastAsia="宋体" w:cs="宋体"/>
                <w:color w:val="auto"/>
                <w:sz w:val="21"/>
                <w:szCs w:val="21"/>
                <w:highlight w:val="none"/>
              </w:rPr>
            </w:pPr>
            <w:bookmarkStart w:id="870" w:name="_Toc100090785"/>
            <w:bookmarkStart w:id="871" w:name="_Toc99533293"/>
            <w:r>
              <w:rPr>
                <w:rFonts w:hint="eastAsia" w:ascii="宋体" w:hAnsi="宋体" w:eastAsia="宋体" w:cs="宋体"/>
                <w:color w:val="auto"/>
                <w:sz w:val="21"/>
                <w:szCs w:val="21"/>
                <w:highlight w:val="none"/>
              </w:rPr>
              <w:t>2</w:t>
            </w:r>
            <w:bookmarkEnd w:id="870"/>
            <w:bookmarkEnd w:id="871"/>
          </w:p>
        </w:tc>
        <w:tc>
          <w:tcPr>
            <w:tcW w:w="1267" w:type="dxa"/>
            <w:vAlign w:val="center"/>
          </w:tcPr>
          <w:p w14:paraId="3AE14FF6">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1"/>
              <w:jc w:val="center"/>
              <w:rPr>
                <w:rFonts w:hint="eastAsia" w:ascii="宋体" w:hAnsi="宋体" w:eastAsia="宋体" w:cs="宋体"/>
                <w:color w:val="auto"/>
                <w:sz w:val="21"/>
                <w:szCs w:val="21"/>
                <w:highlight w:val="none"/>
              </w:rPr>
            </w:pPr>
          </w:p>
        </w:tc>
        <w:tc>
          <w:tcPr>
            <w:tcW w:w="1860" w:type="dxa"/>
            <w:vAlign w:val="center"/>
          </w:tcPr>
          <w:p w14:paraId="390E678F">
            <w:pPr>
              <w:pStyle w:val="51"/>
              <w:jc w:val="center"/>
              <w:rPr>
                <w:rFonts w:hint="eastAsia" w:ascii="宋体" w:hAnsi="宋体" w:eastAsia="宋体" w:cs="宋体"/>
                <w:color w:val="auto"/>
                <w:sz w:val="21"/>
                <w:szCs w:val="21"/>
                <w:highlight w:val="none"/>
              </w:rPr>
            </w:pPr>
          </w:p>
        </w:tc>
        <w:tc>
          <w:tcPr>
            <w:tcW w:w="1356" w:type="dxa"/>
            <w:vAlign w:val="center"/>
          </w:tcPr>
          <w:p w14:paraId="44B4146B">
            <w:pPr>
              <w:pStyle w:val="51"/>
              <w:jc w:val="center"/>
              <w:rPr>
                <w:rFonts w:hint="eastAsia" w:ascii="宋体" w:hAnsi="宋体" w:eastAsia="宋体" w:cs="宋体"/>
                <w:color w:val="auto"/>
                <w:sz w:val="21"/>
                <w:szCs w:val="21"/>
                <w:highlight w:val="none"/>
              </w:rPr>
            </w:pPr>
          </w:p>
        </w:tc>
        <w:tc>
          <w:tcPr>
            <w:tcW w:w="816" w:type="dxa"/>
            <w:vAlign w:val="center"/>
          </w:tcPr>
          <w:p w14:paraId="3D8C0BFB">
            <w:pPr>
              <w:pStyle w:val="51"/>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1"/>
              <w:jc w:val="center"/>
              <w:rPr>
                <w:rFonts w:hint="eastAsia" w:ascii="宋体" w:hAnsi="宋体" w:eastAsia="宋体" w:cs="宋体"/>
                <w:color w:val="auto"/>
                <w:sz w:val="21"/>
                <w:szCs w:val="21"/>
                <w:highlight w:val="none"/>
              </w:rPr>
            </w:pPr>
            <w:bookmarkStart w:id="872" w:name="_Toc99533294"/>
            <w:bookmarkStart w:id="873" w:name="_Toc100090786"/>
            <w:r>
              <w:rPr>
                <w:rFonts w:hint="eastAsia" w:ascii="宋体" w:hAnsi="宋体" w:eastAsia="宋体" w:cs="宋体"/>
                <w:color w:val="auto"/>
                <w:sz w:val="21"/>
                <w:szCs w:val="21"/>
                <w:highlight w:val="none"/>
              </w:rPr>
              <w:t>3</w:t>
            </w:r>
            <w:bookmarkEnd w:id="872"/>
            <w:bookmarkEnd w:id="873"/>
          </w:p>
        </w:tc>
        <w:tc>
          <w:tcPr>
            <w:tcW w:w="1267" w:type="dxa"/>
            <w:vAlign w:val="center"/>
          </w:tcPr>
          <w:p w14:paraId="19C12411">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1"/>
              <w:jc w:val="center"/>
              <w:rPr>
                <w:rFonts w:hint="eastAsia" w:ascii="宋体" w:hAnsi="宋体" w:eastAsia="宋体" w:cs="宋体"/>
                <w:color w:val="auto"/>
                <w:sz w:val="21"/>
                <w:szCs w:val="21"/>
                <w:highlight w:val="none"/>
              </w:rPr>
            </w:pPr>
          </w:p>
        </w:tc>
        <w:tc>
          <w:tcPr>
            <w:tcW w:w="1860" w:type="dxa"/>
            <w:vAlign w:val="center"/>
          </w:tcPr>
          <w:p w14:paraId="3F31D2CD">
            <w:pPr>
              <w:pStyle w:val="51"/>
              <w:jc w:val="center"/>
              <w:rPr>
                <w:rFonts w:hint="eastAsia" w:ascii="宋体" w:hAnsi="宋体" w:eastAsia="宋体" w:cs="宋体"/>
                <w:color w:val="auto"/>
                <w:sz w:val="21"/>
                <w:szCs w:val="21"/>
                <w:highlight w:val="none"/>
              </w:rPr>
            </w:pPr>
          </w:p>
        </w:tc>
        <w:tc>
          <w:tcPr>
            <w:tcW w:w="1356" w:type="dxa"/>
            <w:vAlign w:val="center"/>
          </w:tcPr>
          <w:p w14:paraId="3A9D9DD7">
            <w:pPr>
              <w:pStyle w:val="51"/>
              <w:jc w:val="center"/>
              <w:rPr>
                <w:rFonts w:hint="eastAsia" w:ascii="宋体" w:hAnsi="宋体" w:eastAsia="宋体" w:cs="宋体"/>
                <w:color w:val="auto"/>
                <w:sz w:val="21"/>
                <w:szCs w:val="21"/>
                <w:highlight w:val="none"/>
              </w:rPr>
            </w:pPr>
          </w:p>
        </w:tc>
        <w:tc>
          <w:tcPr>
            <w:tcW w:w="816" w:type="dxa"/>
            <w:vAlign w:val="center"/>
          </w:tcPr>
          <w:p w14:paraId="0ED9D4FB">
            <w:pPr>
              <w:pStyle w:val="51"/>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1"/>
              <w:jc w:val="center"/>
              <w:rPr>
                <w:rFonts w:hint="eastAsia" w:ascii="宋体" w:hAnsi="宋体" w:eastAsia="宋体" w:cs="宋体"/>
                <w:color w:val="auto"/>
                <w:sz w:val="21"/>
                <w:szCs w:val="21"/>
                <w:highlight w:val="none"/>
              </w:rPr>
            </w:pPr>
            <w:bookmarkStart w:id="874" w:name="_Toc99533295"/>
            <w:bookmarkStart w:id="875" w:name="_Toc100090787"/>
            <w:r>
              <w:rPr>
                <w:rFonts w:hint="eastAsia" w:ascii="宋体" w:hAnsi="宋体" w:eastAsia="宋体" w:cs="宋体"/>
                <w:color w:val="auto"/>
                <w:sz w:val="21"/>
                <w:szCs w:val="21"/>
                <w:highlight w:val="none"/>
              </w:rPr>
              <w:t>4</w:t>
            </w:r>
            <w:bookmarkEnd w:id="874"/>
            <w:bookmarkEnd w:id="875"/>
          </w:p>
        </w:tc>
        <w:tc>
          <w:tcPr>
            <w:tcW w:w="1267" w:type="dxa"/>
            <w:vAlign w:val="center"/>
          </w:tcPr>
          <w:p w14:paraId="42DE0F63">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1"/>
              <w:jc w:val="center"/>
              <w:rPr>
                <w:rFonts w:hint="eastAsia" w:ascii="宋体" w:hAnsi="宋体" w:eastAsia="宋体" w:cs="宋体"/>
                <w:color w:val="auto"/>
                <w:sz w:val="21"/>
                <w:szCs w:val="21"/>
                <w:highlight w:val="none"/>
              </w:rPr>
            </w:pPr>
          </w:p>
        </w:tc>
        <w:tc>
          <w:tcPr>
            <w:tcW w:w="1860" w:type="dxa"/>
            <w:vAlign w:val="center"/>
          </w:tcPr>
          <w:p w14:paraId="068007BF">
            <w:pPr>
              <w:pStyle w:val="51"/>
              <w:jc w:val="center"/>
              <w:rPr>
                <w:rFonts w:hint="eastAsia" w:ascii="宋体" w:hAnsi="宋体" w:eastAsia="宋体" w:cs="宋体"/>
                <w:color w:val="auto"/>
                <w:sz w:val="21"/>
                <w:szCs w:val="21"/>
                <w:highlight w:val="none"/>
              </w:rPr>
            </w:pPr>
          </w:p>
        </w:tc>
        <w:tc>
          <w:tcPr>
            <w:tcW w:w="1356" w:type="dxa"/>
            <w:vAlign w:val="center"/>
          </w:tcPr>
          <w:p w14:paraId="5A94DC72">
            <w:pPr>
              <w:pStyle w:val="51"/>
              <w:jc w:val="center"/>
              <w:rPr>
                <w:rFonts w:hint="eastAsia" w:ascii="宋体" w:hAnsi="宋体" w:eastAsia="宋体" w:cs="宋体"/>
                <w:color w:val="auto"/>
                <w:sz w:val="21"/>
                <w:szCs w:val="21"/>
                <w:highlight w:val="none"/>
              </w:rPr>
            </w:pPr>
          </w:p>
        </w:tc>
        <w:tc>
          <w:tcPr>
            <w:tcW w:w="816" w:type="dxa"/>
            <w:vAlign w:val="center"/>
          </w:tcPr>
          <w:p w14:paraId="01F1E6DB">
            <w:pPr>
              <w:pStyle w:val="51"/>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1"/>
              <w:jc w:val="center"/>
              <w:rPr>
                <w:rFonts w:hint="eastAsia" w:ascii="宋体" w:hAnsi="宋体" w:eastAsia="宋体" w:cs="宋体"/>
                <w:color w:val="auto"/>
                <w:sz w:val="21"/>
                <w:szCs w:val="21"/>
                <w:highlight w:val="none"/>
              </w:rPr>
            </w:pPr>
            <w:bookmarkStart w:id="876" w:name="_Toc100090788"/>
            <w:bookmarkStart w:id="877" w:name="_Toc99533296"/>
            <w:r>
              <w:rPr>
                <w:rFonts w:hint="eastAsia" w:ascii="宋体" w:hAnsi="宋体" w:eastAsia="宋体" w:cs="宋体"/>
                <w:color w:val="auto"/>
                <w:sz w:val="21"/>
                <w:szCs w:val="21"/>
                <w:highlight w:val="none"/>
              </w:rPr>
              <w:t>5</w:t>
            </w:r>
            <w:bookmarkEnd w:id="876"/>
            <w:bookmarkEnd w:id="877"/>
          </w:p>
        </w:tc>
        <w:tc>
          <w:tcPr>
            <w:tcW w:w="1267" w:type="dxa"/>
            <w:vAlign w:val="center"/>
          </w:tcPr>
          <w:p w14:paraId="3241008C">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1"/>
              <w:jc w:val="center"/>
              <w:rPr>
                <w:rFonts w:hint="eastAsia" w:ascii="宋体" w:hAnsi="宋体" w:eastAsia="宋体" w:cs="宋体"/>
                <w:color w:val="auto"/>
                <w:sz w:val="21"/>
                <w:szCs w:val="21"/>
                <w:highlight w:val="none"/>
              </w:rPr>
            </w:pPr>
          </w:p>
        </w:tc>
        <w:tc>
          <w:tcPr>
            <w:tcW w:w="1860" w:type="dxa"/>
            <w:vAlign w:val="center"/>
          </w:tcPr>
          <w:p w14:paraId="12AB49C0">
            <w:pPr>
              <w:pStyle w:val="51"/>
              <w:jc w:val="center"/>
              <w:rPr>
                <w:rFonts w:hint="eastAsia" w:ascii="宋体" w:hAnsi="宋体" w:eastAsia="宋体" w:cs="宋体"/>
                <w:color w:val="auto"/>
                <w:sz w:val="21"/>
                <w:szCs w:val="21"/>
                <w:highlight w:val="none"/>
              </w:rPr>
            </w:pPr>
          </w:p>
        </w:tc>
        <w:tc>
          <w:tcPr>
            <w:tcW w:w="1356" w:type="dxa"/>
            <w:vAlign w:val="center"/>
          </w:tcPr>
          <w:p w14:paraId="1659A511">
            <w:pPr>
              <w:pStyle w:val="51"/>
              <w:jc w:val="center"/>
              <w:rPr>
                <w:rFonts w:hint="eastAsia" w:ascii="宋体" w:hAnsi="宋体" w:eastAsia="宋体" w:cs="宋体"/>
                <w:color w:val="auto"/>
                <w:sz w:val="21"/>
                <w:szCs w:val="21"/>
                <w:highlight w:val="none"/>
              </w:rPr>
            </w:pPr>
          </w:p>
        </w:tc>
        <w:tc>
          <w:tcPr>
            <w:tcW w:w="816" w:type="dxa"/>
            <w:vAlign w:val="center"/>
          </w:tcPr>
          <w:p w14:paraId="5FBE7410">
            <w:pPr>
              <w:pStyle w:val="51"/>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1"/>
              <w:jc w:val="center"/>
              <w:rPr>
                <w:rFonts w:hint="eastAsia" w:ascii="宋体" w:hAnsi="宋体" w:eastAsia="宋体" w:cs="宋体"/>
                <w:color w:val="auto"/>
                <w:sz w:val="21"/>
                <w:szCs w:val="21"/>
                <w:highlight w:val="none"/>
              </w:rPr>
            </w:pPr>
            <w:bookmarkStart w:id="878" w:name="_Toc100090789"/>
            <w:bookmarkStart w:id="879" w:name="_Toc99533297"/>
            <w:r>
              <w:rPr>
                <w:rFonts w:hint="eastAsia" w:ascii="宋体" w:hAnsi="宋体" w:eastAsia="宋体" w:cs="宋体"/>
                <w:color w:val="auto"/>
                <w:sz w:val="21"/>
                <w:szCs w:val="21"/>
                <w:highlight w:val="none"/>
              </w:rPr>
              <w:t>6</w:t>
            </w:r>
            <w:bookmarkEnd w:id="878"/>
            <w:bookmarkEnd w:id="879"/>
          </w:p>
        </w:tc>
        <w:tc>
          <w:tcPr>
            <w:tcW w:w="1267" w:type="dxa"/>
            <w:vAlign w:val="center"/>
          </w:tcPr>
          <w:p w14:paraId="40527E11">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1"/>
              <w:jc w:val="center"/>
              <w:rPr>
                <w:rFonts w:hint="eastAsia" w:ascii="宋体" w:hAnsi="宋体" w:eastAsia="宋体" w:cs="宋体"/>
                <w:color w:val="auto"/>
                <w:sz w:val="21"/>
                <w:szCs w:val="21"/>
                <w:highlight w:val="none"/>
              </w:rPr>
            </w:pPr>
          </w:p>
        </w:tc>
        <w:tc>
          <w:tcPr>
            <w:tcW w:w="1860" w:type="dxa"/>
            <w:vAlign w:val="center"/>
          </w:tcPr>
          <w:p w14:paraId="51ADEB68">
            <w:pPr>
              <w:pStyle w:val="51"/>
              <w:jc w:val="center"/>
              <w:rPr>
                <w:rFonts w:hint="eastAsia" w:ascii="宋体" w:hAnsi="宋体" w:eastAsia="宋体" w:cs="宋体"/>
                <w:color w:val="auto"/>
                <w:sz w:val="21"/>
                <w:szCs w:val="21"/>
                <w:highlight w:val="none"/>
              </w:rPr>
            </w:pPr>
          </w:p>
        </w:tc>
        <w:tc>
          <w:tcPr>
            <w:tcW w:w="1356" w:type="dxa"/>
            <w:vAlign w:val="center"/>
          </w:tcPr>
          <w:p w14:paraId="1CED2476">
            <w:pPr>
              <w:pStyle w:val="51"/>
              <w:jc w:val="center"/>
              <w:rPr>
                <w:rFonts w:hint="eastAsia" w:ascii="宋体" w:hAnsi="宋体" w:eastAsia="宋体" w:cs="宋体"/>
                <w:color w:val="auto"/>
                <w:sz w:val="21"/>
                <w:szCs w:val="21"/>
                <w:highlight w:val="none"/>
              </w:rPr>
            </w:pPr>
          </w:p>
        </w:tc>
        <w:tc>
          <w:tcPr>
            <w:tcW w:w="816" w:type="dxa"/>
            <w:vAlign w:val="center"/>
          </w:tcPr>
          <w:p w14:paraId="4EF8AB8A">
            <w:pPr>
              <w:pStyle w:val="51"/>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1"/>
              <w:jc w:val="center"/>
              <w:rPr>
                <w:rFonts w:hint="eastAsia" w:ascii="宋体" w:hAnsi="宋体" w:eastAsia="宋体" w:cs="宋体"/>
                <w:color w:val="auto"/>
                <w:sz w:val="21"/>
                <w:szCs w:val="21"/>
                <w:highlight w:val="none"/>
              </w:rPr>
            </w:pPr>
            <w:bookmarkStart w:id="880" w:name="_Toc99533298"/>
            <w:bookmarkStart w:id="881" w:name="_Toc100090790"/>
            <w:r>
              <w:rPr>
                <w:rFonts w:hint="eastAsia" w:ascii="宋体" w:hAnsi="宋体" w:eastAsia="宋体" w:cs="宋体"/>
                <w:color w:val="auto"/>
                <w:sz w:val="21"/>
                <w:szCs w:val="21"/>
                <w:highlight w:val="none"/>
              </w:rPr>
              <w:t>7</w:t>
            </w:r>
            <w:bookmarkEnd w:id="880"/>
            <w:bookmarkEnd w:id="881"/>
          </w:p>
        </w:tc>
        <w:tc>
          <w:tcPr>
            <w:tcW w:w="1267" w:type="dxa"/>
            <w:vAlign w:val="center"/>
          </w:tcPr>
          <w:p w14:paraId="3F3B684D">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1"/>
              <w:jc w:val="center"/>
              <w:rPr>
                <w:rFonts w:hint="eastAsia" w:ascii="宋体" w:hAnsi="宋体" w:eastAsia="宋体" w:cs="宋体"/>
                <w:color w:val="auto"/>
                <w:sz w:val="21"/>
                <w:szCs w:val="21"/>
                <w:highlight w:val="none"/>
              </w:rPr>
            </w:pPr>
          </w:p>
        </w:tc>
        <w:tc>
          <w:tcPr>
            <w:tcW w:w="1860" w:type="dxa"/>
            <w:vAlign w:val="center"/>
          </w:tcPr>
          <w:p w14:paraId="7E9B2A2D">
            <w:pPr>
              <w:pStyle w:val="51"/>
              <w:jc w:val="center"/>
              <w:rPr>
                <w:rFonts w:hint="eastAsia" w:ascii="宋体" w:hAnsi="宋体" w:eastAsia="宋体" w:cs="宋体"/>
                <w:color w:val="auto"/>
                <w:sz w:val="21"/>
                <w:szCs w:val="21"/>
                <w:highlight w:val="none"/>
              </w:rPr>
            </w:pPr>
          </w:p>
        </w:tc>
        <w:tc>
          <w:tcPr>
            <w:tcW w:w="1356" w:type="dxa"/>
            <w:vAlign w:val="center"/>
          </w:tcPr>
          <w:p w14:paraId="4A11C356">
            <w:pPr>
              <w:pStyle w:val="51"/>
              <w:jc w:val="center"/>
              <w:rPr>
                <w:rFonts w:hint="eastAsia" w:ascii="宋体" w:hAnsi="宋体" w:eastAsia="宋体" w:cs="宋体"/>
                <w:color w:val="auto"/>
                <w:sz w:val="21"/>
                <w:szCs w:val="21"/>
                <w:highlight w:val="none"/>
              </w:rPr>
            </w:pPr>
          </w:p>
        </w:tc>
        <w:tc>
          <w:tcPr>
            <w:tcW w:w="816" w:type="dxa"/>
            <w:vAlign w:val="center"/>
          </w:tcPr>
          <w:p w14:paraId="718DD530">
            <w:pPr>
              <w:pStyle w:val="51"/>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1"/>
              <w:jc w:val="center"/>
              <w:rPr>
                <w:rFonts w:hint="eastAsia" w:ascii="宋体" w:hAnsi="宋体" w:eastAsia="宋体" w:cs="宋体"/>
                <w:color w:val="auto"/>
                <w:sz w:val="21"/>
                <w:szCs w:val="21"/>
                <w:highlight w:val="none"/>
              </w:rPr>
            </w:pPr>
            <w:bookmarkStart w:id="882" w:name="_Toc99533299"/>
            <w:bookmarkStart w:id="883" w:name="_Toc100090791"/>
            <w:r>
              <w:rPr>
                <w:rFonts w:hint="eastAsia" w:ascii="宋体" w:hAnsi="宋体" w:eastAsia="宋体" w:cs="宋体"/>
                <w:color w:val="auto"/>
                <w:sz w:val="21"/>
                <w:szCs w:val="21"/>
                <w:highlight w:val="none"/>
              </w:rPr>
              <w:t>8</w:t>
            </w:r>
            <w:bookmarkEnd w:id="882"/>
            <w:bookmarkEnd w:id="883"/>
          </w:p>
        </w:tc>
        <w:tc>
          <w:tcPr>
            <w:tcW w:w="1267" w:type="dxa"/>
            <w:vAlign w:val="center"/>
          </w:tcPr>
          <w:p w14:paraId="20BD29D0">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1"/>
              <w:jc w:val="center"/>
              <w:rPr>
                <w:rFonts w:hint="eastAsia" w:ascii="宋体" w:hAnsi="宋体" w:eastAsia="宋体" w:cs="宋体"/>
                <w:color w:val="auto"/>
                <w:sz w:val="21"/>
                <w:szCs w:val="21"/>
                <w:highlight w:val="none"/>
              </w:rPr>
            </w:pPr>
          </w:p>
        </w:tc>
        <w:tc>
          <w:tcPr>
            <w:tcW w:w="1860" w:type="dxa"/>
            <w:vAlign w:val="center"/>
          </w:tcPr>
          <w:p w14:paraId="292DF220">
            <w:pPr>
              <w:pStyle w:val="51"/>
              <w:jc w:val="center"/>
              <w:rPr>
                <w:rFonts w:hint="eastAsia" w:ascii="宋体" w:hAnsi="宋体" w:eastAsia="宋体" w:cs="宋体"/>
                <w:color w:val="auto"/>
                <w:sz w:val="21"/>
                <w:szCs w:val="21"/>
                <w:highlight w:val="none"/>
              </w:rPr>
            </w:pPr>
          </w:p>
        </w:tc>
        <w:tc>
          <w:tcPr>
            <w:tcW w:w="1356" w:type="dxa"/>
            <w:vAlign w:val="center"/>
          </w:tcPr>
          <w:p w14:paraId="70F58594">
            <w:pPr>
              <w:pStyle w:val="51"/>
              <w:jc w:val="center"/>
              <w:rPr>
                <w:rFonts w:hint="eastAsia" w:ascii="宋体" w:hAnsi="宋体" w:eastAsia="宋体" w:cs="宋体"/>
                <w:color w:val="auto"/>
                <w:sz w:val="21"/>
                <w:szCs w:val="21"/>
                <w:highlight w:val="none"/>
              </w:rPr>
            </w:pPr>
          </w:p>
        </w:tc>
        <w:tc>
          <w:tcPr>
            <w:tcW w:w="816" w:type="dxa"/>
            <w:vAlign w:val="center"/>
          </w:tcPr>
          <w:p w14:paraId="247AF589">
            <w:pPr>
              <w:pStyle w:val="51"/>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1"/>
              <w:jc w:val="center"/>
              <w:rPr>
                <w:rFonts w:hint="eastAsia" w:ascii="宋体" w:hAnsi="宋体" w:eastAsia="宋体" w:cs="宋体"/>
                <w:color w:val="auto"/>
                <w:sz w:val="21"/>
                <w:szCs w:val="21"/>
                <w:highlight w:val="none"/>
              </w:rPr>
            </w:pPr>
            <w:bookmarkStart w:id="884" w:name="_Toc99533300"/>
            <w:bookmarkStart w:id="885" w:name="_Toc100090792"/>
            <w:r>
              <w:rPr>
                <w:rFonts w:hint="eastAsia" w:ascii="宋体" w:hAnsi="宋体" w:eastAsia="宋体" w:cs="宋体"/>
                <w:color w:val="auto"/>
                <w:sz w:val="21"/>
                <w:szCs w:val="21"/>
                <w:highlight w:val="none"/>
              </w:rPr>
              <w:t>9</w:t>
            </w:r>
            <w:bookmarkEnd w:id="884"/>
            <w:bookmarkEnd w:id="885"/>
          </w:p>
        </w:tc>
        <w:tc>
          <w:tcPr>
            <w:tcW w:w="1267" w:type="dxa"/>
            <w:vAlign w:val="center"/>
          </w:tcPr>
          <w:p w14:paraId="6C5090EC">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1"/>
              <w:jc w:val="center"/>
              <w:rPr>
                <w:rFonts w:hint="eastAsia" w:ascii="宋体" w:hAnsi="宋体" w:eastAsia="宋体" w:cs="宋体"/>
                <w:color w:val="auto"/>
                <w:sz w:val="21"/>
                <w:szCs w:val="21"/>
                <w:highlight w:val="none"/>
              </w:rPr>
            </w:pPr>
          </w:p>
        </w:tc>
        <w:tc>
          <w:tcPr>
            <w:tcW w:w="1860" w:type="dxa"/>
            <w:vAlign w:val="center"/>
          </w:tcPr>
          <w:p w14:paraId="337B4053">
            <w:pPr>
              <w:pStyle w:val="51"/>
              <w:jc w:val="center"/>
              <w:rPr>
                <w:rFonts w:hint="eastAsia" w:ascii="宋体" w:hAnsi="宋体" w:eastAsia="宋体" w:cs="宋体"/>
                <w:color w:val="auto"/>
                <w:sz w:val="21"/>
                <w:szCs w:val="21"/>
                <w:highlight w:val="none"/>
              </w:rPr>
            </w:pPr>
          </w:p>
        </w:tc>
        <w:tc>
          <w:tcPr>
            <w:tcW w:w="1356" w:type="dxa"/>
            <w:vAlign w:val="center"/>
          </w:tcPr>
          <w:p w14:paraId="7D6C0C38">
            <w:pPr>
              <w:pStyle w:val="51"/>
              <w:jc w:val="center"/>
              <w:rPr>
                <w:rFonts w:hint="eastAsia" w:ascii="宋体" w:hAnsi="宋体" w:eastAsia="宋体" w:cs="宋体"/>
                <w:color w:val="auto"/>
                <w:sz w:val="21"/>
                <w:szCs w:val="21"/>
                <w:highlight w:val="none"/>
              </w:rPr>
            </w:pPr>
          </w:p>
        </w:tc>
        <w:tc>
          <w:tcPr>
            <w:tcW w:w="816" w:type="dxa"/>
            <w:vAlign w:val="center"/>
          </w:tcPr>
          <w:p w14:paraId="45D99552">
            <w:pPr>
              <w:pStyle w:val="51"/>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1"/>
              <w:jc w:val="center"/>
              <w:rPr>
                <w:rFonts w:hint="eastAsia" w:ascii="宋体" w:hAnsi="宋体" w:eastAsia="宋体" w:cs="宋体"/>
                <w:color w:val="auto"/>
                <w:sz w:val="21"/>
                <w:szCs w:val="21"/>
                <w:highlight w:val="none"/>
              </w:rPr>
            </w:pPr>
            <w:bookmarkStart w:id="886" w:name="_Toc100090793"/>
            <w:bookmarkStart w:id="887" w:name="_Toc99533301"/>
            <w:r>
              <w:rPr>
                <w:rFonts w:hint="eastAsia" w:ascii="宋体" w:hAnsi="宋体" w:eastAsia="宋体" w:cs="宋体"/>
                <w:color w:val="auto"/>
                <w:sz w:val="21"/>
                <w:szCs w:val="21"/>
                <w:highlight w:val="none"/>
              </w:rPr>
              <w:t>10</w:t>
            </w:r>
            <w:bookmarkEnd w:id="886"/>
            <w:bookmarkEnd w:id="887"/>
          </w:p>
        </w:tc>
        <w:tc>
          <w:tcPr>
            <w:tcW w:w="1267" w:type="dxa"/>
            <w:vAlign w:val="center"/>
          </w:tcPr>
          <w:p w14:paraId="0D84E205">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1"/>
              <w:jc w:val="center"/>
              <w:rPr>
                <w:rFonts w:hint="eastAsia" w:ascii="宋体" w:hAnsi="宋体" w:eastAsia="宋体" w:cs="宋体"/>
                <w:color w:val="auto"/>
                <w:sz w:val="21"/>
                <w:szCs w:val="21"/>
                <w:highlight w:val="none"/>
              </w:rPr>
            </w:pPr>
          </w:p>
        </w:tc>
        <w:tc>
          <w:tcPr>
            <w:tcW w:w="1860" w:type="dxa"/>
            <w:vAlign w:val="center"/>
          </w:tcPr>
          <w:p w14:paraId="7790D037">
            <w:pPr>
              <w:pStyle w:val="51"/>
              <w:jc w:val="center"/>
              <w:rPr>
                <w:rFonts w:hint="eastAsia" w:ascii="宋体" w:hAnsi="宋体" w:eastAsia="宋体" w:cs="宋体"/>
                <w:color w:val="auto"/>
                <w:sz w:val="21"/>
                <w:szCs w:val="21"/>
                <w:highlight w:val="none"/>
              </w:rPr>
            </w:pPr>
          </w:p>
        </w:tc>
        <w:tc>
          <w:tcPr>
            <w:tcW w:w="1356" w:type="dxa"/>
            <w:vAlign w:val="center"/>
          </w:tcPr>
          <w:p w14:paraId="7B74B27D">
            <w:pPr>
              <w:pStyle w:val="51"/>
              <w:jc w:val="center"/>
              <w:rPr>
                <w:rFonts w:hint="eastAsia" w:ascii="宋体" w:hAnsi="宋体" w:eastAsia="宋体" w:cs="宋体"/>
                <w:color w:val="auto"/>
                <w:sz w:val="21"/>
                <w:szCs w:val="21"/>
                <w:highlight w:val="none"/>
              </w:rPr>
            </w:pPr>
          </w:p>
        </w:tc>
        <w:tc>
          <w:tcPr>
            <w:tcW w:w="816" w:type="dxa"/>
            <w:vAlign w:val="center"/>
          </w:tcPr>
          <w:p w14:paraId="77E1C162">
            <w:pPr>
              <w:pStyle w:val="51"/>
              <w:jc w:val="center"/>
              <w:rPr>
                <w:rFonts w:hint="eastAsia" w:ascii="宋体" w:hAnsi="宋体" w:eastAsia="宋体" w:cs="宋体"/>
                <w:color w:val="auto"/>
                <w:sz w:val="21"/>
                <w:szCs w:val="21"/>
                <w:highlight w:val="none"/>
              </w:rPr>
            </w:pPr>
          </w:p>
        </w:tc>
      </w:tr>
    </w:tbl>
    <w:p w14:paraId="51ED7B0D">
      <w:pPr>
        <w:rPr>
          <w:color w:val="auto"/>
          <w:highlight w:val="none"/>
        </w:rPr>
      </w:pPr>
      <w:r>
        <w:rPr>
          <w:color w:val="auto"/>
          <w:highlight w:val="none"/>
        </w:rPr>
        <w:br w:type="page"/>
      </w:r>
    </w:p>
    <w:p w14:paraId="1358285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888" w:name="_Toc28083"/>
      <w:r>
        <w:rPr>
          <w:rFonts w:hint="eastAsia" w:cstheme="majorBidi"/>
          <w:b/>
          <w:bCs/>
          <w:color w:val="auto"/>
          <w:kern w:val="2"/>
          <w:sz w:val="32"/>
          <w:szCs w:val="32"/>
          <w:highlight w:val="none"/>
          <w:lang w:val="en-US" w:eastAsia="zh-CN" w:bidi="ar-SA"/>
        </w:rPr>
        <w:t>十五</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888"/>
    </w:p>
    <w:p w14:paraId="7EE50E6A">
      <w:pPr>
        <w:rPr>
          <w:rFonts w:cs="仿宋_GB2312"/>
          <w:color w:val="auto"/>
          <w:szCs w:val="24"/>
          <w:highlight w:val="none"/>
        </w:rPr>
      </w:pPr>
      <w:r>
        <w:rPr>
          <w:rFonts w:hint="eastAsia" w:cs="仿宋_GB2312"/>
          <w:color w:val="auto"/>
          <w:szCs w:val="24"/>
          <w:highlight w:val="none"/>
        </w:rPr>
        <w:t xml:space="preserve">项目名称：                                         </w:t>
      </w:r>
    </w:p>
    <w:p w14:paraId="3BECE8B1">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0FCCCEAC">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5" w:type="pct"/>
            <w:vAlign w:val="center"/>
          </w:tcPr>
          <w:p w14:paraId="3E3F1E7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390C61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466927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C5A608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3F3AE223">
            <w:pPr>
              <w:pStyle w:val="51"/>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681E1A2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3CDA845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753229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1786AA8B">
            <w:pPr>
              <w:pStyle w:val="51"/>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ADFE13">
            <w:pPr>
              <w:pStyle w:val="51"/>
              <w:jc w:val="center"/>
              <w:rPr>
                <w:rFonts w:hint="eastAsia" w:ascii="宋体" w:hAnsi="宋体" w:eastAsia="宋体" w:cs="宋体"/>
                <w:color w:val="auto"/>
                <w:sz w:val="21"/>
                <w:szCs w:val="21"/>
                <w:highlight w:val="none"/>
              </w:rPr>
            </w:pPr>
          </w:p>
        </w:tc>
        <w:tc>
          <w:tcPr>
            <w:tcW w:w="1159" w:type="pct"/>
            <w:vAlign w:val="center"/>
          </w:tcPr>
          <w:p w14:paraId="7EAC22E8">
            <w:pPr>
              <w:pStyle w:val="51"/>
              <w:jc w:val="center"/>
              <w:rPr>
                <w:rFonts w:hint="eastAsia" w:ascii="宋体" w:hAnsi="宋体" w:eastAsia="宋体" w:cs="宋体"/>
                <w:color w:val="auto"/>
                <w:sz w:val="21"/>
                <w:szCs w:val="21"/>
                <w:highlight w:val="none"/>
              </w:rPr>
            </w:pPr>
          </w:p>
        </w:tc>
        <w:tc>
          <w:tcPr>
            <w:tcW w:w="1031" w:type="pct"/>
            <w:vAlign w:val="center"/>
          </w:tcPr>
          <w:p w14:paraId="1261D841">
            <w:pPr>
              <w:pStyle w:val="51"/>
              <w:jc w:val="center"/>
              <w:rPr>
                <w:rFonts w:hint="eastAsia" w:ascii="宋体" w:hAnsi="宋体" w:eastAsia="宋体" w:cs="宋体"/>
                <w:color w:val="auto"/>
                <w:sz w:val="21"/>
                <w:szCs w:val="21"/>
                <w:highlight w:val="none"/>
              </w:rPr>
            </w:pPr>
          </w:p>
        </w:tc>
        <w:tc>
          <w:tcPr>
            <w:tcW w:w="1265" w:type="pct"/>
            <w:vAlign w:val="center"/>
          </w:tcPr>
          <w:p w14:paraId="21AB0CEA">
            <w:pPr>
              <w:pStyle w:val="51"/>
              <w:jc w:val="center"/>
              <w:rPr>
                <w:rFonts w:hint="eastAsia" w:ascii="宋体" w:hAnsi="宋体" w:eastAsia="宋体" w:cs="宋体"/>
                <w:color w:val="auto"/>
                <w:sz w:val="21"/>
                <w:szCs w:val="21"/>
                <w:highlight w:val="none"/>
              </w:rPr>
            </w:pPr>
          </w:p>
        </w:tc>
        <w:tc>
          <w:tcPr>
            <w:tcW w:w="1135" w:type="pct"/>
            <w:vAlign w:val="center"/>
          </w:tcPr>
          <w:p w14:paraId="02205EF5">
            <w:pPr>
              <w:pStyle w:val="51"/>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2615990F">
            <w:pPr>
              <w:pStyle w:val="51"/>
              <w:jc w:val="center"/>
              <w:rPr>
                <w:rFonts w:hint="eastAsia" w:ascii="宋体" w:hAnsi="宋体" w:eastAsia="宋体" w:cs="宋体"/>
                <w:color w:val="auto"/>
                <w:sz w:val="21"/>
                <w:szCs w:val="21"/>
                <w:highlight w:val="none"/>
              </w:rPr>
            </w:pPr>
          </w:p>
        </w:tc>
        <w:tc>
          <w:tcPr>
            <w:tcW w:w="1159" w:type="pct"/>
            <w:vAlign w:val="center"/>
          </w:tcPr>
          <w:p w14:paraId="4EFDD3F7">
            <w:pPr>
              <w:pStyle w:val="51"/>
              <w:jc w:val="center"/>
              <w:rPr>
                <w:rFonts w:hint="eastAsia" w:ascii="宋体" w:hAnsi="宋体" w:eastAsia="宋体" w:cs="宋体"/>
                <w:color w:val="auto"/>
                <w:sz w:val="21"/>
                <w:szCs w:val="21"/>
                <w:highlight w:val="none"/>
              </w:rPr>
            </w:pPr>
          </w:p>
        </w:tc>
        <w:tc>
          <w:tcPr>
            <w:tcW w:w="1031" w:type="pct"/>
            <w:vAlign w:val="center"/>
          </w:tcPr>
          <w:p w14:paraId="6F3FE338">
            <w:pPr>
              <w:pStyle w:val="51"/>
              <w:jc w:val="center"/>
              <w:rPr>
                <w:rFonts w:hint="eastAsia" w:ascii="宋体" w:hAnsi="宋体" w:eastAsia="宋体" w:cs="宋体"/>
                <w:color w:val="auto"/>
                <w:sz w:val="21"/>
                <w:szCs w:val="21"/>
                <w:highlight w:val="none"/>
              </w:rPr>
            </w:pPr>
          </w:p>
        </w:tc>
        <w:tc>
          <w:tcPr>
            <w:tcW w:w="1265" w:type="pct"/>
            <w:vAlign w:val="center"/>
          </w:tcPr>
          <w:p w14:paraId="1DE7F15C">
            <w:pPr>
              <w:pStyle w:val="51"/>
              <w:jc w:val="center"/>
              <w:rPr>
                <w:rFonts w:hint="eastAsia" w:ascii="宋体" w:hAnsi="宋体" w:eastAsia="宋体" w:cs="宋体"/>
                <w:color w:val="auto"/>
                <w:sz w:val="21"/>
                <w:szCs w:val="21"/>
                <w:highlight w:val="none"/>
              </w:rPr>
            </w:pPr>
          </w:p>
        </w:tc>
        <w:tc>
          <w:tcPr>
            <w:tcW w:w="1135" w:type="pct"/>
            <w:vAlign w:val="center"/>
          </w:tcPr>
          <w:p w14:paraId="7E461BBA">
            <w:pPr>
              <w:pStyle w:val="51"/>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21914A14">
            <w:pPr>
              <w:pStyle w:val="51"/>
              <w:jc w:val="center"/>
              <w:rPr>
                <w:rFonts w:hint="eastAsia" w:ascii="宋体" w:hAnsi="宋体" w:eastAsia="宋体" w:cs="宋体"/>
                <w:color w:val="auto"/>
                <w:sz w:val="21"/>
                <w:szCs w:val="21"/>
                <w:highlight w:val="none"/>
              </w:rPr>
            </w:pPr>
          </w:p>
        </w:tc>
        <w:tc>
          <w:tcPr>
            <w:tcW w:w="1159" w:type="pct"/>
            <w:vAlign w:val="center"/>
          </w:tcPr>
          <w:p w14:paraId="01FAF6FF">
            <w:pPr>
              <w:pStyle w:val="51"/>
              <w:jc w:val="center"/>
              <w:rPr>
                <w:rFonts w:hint="eastAsia" w:ascii="宋体" w:hAnsi="宋体" w:eastAsia="宋体" w:cs="宋体"/>
                <w:color w:val="auto"/>
                <w:sz w:val="21"/>
                <w:szCs w:val="21"/>
                <w:highlight w:val="none"/>
              </w:rPr>
            </w:pPr>
          </w:p>
        </w:tc>
        <w:tc>
          <w:tcPr>
            <w:tcW w:w="1031" w:type="pct"/>
            <w:vAlign w:val="center"/>
          </w:tcPr>
          <w:p w14:paraId="7C7F56A7">
            <w:pPr>
              <w:pStyle w:val="51"/>
              <w:jc w:val="center"/>
              <w:rPr>
                <w:rFonts w:hint="eastAsia" w:ascii="宋体" w:hAnsi="宋体" w:eastAsia="宋体" w:cs="宋体"/>
                <w:color w:val="auto"/>
                <w:sz w:val="21"/>
                <w:szCs w:val="21"/>
                <w:highlight w:val="none"/>
              </w:rPr>
            </w:pPr>
          </w:p>
        </w:tc>
        <w:tc>
          <w:tcPr>
            <w:tcW w:w="1265" w:type="pct"/>
            <w:vAlign w:val="center"/>
          </w:tcPr>
          <w:p w14:paraId="611127F1">
            <w:pPr>
              <w:pStyle w:val="51"/>
              <w:jc w:val="center"/>
              <w:rPr>
                <w:rFonts w:hint="eastAsia" w:ascii="宋体" w:hAnsi="宋体" w:eastAsia="宋体" w:cs="宋体"/>
                <w:color w:val="auto"/>
                <w:sz w:val="21"/>
                <w:szCs w:val="21"/>
                <w:highlight w:val="none"/>
              </w:rPr>
            </w:pPr>
          </w:p>
        </w:tc>
        <w:tc>
          <w:tcPr>
            <w:tcW w:w="1135" w:type="pct"/>
            <w:vAlign w:val="center"/>
          </w:tcPr>
          <w:p w14:paraId="0E4A26B6">
            <w:pPr>
              <w:pStyle w:val="51"/>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0C5ED4E">
            <w:pPr>
              <w:pStyle w:val="51"/>
              <w:jc w:val="center"/>
              <w:rPr>
                <w:rFonts w:hint="eastAsia" w:ascii="宋体" w:hAnsi="宋体" w:eastAsia="宋体" w:cs="宋体"/>
                <w:color w:val="auto"/>
                <w:sz w:val="21"/>
                <w:szCs w:val="21"/>
                <w:highlight w:val="none"/>
              </w:rPr>
            </w:pPr>
          </w:p>
        </w:tc>
        <w:tc>
          <w:tcPr>
            <w:tcW w:w="1159" w:type="pct"/>
            <w:vAlign w:val="center"/>
          </w:tcPr>
          <w:p w14:paraId="5C4DD07B">
            <w:pPr>
              <w:pStyle w:val="51"/>
              <w:jc w:val="center"/>
              <w:rPr>
                <w:rFonts w:hint="eastAsia" w:ascii="宋体" w:hAnsi="宋体" w:eastAsia="宋体" w:cs="宋体"/>
                <w:color w:val="auto"/>
                <w:sz w:val="21"/>
                <w:szCs w:val="21"/>
                <w:highlight w:val="none"/>
              </w:rPr>
            </w:pPr>
          </w:p>
        </w:tc>
        <w:tc>
          <w:tcPr>
            <w:tcW w:w="1031" w:type="pct"/>
            <w:vAlign w:val="center"/>
          </w:tcPr>
          <w:p w14:paraId="26683DD4">
            <w:pPr>
              <w:pStyle w:val="51"/>
              <w:jc w:val="center"/>
              <w:rPr>
                <w:rFonts w:hint="eastAsia" w:ascii="宋体" w:hAnsi="宋体" w:eastAsia="宋体" w:cs="宋体"/>
                <w:color w:val="auto"/>
                <w:sz w:val="21"/>
                <w:szCs w:val="21"/>
                <w:highlight w:val="none"/>
              </w:rPr>
            </w:pPr>
          </w:p>
        </w:tc>
        <w:tc>
          <w:tcPr>
            <w:tcW w:w="1265" w:type="pct"/>
            <w:vAlign w:val="center"/>
          </w:tcPr>
          <w:p w14:paraId="4D8C3BA1">
            <w:pPr>
              <w:pStyle w:val="51"/>
              <w:jc w:val="center"/>
              <w:rPr>
                <w:rFonts w:hint="eastAsia" w:ascii="宋体" w:hAnsi="宋体" w:eastAsia="宋体" w:cs="宋体"/>
                <w:color w:val="auto"/>
                <w:sz w:val="21"/>
                <w:szCs w:val="21"/>
                <w:highlight w:val="none"/>
              </w:rPr>
            </w:pPr>
          </w:p>
        </w:tc>
        <w:tc>
          <w:tcPr>
            <w:tcW w:w="1135" w:type="pct"/>
            <w:vAlign w:val="center"/>
          </w:tcPr>
          <w:p w14:paraId="2E8B5F67">
            <w:pPr>
              <w:pStyle w:val="51"/>
              <w:jc w:val="center"/>
              <w:rPr>
                <w:rFonts w:hint="eastAsia" w:ascii="宋体" w:hAnsi="宋体" w:eastAsia="宋体" w:cs="宋体"/>
                <w:color w:val="auto"/>
                <w:sz w:val="21"/>
                <w:szCs w:val="21"/>
                <w:highlight w:val="none"/>
              </w:rPr>
            </w:pPr>
          </w:p>
        </w:tc>
      </w:tr>
      <w:tr w14:paraId="2B10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EE038ED">
            <w:pPr>
              <w:pStyle w:val="51"/>
              <w:jc w:val="center"/>
              <w:rPr>
                <w:rFonts w:hint="eastAsia" w:ascii="宋体" w:hAnsi="宋体" w:eastAsia="宋体" w:cs="宋体"/>
                <w:color w:val="auto"/>
                <w:sz w:val="21"/>
                <w:szCs w:val="21"/>
                <w:highlight w:val="none"/>
              </w:rPr>
            </w:pPr>
          </w:p>
        </w:tc>
        <w:tc>
          <w:tcPr>
            <w:tcW w:w="1159" w:type="pct"/>
            <w:vAlign w:val="center"/>
          </w:tcPr>
          <w:p w14:paraId="1568BE63">
            <w:pPr>
              <w:pStyle w:val="51"/>
              <w:jc w:val="center"/>
              <w:rPr>
                <w:rFonts w:hint="eastAsia" w:ascii="宋体" w:hAnsi="宋体" w:eastAsia="宋体" w:cs="宋体"/>
                <w:color w:val="auto"/>
                <w:sz w:val="21"/>
                <w:szCs w:val="21"/>
                <w:highlight w:val="none"/>
              </w:rPr>
            </w:pPr>
          </w:p>
        </w:tc>
        <w:tc>
          <w:tcPr>
            <w:tcW w:w="1031" w:type="pct"/>
            <w:vAlign w:val="center"/>
          </w:tcPr>
          <w:p w14:paraId="73EB38B3">
            <w:pPr>
              <w:pStyle w:val="51"/>
              <w:jc w:val="center"/>
              <w:rPr>
                <w:rFonts w:hint="eastAsia" w:ascii="宋体" w:hAnsi="宋体" w:eastAsia="宋体" w:cs="宋体"/>
                <w:color w:val="auto"/>
                <w:sz w:val="21"/>
                <w:szCs w:val="21"/>
                <w:highlight w:val="none"/>
              </w:rPr>
            </w:pPr>
          </w:p>
        </w:tc>
        <w:tc>
          <w:tcPr>
            <w:tcW w:w="1265" w:type="pct"/>
            <w:vAlign w:val="center"/>
          </w:tcPr>
          <w:p w14:paraId="75F9A705">
            <w:pPr>
              <w:pStyle w:val="51"/>
              <w:jc w:val="center"/>
              <w:rPr>
                <w:rFonts w:hint="eastAsia" w:ascii="宋体" w:hAnsi="宋体" w:eastAsia="宋体" w:cs="宋体"/>
                <w:color w:val="auto"/>
                <w:sz w:val="21"/>
                <w:szCs w:val="21"/>
                <w:highlight w:val="none"/>
              </w:rPr>
            </w:pPr>
          </w:p>
        </w:tc>
        <w:tc>
          <w:tcPr>
            <w:tcW w:w="1135" w:type="pct"/>
            <w:vAlign w:val="center"/>
          </w:tcPr>
          <w:p w14:paraId="7B4E9707">
            <w:pPr>
              <w:pStyle w:val="51"/>
              <w:jc w:val="center"/>
              <w:rPr>
                <w:rFonts w:hint="eastAsia" w:ascii="宋体" w:hAnsi="宋体" w:eastAsia="宋体" w:cs="宋体"/>
                <w:color w:val="auto"/>
                <w:sz w:val="21"/>
                <w:szCs w:val="21"/>
                <w:highlight w:val="none"/>
              </w:rPr>
            </w:pPr>
          </w:p>
        </w:tc>
      </w:tr>
      <w:tr w14:paraId="5B46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7A9FD9CF">
            <w:pPr>
              <w:pStyle w:val="51"/>
              <w:jc w:val="center"/>
              <w:rPr>
                <w:rFonts w:hint="eastAsia" w:ascii="宋体" w:hAnsi="宋体" w:eastAsia="宋体" w:cs="宋体"/>
                <w:color w:val="auto"/>
                <w:sz w:val="21"/>
                <w:szCs w:val="21"/>
                <w:highlight w:val="none"/>
              </w:rPr>
            </w:pPr>
          </w:p>
        </w:tc>
        <w:tc>
          <w:tcPr>
            <w:tcW w:w="1159" w:type="pct"/>
            <w:vAlign w:val="center"/>
          </w:tcPr>
          <w:p w14:paraId="3873E5B8">
            <w:pPr>
              <w:pStyle w:val="51"/>
              <w:jc w:val="center"/>
              <w:rPr>
                <w:rFonts w:hint="eastAsia" w:ascii="宋体" w:hAnsi="宋体" w:eastAsia="宋体" w:cs="宋体"/>
                <w:color w:val="auto"/>
                <w:sz w:val="21"/>
                <w:szCs w:val="21"/>
                <w:highlight w:val="none"/>
              </w:rPr>
            </w:pPr>
          </w:p>
        </w:tc>
        <w:tc>
          <w:tcPr>
            <w:tcW w:w="1031" w:type="pct"/>
            <w:vAlign w:val="center"/>
          </w:tcPr>
          <w:p w14:paraId="4BFC552A">
            <w:pPr>
              <w:pStyle w:val="51"/>
              <w:jc w:val="center"/>
              <w:rPr>
                <w:rFonts w:hint="eastAsia" w:ascii="宋体" w:hAnsi="宋体" w:eastAsia="宋体" w:cs="宋体"/>
                <w:color w:val="auto"/>
                <w:sz w:val="21"/>
                <w:szCs w:val="21"/>
                <w:highlight w:val="none"/>
              </w:rPr>
            </w:pPr>
          </w:p>
        </w:tc>
        <w:tc>
          <w:tcPr>
            <w:tcW w:w="1265" w:type="pct"/>
            <w:vAlign w:val="center"/>
          </w:tcPr>
          <w:p w14:paraId="6752E62F">
            <w:pPr>
              <w:pStyle w:val="51"/>
              <w:jc w:val="center"/>
              <w:rPr>
                <w:rFonts w:hint="eastAsia" w:ascii="宋体" w:hAnsi="宋体" w:eastAsia="宋体" w:cs="宋体"/>
                <w:color w:val="auto"/>
                <w:sz w:val="21"/>
                <w:szCs w:val="21"/>
                <w:highlight w:val="none"/>
              </w:rPr>
            </w:pPr>
          </w:p>
        </w:tc>
        <w:tc>
          <w:tcPr>
            <w:tcW w:w="1135" w:type="pct"/>
            <w:vAlign w:val="center"/>
          </w:tcPr>
          <w:p w14:paraId="0D508B80">
            <w:pPr>
              <w:pStyle w:val="51"/>
              <w:jc w:val="center"/>
              <w:rPr>
                <w:rFonts w:hint="eastAsia" w:ascii="宋体" w:hAnsi="宋体" w:eastAsia="宋体" w:cs="宋体"/>
                <w:color w:val="auto"/>
                <w:sz w:val="21"/>
                <w:szCs w:val="21"/>
                <w:highlight w:val="none"/>
              </w:rPr>
            </w:pPr>
          </w:p>
        </w:tc>
      </w:tr>
      <w:tr w14:paraId="1A2A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5F4BFC8">
            <w:pPr>
              <w:pStyle w:val="51"/>
              <w:jc w:val="center"/>
              <w:rPr>
                <w:rFonts w:hint="eastAsia" w:ascii="宋体" w:hAnsi="宋体" w:eastAsia="宋体" w:cs="宋体"/>
                <w:color w:val="auto"/>
                <w:sz w:val="21"/>
                <w:szCs w:val="21"/>
                <w:highlight w:val="none"/>
              </w:rPr>
            </w:pPr>
          </w:p>
        </w:tc>
        <w:tc>
          <w:tcPr>
            <w:tcW w:w="1159" w:type="pct"/>
            <w:vAlign w:val="center"/>
          </w:tcPr>
          <w:p w14:paraId="63890973">
            <w:pPr>
              <w:pStyle w:val="51"/>
              <w:jc w:val="center"/>
              <w:rPr>
                <w:rFonts w:hint="eastAsia" w:ascii="宋体" w:hAnsi="宋体" w:eastAsia="宋体" w:cs="宋体"/>
                <w:color w:val="auto"/>
                <w:sz w:val="21"/>
                <w:szCs w:val="21"/>
                <w:highlight w:val="none"/>
              </w:rPr>
            </w:pPr>
          </w:p>
        </w:tc>
        <w:tc>
          <w:tcPr>
            <w:tcW w:w="1031" w:type="pct"/>
            <w:vAlign w:val="center"/>
          </w:tcPr>
          <w:p w14:paraId="09F5DB10">
            <w:pPr>
              <w:pStyle w:val="51"/>
              <w:jc w:val="center"/>
              <w:rPr>
                <w:rFonts w:hint="eastAsia" w:ascii="宋体" w:hAnsi="宋体" w:eastAsia="宋体" w:cs="宋体"/>
                <w:color w:val="auto"/>
                <w:sz w:val="21"/>
                <w:szCs w:val="21"/>
                <w:highlight w:val="none"/>
              </w:rPr>
            </w:pPr>
          </w:p>
        </w:tc>
        <w:tc>
          <w:tcPr>
            <w:tcW w:w="1265" w:type="pct"/>
            <w:vAlign w:val="center"/>
          </w:tcPr>
          <w:p w14:paraId="59B50D42">
            <w:pPr>
              <w:pStyle w:val="51"/>
              <w:jc w:val="center"/>
              <w:rPr>
                <w:rFonts w:hint="eastAsia" w:ascii="宋体" w:hAnsi="宋体" w:eastAsia="宋体" w:cs="宋体"/>
                <w:color w:val="auto"/>
                <w:sz w:val="21"/>
                <w:szCs w:val="21"/>
                <w:highlight w:val="none"/>
              </w:rPr>
            </w:pPr>
          </w:p>
        </w:tc>
        <w:tc>
          <w:tcPr>
            <w:tcW w:w="1135" w:type="pct"/>
            <w:vAlign w:val="center"/>
          </w:tcPr>
          <w:p w14:paraId="15BCCC48">
            <w:pPr>
              <w:pStyle w:val="51"/>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F51D1EA">
            <w:pPr>
              <w:pStyle w:val="51"/>
              <w:jc w:val="center"/>
              <w:rPr>
                <w:rFonts w:hint="eastAsia" w:ascii="宋体" w:hAnsi="宋体" w:eastAsia="宋体" w:cs="宋体"/>
                <w:color w:val="auto"/>
                <w:sz w:val="21"/>
                <w:szCs w:val="21"/>
                <w:highlight w:val="none"/>
              </w:rPr>
            </w:pPr>
          </w:p>
        </w:tc>
        <w:tc>
          <w:tcPr>
            <w:tcW w:w="1159" w:type="pct"/>
            <w:vAlign w:val="center"/>
          </w:tcPr>
          <w:p w14:paraId="1204324D">
            <w:pPr>
              <w:pStyle w:val="51"/>
              <w:jc w:val="center"/>
              <w:rPr>
                <w:rFonts w:hint="eastAsia" w:ascii="宋体" w:hAnsi="宋体" w:eastAsia="宋体" w:cs="宋体"/>
                <w:color w:val="auto"/>
                <w:sz w:val="21"/>
                <w:szCs w:val="21"/>
                <w:highlight w:val="none"/>
              </w:rPr>
            </w:pPr>
          </w:p>
        </w:tc>
        <w:tc>
          <w:tcPr>
            <w:tcW w:w="1031" w:type="pct"/>
            <w:vAlign w:val="center"/>
          </w:tcPr>
          <w:p w14:paraId="36FD0F55">
            <w:pPr>
              <w:pStyle w:val="51"/>
              <w:jc w:val="center"/>
              <w:rPr>
                <w:rFonts w:hint="eastAsia" w:ascii="宋体" w:hAnsi="宋体" w:eastAsia="宋体" w:cs="宋体"/>
                <w:color w:val="auto"/>
                <w:sz w:val="21"/>
                <w:szCs w:val="21"/>
                <w:highlight w:val="none"/>
              </w:rPr>
            </w:pPr>
          </w:p>
        </w:tc>
        <w:tc>
          <w:tcPr>
            <w:tcW w:w="1265" w:type="pct"/>
            <w:vAlign w:val="center"/>
          </w:tcPr>
          <w:p w14:paraId="6D3AA7E1">
            <w:pPr>
              <w:pStyle w:val="51"/>
              <w:jc w:val="center"/>
              <w:rPr>
                <w:rFonts w:hint="eastAsia" w:ascii="宋体" w:hAnsi="宋体" w:eastAsia="宋体" w:cs="宋体"/>
                <w:color w:val="auto"/>
                <w:sz w:val="21"/>
                <w:szCs w:val="21"/>
                <w:highlight w:val="none"/>
              </w:rPr>
            </w:pPr>
          </w:p>
        </w:tc>
        <w:tc>
          <w:tcPr>
            <w:tcW w:w="1135" w:type="pct"/>
            <w:vAlign w:val="center"/>
          </w:tcPr>
          <w:p w14:paraId="449BE1FC">
            <w:pPr>
              <w:pStyle w:val="51"/>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6ECE9C6C">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5" w:type="pct"/>
            <w:vAlign w:val="center"/>
          </w:tcPr>
          <w:p w14:paraId="7E732B44">
            <w:pPr>
              <w:pStyle w:val="51"/>
              <w:jc w:val="center"/>
              <w:rPr>
                <w:rFonts w:hint="eastAsia" w:ascii="宋体" w:hAnsi="宋体" w:eastAsia="宋体" w:cs="宋体"/>
                <w:color w:val="auto"/>
                <w:sz w:val="21"/>
                <w:szCs w:val="21"/>
                <w:highlight w:val="none"/>
              </w:rPr>
            </w:pPr>
          </w:p>
        </w:tc>
      </w:tr>
    </w:tbl>
    <w:p w14:paraId="7A96DC4C">
      <w:pPr>
        <w:ind w:firstLine="420" w:firstLineChars="200"/>
        <w:rPr>
          <w:rFonts w:hint="eastAsia" w:cs="仿宋_GB2312"/>
          <w:color w:val="auto"/>
          <w:sz w:val="21"/>
          <w:szCs w:val="21"/>
          <w:highlight w:val="none"/>
        </w:rPr>
      </w:pPr>
    </w:p>
    <w:p w14:paraId="2F5D40B2">
      <w:pPr>
        <w:ind w:firstLine="420" w:firstLineChars="200"/>
        <w:rPr>
          <w:rFonts w:hint="eastAsia" w:cs="仿宋_GB2312"/>
          <w:color w:val="auto"/>
          <w:sz w:val="21"/>
          <w:szCs w:val="21"/>
          <w:highlight w:val="none"/>
        </w:rPr>
      </w:pPr>
      <w:r>
        <w:rPr>
          <w:rFonts w:hint="eastAsia" w:cs="仿宋_GB2312"/>
          <w:color w:val="auto"/>
          <w:sz w:val="21"/>
          <w:szCs w:val="21"/>
          <w:highlight w:val="none"/>
        </w:rPr>
        <w:t>说明：</w:t>
      </w:r>
      <w:r>
        <w:rPr>
          <w:rFonts w:hint="eastAsia" w:cs="仿宋_GB2312"/>
          <w:color w:val="auto"/>
          <w:sz w:val="21"/>
          <w:szCs w:val="21"/>
          <w:highlight w:val="none"/>
          <w:lang w:val="en-US" w:eastAsia="zh-CN"/>
        </w:rPr>
        <w:t>1、</w:t>
      </w:r>
      <w:r>
        <w:rPr>
          <w:rFonts w:hint="eastAsia" w:cs="仿宋_GB2312"/>
          <w:color w:val="auto"/>
          <w:sz w:val="21"/>
          <w:szCs w:val="21"/>
          <w:highlight w:val="none"/>
        </w:rPr>
        <w:t>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“响应/正偏离/负偏离”应据实填写“响应”、“正偏离”或“负偏离”</w:t>
      </w:r>
      <w:r>
        <w:rPr>
          <w:rFonts w:hint="eastAsia" w:cs="仿宋_GB2312"/>
          <w:color w:val="auto"/>
          <w:sz w:val="21"/>
          <w:szCs w:val="21"/>
          <w:highlight w:val="none"/>
        </w:rPr>
        <w:t>。</w:t>
      </w:r>
    </w:p>
    <w:p w14:paraId="695A3183">
      <w:pPr>
        <w:pStyle w:val="2"/>
        <w:ind w:firstLine="1050" w:firstLineChars="500"/>
        <w:rPr>
          <w:rFonts w:hint="eastAsia" w:ascii="宋体" w:hAnsi="宋体" w:eastAsia="宋体" w:cs="仿宋_GB2312"/>
          <w:color w:val="auto"/>
          <w:kern w:val="2"/>
          <w:sz w:val="21"/>
          <w:szCs w:val="21"/>
          <w:highlight w:val="none"/>
          <w:lang w:val="en-US" w:eastAsia="zh-CN" w:bidi="ar-SA"/>
        </w:rPr>
      </w:pPr>
      <w:r>
        <w:rPr>
          <w:rFonts w:hint="eastAsia" w:ascii="宋体" w:hAnsi="宋体" w:eastAsia="宋体" w:cs="仿宋_GB2312"/>
          <w:color w:val="auto"/>
          <w:kern w:val="2"/>
          <w:sz w:val="21"/>
          <w:szCs w:val="21"/>
          <w:highlight w:val="none"/>
          <w:lang w:val="en-US" w:eastAsia="zh-CN" w:bidi="ar-SA"/>
        </w:rPr>
        <w:t>2、有偏离需填写，若应答全部满足，请在第一行填写“响应全部条款”。</w:t>
      </w:r>
    </w:p>
    <w:p w14:paraId="31480209">
      <w:pPr>
        <w:pStyle w:val="2"/>
        <w:rPr>
          <w:rFonts w:hint="eastAsia" w:eastAsiaTheme="minorEastAsia"/>
          <w:lang w:val="en-US" w:eastAsia="zh-CN"/>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1685FB85">
      <w:pPr>
        <w:ind w:firstLine="420"/>
        <w:rPr>
          <w:rFonts w:cs="仿宋_GB2312"/>
          <w:color w:val="auto"/>
          <w:szCs w:val="24"/>
          <w:highlight w:val="none"/>
        </w:rPr>
      </w:pPr>
    </w:p>
    <w:p w14:paraId="3095974B">
      <w:pPr>
        <w:ind w:firstLine="420"/>
        <w:rPr>
          <w:rFonts w:cs="仿宋_GB2312"/>
          <w:color w:val="auto"/>
          <w:szCs w:val="24"/>
          <w:highlight w:val="none"/>
        </w:rPr>
      </w:pPr>
    </w:p>
    <w:p w14:paraId="5228E054">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备注：投标人在本表中须标注技术响应的实际数值或内容，照搬照抄采购文件内容、不注明实际响应内容者</w:t>
      </w:r>
      <w:r>
        <w:rPr>
          <w:rFonts w:hint="eastAsia" w:cs="仿宋_GB2312"/>
          <w:b/>
          <w:bCs/>
          <w:color w:val="auto"/>
          <w:sz w:val="21"/>
          <w:szCs w:val="21"/>
          <w:highlight w:val="none"/>
          <w:lang w:val="en-US" w:eastAsia="zh-CN"/>
        </w:rPr>
        <w:t>视为未响应</w:t>
      </w:r>
      <w:r>
        <w:rPr>
          <w:rFonts w:hint="eastAsia" w:cs="仿宋_GB2312"/>
          <w:color w:val="auto"/>
          <w:sz w:val="21"/>
          <w:szCs w:val="21"/>
          <w:highlight w:val="none"/>
          <w:lang w:val="en-US" w:eastAsia="zh-CN"/>
        </w:rPr>
        <w:t>。</w:t>
      </w:r>
    </w:p>
    <w:p w14:paraId="49A1A5E5">
      <w:pPr>
        <w:ind w:firstLine="420"/>
        <w:rPr>
          <w:rFonts w:cs="仿宋_GB2312"/>
          <w:color w:val="auto"/>
          <w:szCs w:val="24"/>
          <w:highlight w:val="none"/>
        </w:rPr>
      </w:pPr>
      <w:r>
        <w:rPr>
          <w:rFonts w:cs="仿宋_GB2312"/>
          <w:color w:val="auto"/>
          <w:szCs w:val="24"/>
          <w:highlight w:val="none"/>
        </w:rPr>
        <w:br w:type="page"/>
      </w:r>
    </w:p>
    <w:p w14:paraId="06C98EB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889" w:name="_Toc9988"/>
      <w:r>
        <w:rPr>
          <w:rFonts w:hint="eastAsia" w:cstheme="majorBidi"/>
          <w:b/>
          <w:bCs/>
          <w:color w:val="auto"/>
          <w:kern w:val="2"/>
          <w:sz w:val="32"/>
          <w:szCs w:val="32"/>
          <w:highlight w:val="none"/>
          <w:lang w:val="en-US" w:eastAsia="zh-CN" w:bidi="ar-SA"/>
        </w:rPr>
        <w:t>十六</w:t>
      </w:r>
      <w:r>
        <w:rPr>
          <w:rFonts w:hint="eastAsia" w:eastAsia="宋体" w:asciiTheme="majorHAnsi" w:hAnsiTheme="majorHAnsi" w:cstheme="majorBidi"/>
          <w:b/>
          <w:bCs/>
          <w:color w:val="auto"/>
          <w:kern w:val="2"/>
          <w:sz w:val="32"/>
          <w:szCs w:val="32"/>
          <w:highlight w:val="none"/>
          <w:lang w:val="en-US" w:eastAsia="zh-CN" w:bidi="ar-SA"/>
        </w:rPr>
        <w:t>、技术方案</w:t>
      </w:r>
      <w:bookmarkEnd w:id="889"/>
    </w:p>
    <w:p w14:paraId="7078B366">
      <w:pPr>
        <w:pStyle w:val="39"/>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39"/>
        <w:rPr>
          <w:color w:val="auto"/>
          <w:highlight w:val="none"/>
        </w:rPr>
      </w:pPr>
      <w:r>
        <w:rPr>
          <w:color w:val="auto"/>
          <w:highlight w:val="none"/>
        </w:rPr>
        <w:br w:type="page"/>
      </w:r>
    </w:p>
    <w:p w14:paraId="3D75587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890" w:name="_Toc1945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、其他文件</w:t>
      </w:r>
      <w:bookmarkEnd w:id="890"/>
    </w:p>
    <w:p w14:paraId="6EF40482">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9B7BCDB">
      <w:pPr>
        <w:pStyle w:val="39"/>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39"/>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39"/>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39"/>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39"/>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39"/>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39"/>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39"/>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39"/>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39"/>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39"/>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39"/>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39"/>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51%以上绝对所有权的性；绝对所有权拥有者可以是一个人，也可以是多人合计计算。</w:t>
      </w:r>
    </w:p>
    <w:p w14:paraId="6C85D95C">
      <w:pPr>
        <w:pStyle w:val="39"/>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39"/>
        <w:rPr>
          <w:rFonts w:hint="eastAsia"/>
          <w:color w:val="auto"/>
          <w:sz w:val="28"/>
          <w:szCs w:val="28"/>
          <w:highlight w:val="none"/>
          <w:lang w:val="en-US" w:eastAsia="zh-CN"/>
        </w:rPr>
      </w:pPr>
    </w:p>
    <w:p w14:paraId="3CD7B018">
      <w:pPr>
        <w:pStyle w:val="39"/>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5C8EB48">
      <w:pPr>
        <w:pStyle w:val="39"/>
        <w:ind w:left="0" w:leftChars="0" w:firstLine="0" w:firstLineChars="0"/>
        <w:rPr>
          <w:rFonts w:hint="eastAsia"/>
          <w:b/>
          <w:bCs/>
          <w:color w:val="auto"/>
          <w:sz w:val="24"/>
          <w:szCs w:val="24"/>
          <w:highlight w:val="none"/>
          <w:lang w:eastAsia="zh-CN"/>
        </w:rPr>
      </w:pPr>
    </w:p>
    <w:p w14:paraId="7DF13FE9">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6DA29BFF">
      <w:pPr>
        <w:pStyle w:val="39"/>
        <w:rPr>
          <w:rFonts w:hint="eastAsia"/>
          <w:color w:val="auto"/>
          <w:highlight w:val="none"/>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6" w:usb3="00000000" w:csb0="6006009F" w:csb1="DFD70000"/>
  </w:font>
  <w:font w:name="微软雅黑">
    <w:panose1 w:val="020B0503020204020204"/>
    <w:charset w:val="86"/>
    <w:family w:val="auto"/>
    <w:pitch w:val="default"/>
    <w:sig w:usb0="80000287" w:usb1="2ACF3C50"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21"/>
      <w:jc w:val="center"/>
    </w:pPr>
  </w:p>
  <w:p w14:paraId="2397523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9AF0">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0DE55">
                          <w:pPr>
                            <w:pStyle w:val="21"/>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40DE55">
                    <w:pPr>
                      <w:pStyle w:val="21"/>
                    </w:pPr>
                    <w:r>
                      <w:fldChar w:fldCharType="begin"/>
                    </w:r>
                    <w:r>
                      <w:instrText xml:space="preserve"> PAGE  \* MERGEFORMAT </w:instrText>
                    </w:r>
                    <w:r>
                      <w:fldChar w:fldCharType="separate"/>
                    </w:r>
                    <w:r>
                      <w:t>- 3 -</w:t>
                    </w:r>
                    <w:r>
                      <w:fldChar w:fldCharType="end"/>
                    </w:r>
                  </w:p>
                </w:txbxContent>
              </v:textbox>
            </v:shape>
          </w:pict>
        </mc:Fallback>
      </mc:AlternateContent>
    </w:r>
  </w:p>
  <w:p w14:paraId="018F25D8">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1"/>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9D950">
                          <w:pPr>
                            <w:pStyle w:val="21"/>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09D950">
                    <w:pPr>
                      <w:pStyle w:val="21"/>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8849A">
                          <w:pPr>
                            <w:pStyle w:val="21"/>
                          </w:pPr>
                          <w:r>
                            <w:fldChar w:fldCharType="begin"/>
                          </w:r>
                          <w:r>
                            <w:instrText xml:space="preserve"> PAGE  \* MERGEFORMAT </w:instrText>
                          </w:r>
                          <w:r>
                            <w:fldChar w:fldCharType="separate"/>
                          </w:r>
                          <w:r>
                            <w:t>- 83 -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58849A">
                    <w:pPr>
                      <w:pStyle w:val="21"/>
                    </w:pPr>
                    <w:r>
                      <w:fldChar w:fldCharType="begin"/>
                    </w:r>
                    <w:r>
                      <w:instrText xml:space="preserve"> PAGE  \* MERGEFORMAT </w:instrText>
                    </w:r>
                    <w:r>
                      <w:fldChar w:fldCharType="separate"/>
                    </w:r>
                    <w:r>
                      <w:t>- 83 -</w:t>
                    </w:r>
                    <w:r>
                      <w:fldChar w:fldCharType="end"/>
                    </w:r>
                  </w:p>
                </w:txbxContent>
              </v:textbox>
            </v:shape>
          </w:pict>
        </mc:Fallback>
      </mc:AlternateContent>
    </w:r>
  </w:p>
  <w:p w14:paraId="4005E617">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2"/>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2"/>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E13ECCE7"/>
    <w:multiLevelType w:val="singleLevel"/>
    <w:tmpl w:val="E13ECCE7"/>
    <w:lvl w:ilvl="0" w:tentative="0">
      <w:start w:val="3"/>
      <w:numFmt w:val="decimal"/>
      <w:lvlText w:val="%1."/>
      <w:lvlJc w:val="left"/>
      <w:pPr>
        <w:tabs>
          <w:tab w:val="left" w:pos="312"/>
        </w:tabs>
      </w:pPr>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7B6378"/>
    <w:multiLevelType w:val="multilevel"/>
    <w:tmpl w:val="447B6378"/>
    <w:lvl w:ilvl="0" w:tentative="0">
      <w:start w:val="1"/>
      <w:numFmt w:val="decimal"/>
      <w:pStyle w:val="41"/>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EF7205"/>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41EA9"/>
    <w:rsid w:val="01580C56"/>
    <w:rsid w:val="01781929"/>
    <w:rsid w:val="01877B89"/>
    <w:rsid w:val="019E3125"/>
    <w:rsid w:val="01CE0603"/>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037256"/>
    <w:rsid w:val="03200295"/>
    <w:rsid w:val="034D3E73"/>
    <w:rsid w:val="035E2B6B"/>
    <w:rsid w:val="0361440A"/>
    <w:rsid w:val="036D7252"/>
    <w:rsid w:val="03773C2D"/>
    <w:rsid w:val="03885E3A"/>
    <w:rsid w:val="03922815"/>
    <w:rsid w:val="03C350C4"/>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F247C"/>
    <w:rsid w:val="05595CE0"/>
    <w:rsid w:val="057C377D"/>
    <w:rsid w:val="05812B41"/>
    <w:rsid w:val="05AA653C"/>
    <w:rsid w:val="05C72C4A"/>
    <w:rsid w:val="05CB2336"/>
    <w:rsid w:val="05D142C5"/>
    <w:rsid w:val="05D15877"/>
    <w:rsid w:val="05D215EF"/>
    <w:rsid w:val="05D2339D"/>
    <w:rsid w:val="05D37841"/>
    <w:rsid w:val="05DB04A3"/>
    <w:rsid w:val="05E530D0"/>
    <w:rsid w:val="06127C3D"/>
    <w:rsid w:val="061A4B24"/>
    <w:rsid w:val="06231E4A"/>
    <w:rsid w:val="06253E14"/>
    <w:rsid w:val="0633208D"/>
    <w:rsid w:val="06587D46"/>
    <w:rsid w:val="067032E2"/>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37795B"/>
    <w:rsid w:val="073F4A62"/>
    <w:rsid w:val="07442078"/>
    <w:rsid w:val="076C53FA"/>
    <w:rsid w:val="076D22AC"/>
    <w:rsid w:val="0784404A"/>
    <w:rsid w:val="078608E3"/>
    <w:rsid w:val="07941252"/>
    <w:rsid w:val="07A25DD3"/>
    <w:rsid w:val="07A64AE1"/>
    <w:rsid w:val="07B55348"/>
    <w:rsid w:val="07EA70C4"/>
    <w:rsid w:val="07F0083A"/>
    <w:rsid w:val="08687FE8"/>
    <w:rsid w:val="08935065"/>
    <w:rsid w:val="08997D8A"/>
    <w:rsid w:val="08A76D63"/>
    <w:rsid w:val="08AD2074"/>
    <w:rsid w:val="08BB45BC"/>
    <w:rsid w:val="08C6368D"/>
    <w:rsid w:val="08D306C7"/>
    <w:rsid w:val="08D538D0"/>
    <w:rsid w:val="08D77648"/>
    <w:rsid w:val="08E04023"/>
    <w:rsid w:val="08EE4992"/>
    <w:rsid w:val="09077801"/>
    <w:rsid w:val="091C32AD"/>
    <w:rsid w:val="09212671"/>
    <w:rsid w:val="0926010A"/>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8B1048"/>
    <w:rsid w:val="0A9B6453"/>
    <w:rsid w:val="0AAB338B"/>
    <w:rsid w:val="0AAF1EFF"/>
    <w:rsid w:val="0ABF0394"/>
    <w:rsid w:val="0ACE7788"/>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F5D75"/>
    <w:rsid w:val="0BB24C22"/>
    <w:rsid w:val="0BE45BD8"/>
    <w:rsid w:val="0BF202F5"/>
    <w:rsid w:val="0BFE313E"/>
    <w:rsid w:val="0C02649C"/>
    <w:rsid w:val="0C0A3890"/>
    <w:rsid w:val="0C1E6205"/>
    <w:rsid w:val="0C28640C"/>
    <w:rsid w:val="0C3C5A14"/>
    <w:rsid w:val="0C41302A"/>
    <w:rsid w:val="0C5A4DAC"/>
    <w:rsid w:val="0C874EE1"/>
    <w:rsid w:val="0C88488C"/>
    <w:rsid w:val="0C8A677F"/>
    <w:rsid w:val="0CB40DE6"/>
    <w:rsid w:val="0CC04897"/>
    <w:rsid w:val="0CD520F0"/>
    <w:rsid w:val="0CD67C16"/>
    <w:rsid w:val="0CD81BE1"/>
    <w:rsid w:val="0D0C53E6"/>
    <w:rsid w:val="0D1C7D1F"/>
    <w:rsid w:val="0D2210AE"/>
    <w:rsid w:val="0D2766C4"/>
    <w:rsid w:val="0D6B6E82"/>
    <w:rsid w:val="0D9D0734"/>
    <w:rsid w:val="0DA90E87"/>
    <w:rsid w:val="0DAF0B93"/>
    <w:rsid w:val="0DB241E0"/>
    <w:rsid w:val="0DB45087"/>
    <w:rsid w:val="0DB74AC1"/>
    <w:rsid w:val="0DC14423"/>
    <w:rsid w:val="0DC83A03"/>
    <w:rsid w:val="0DCD1019"/>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543D1"/>
    <w:rsid w:val="0EA33B28"/>
    <w:rsid w:val="0EB208AB"/>
    <w:rsid w:val="0EB36461"/>
    <w:rsid w:val="0EB45D35"/>
    <w:rsid w:val="0EBD75FE"/>
    <w:rsid w:val="0EC817E1"/>
    <w:rsid w:val="0ECA5559"/>
    <w:rsid w:val="0ED53B2A"/>
    <w:rsid w:val="0EF600FC"/>
    <w:rsid w:val="0F096081"/>
    <w:rsid w:val="0F1B5913"/>
    <w:rsid w:val="0F2442A2"/>
    <w:rsid w:val="0F3D21CF"/>
    <w:rsid w:val="0F4C0664"/>
    <w:rsid w:val="0F5A5835"/>
    <w:rsid w:val="0F67724C"/>
    <w:rsid w:val="0F9D4A1B"/>
    <w:rsid w:val="0FA638D0"/>
    <w:rsid w:val="0FAB538A"/>
    <w:rsid w:val="0FD33C3D"/>
    <w:rsid w:val="0FE8213B"/>
    <w:rsid w:val="0FF52AA9"/>
    <w:rsid w:val="10047D52"/>
    <w:rsid w:val="10150A56"/>
    <w:rsid w:val="10240C99"/>
    <w:rsid w:val="102723E9"/>
    <w:rsid w:val="102B64CB"/>
    <w:rsid w:val="107439CE"/>
    <w:rsid w:val="1090632E"/>
    <w:rsid w:val="109220A6"/>
    <w:rsid w:val="109B71AD"/>
    <w:rsid w:val="10A92DD3"/>
    <w:rsid w:val="10AF4A06"/>
    <w:rsid w:val="10BD54A5"/>
    <w:rsid w:val="10C55FD8"/>
    <w:rsid w:val="10C85AC8"/>
    <w:rsid w:val="10DF6E84"/>
    <w:rsid w:val="11036B00"/>
    <w:rsid w:val="11082369"/>
    <w:rsid w:val="11357D2A"/>
    <w:rsid w:val="113849FC"/>
    <w:rsid w:val="113A4C18"/>
    <w:rsid w:val="11457119"/>
    <w:rsid w:val="1147614B"/>
    <w:rsid w:val="1154081B"/>
    <w:rsid w:val="116E48C1"/>
    <w:rsid w:val="11785740"/>
    <w:rsid w:val="11845E93"/>
    <w:rsid w:val="11867E5D"/>
    <w:rsid w:val="11A2456B"/>
    <w:rsid w:val="11AE5258"/>
    <w:rsid w:val="11B30526"/>
    <w:rsid w:val="11DA1F57"/>
    <w:rsid w:val="11DF30C9"/>
    <w:rsid w:val="11FA6155"/>
    <w:rsid w:val="12130FC5"/>
    <w:rsid w:val="12371157"/>
    <w:rsid w:val="12483364"/>
    <w:rsid w:val="127001C5"/>
    <w:rsid w:val="12771554"/>
    <w:rsid w:val="127759F8"/>
    <w:rsid w:val="127A0C92"/>
    <w:rsid w:val="127F48AC"/>
    <w:rsid w:val="12863E8D"/>
    <w:rsid w:val="129E4D32"/>
    <w:rsid w:val="12AD766B"/>
    <w:rsid w:val="12B91B6C"/>
    <w:rsid w:val="12BA7692"/>
    <w:rsid w:val="12BC165D"/>
    <w:rsid w:val="12CC5D44"/>
    <w:rsid w:val="12DE7825"/>
    <w:rsid w:val="12E3308D"/>
    <w:rsid w:val="12EA441C"/>
    <w:rsid w:val="12EF558E"/>
    <w:rsid w:val="13021765"/>
    <w:rsid w:val="13037AFF"/>
    <w:rsid w:val="13453400"/>
    <w:rsid w:val="13456351"/>
    <w:rsid w:val="134C0C32"/>
    <w:rsid w:val="137B79E1"/>
    <w:rsid w:val="137D0DEC"/>
    <w:rsid w:val="13833F28"/>
    <w:rsid w:val="13A03104"/>
    <w:rsid w:val="13D80B9E"/>
    <w:rsid w:val="13E62E35"/>
    <w:rsid w:val="14065285"/>
    <w:rsid w:val="143F42F3"/>
    <w:rsid w:val="144731A8"/>
    <w:rsid w:val="1457788F"/>
    <w:rsid w:val="14717C9A"/>
    <w:rsid w:val="147F2942"/>
    <w:rsid w:val="14AF7789"/>
    <w:rsid w:val="14BF5434"/>
    <w:rsid w:val="14D50D33"/>
    <w:rsid w:val="14EF1875"/>
    <w:rsid w:val="14F50E56"/>
    <w:rsid w:val="151E65FF"/>
    <w:rsid w:val="152030DE"/>
    <w:rsid w:val="1537321C"/>
    <w:rsid w:val="154020D1"/>
    <w:rsid w:val="1548317E"/>
    <w:rsid w:val="15A840F3"/>
    <w:rsid w:val="15C9656A"/>
    <w:rsid w:val="15FB249C"/>
    <w:rsid w:val="15FF3D3A"/>
    <w:rsid w:val="1602382A"/>
    <w:rsid w:val="163B2469"/>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711641B"/>
    <w:rsid w:val="1719707D"/>
    <w:rsid w:val="17215F32"/>
    <w:rsid w:val="172872C1"/>
    <w:rsid w:val="17457E73"/>
    <w:rsid w:val="174C1201"/>
    <w:rsid w:val="174F6F43"/>
    <w:rsid w:val="176821F4"/>
    <w:rsid w:val="17710C68"/>
    <w:rsid w:val="177C760C"/>
    <w:rsid w:val="177E1C86"/>
    <w:rsid w:val="179B7A92"/>
    <w:rsid w:val="17AD77C6"/>
    <w:rsid w:val="17CB7119"/>
    <w:rsid w:val="17D2722C"/>
    <w:rsid w:val="17FB49D5"/>
    <w:rsid w:val="18041ADC"/>
    <w:rsid w:val="182E6B59"/>
    <w:rsid w:val="187C5B16"/>
    <w:rsid w:val="189246B5"/>
    <w:rsid w:val="18A706B9"/>
    <w:rsid w:val="18AB60A4"/>
    <w:rsid w:val="18C272A1"/>
    <w:rsid w:val="18CB43A7"/>
    <w:rsid w:val="18DA283C"/>
    <w:rsid w:val="18F733EE"/>
    <w:rsid w:val="18F90F15"/>
    <w:rsid w:val="19197809"/>
    <w:rsid w:val="192D6E10"/>
    <w:rsid w:val="1934019F"/>
    <w:rsid w:val="19373862"/>
    <w:rsid w:val="19520625"/>
    <w:rsid w:val="19526877"/>
    <w:rsid w:val="195E2798"/>
    <w:rsid w:val="19D2300F"/>
    <w:rsid w:val="1A0214BE"/>
    <w:rsid w:val="1A0E5C74"/>
    <w:rsid w:val="1A197394"/>
    <w:rsid w:val="1A312930"/>
    <w:rsid w:val="1A352420"/>
    <w:rsid w:val="1A512FD2"/>
    <w:rsid w:val="1A5D54D3"/>
    <w:rsid w:val="1A5F124B"/>
    <w:rsid w:val="1A6124EF"/>
    <w:rsid w:val="1A710493"/>
    <w:rsid w:val="1AB33908"/>
    <w:rsid w:val="1ADA2FC8"/>
    <w:rsid w:val="1AE23C2A"/>
    <w:rsid w:val="1AE259D8"/>
    <w:rsid w:val="1AE35507"/>
    <w:rsid w:val="1AEB2ADF"/>
    <w:rsid w:val="1B202B8B"/>
    <w:rsid w:val="1B3E3557"/>
    <w:rsid w:val="1B636B19"/>
    <w:rsid w:val="1B6805D3"/>
    <w:rsid w:val="1B7E1468"/>
    <w:rsid w:val="1B825739"/>
    <w:rsid w:val="1B83540D"/>
    <w:rsid w:val="1BC17CE4"/>
    <w:rsid w:val="1BCC0B62"/>
    <w:rsid w:val="1BDD4B1E"/>
    <w:rsid w:val="1BE718C7"/>
    <w:rsid w:val="1C146065"/>
    <w:rsid w:val="1C4032FE"/>
    <w:rsid w:val="1C406E5A"/>
    <w:rsid w:val="1C495921"/>
    <w:rsid w:val="1C744D56"/>
    <w:rsid w:val="1C7A6810"/>
    <w:rsid w:val="1C7B7E93"/>
    <w:rsid w:val="1C9C6787"/>
    <w:rsid w:val="1CA05B4B"/>
    <w:rsid w:val="1CA90EA4"/>
    <w:rsid w:val="1CAA6093"/>
    <w:rsid w:val="1CD770EC"/>
    <w:rsid w:val="1CE43C8A"/>
    <w:rsid w:val="1D0B1467"/>
    <w:rsid w:val="1D183933"/>
    <w:rsid w:val="1D1B3B0E"/>
    <w:rsid w:val="1D210A3A"/>
    <w:rsid w:val="1D214EDE"/>
    <w:rsid w:val="1D277CE5"/>
    <w:rsid w:val="1D291FE4"/>
    <w:rsid w:val="1D4A4435"/>
    <w:rsid w:val="1D524C10"/>
    <w:rsid w:val="1D61177E"/>
    <w:rsid w:val="1D7E7C3A"/>
    <w:rsid w:val="1D8D4321"/>
    <w:rsid w:val="1D9C27B6"/>
    <w:rsid w:val="1DAA4ED3"/>
    <w:rsid w:val="1DC53ABB"/>
    <w:rsid w:val="1DC835AB"/>
    <w:rsid w:val="1DDB37DC"/>
    <w:rsid w:val="1DE2466D"/>
    <w:rsid w:val="1E206F43"/>
    <w:rsid w:val="1E2F7187"/>
    <w:rsid w:val="1E340C41"/>
    <w:rsid w:val="1E401394"/>
    <w:rsid w:val="1E4E3AB1"/>
    <w:rsid w:val="1E51534F"/>
    <w:rsid w:val="1E5310C7"/>
    <w:rsid w:val="1E6908EA"/>
    <w:rsid w:val="1E766B63"/>
    <w:rsid w:val="1E9B2A6E"/>
    <w:rsid w:val="1EAC07D7"/>
    <w:rsid w:val="1EBA1146"/>
    <w:rsid w:val="1EC10726"/>
    <w:rsid w:val="1EC45B21"/>
    <w:rsid w:val="1EC73863"/>
    <w:rsid w:val="1ED63AA6"/>
    <w:rsid w:val="1EDD6BE3"/>
    <w:rsid w:val="1EDF295B"/>
    <w:rsid w:val="1F046865"/>
    <w:rsid w:val="1F0A70F1"/>
    <w:rsid w:val="1F1D16D5"/>
    <w:rsid w:val="1F4536E0"/>
    <w:rsid w:val="1F4D3D68"/>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690166"/>
    <w:rsid w:val="207B2DC6"/>
    <w:rsid w:val="20803CC9"/>
    <w:rsid w:val="209239FD"/>
    <w:rsid w:val="20B47E17"/>
    <w:rsid w:val="20DA3F99"/>
    <w:rsid w:val="20E71F9A"/>
    <w:rsid w:val="20E97AC1"/>
    <w:rsid w:val="20EA2A65"/>
    <w:rsid w:val="20EF2BFD"/>
    <w:rsid w:val="210112AE"/>
    <w:rsid w:val="212F12B7"/>
    <w:rsid w:val="214E2A84"/>
    <w:rsid w:val="2170002B"/>
    <w:rsid w:val="21817CF9"/>
    <w:rsid w:val="21884BA0"/>
    <w:rsid w:val="219519F6"/>
    <w:rsid w:val="2197576F"/>
    <w:rsid w:val="21A659B2"/>
    <w:rsid w:val="21B55BF5"/>
    <w:rsid w:val="21DE15EF"/>
    <w:rsid w:val="2200287F"/>
    <w:rsid w:val="22105521"/>
    <w:rsid w:val="22151078"/>
    <w:rsid w:val="2217240B"/>
    <w:rsid w:val="222039B6"/>
    <w:rsid w:val="2228094B"/>
    <w:rsid w:val="222B5EB7"/>
    <w:rsid w:val="224A27E1"/>
    <w:rsid w:val="227635D6"/>
    <w:rsid w:val="22794E74"/>
    <w:rsid w:val="22AF6B26"/>
    <w:rsid w:val="22BB723B"/>
    <w:rsid w:val="22C87E24"/>
    <w:rsid w:val="22C95DFC"/>
    <w:rsid w:val="22EE06E2"/>
    <w:rsid w:val="22F84FC6"/>
    <w:rsid w:val="22FD3CF7"/>
    <w:rsid w:val="23250B58"/>
    <w:rsid w:val="23411E36"/>
    <w:rsid w:val="234D0B5D"/>
    <w:rsid w:val="235C6C70"/>
    <w:rsid w:val="23614286"/>
    <w:rsid w:val="23CC5B62"/>
    <w:rsid w:val="23CD510E"/>
    <w:rsid w:val="24170DE9"/>
    <w:rsid w:val="243472A5"/>
    <w:rsid w:val="2440076D"/>
    <w:rsid w:val="247753E3"/>
    <w:rsid w:val="24A563F4"/>
    <w:rsid w:val="24B228BF"/>
    <w:rsid w:val="24C15199"/>
    <w:rsid w:val="24CE288D"/>
    <w:rsid w:val="24EF7670"/>
    <w:rsid w:val="24F46A34"/>
    <w:rsid w:val="25034EC9"/>
    <w:rsid w:val="251946ED"/>
    <w:rsid w:val="25777D91"/>
    <w:rsid w:val="25781413"/>
    <w:rsid w:val="257858B7"/>
    <w:rsid w:val="257B1A1E"/>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75D1"/>
    <w:rsid w:val="263712CE"/>
    <w:rsid w:val="264B4D7A"/>
    <w:rsid w:val="264D6D44"/>
    <w:rsid w:val="26644EA7"/>
    <w:rsid w:val="266A3452"/>
    <w:rsid w:val="26977FBF"/>
    <w:rsid w:val="26AF355A"/>
    <w:rsid w:val="26B50445"/>
    <w:rsid w:val="26DA55FB"/>
    <w:rsid w:val="26DC11F6"/>
    <w:rsid w:val="26EC191F"/>
    <w:rsid w:val="26F251F5"/>
    <w:rsid w:val="270C62B7"/>
    <w:rsid w:val="271E5FEA"/>
    <w:rsid w:val="272F7095"/>
    <w:rsid w:val="27426D8E"/>
    <w:rsid w:val="276B56D3"/>
    <w:rsid w:val="276E687B"/>
    <w:rsid w:val="27802801"/>
    <w:rsid w:val="278A123C"/>
    <w:rsid w:val="279F537D"/>
    <w:rsid w:val="27CB7F20"/>
    <w:rsid w:val="27D52B4D"/>
    <w:rsid w:val="27D843EB"/>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C66939"/>
    <w:rsid w:val="28CB21A2"/>
    <w:rsid w:val="28E62B38"/>
    <w:rsid w:val="28F96D0F"/>
    <w:rsid w:val="290B7A2E"/>
    <w:rsid w:val="292518B2"/>
    <w:rsid w:val="292A6EC8"/>
    <w:rsid w:val="293B10D5"/>
    <w:rsid w:val="2944442E"/>
    <w:rsid w:val="294550C5"/>
    <w:rsid w:val="29493E9D"/>
    <w:rsid w:val="294F2293"/>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4E6BE6"/>
    <w:rsid w:val="2A506E02"/>
    <w:rsid w:val="2A526D38"/>
    <w:rsid w:val="2A88659C"/>
    <w:rsid w:val="2A954815"/>
    <w:rsid w:val="2AD0584D"/>
    <w:rsid w:val="2AEE4B12"/>
    <w:rsid w:val="2AFE685E"/>
    <w:rsid w:val="2B027774"/>
    <w:rsid w:val="2B0D0850"/>
    <w:rsid w:val="2B116592"/>
    <w:rsid w:val="2B122D8D"/>
    <w:rsid w:val="2B193698"/>
    <w:rsid w:val="2B1C4F36"/>
    <w:rsid w:val="2B2160A9"/>
    <w:rsid w:val="2B236440"/>
    <w:rsid w:val="2B3202B6"/>
    <w:rsid w:val="2B361B54"/>
    <w:rsid w:val="2B367DA6"/>
    <w:rsid w:val="2B400C25"/>
    <w:rsid w:val="2B4714A0"/>
    <w:rsid w:val="2B606BD1"/>
    <w:rsid w:val="2B6C5576"/>
    <w:rsid w:val="2B717030"/>
    <w:rsid w:val="2B74267D"/>
    <w:rsid w:val="2B93739B"/>
    <w:rsid w:val="2B994370"/>
    <w:rsid w:val="2BA50A88"/>
    <w:rsid w:val="2BB60EE7"/>
    <w:rsid w:val="2BC034DB"/>
    <w:rsid w:val="2BEF4305"/>
    <w:rsid w:val="2C077995"/>
    <w:rsid w:val="2C235EB7"/>
    <w:rsid w:val="2C2B5431"/>
    <w:rsid w:val="2C3C763E"/>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B9081B"/>
    <w:rsid w:val="2DCB70CE"/>
    <w:rsid w:val="2DCE2518"/>
    <w:rsid w:val="2DD218DC"/>
    <w:rsid w:val="2DDB69E3"/>
    <w:rsid w:val="2DEF7457"/>
    <w:rsid w:val="2E045F3A"/>
    <w:rsid w:val="2E093AD9"/>
    <w:rsid w:val="2E2A34C6"/>
    <w:rsid w:val="2E426A62"/>
    <w:rsid w:val="2E6C48D9"/>
    <w:rsid w:val="2E786928"/>
    <w:rsid w:val="2E8F4F19"/>
    <w:rsid w:val="2EA63495"/>
    <w:rsid w:val="2EB57234"/>
    <w:rsid w:val="2ED7364E"/>
    <w:rsid w:val="2EF35FAE"/>
    <w:rsid w:val="2EFA6A37"/>
    <w:rsid w:val="2F167CA6"/>
    <w:rsid w:val="2F1A353B"/>
    <w:rsid w:val="2F277B20"/>
    <w:rsid w:val="2F452CAE"/>
    <w:rsid w:val="2F5D70AC"/>
    <w:rsid w:val="2F8B61E7"/>
    <w:rsid w:val="2FA36C75"/>
    <w:rsid w:val="2FBE036A"/>
    <w:rsid w:val="302428C3"/>
    <w:rsid w:val="30297EDA"/>
    <w:rsid w:val="302C5C1C"/>
    <w:rsid w:val="303074BA"/>
    <w:rsid w:val="30405223"/>
    <w:rsid w:val="306929CC"/>
    <w:rsid w:val="306B405E"/>
    <w:rsid w:val="30832D34"/>
    <w:rsid w:val="30872E52"/>
    <w:rsid w:val="308C4B30"/>
    <w:rsid w:val="30A75681"/>
    <w:rsid w:val="30C714A1"/>
    <w:rsid w:val="30D85EFB"/>
    <w:rsid w:val="30F41419"/>
    <w:rsid w:val="30FC114A"/>
    <w:rsid w:val="310D77FB"/>
    <w:rsid w:val="310E0E7D"/>
    <w:rsid w:val="314A68DF"/>
    <w:rsid w:val="315620B8"/>
    <w:rsid w:val="31581905"/>
    <w:rsid w:val="317F1D7B"/>
    <w:rsid w:val="31841AC8"/>
    <w:rsid w:val="319138F6"/>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2A0508"/>
    <w:rsid w:val="364652E8"/>
    <w:rsid w:val="36603F29"/>
    <w:rsid w:val="36653C36"/>
    <w:rsid w:val="366A4DA8"/>
    <w:rsid w:val="36897924"/>
    <w:rsid w:val="369116D0"/>
    <w:rsid w:val="36941E25"/>
    <w:rsid w:val="3699568D"/>
    <w:rsid w:val="369F7E9A"/>
    <w:rsid w:val="36B67FED"/>
    <w:rsid w:val="36C46BAE"/>
    <w:rsid w:val="36CC15BF"/>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4B3FA8"/>
    <w:rsid w:val="38543F62"/>
    <w:rsid w:val="3854528C"/>
    <w:rsid w:val="38565141"/>
    <w:rsid w:val="38602906"/>
    <w:rsid w:val="389F176C"/>
    <w:rsid w:val="38A00F55"/>
    <w:rsid w:val="38B95B73"/>
    <w:rsid w:val="38C509BB"/>
    <w:rsid w:val="38CF183A"/>
    <w:rsid w:val="38E30E42"/>
    <w:rsid w:val="38EF5A38"/>
    <w:rsid w:val="39036257"/>
    <w:rsid w:val="390F1199"/>
    <w:rsid w:val="39367F12"/>
    <w:rsid w:val="394538AA"/>
    <w:rsid w:val="39495149"/>
    <w:rsid w:val="394D5E49"/>
    <w:rsid w:val="39553AED"/>
    <w:rsid w:val="3986014B"/>
    <w:rsid w:val="39993E51"/>
    <w:rsid w:val="39AD02F7"/>
    <w:rsid w:val="39B5458C"/>
    <w:rsid w:val="39B60304"/>
    <w:rsid w:val="39DA2245"/>
    <w:rsid w:val="39DA3FF3"/>
    <w:rsid w:val="39DF3CFF"/>
    <w:rsid w:val="39E81075"/>
    <w:rsid w:val="39F71049"/>
    <w:rsid w:val="3A013C75"/>
    <w:rsid w:val="3A12378C"/>
    <w:rsid w:val="3A2B6F44"/>
    <w:rsid w:val="3A322081"/>
    <w:rsid w:val="3A331955"/>
    <w:rsid w:val="3A361B71"/>
    <w:rsid w:val="3A456E52"/>
    <w:rsid w:val="3A463AB7"/>
    <w:rsid w:val="3A4B6C9E"/>
    <w:rsid w:val="3A631110"/>
    <w:rsid w:val="3A7C32FC"/>
    <w:rsid w:val="3AC70A1B"/>
    <w:rsid w:val="3AD04C41"/>
    <w:rsid w:val="3AD66EB0"/>
    <w:rsid w:val="3AEA64B7"/>
    <w:rsid w:val="3AF92B9E"/>
    <w:rsid w:val="3AFA0DF0"/>
    <w:rsid w:val="3B0350DF"/>
    <w:rsid w:val="3B236ECD"/>
    <w:rsid w:val="3B337E5E"/>
    <w:rsid w:val="3B343BD6"/>
    <w:rsid w:val="3B3C653D"/>
    <w:rsid w:val="3B497682"/>
    <w:rsid w:val="3B49769C"/>
    <w:rsid w:val="3B53405D"/>
    <w:rsid w:val="3B691AD2"/>
    <w:rsid w:val="3B6E533A"/>
    <w:rsid w:val="3B7F30A4"/>
    <w:rsid w:val="3B820DE6"/>
    <w:rsid w:val="3B8561E0"/>
    <w:rsid w:val="3B8B1A48"/>
    <w:rsid w:val="3B9A415A"/>
    <w:rsid w:val="3BA2244B"/>
    <w:rsid w:val="3BB07701"/>
    <w:rsid w:val="3BB2349B"/>
    <w:rsid w:val="3BB865B6"/>
    <w:rsid w:val="3BBF7944"/>
    <w:rsid w:val="3BC82C9D"/>
    <w:rsid w:val="3BEE1F9C"/>
    <w:rsid w:val="3C027831"/>
    <w:rsid w:val="3C0D4B53"/>
    <w:rsid w:val="3C1D7E9C"/>
    <w:rsid w:val="3C2105FF"/>
    <w:rsid w:val="3C372D23"/>
    <w:rsid w:val="3C447E49"/>
    <w:rsid w:val="3C4B380F"/>
    <w:rsid w:val="3C4F6F1A"/>
    <w:rsid w:val="3C511E12"/>
    <w:rsid w:val="3C5F2ED5"/>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864BBD"/>
    <w:rsid w:val="3DDD67A7"/>
    <w:rsid w:val="3DE23DBE"/>
    <w:rsid w:val="3E1A70B4"/>
    <w:rsid w:val="3E330175"/>
    <w:rsid w:val="3E655E3A"/>
    <w:rsid w:val="3E667746"/>
    <w:rsid w:val="3E885B96"/>
    <w:rsid w:val="3E8E35FE"/>
    <w:rsid w:val="3EB43064"/>
    <w:rsid w:val="3EB92D70"/>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A4467"/>
    <w:rsid w:val="3FAC01DF"/>
    <w:rsid w:val="3FB4343D"/>
    <w:rsid w:val="3FD85478"/>
    <w:rsid w:val="40155D85"/>
    <w:rsid w:val="403A57EB"/>
    <w:rsid w:val="404B3E9C"/>
    <w:rsid w:val="4061546E"/>
    <w:rsid w:val="406B39AC"/>
    <w:rsid w:val="4079067E"/>
    <w:rsid w:val="4093139F"/>
    <w:rsid w:val="409343AF"/>
    <w:rsid w:val="409A0980"/>
    <w:rsid w:val="40AC655D"/>
    <w:rsid w:val="40D75730"/>
    <w:rsid w:val="40E63BC5"/>
    <w:rsid w:val="40EA5463"/>
    <w:rsid w:val="40FA4F7A"/>
    <w:rsid w:val="4122251A"/>
    <w:rsid w:val="41362456"/>
    <w:rsid w:val="413C37E5"/>
    <w:rsid w:val="41487F61"/>
    <w:rsid w:val="414A5F02"/>
    <w:rsid w:val="415648A7"/>
    <w:rsid w:val="415A71E1"/>
    <w:rsid w:val="41630D72"/>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B67D2"/>
    <w:rsid w:val="428E0070"/>
    <w:rsid w:val="42943344"/>
    <w:rsid w:val="42975177"/>
    <w:rsid w:val="42C615B8"/>
    <w:rsid w:val="42D77C69"/>
    <w:rsid w:val="42EB2B81"/>
    <w:rsid w:val="42FC322C"/>
    <w:rsid w:val="43046BE3"/>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C774B6"/>
    <w:rsid w:val="43D85A47"/>
    <w:rsid w:val="43DE0B83"/>
    <w:rsid w:val="43E97C54"/>
    <w:rsid w:val="43F839F3"/>
    <w:rsid w:val="44022AC4"/>
    <w:rsid w:val="44044A8E"/>
    <w:rsid w:val="44236B1E"/>
    <w:rsid w:val="44244662"/>
    <w:rsid w:val="444158E6"/>
    <w:rsid w:val="44523251"/>
    <w:rsid w:val="44564BBE"/>
    <w:rsid w:val="44641089"/>
    <w:rsid w:val="446948F1"/>
    <w:rsid w:val="44C11AA6"/>
    <w:rsid w:val="44D04970"/>
    <w:rsid w:val="44D426B2"/>
    <w:rsid w:val="44E346A3"/>
    <w:rsid w:val="44E67CEF"/>
    <w:rsid w:val="44F3240C"/>
    <w:rsid w:val="450B5648"/>
    <w:rsid w:val="45110AAC"/>
    <w:rsid w:val="45123CB8"/>
    <w:rsid w:val="451A208F"/>
    <w:rsid w:val="452D1DC2"/>
    <w:rsid w:val="45350C77"/>
    <w:rsid w:val="45415D40"/>
    <w:rsid w:val="45435142"/>
    <w:rsid w:val="45451DF1"/>
    <w:rsid w:val="45490111"/>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6C0E54"/>
    <w:rsid w:val="48740AF8"/>
    <w:rsid w:val="487B247F"/>
    <w:rsid w:val="48907EB9"/>
    <w:rsid w:val="48B36B95"/>
    <w:rsid w:val="48B56357"/>
    <w:rsid w:val="48B955C2"/>
    <w:rsid w:val="48B9571B"/>
    <w:rsid w:val="48BA396D"/>
    <w:rsid w:val="48CF4659"/>
    <w:rsid w:val="48F30C2D"/>
    <w:rsid w:val="48F86243"/>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2C64BB"/>
    <w:rsid w:val="4A3B69AF"/>
    <w:rsid w:val="4A421E6C"/>
    <w:rsid w:val="4A730023"/>
    <w:rsid w:val="4A8833F8"/>
    <w:rsid w:val="4A8A619F"/>
    <w:rsid w:val="4AA2290B"/>
    <w:rsid w:val="4AD46AF0"/>
    <w:rsid w:val="4ADF76BB"/>
    <w:rsid w:val="4AE1272C"/>
    <w:rsid w:val="4B125FF6"/>
    <w:rsid w:val="4B2B2900"/>
    <w:rsid w:val="4B3F45FD"/>
    <w:rsid w:val="4B4614E8"/>
    <w:rsid w:val="4B6C4CC7"/>
    <w:rsid w:val="4B7D0C82"/>
    <w:rsid w:val="4B8057E5"/>
    <w:rsid w:val="4B8B339F"/>
    <w:rsid w:val="4B92472D"/>
    <w:rsid w:val="4BA97CC9"/>
    <w:rsid w:val="4BD016F9"/>
    <w:rsid w:val="4BF47196"/>
    <w:rsid w:val="4C0575F5"/>
    <w:rsid w:val="4C0D46FC"/>
    <w:rsid w:val="4C2B503E"/>
    <w:rsid w:val="4C312198"/>
    <w:rsid w:val="4C3253A4"/>
    <w:rsid w:val="4C481290"/>
    <w:rsid w:val="4C5C4D3B"/>
    <w:rsid w:val="4C63273B"/>
    <w:rsid w:val="4C787DC7"/>
    <w:rsid w:val="4C8449BE"/>
    <w:rsid w:val="4C987D10"/>
    <w:rsid w:val="4CA8548A"/>
    <w:rsid w:val="4CA94424"/>
    <w:rsid w:val="4CAA3CF8"/>
    <w:rsid w:val="4CBE77A4"/>
    <w:rsid w:val="4CD62D3F"/>
    <w:rsid w:val="4CE0771A"/>
    <w:rsid w:val="4CF051AC"/>
    <w:rsid w:val="4D0C050F"/>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F1D6A04"/>
    <w:rsid w:val="4F2935FA"/>
    <w:rsid w:val="4F495A4B"/>
    <w:rsid w:val="4F587A3C"/>
    <w:rsid w:val="4F6C6BDA"/>
    <w:rsid w:val="4F7E394E"/>
    <w:rsid w:val="4F7F2029"/>
    <w:rsid w:val="4F870321"/>
    <w:rsid w:val="4F9071D6"/>
    <w:rsid w:val="4F9547EC"/>
    <w:rsid w:val="4FE6773D"/>
    <w:rsid w:val="4FF43AC5"/>
    <w:rsid w:val="4FF77255"/>
    <w:rsid w:val="4FFE4A87"/>
    <w:rsid w:val="50106568"/>
    <w:rsid w:val="501222E0"/>
    <w:rsid w:val="501F0559"/>
    <w:rsid w:val="5023629C"/>
    <w:rsid w:val="503A5393"/>
    <w:rsid w:val="503F29AA"/>
    <w:rsid w:val="5043249A"/>
    <w:rsid w:val="505521CD"/>
    <w:rsid w:val="507F4DF2"/>
    <w:rsid w:val="50827466"/>
    <w:rsid w:val="50A078EC"/>
    <w:rsid w:val="50B679A2"/>
    <w:rsid w:val="50D21A70"/>
    <w:rsid w:val="50D457E8"/>
    <w:rsid w:val="50D75B0C"/>
    <w:rsid w:val="50FB4B23"/>
    <w:rsid w:val="51163F32"/>
    <w:rsid w:val="51183927"/>
    <w:rsid w:val="51226553"/>
    <w:rsid w:val="514E7348"/>
    <w:rsid w:val="51516E38"/>
    <w:rsid w:val="515661FD"/>
    <w:rsid w:val="516A74CF"/>
    <w:rsid w:val="519A433C"/>
    <w:rsid w:val="51AE366B"/>
    <w:rsid w:val="51D823BF"/>
    <w:rsid w:val="51DF0427"/>
    <w:rsid w:val="51E67581"/>
    <w:rsid w:val="51F83758"/>
    <w:rsid w:val="520B3E30"/>
    <w:rsid w:val="521A547C"/>
    <w:rsid w:val="521F6F37"/>
    <w:rsid w:val="5246001F"/>
    <w:rsid w:val="52972F71"/>
    <w:rsid w:val="52B0193D"/>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4351D"/>
    <w:rsid w:val="562A1B91"/>
    <w:rsid w:val="562B40FC"/>
    <w:rsid w:val="562B5B9A"/>
    <w:rsid w:val="56331D5B"/>
    <w:rsid w:val="5637484F"/>
    <w:rsid w:val="5640122A"/>
    <w:rsid w:val="56570A4D"/>
    <w:rsid w:val="565E627F"/>
    <w:rsid w:val="568A7075"/>
    <w:rsid w:val="56AB7BA5"/>
    <w:rsid w:val="56AF3861"/>
    <w:rsid w:val="56B85264"/>
    <w:rsid w:val="56CA56C3"/>
    <w:rsid w:val="56CF0F2B"/>
    <w:rsid w:val="56DC53F6"/>
    <w:rsid w:val="571406EC"/>
    <w:rsid w:val="5714693E"/>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982D68"/>
    <w:rsid w:val="58BA1767"/>
    <w:rsid w:val="591B7986"/>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D4E28"/>
    <w:rsid w:val="59BD150F"/>
    <w:rsid w:val="59BE0DE3"/>
    <w:rsid w:val="59C53F20"/>
    <w:rsid w:val="59D535F0"/>
    <w:rsid w:val="5A0228E9"/>
    <w:rsid w:val="5A146C55"/>
    <w:rsid w:val="5A151F73"/>
    <w:rsid w:val="5A582FE6"/>
    <w:rsid w:val="5AA77AC9"/>
    <w:rsid w:val="5AA91A93"/>
    <w:rsid w:val="5ABE4B07"/>
    <w:rsid w:val="5AC266B1"/>
    <w:rsid w:val="5AE85D15"/>
    <w:rsid w:val="5AEE74A6"/>
    <w:rsid w:val="5AFA409D"/>
    <w:rsid w:val="5AFA5E4B"/>
    <w:rsid w:val="5B0B2C59"/>
    <w:rsid w:val="5B307ABF"/>
    <w:rsid w:val="5B321A89"/>
    <w:rsid w:val="5B32273E"/>
    <w:rsid w:val="5B353327"/>
    <w:rsid w:val="5B386973"/>
    <w:rsid w:val="5B4602DF"/>
    <w:rsid w:val="5B4A6DD2"/>
    <w:rsid w:val="5B57329D"/>
    <w:rsid w:val="5B6F6839"/>
    <w:rsid w:val="5B751975"/>
    <w:rsid w:val="5B765E19"/>
    <w:rsid w:val="5B8147BE"/>
    <w:rsid w:val="5B920779"/>
    <w:rsid w:val="5B977B3E"/>
    <w:rsid w:val="5BB74B2C"/>
    <w:rsid w:val="5BBB382C"/>
    <w:rsid w:val="5BCC1E57"/>
    <w:rsid w:val="5BD41E6E"/>
    <w:rsid w:val="5BEA2363"/>
    <w:rsid w:val="5BEA5EBF"/>
    <w:rsid w:val="5BF64864"/>
    <w:rsid w:val="5C2C64D8"/>
    <w:rsid w:val="5C3A6E47"/>
    <w:rsid w:val="5C3B1922"/>
    <w:rsid w:val="5C537F09"/>
    <w:rsid w:val="5C5477DD"/>
    <w:rsid w:val="5C5E2B95"/>
    <w:rsid w:val="5C9A5B38"/>
    <w:rsid w:val="5C9C18B0"/>
    <w:rsid w:val="5CA17B70"/>
    <w:rsid w:val="5CA40764"/>
    <w:rsid w:val="5CAB5170"/>
    <w:rsid w:val="5CBD5382"/>
    <w:rsid w:val="5CD32DF8"/>
    <w:rsid w:val="5CE62B2B"/>
    <w:rsid w:val="5D0C07A2"/>
    <w:rsid w:val="5D290C69"/>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F2352E"/>
    <w:rsid w:val="5EF57055"/>
    <w:rsid w:val="5EF763C6"/>
    <w:rsid w:val="5F08322C"/>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24D56"/>
    <w:rsid w:val="60536729"/>
    <w:rsid w:val="608368E3"/>
    <w:rsid w:val="608F7035"/>
    <w:rsid w:val="60A30D33"/>
    <w:rsid w:val="60A96349"/>
    <w:rsid w:val="60C2740B"/>
    <w:rsid w:val="60D94755"/>
    <w:rsid w:val="60F021CA"/>
    <w:rsid w:val="611834CF"/>
    <w:rsid w:val="61530A39"/>
    <w:rsid w:val="6183303E"/>
    <w:rsid w:val="61923281"/>
    <w:rsid w:val="61972646"/>
    <w:rsid w:val="61AC3CD1"/>
    <w:rsid w:val="61B054B5"/>
    <w:rsid w:val="61EE1544"/>
    <w:rsid w:val="61FA4982"/>
    <w:rsid w:val="61FE695C"/>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FB09B2"/>
    <w:rsid w:val="62FE04A2"/>
    <w:rsid w:val="631D29EB"/>
    <w:rsid w:val="633C6169"/>
    <w:rsid w:val="63500CFE"/>
    <w:rsid w:val="637A3FCD"/>
    <w:rsid w:val="63822EAD"/>
    <w:rsid w:val="63B70D7D"/>
    <w:rsid w:val="63D23E09"/>
    <w:rsid w:val="63E234B7"/>
    <w:rsid w:val="63F773CC"/>
    <w:rsid w:val="64047D3A"/>
    <w:rsid w:val="64300F47"/>
    <w:rsid w:val="64483336"/>
    <w:rsid w:val="644F0FB6"/>
    <w:rsid w:val="645E38EF"/>
    <w:rsid w:val="646C600B"/>
    <w:rsid w:val="64942E6C"/>
    <w:rsid w:val="64A469AF"/>
    <w:rsid w:val="64AC6408"/>
    <w:rsid w:val="64AE53F9"/>
    <w:rsid w:val="64D63485"/>
    <w:rsid w:val="6500647B"/>
    <w:rsid w:val="65085608"/>
    <w:rsid w:val="65091AAC"/>
    <w:rsid w:val="65110961"/>
    <w:rsid w:val="6518767F"/>
    <w:rsid w:val="65237AC1"/>
    <w:rsid w:val="653603C7"/>
    <w:rsid w:val="65362175"/>
    <w:rsid w:val="656767D3"/>
    <w:rsid w:val="65801643"/>
    <w:rsid w:val="6598698C"/>
    <w:rsid w:val="65A13CC9"/>
    <w:rsid w:val="65E120E1"/>
    <w:rsid w:val="65EB4F9C"/>
    <w:rsid w:val="660D737A"/>
    <w:rsid w:val="661A38C3"/>
    <w:rsid w:val="661E2CB4"/>
    <w:rsid w:val="6632293D"/>
    <w:rsid w:val="6635355E"/>
    <w:rsid w:val="664132C1"/>
    <w:rsid w:val="664E603D"/>
    <w:rsid w:val="666F1DE3"/>
    <w:rsid w:val="66A870A3"/>
    <w:rsid w:val="66AD46B9"/>
    <w:rsid w:val="66C1550E"/>
    <w:rsid w:val="66C739CD"/>
    <w:rsid w:val="66CD4D5B"/>
    <w:rsid w:val="66DD6797"/>
    <w:rsid w:val="66F66060"/>
    <w:rsid w:val="66F67E0E"/>
    <w:rsid w:val="670818F0"/>
    <w:rsid w:val="671D183F"/>
    <w:rsid w:val="67293782"/>
    <w:rsid w:val="673646AF"/>
    <w:rsid w:val="675114E9"/>
    <w:rsid w:val="675863D3"/>
    <w:rsid w:val="679703E1"/>
    <w:rsid w:val="67A17496"/>
    <w:rsid w:val="67A965FC"/>
    <w:rsid w:val="67D839B8"/>
    <w:rsid w:val="68182006"/>
    <w:rsid w:val="681C1AF7"/>
    <w:rsid w:val="683926A8"/>
    <w:rsid w:val="685272C6"/>
    <w:rsid w:val="68537CAF"/>
    <w:rsid w:val="685F3791"/>
    <w:rsid w:val="68725BBA"/>
    <w:rsid w:val="68757459"/>
    <w:rsid w:val="687A4A6F"/>
    <w:rsid w:val="688C5099"/>
    <w:rsid w:val="68953657"/>
    <w:rsid w:val="68B735CD"/>
    <w:rsid w:val="68BD30FE"/>
    <w:rsid w:val="68C1444C"/>
    <w:rsid w:val="68E51EE8"/>
    <w:rsid w:val="68EA5751"/>
    <w:rsid w:val="68F570FB"/>
    <w:rsid w:val="69227DA0"/>
    <w:rsid w:val="69456E2B"/>
    <w:rsid w:val="69531548"/>
    <w:rsid w:val="696F3EA8"/>
    <w:rsid w:val="69731BEA"/>
    <w:rsid w:val="69765236"/>
    <w:rsid w:val="69790883"/>
    <w:rsid w:val="697A2F79"/>
    <w:rsid w:val="69935DE8"/>
    <w:rsid w:val="69A47FF6"/>
    <w:rsid w:val="69A87C65"/>
    <w:rsid w:val="69EE301F"/>
    <w:rsid w:val="69FB1963"/>
    <w:rsid w:val="6A3F35DF"/>
    <w:rsid w:val="6A5D1F52"/>
    <w:rsid w:val="6A7C062B"/>
    <w:rsid w:val="6A8634B6"/>
    <w:rsid w:val="6AA25BA0"/>
    <w:rsid w:val="6AA3205B"/>
    <w:rsid w:val="6AAB0F10"/>
    <w:rsid w:val="6AAD2EDA"/>
    <w:rsid w:val="6AB8548E"/>
    <w:rsid w:val="6ABC577D"/>
    <w:rsid w:val="6ACD70D8"/>
    <w:rsid w:val="6AE12B83"/>
    <w:rsid w:val="6AE42367"/>
    <w:rsid w:val="6AFE7291"/>
    <w:rsid w:val="6B054AC4"/>
    <w:rsid w:val="6B106FC5"/>
    <w:rsid w:val="6B1336F4"/>
    <w:rsid w:val="6B225676"/>
    <w:rsid w:val="6B3A462E"/>
    <w:rsid w:val="6B422808"/>
    <w:rsid w:val="6B476E8A"/>
    <w:rsid w:val="6B4B5217"/>
    <w:rsid w:val="6B680BAF"/>
    <w:rsid w:val="6B8A1717"/>
    <w:rsid w:val="6B8C6F93"/>
    <w:rsid w:val="6BC56001"/>
    <w:rsid w:val="6BCC7390"/>
    <w:rsid w:val="6BD36970"/>
    <w:rsid w:val="6BD526E8"/>
    <w:rsid w:val="6C092392"/>
    <w:rsid w:val="6C17069E"/>
    <w:rsid w:val="6C2225DD"/>
    <w:rsid w:val="6C2830FF"/>
    <w:rsid w:val="6C5850C7"/>
    <w:rsid w:val="6C6B0957"/>
    <w:rsid w:val="6C832144"/>
    <w:rsid w:val="6C89702F"/>
    <w:rsid w:val="6C9C18EB"/>
    <w:rsid w:val="6CCD7863"/>
    <w:rsid w:val="6CD504C6"/>
    <w:rsid w:val="6CD52274"/>
    <w:rsid w:val="6CDD364E"/>
    <w:rsid w:val="6CF46B9E"/>
    <w:rsid w:val="6CF92406"/>
    <w:rsid w:val="6CFC3CA5"/>
    <w:rsid w:val="6D06067F"/>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A4841"/>
    <w:rsid w:val="6E443B55"/>
    <w:rsid w:val="6E4E0530"/>
    <w:rsid w:val="6E5B2C4D"/>
    <w:rsid w:val="6E5F44EB"/>
    <w:rsid w:val="6E6164B5"/>
    <w:rsid w:val="6E6236E7"/>
    <w:rsid w:val="6E6935BC"/>
    <w:rsid w:val="6E91041D"/>
    <w:rsid w:val="6E9F4B86"/>
    <w:rsid w:val="6EA168B2"/>
    <w:rsid w:val="6EB02F99"/>
    <w:rsid w:val="6EB8556A"/>
    <w:rsid w:val="6EBC36EB"/>
    <w:rsid w:val="6EDC5B3C"/>
    <w:rsid w:val="6EDE1649"/>
    <w:rsid w:val="6EEE586F"/>
    <w:rsid w:val="6EF458F9"/>
    <w:rsid w:val="6F064E06"/>
    <w:rsid w:val="6F094457"/>
    <w:rsid w:val="6F155FCF"/>
    <w:rsid w:val="6F176B74"/>
    <w:rsid w:val="6F360C58"/>
    <w:rsid w:val="6F636421"/>
    <w:rsid w:val="6F6B5112"/>
    <w:rsid w:val="6F6E6EC3"/>
    <w:rsid w:val="6F7264A0"/>
    <w:rsid w:val="6F765F90"/>
    <w:rsid w:val="6F9401C4"/>
    <w:rsid w:val="6FB915A7"/>
    <w:rsid w:val="6FC14D32"/>
    <w:rsid w:val="6FCD1928"/>
    <w:rsid w:val="6FD902CD"/>
    <w:rsid w:val="6FDE58E3"/>
    <w:rsid w:val="6FE61F3E"/>
    <w:rsid w:val="6FF9428D"/>
    <w:rsid w:val="70161521"/>
    <w:rsid w:val="702F613F"/>
    <w:rsid w:val="703244E4"/>
    <w:rsid w:val="705636CC"/>
    <w:rsid w:val="70D31B19"/>
    <w:rsid w:val="70FD0CB3"/>
    <w:rsid w:val="711E0B5E"/>
    <w:rsid w:val="712A5284"/>
    <w:rsid w:val="7130216F"/>
    <w:rsid w:val="713C4FB8"/>
    <w:rsid w:val="71687AE4"/>
    <w:rsid w:val="718F158B"/>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534AF2"/>
    <w:rsid w:val="74766D79"/>
    <w:rsid w:val="747E57F8"/>
    <w:rsid w:val="748D1686"/>
    <w:rsid w:val="74F040EF"/>
    <w:rsid w:val="751122B7"/>
    <w:rsid w:val="75157FF9"/>
    <w:rsid w:val="75360DBC"/>
    <w:rsid w:val="75387844"/>
    <w:rsid w:val="756920F3"/>
    <w:rsid w:val="756B5E6B"/>
    <w:rsid w:val="756D0E75"/>
    <w:rsid w:val="756D573F"/>
    <w:rsid w:val="75866801"/>
    <w:rsid w:val="758807CB"/>
    <w:rsid w:val="759F78C3"/>
    <w:rsid w:val="75BA64AB"/>
    <w:rsid w:val="75BC4B85"/>
    <w:rsid w:val="75E35A02"/>
    <w:rsid w:val="75EA3234"/>
    <w:rsid w:val="762027B2"/>
    <w:rsid w:val="7630676D"/>
    <w:rsid w:val="76312C11"/>
    <w:rsid w:val="763224E5"/>
    <w:rsid w:val="76361FD5"/>
    <w:rsid w:val="76505878"/>
    <w:rsid w:val="765863F0"/>
    <w:rsid w:val="767945B8"/>
    <w:rsid w:val="76794AF8"/>
    <w:rsid w:val="76850C08"/>
    <w:rsid w:val="76BB24DB"/>
    <w:rsid w:val="76C84BF7"/>
    <w:rsid w:val="76D11CFE"/>
    <w:rsid w:val="76D67314"/>
    <w:rsid w:val="76FC6DDC"/>
    <w:rsid w:val="772E2227"/>
    <w:rsid w:val="77302EC9"/>
    <w:rsid w:val="7731279D"/>
    <w:rsid w:val="77533CC6"/>
    <w:rsid w:val="775748F9"/>
    <w:rsid w:val="775B1CAC"/>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D26E90"/>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A1B3962"/>
    <w:rsid w:val="7A2111EE"/>
    <w:rsid w:val="7A2F56B9"/>
    <w:rsid w:val="7A6D48C0"/>
    <w:rsid w:val="7A7268AA"/>
    <w:rsid w:val="7A765096"/>
    <w:rsid w:val="7A965738"/>
    <w:rsid w:val="7A974046"/>
    <w:rsid w:val="7AAD65DE"/>
    <w:rsid w:val="7AC53928"/>
    <w:rsid w:val="7AC878BC"/>
    <w:rsid w:val="7ACA7190"/>
    <w:rsid w:val="7AEF309B"/>
    <w:rsid w:val="7AFD2AA0"/>
    <w:rsid w:val="7AFD57B8"/>
    <w:rsid w:val="7AFF1FD8"/>
    <w:rsid w:val="7B007056"/>
    <w:rsid w:val="7B02692A"/>
    <w:rsid w:val="7B2368A0"/>
    <w:rsid w:val="7B627C76"/>
    <w:rsid w:val="7B705F89"/>
    <w:rsid w:val="7B735A7A"/>
    <w:rsid w:val="7B887EC5"/>
    <w:rsid w:val="7B914152"/>
    <w:rsid w:val="7BAE0860"/>
    <w:rsid w:val="7BB17EFC"/>
    <w:rsid w:val="7BC60184"/>
    <w:rsid w:val="7BD5403F"/>
    <w:rsid w:val="7BE349AD"/>
    <w:rsid w:val="7BE73A8B"/>
    <w:rsid w:val="7BEC3136"/>
    <w:rsid w:val="7BF471EA"/>
    <w:rsid w:val="7C011556"/>
    <w:rsid w:val="7C18217D"/>
    <w:rsid w:val="7C3C40BE"/>
    <w:rsid w:val="7C507B69"/>
    <w:rsid w:val="7C596A1E"/>
    <w:rsid w:val="7C5E2286"/>
    <w:rsid w:val="7C701FB9"/>
    <w:rsid w:val="7C817D22"/>
    <w:rsid w:val="7CD24A22"/>
    <w:rsid w:val="7CEA1D6C"/>
    <w:rsid w:val="7CF95D03"/>
    <w:rsid w:val="7D0C3A90"/>
    <w:rsid w:val="7D0E5A5A"/>
    <w:rsid w:val="7D0E6217"/>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621E96"/>
    <w:rsid w:val="7F967F89"/>
    <w:rsid w:val="7F9935D5"/>
    <w:rsid w:val="7FA51F7A"/>
    <w:rsid w:val="7FB073FA"/>
    <w:rsid w:val="7FB328E9"/>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40"/>
    <w:autoRedefine/>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7"/>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9"/>
    <w:autoRedefine/>
    <w:qFormat/>
    <w:uiPriority w:val="99"/>
    <w:pPr>
      <w:spacing w:after="120" w:line="240" w:lineRule="auto"/>
      <w:jc w:val="both"/>
    </w:pPr>
    <w:rPr>
      <w:rFonts w:eastAsiaTheme="minorEastAsia"/>
      <w:sz w:val="21"/>
      <w:szCs w:val="24"/>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Normal Indent"/>
    <w:basedOn w:val="1"/>
    <w:next w:val="1"/>
    <w:autoRedefine/>
    <w:unhideWhenUsed/>
    <w:qFormat/>
    <w:uiPriority w:val="0"/>
    <w:pPr>
      <w:ind w:firstLine="420" w:firstLineChars="200"/>
    </w:pPr>
    <w:rPr>
      <w:rFonts w:ascii="Calibri" w:hAnsi="Calibri"/>
      <w:szCs w:val="22"/>
    </w:rPr>
  </w:style>
  <w:style w:type="paragraph" w:styleId="12">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3">
    <w:name w:val="toa heading"/>
    <w:basedOn w:val="1"/>
    <w:next w:val="1"/>
    <w:qFormat/>
    <w:uiPriority w:val="99"/>
    <w:pPr>
      <w:spacing w:before="120"/>
    </w:pPr>
    <w:rPr>
      <w:rFonts w:ascii="Arial" w:hAnsi="Arial" w:eastAsia="仿宋"/>
      <w:sz w:val="24"/>
      <w:szCs w:val="20"/>
    </w:rPr>
  </w:style>
  <w:style w:type="paragraph" w:styleId="14">
    <w:name w:val="annotation text"/>
    <w:basedOn w:val="1"/>
    <w:link w:val="45"/>
    <w:autoRedefine/>
    <w:qFormat/>
    <w:uiPriority w:val="0"/>
    <w:pPr>
      <w:spacing w:line="240" w:lineRule="auto"/>
    </w:pPr>
    <w:rPr>
      <w:rFonts w:eastAsiaTheme="minorEastAsia"/>
      <w:sz w:val="21"/>
      <w:szCs w:val="24"/>
    </w:rPr>
  </w:style>
  <w:style w:type="paragraph" w:styleId="15">
    <w:name w:val="Body Text Indent"/>
    <w:basedOn w:val="1"/>
    <w:next w:val="16"/>
    <w:autoRedefine/>
    <w:unhideWhenUsed/>
    <w:qFormat/>
    <w:uiPriority w:val="0"/>
    <w:pPr>
      <w:ind w:firstLine="630"/>
    </w:pPr>
    <w:rPr>
      <w:rFonts w:eastAsia="仿宋_GB2312"/>
      <w:kern w:val="0"/>
      <w:sz w:val="32"/>
      <w:szCs w:val="20"/>
    </w:rPr>
  </w:style>
  <w:style w:type="paragraph" w:styleId="16">
    <w:name w:val="envelope return"/>
    <w:basedOn w:val="1"/>
    <w:qFormat/>
    <w:uiPriority w:val="0"/>
    <w:pPr>
      <w:snapToGrid w:val="0"/>
    </w:pPr>
    <w:rPr>
      <w:rFonts w:ascii="Arial" w:hAnsi="Arial"/>
    </w:rPr>
  </w:style>
  <w:style w:type="paragraph" w:styleId="17">
    <w:name w:val="toc 5"/>
    <w:basedOn w:val="1"/>
    <w:next w:val="1"/>
    <w:autoRedefine/>
    <w:unhideWhenUsed/>
    <w:qFormat/>
    <w:uiPriority w:val="39"/>
    <w:pPr>
      <w:ind w:left="960"/>
    </w:pPr>
    <w:rPr>
      <w:rFonts w:asciiTheme="minorHAnsi" w:eastAsiaTheme="minorHAnsi"/>
      <w:sz w:val="18"/>
      <w:szCs w:val="18"/>
    </w:rPr>
  </w:style>
  <w:style w:type="paragraph" w:styleId="18">
    <w:name w:val="toc 3"/>
    <w:basedOn w:val="1"/>
    <w:next w:val="1"/>
    <w:autoRedefine/>
    <w:unhideWhenUsed/>
    <w:qFormat/>
    <w:uiPriority w:val="39"/>
    <w:pPr>
      <w:ind w:left="480"/>
    </w:pPr>
    <w:rPr>
      <w:rFonts w:asciiTheme="minorHAnsi" w:eastAsiaTheme="minorHAnsi"/>
      <w:i/>
      <w:iCs/>
      <w:sz w:val="20"/>
      <w:szCs w:val="20"/>
    </w:rPr>
  </w:style>
  <w:style w:type="paragraph" w:styleId="19">
    <w:name w:val="Plain Text"/>
    <w:basedOn w:val="1"/>
    <w:autoRedefine/>
    <w:unhideWhenUsed/>
    <w:qFormat/>
    <w:uiPriority w:val="0"/>
    <w:rPr>
      <w:rFonts w:ascii="宋体" w:hAnsi="Courier New"/>
      <w:kern w:val="0"/>
      <w:sz w:val="20"/>
      <w:szCs w:val="20"/>
    </w:rPr>
  </w:style>
  <w:style w:type="paragraph" w:styleId="20">
    <w:name w:val="toc 8"/>
    <w:basedOn w:val="1"/>
    <w:next w:val="1"/>
    <w:autoRedefine/>
    <w:unhideWhenUsed/>
    <w:qFormat/>
    <w:uiPriority w:val="39"/>
    <w:pPr>
      <w:ind w:left="1680"/>
    </w:pPr>
    <w:rPr>
      <w:rFonts w:asciiTheme="minorHAnsi" w:eastAsiaTheme="minorHAnsi"/>
      <w:sz w:val="18"/>
      <w:szCs w:val="18"/>
    </w:rPr>
  </w:style>
  <w:style w:type="paragraph" w:styleId="21">
    <w:name w:val="footer"/>
    <w:basedOn w:val="1"/>
    <w:link w:val="43"/>
    <w:autoRedefine/>
    <w:unhideWhenUsed/>
    <w:qFormat/>
    <w:uiPriority w:val="99"/>
    <w:pPr>
      <w:tabs>
        <w:tab w:val="center" w:pos="4153"/>
        <w:tab w:val="right" w:pos="8306"/>
      </w:tabs>
      <w:snapToGrid w:val="0"/>
      <w:spacing w:line="240" w:lineRule="auto"/>
    </w:pPr>
    <w:rPr>
      <w:sz w:val="18"/>
      <w:szCs w:val="18"/>
    </w:rPr>
  </w:style>
  <w:style w:type="paragraph" w:styleId="22">
    <w:name w:val="header"/>
    <w:basedOn w:val="1"/>
    <w:link w:val="42"/>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4">
    <w:name w:val="toc 4"/>
    <w:basedOn w:val="1"/>
    <w:next w:val="1"/>
    <w:autoRedefine/>
    <w:unhideWhenUsed/>
    <w:qFormat/>
    <w:uiPriority w:val="39"/>
    <w:pPr>
      <w:ind w:left="720"/>
    </w:pPr>
    <w:rPr>
      <w:rFonts w:asciiTheme="minorHAnsi" w:eastAsiaTheme="minorHAnsi"/>
      <w:sz w:val="18"/>
      <w:szCs w:val="18"/>
    </w:rPr>
  </w:style>
  <w:style w:type="paragraph" w:styleId="25">
    <w:name w:val="footnote text"/>
    <w:basedOn w:val="1"/>
    <w:qFormat/>
    <w:uiPriority w:val="0"/>
    <w:pPr>
      <w:widowControl/>
      <w:jc w:val="left"/>
    </w:pPr>
    <w:rPr>
      <w:kern w:val="0"/>
      <w:sz w:val="20"/>
      <w:szCs w:val="20"/>
      <w:lang w:val="de-DE"/>
    </w:rPr>
  </w:style>
  <w:style w:type="paragraph" w:styleId="26">
    <w:name w:val="toc 6"/>
    <w:basedOn w:val="1"/>
    <w:next w:val="1"/>
    <w:autoRedefine/>
    <w:unhideWhenUsed/>
    <w:qFormat/>
    <w:uiPriority w:val="39"/>
    <w:pPr>
      <w:ind w:left="1200"/>
    </w:pPr>
    <w:rPr>
      <w:rFonts w:asciiTheme="minorHAnsi" w:eastAsiaTheme="minorHAnsi"/>
      <w:sz w:val="18"/>
      <w:szCs w:val="18"/>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annotation subject"/>
    <w:basedOn w:val="14"/>
    <w:next w:val="14"/>
    <w:link w:val="53"/>
    <w:autoRedefine/>
    <w:semiHidden/>
    <w:unhideWhenUsed/>
    <w:qFormat/>
    <w:uiPriority w:val="99"/>
    <w:pPr>
      <w:spacing w:line="360" w:lineRule="auto"/>
    </w:pPr>
    <w:rPr>
      <w:rFonts w:eastAsia="宋体"/>
      <w:b/>
      <w:bCs/>
      <w:sz w:val="24"/>
      <w:szCs w:val="22"/>
    </w:rPr>
  </w:style>
  <w:style w:type="paragraph" w:styleId="30">
    <w:name w:val="Body Text First Indent"/>
    <w:basedOn w:val="2"/>
    <w:qFormat/>
    <w:uiPriority w:val="0"/>
    <w:pPr>
      <w:ind w:firstLine="420" w:firstLineChars="100"/>
    </w:pPr>
  </w:style>
  <w:style w:type="paragraph" w:styleId="31">
    <w:name w:val="Body Text First Indent 2"/>
    <w:basedOn w:val="15"/>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0"/>
    <w:rPr>
      <w:b/>
      <w:bCs/>
    </w:rPr>
  </w:style>
  <w:style w:type="character" w:styleId="36">
    <w:name w:val="Hyperlink"/>
    <w:basedOn w:val="34"/>
    <w:autoRedefine/>
    <w:unhideWhenUsed/>
    <w:qFormat/>
    <w:uiPriority w:val="99"/>
    <w:rPr>
      <w:color w:val="0563C1" w:themeColor="hyperlink"/>
      <w:u w:val="single"/>
      <w14:textFill>
        <w14:solidFill>
          <w14:schemeClr w14:val="hlink"/>
        </w14:solidFill>
      </w14:textFill>
    </w:rPr>
  </w:style>
  <w:style w:type="character" w:styleId="37">
    <w:name w:val="annotation reference"/>
    <w:basedOn w:val="34"/>
    <w:autoRedefine/>
    <w:qFormat/>
    <w:uiPriority w:val="0"/>
    <w:rPr>
      <w:sz w:val="21"/>
      <w:szCs w:val="21"/>
    </w:rPr>
  </w:style>
  <w:style w:type="paragraph" w:customStyle="1" w:styleId="3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正文缩进2"/>
    <w:basedOn w:val="1"/>
    <w:autoRedefine/>
    <w:qFormat/>
    <w:uiPriority w:val="0"/>
    <w:pPr>
      <w:wordWrap w:val="0"/>
      <w:ind w:firstLine="480"/>
    </w:pPr>
    <w:rPr>
      <w:iCs/>
      <w:shd w:val="clear" w:color="auto" w:fill="FFFFFF" w:themeFill="background1"/>
      <w:lang w:val="zh-CN"/>
    </w:rPr>
  </w:style>
  <w:style w:type="character" w:customStyle="1" w:styleId="40">
    <w:name w:val="标题 1 字符"/>
    <w:basedOn w:val="34"/>
    <w:link w:val="3"/>
    <w:autoRedefine/>
    <w:qFormat/>
    <w:uiPriority w:val="9"/>
    <w:rPr>
      <w:rFonts w:eastAsia="黑体"/>
      <w:b/>
      <w:bCs/>
      <w:kern w:val="44"/>
      <w:sz w:val="44"/>
      <w:szCs w:val="44"/>
    </w:rPr>
  </w:style>
  <w:style w:type="paragraph" w:styleId="41">
    <w:name w:val="List Paragraph"/>
    <w:basedOn w:val="1"/>
    <w:autoRedefine/>
    <w:qFormat/>
    <w:uiPriority w:val="34"/>
    <w:pPr>
      <w:numPr>
        <w:ilvl w:val="0"/>
        <w:numId w:val="2"/>
      </w:numPr>
    </w:pPr>
  </w:style>
  <w:style w:type="character" w:customStyle="1" w:styleId="42">
    <w:name w:val="页眉 字符"/>
    <w:basedOn w:val="34"/>
    <w:link w:val="22"/>
    <w:autoRedefine/>
    <w:qFormat/>
    <w:uiPriority w:val="99"/>
    <w:rPr>
      <w:rFonts w:eastAsia="宋体"/>
      <w:sz w:val="18"/>
      <w:szCs w:val="18"/>
    </w:rPr>
  </w:style>
  <w:style w:type="character" w:customStyle="1" w:styleId="43">
    <w:name w:val="页脚 字符"/>
    <w:basedOn w:val="34"/>
    <w:link w:val="21"/>
    <w:autoRedefine/>
    <w:qFormat/>
    <w:uiPriority w:val="99"/>
    <w:rPr>
      <w:rFonts w:eastAsia="宋体"/>
      <w:sz w:val="18"/>
      <w:szCs w:val="18"/>
    </w:rPr>
  </w:style>
  <w:style w:type="character" w:customStyle="1" w:styleId="44">
    <w:name w:val="标题 2 字符"/>
    <w:basedOn w:val="34"/>
    <w:link w:val="4"/>
    <w:autoRedefine/>
    <w:qFormat/>
    <w:uiPriority w:val="0"/>
    <w:rPr>
      <w:rFonts w:eastAsia="宋体" w:asciiTheme="majorHAnsi" w:hAnsiTheme="majorHAnsi" w:cstheme="majorBidi"/>
      <w:b/>
      <w:bCs/>
      <w:sz w:val="32"/>
      <w:szCs w:val="32"/>
    </w:rPr>
  </w:style>
  <w:style w:type="character" w:customStyle="1" w:styleId="45">
    <w:name w:val="批注文字 字符"/>
    <w:basedOn w:val="34"/>
    <w:link w:val="14"/>
    <w:autoRedefine/>
    <w:qFormat/>
    <w:uiPriority w:val="0"/>
    <w:rPr>
      <w:szCs w:val="24"/>
    </w:rPr>
  </w:style>
  <w:style w:type="paragraph" w:customStyle="1" w:styleId="46">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7">
    <w:name w:val="标题 3 字符"/>
    <w:basedOn w:val="34"/>
    <w:link w:val="5"/>
    <w:autoRedefine/>
    <w:qFormat/>
    <w:uiPriority w:val="9"/>
    <w:rPr>
      <w:rFonts w:eastAsia="宋体"/>
      <w:b/>
      <w:bCs/>
      <w:sz w:val="30"/>
      <w:szCs w:val="32"/>
    </w:rPr>
  </w:style>
  <w:style w:type="character" w:customStyle="1" w:styleId="48">
    <w:name w:val="标题 4 字符"/>
    <w:basedOn w:val="34"/>
    <w:link w:val="6"/>
    <w:autoRedefine/>
    <w:qFormat/>
    <w:uiPriority w:val="9"/>
    <w:rPr>
      <w:rFonts w:eastAsia="宋体" w:asciiTheme="majorHAnsi" w:hAnsiTheme="majorHAnsi" w:cstheme="majorBidi"/>
      <w:b/>
      <w:bCs/>
      <w:sz w:val="28"/>
      <w:szCs w:val="28"/>
    </w:rPr>
  </w:style>
  <w:style w:type="character" w:customStyle="1" w:styleId="49">
    <w:name w:val="正文文本 字符"/>
    <w:basedOn w:val="34"/>
    <w:link w:val="2"/>
    <w:autoRedefine/>
    <w:qFormat/>
    <w:uiPriority w:val="99"/>
    <w:rPr>
      <w:szCs w:val="24"/>
    </w:rPr>
  </w:style>
  <w:style w:type="paragraph" w:customStyle="1" w:styleId="50">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1">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2">
    <w:name w:val="未处理的提及1"/>
    <w:basedOn w:val="34"/>
    <w:autoRedefine/>
    <w:semiHidden/>
    <w:unhideWhenUsed/>
    <w:qFormat/>
    <w:uiPriority w:val="99"/>
    <w:rPr>
      <w:color w:val="605E5C"/>
      <w:shd w:val="clear" w:color="auto" w:fill="E1DFDD"/>
    </w:rPr>
  </w:style>
  <w:style w:type="character" w:customStyle="1" w:styleId="53">
    <w:name w:val="批注主题 字符"/>
    <w:basedOn w:val="45"/>
    <w:link w:val="29"/>
    <w:autoRedefine/>
    <w:semiHidden/>
    <w:qFormat/>
    <w:uiPriority w:val="99"/>
    <w:rPr>
      <w:rFonts w:ascii="宋体" w:hAnsi="宋体" w:cstheme="minorBidi"/>
      <w:b/>
      <w:bCs/>
      <w:kern w:val="2"/>
      <w:sz w:val="24"/>
      <w:szCs w:val="22"/>
    </w:rPr>
  </w:style>
  <w:style w:type="character" w:customStyle="1" w:styleId="54">
    <w:name w:val="未处理的提及2"/>
    <w:basedOn w:val="34"/>
    <w:autoRedefine/>
    <w:semiHidden/>
    <w:unhideWhenUsed/>
    <w:qFormat/>
    <w:uiPriority w:val="99"/>
    <w:rPr>
      <w:color w:val="605E5C"/>
      <w:shd w:val="clear" w:color="auto" w:fill="E1DFDD"/>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9">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Normal Indent1"/>
    <w:basedOn w:val="1"/>
    <w:autoRedefine/>
    <w:qFormat/>
    <w:uiPriority w:val="0"/>
    <w:pPr>
      <w:ind w:firstLine="420" w:firstLineChars="200"/>
    </w:pPr>
  </w:style>
  <w:style w:type="paragraph" w:customStyle="1" w:styleId="61">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Normal_22"/>
    <w:autoRedefine/>
    <w:qFormat/>
    <w:uiPriority w:val="0"/>
    <w:rPr>
      <w:rFonts w:ascii="Times New Roman" w:hAnsi="Times New Roman" w:eastAsia="Times New Roman" w:cs="Times New Roman"/>
      <w:sz w:val="24"/>
      <w:szCs w:val="24"/>
      <w:lang w:bidi="ar-SA"/>
    </w:rPr>
  </w:style>
  <w:style w:type="paragraph" w:customStyle="1" w:styleId="63">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正文_0_0_0 Char"/>
    <w:link w:val="65"/>
    <w:autoRedefine/>
    <w:qFormat/>
    <w:locked/>
    <w:uiPriority w:val="0"/>
    <w:rPr>
      <w:rFonts w:ascii="Calibri" w:hAnsi="Calibri" w:cs="Calibri"/>
      <w:kern w:val="2"/>
      <w:sz w:val="28"/>
      <w:szCs w:val="22"/>
      <w:lang w:val="en-US" w:eastAsia="zh-CN" w:bidi="ar-SA"/>
    </w:rPr>
  </w:style>
  <w:style w:type="paragraph" w:customStyle="1" w:styleId="65">
    <w:name w:val="正文_0_0_0_0_0"/>
    <w:link w:val="64"/>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6">
    <w:name w:val="正文文本_0_1"/>
    <w:basedOn w:val="67"/>
    <w:autoRedefine/>
    <w:qFormat/>
    <w:uiPriority w:val="99"/>
    <w:pPr>
      <w:spacing w:after="120"/>
    </w:pPr>
    <w:rPr>
      <w:rFonts w:ascii="Calibri" w:hAnsi="Calibri" w:eastAsia="宋体"/>
      <w:kern w:val="0"/>
      <w:sz w:val="24"/>
      <w:szCs w:val="20"/>
    </w:rPr>
  </w:style>
  <w:style w:type="paragraph" w:customStyle="1" w:styleId="67">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_1"/>
    <w:basedOn w:val="67"/>
    <w:autoRedefine/>
    <w:qFormat/>
    <w:uiPriority w:val="0"/>
    <w:pPr>
      <w:jc w:val="left"/>
    </w:pPr>
    <w:rPr>
      <w:rFonts w:ascii="Calibri" w:hAnsi="Calibri" w:eastAsia="宋体"/>
      <w:kern w:val="0"/>
      <w:sz w:val="22"/>
      <w:lang w:eastAsia="en-US"/>
    </w:rPr>
  </w:style>
  <w:style w:type="paragraph" w:customStyle="1" w:styleId="69">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1"/>
    <w:autoRedefine/>
    <w:qFormat/>
    <w:uiPriority w:val="0"/>
    <w:pPr>
      <w:widowControl w:val="0"/>
      <w:jc w:val="both"/>
    </w:pPr>
    <w:rPr>
      <w:rFonts w:ascii="Calibri" w:hAnsi="Calibri" w:eastAsia="宋体" w:cs="Times New Roman"/>
      <w:lang w:val="en-US" w:eastAsia="zh-CN" w:bidi="ar-SA"/>
    </w:rPr>
  </w:style>
  <w:style w:type="paragraph" w:customStyle="1" w:styleId="71">
    <w:name w:val="列出段落1"/>
    <w:basedOn w:val="1"/>
    <w:autoRedefine/>
    <w:qFormat/>
    <w:uiPriority w:val="0"/>
    <w:pPr>
      <w:ind w:firstLine="420" w:firstLineChars="200"/>
    </w:pPr>
    <w:rPr>
      <w:szCs w:val="21"/>
    </w:rPr>
  </w:style>
  <w:style w:type="paragraph" w:customStyle="1" w:styleId="7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3">
    <w:name w:val="正文2"/>
    <w:basedOn w:val="1"/>
    <w:qFormat/>
    <w:uiPriority w:val="0"/>
    <w:pPr>
      <w:spacing w:before="156" w:line="360" w:lineRule="auto"/>
      <w:ind w:firstLine="510" w:firstLineChars="200"/>
    </w:pPr>
    <w:rPr>
      <w:sz w:val="24"/>
      <w:szCs w:val="20"/>
    </w:rPr>
  </w:style>
  <w:style w:type="paragraph" w:customStyle="1" w:styleId="74">
    <w:name w:val="Char Char Char Char Char Char Char1 Char"/>
    <w:basedOn w:val="1"/>
    <w:autoRedefine/>
    <w:qFormat/>
    <w:uiPriority w:val="0"/>
    <w:rPr>
      <w:rFonts w:ascii="Arial" w:hAnsi="Arial" w:eastAsia="宋体" w:cs="Arial"/>
      <w:sz w:val="24"/>
    </w:rPr>
  </w:style>
  <w:style w:type="paragraph" w:customStyle="1" w:styleId="75">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character" w:customStyle="1" w:styleId="76">
    <w:name w:val="font01"/>
    <w:basedOn w:val="34"/>
    <w:autoRedefine/>
    <w:qFormat/>
    <w:uiPriority w:val="0"/>
    <w:rPr>
      <w:rFonts w:hint="eastAsia" w:ascii="宋体" w:hAnsi="宋体" w:eastAsia="宋体" w:cs="宋体"/>
      <w:color w:val="000000"/>
      <w:sz w:val="22"/>
      <w:szCs w:val="22"/>
      <w:u w:val="none"/>
    </w:rPr>
  </w:style>
  <w:style w:type="paragraph" w:customStyle="1" w:styleId="77">
    <w:name w:val="样式 正文首行缩进 2 + 左侧:  2 字符 首行缩进:  2 字符"/>
    <w:basedOn w:val="31"/>
    <w:qFormat/>
    <w:uiPriority w:val="0"/>
    <w:pPr>
      <w:ind w:left="0" w:leftChars="0" w:firstLine="0"/>
    </w:pPr>
    <w:rPr>
      <w:rFonts w:ascii="微软雅黑" w:cs="宋体"/>
      <w:color w:val="000000"/>
      <w:sz w:val="21"/>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28069</Words>
  <Characters>29820</Characters>
  <Lines>328</Lines>
  <Paragraphs>92</Paragraphs>
  <TotalTime>7</TotalTime>
  <ScaleCrop>false</ScaleCrop>
  <LinksUpToDate>false</LinksUpToDate>
  <CharactersWithSpaces>30447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杨猫猫吖</cp:lastModifiedBy>
  <cp:lastPrinted>2024-12-28T09:34:00Z</cp:lastPrinted>
  <dcterms:modified xsi:type="dcterms:W3CDTF">2025-11-03T08:28:57Z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9FCF097A2E8647CD93B44B5E7E8B6AED_13</vt:lpwstr>
  </property>
  <property fmtid="{D5CDD505-2E9C-101B-9397-08002B2CF9AE}" pid="4" name="KSOTemplateDocerSaveRecord">
    <vt:lpwstr>eyJoZGlkIjoiMTc1OWJjMTgzZGZlNWM5ZWEyMThlZmZkMWJiNDRhNDAiLCJ1c2VySWQiOiI0MDA3Nzk4MzAifQ==</vt:lpwstr>
  </property>
</Properties>
</file>