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DD0A3">
      <w:pPr>
        <w:spacing w:line="360" w:lineRule="auto"/>
        <w:jc w:val="center"/>
        <w:rPr>
          <w:rFonts w:hint="eastAsia" w:ascii="宋体" w:hAnsi="宋体" w:eastAsia="宋体" w:cs="宋体"/>
          <w:b w:val="0"/>
          <w:bCs/>
          <w:sz w:val="24"/>
        </w:rPr>
      </w:pPr>
      <w:r>
        <w:rPr>
          <w:rFonts w:hint="eastAsia" w:ascii="宋体" w:hAnsi="宋体" w:eastAsia="宋体" w:cs="宋体"/>
          <w:b w:val="0"/>
          <w:bCs/>
          <w:kern w:val="0"/>
          <w:sz w:val="32"/>
          <w:szCs w:val="32"/>
          <w:lang w:eastAsia="zh-CN"/>
        </w:rPr>
        <w:t>青银国家高速公路旧关至太原（晋冀界至寿阳蔡庄）段改扩建工程数智管理中心建设项目招标</w:t>
      </w:r>
      <w:r>
        <w:rPr>
          <w:rFonts w:hint="eastAsia" w:ascii="宋体" w:hAnsi="宋体" w:eastAsia="宋体" w:cs="宋体"/>
          <w:b w:val="0"/>
          <w:bCs/>
          <w:kern w:val="0"/>
          <w:sz w:val="32"/>
          <w:szCs w:val="32"/>
        </w:rPr>
        <w:t>关键内容公开</w:t>
      </w:r>
    </w:p>
    <w:p w14:paraId="647C5362">
      <w:pPr>
        <w:keepNext w:val="0"/>
        <w:keepLines w:val="0"/>
        <w:pageBreakBefore w:val="0"/>
        <w:widowControl w:val="0"/>
        <w:tabs>
          <w:tab w:val="left" w:pos="6397"/>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一</w:t>
      </w:r>
      <w:r>
        <w:rPr>
          <w:rFonts w:hint="eastAsia" w:ascii="宋体" w:hAnsi="宋体" w:eastAsia="宋体" w:cs="宋体"/>
          <w:b w:val="0"/>
          <w:bCs/>
          <w:color w:val="auto"/>
          <w:sz w:val="24"/>
          <w:highlight w:val="none"/>
        </w:rPr>
        <w:t>、项目概况与招标范围</w:t>
      </w:r>
    </w:p>
    <w:p w14:paraId="4C49A0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1.1 项目概况</w:t>
      </w:r>
    </w:p>
    <w:p w14:paraId="18B82C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项目起自山西省阳泉市平定县旧关村以东晋冀两省交界处，止于晋中市寿阳县蔡庄枢纽，路线全长101.062公里。全线采用双向八车道高速公路标准改扩建，设计速度80公里/小时，整体式拼宽路基宽度40.5米，单侧分离新建路基宽度20.25米。</w:t>
      </w:r>
    </w:p>
    <w:p w14:paraId="44E33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themeColor="text1"/>
          <w:sz w:val="24"/>
          <w:highlight w:val="none"/>
          <w:lang w:val="en-US" w:eastAsia="zh-CN"/>
          <w14:textFill>
            <w14:solidFill>
              <w14:schemeClr w14:val="tx1"/>
            </w14:solidFill>
          </w14:textFill>
        </w:rPr>
        <w:t>青银国家高速公路旧关至太原（晋冀界至寿阳蔡庄）段改扩建工程数智管理中心及数智化管理平台建设以“智慧、绿色、品质、平安”为目标，以“统筹规划，稳步推进、标准统一、整合共享、需求导向，实用为主、技术先进，安全可靠”为宗旨，按照12921建设模式，即1个数据可视化中心+ 2个关键业务点+9个核心业务+2个考评协同+1个配套运行机制，通过利用信息化、智能化、数字化技术，围绕项目总览、工程进度、项目固投、交通导改、安全管理、质量管理、合同计量、生产调度、视频监控等全过程全要素信息化管控，通过项目全过程的信息化技术咨询及规划，形成以统一平台门户、数据可视化中心、党建廉政系统、交通导改系统、投资控制系统、进度控制系统、安全管理系统、质量管理系统、文明施工系统、品质工程系统、合同管理系统、智慧场站系统为一体的信息化综合管理系统，实现与BIM系统数据互联互通，完成数据资源和监控中心建设，以及会议室和办公区域监控建设。</w:t>
      </w:r>
    </w:p>
    <w:p w14:paraId="5617C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1.2 招标范围及标段划分</w:t>
      </w:r>
    </w:p>
    <w:p w14:paraId="01E504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本招标项目划分为1个标段，本次招标为其中的001标段：</w:t>
      </w:r>
    </w:p>
    <w:p w14:paraId="7510C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服务内容包括但不限于以下工作内容：</w:t>
      </w:r>
    </w:p>
    <w:p w14:paraId="79EAF5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（1）完成太旧高速改扩建项目数智管理中心的建设，含策划设计、效果图设计、多媒体软件开发制作，多媒体硬件开发采购与安装调试，影片制作、模型设计制作、高性能机器人安装及部署等工作。</w:t>
      </w:r>
    </w:p>
    <w:p w14:paraId="73ADC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2）完成太旧高速公路改扩建项目数智化管理平台的建设，含展厅数据、智慧管控中心；其中，智慧管控中心为集数据可视化中心、党建廉政系统、交通导改系统、投资控制系统、进度控制系统、安全管理系统、质量管理系统、文明施工系统、合同管理系统、智慧场站系统、考评协同（品质工程）系统、移动端APP、CA电子签章的应用为一体的信息化综合管理系统。</w:t>
      </w:r>
    </w:p>
    <w:p w14:paraId="6F1605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r>
        <w:rPr>
          <w:rFonts w:hint="eastAsia" w:ascii="宋体" w:hAnsi="宋体" w:eastAsia="宋体" w:cs="宋体"/>
          <w:b w:val="0"/>
          <w:bCs/>
          <w:color w:val="000000"/>
          <w:sz w:val="24"/>
          <w:highlight w:val="none"/>
          <w:lang w:val="en-US" w:eastAsia="zh-CN"/>
        </w:rPr>
        <w:t xml:space="preserve">1.3 </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服务期限：</w:t>
      </w:r>
      <w:bookmarkStart w:id="0" w:name="OLE_LINK44"/>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自合同签订之日起3个月内完成，其中数智管理中心建设1个月，数智化管理平台的研发、调试及试运行2个月</w:t>
      </w:r>
      <w:r>
        <w:rPr>
          <w:rFonts w:hint="eastAsia"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系统运行维护期至项目交工验收通过止。</w:t>
      </w:r>
      <w:bookmarkEnd w:id="0"/>
    </w:p>
    <w:p w14:paraId="59DD8343">
      <w:pPr>
        <w:keepNext w:val="0"/>
        <w:keepLines w:val="0"/>
        <w:pageBreakBefore w:val="0"/>
        <w:widowControl w:val="0"/>
        <w:tabs>
          <w:tab w:val="left" w:pos="6397"/>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对</w:t>
      </w:r>
      <w:r>
        <w:rPr>
          <w:rFonts w:hint="eastAsia" w:ascii="宋体" w:hAnsi="宋体" w:eastAsia="宋体" w:cs="宋体"/>
          <w:b w:val="0"/>
          <w:bCs/>
          <w:color w:val="auto"/>
          <w:sz w:val="24"/>
          <w:highlight w:val="none"/>
        </w:rPr>
        <w:t>投标人</w:t>
      </w:r>
      <w:r>
        <w:rPr>
          <w:rFonts w:hint="eastAsia" w:ascii="宋体" w:hAnsi="宋体" w:eastAsia="宋体" w:cs="宋体"/>
          <w:b w:val="0"/>
          <w:bCs/>
          <w:color w:val="auto"/>
          <w:sz w:val="24"/>
          <w:highlight w:val="none"/>
          <w:lang w:val="en-US" w:eastAsia="zh-CN"/>
        </w:rPr>
        <w:t>的</w:t>
      </w:r>
      <w:r>
        <w:rPr>
          <w:rFonts w:hint="eastAsia" w:ascii="宋体" w:hAnsi="宋体" w:eastAsia="宋体" w:cs="宋体"/>
          <w:b w:val="0"/>
          <w:bCs/>
          <w:color w:val="auto"/>
          <w:sz w:val="24"/>
          <w:highlight w:val="none"/>
        </w:rPr>
        <w:t>资格</w:t>
      </w:r>
      <w:r>
        <w:rPr>
          <w:rFonts w:hint="eastAsia" w:ascii="宋体" w:hAnsi="宋体" w:eastAsia="宋体" w:cs="宋体"/>
          <w:b w:val="0"/>
          <w:bCs/>
          <w:color w:val="auto"/>
          <w:sz w:val="24"/>
          <w:highlight w:val="none"/>
          <w:lang w:val="en-US" w:eastAsia="zh-CN"/>
        </w:rPr>
        <w:t>条件</w:t>
      </w:r>
      <w:r>
        <w:rPr>
          <w:rFonts w:hint="eastAsia" w:ascii="宋体" w:hAnsi="宋体" w:eastAsia="宋体" w:cs="宋体"/>
          <w:b w:val="0"/>
          <w:bCs/>
          <w:color w:val="auto"/>
          <w:sz w:val="24"/>
          <w:highlight w:val="none"/>
        </w:rPr>
        <w:t>要求</w:t>
      </w:r>
    </w:p>
    <w:p w14:paraId="7ED2B50B">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b w:val="0"/>
          <w:bCs/>
          <w:color w:val="000000" w:themeColor="text1"/>
          <w:sz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001标段</w:t>
      </w:r>
      <w:r>
        <w:rPr>
          <w:rFonts w:hint="eastAsia" w:ascii="宋体" w:hAnsi="宋体" w:eastAsia="宋体" w:cs="宋体"/>
          <w:b w:val="0"/>
          <w:bCs/>
          <w:color w:val="000000" w:themeColor="text1"/>
          <w:sz w:val="24"/>
          <w:highlight w:val="none"/>
          <w:lang w:val="en-US" w:eastAsia="zh-CN"/>
          <w14:textFill>
            <w14:solidFill>
              <w14:schemeClr w14:val="tx1"/>
            </w14:solidFill>
          </w14:textFill>
        </w:rPr>
        <w:t>：</w:t>
      </w:r>
    </w:p>
    <w:p w14:paraId="67F626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.1</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次招标要求投标人（如为联合体形式投标，指联合体各方）具备独立法人资格，具有有效的营业执照。投标人同时满足下列业绩要求，并在人员、财务、信誉等方面具有承担本标段数智管理中心及数智化管理平台建设的能力</w:t>
      </w:r>
      <w:r>
        <w:rPr>
          <w:rFonts w:hint="eastAsia" w:ascii="宋体" w:hAnsi="宋体" w:eastAsia="宋体" w:cs="宋体"/>
          <w:b w:val="0"/>
          <w:bCs/>
          <w:color w:val="000000" w:themeColor="text1"/>
          <w:sz w:val="24"/>
          <w:highlight w:val="none"/>
          <w:lang w:eastAsia="zh-CN"/>
          <w14:textFill>
            <w14:solidFill>
              <w14:schemeClr w14:val="tx1"/>
            </w14:solidFill>
          </w14:textFill>
        </w:rPr>
        <w:t>。</w:t>
      </w:r>
    </w:p>
    <w:p w14:paraId="606EB9C5">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.1.1业绩要求：</w:t>
      </w:r>
    </w:p>
    <w:p w14:paraId="6F81FB86">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投标人近五年内（2021年</w:t>
      </w:r>
      <w:r>
        <w:rPr>
          <w:rFonts w:hint="eastAsia" w:ascii="宋体" w:hAnsi="宋体" w:cs="宋体"/>
          <w:b w:val="0"/>
          <w:bCs/>
          <w:color w:val="000000" w:themeColor="text1"/>
          <w:sz w:val="24"/>
          <w:highlight w:val="none"/>
          <w:lang w:eastAsia="zh-CN"/>
          <w14:textFill>
            <w14:solidFill>
              <w14:schemeClr w14:val="tx1"/>
            </w14:solidFill>
          </w14:textFill>
        </w:rPr>
        <w:t>4月</w:t>
      </w:r>
      <w:r>
        <w:rPr>
          <w:rFonts w:hint="eastAsia" w:ascii="宋体" w:hAnsi="宋体" w:eastAsia="宋体" w:cs="宋体"/>
          <w:b w:val="0"/>
          <w:bCs/>
          <w:color w:val="000000" w:themeColor="text1"/>
          <w:sz w:val="24"/>
          <w:highlight w:val="none"/>
          <w:lang w:eastAsia="zh-CN"/>
          <w14:textFill>
            <w14:solidFill>
              <w14:schemeClr w14:val="tx1"/>
            </w14:solidFill>
          </w14:textFill>
        </w:rPr>
        <w:t>1日至投标文件递交截止之日，以合同签订时间为准）至少承担过1项高速公路的软件系统开发或信息化建设服务项目。</w:t>
      </w:r>
    </w:p>
    <w:p w14:paraId="33E1DBCB">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.1.2人员要求：</w:t>
      </w:r>
    </w:p>
    <w:p w14:paraId="396313C0">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项目负责人1名，持有信息系统项目管理师证书，作为项目负责人或项目经理或技术负责人至少承担过1项高速公路的软件系统开发或信息化建设服务项目。</w:t>
      </w:r>
    </w:p>
    <w:p w14:paraId="49CB1FA6">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.1.3信誉要求：</w:t>
      </w:r>
    </w:p>
    <w:p w14:paraId="4F923281">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（1）投标人未被省级及以上交通运输主管部门取消招标项目所在地的投标资格且未处于有效期内；</w:t>
      </w:r>
    </w:p>
    <w:p w14:paraId="448D09C5">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（2）投标人未被责令停业，暂扣或吊销执照，或吊销资质证书；</w:t>
      </w:r>
    </w:p>
    <w:p w14:paraId="7A3F4BF1">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（3）投标人未进入清算程序，或被宣告破产，或其他丧失履约能力的情形；</w:t>
      </w:r>
    </w:p>
    <w:p w14:paraId="49DE18BA">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（4）投标人在国家企业信用信息公示系统（http://www.gsxt.gov.cn/）中未被列入严重违法失信名单（黑名单）信息；</w:t>
      </w:r>
    </w:p>
    <w:p w14:paraId="0B5138A7">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（5）投标人在“信用中国”（http://www.creditchina.gov.cn/）网站平台中未被列入严重失信主体名单；</w:t>
      </w:r>
    </w:p>
    <w:p w14:paraId="4FFF7772">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（6）投标人及其法定代表人、拟担任本项目的项目负责人近三年（2023年</w:t>
      </w:r>
      <w:r>
        <w:rPr>
          <w:rFonts w:hint="eastAsia" w:ascii="宋体" w:hAnsi="宋体" w:cs="宋体"/>
          <w:b w:val="0"/>
          <w:bCs/>
          <w:color w:val="000000" w:themeColor="text1"/>
          <w:sz w:val="24"/>
          <w:highlight w:val="none"/>
          <w:lang w:eastAsia="zh-CN"/>
          <w14:textFill>
            <w14:solidFill>
              <w14:schemeClr w14:val="tx1"/>
            </w14:solidFill>
          </w14:textFill>
        </w:rPr>
        <w:t>4月</w:t>
      </w:r>
      <w:r>
        <w:rPr>
          <w:rFonts w:hint="eastAsia" w:ascii="宋体" w:hAnsi="宋体" w:eastAsia="宋体" w:cs="宋体"/>
          <w:b w:val="0"/>
          <w:bCs/>
          <w:color w:val="000000" w:themeColor="text1"/>
          <w:sz w:val="24"/>
          <w:highlight w:val="none"/>
          <w:lang w:eastAsia="zh-CN"/>
          <w14:textFill>
            <w14:solidFill>
              <w14:schemeClr w14:val="tx1"/>
            </w14:solidFill>
          </w14:textFill>
        </w:rPr>
        <w:t>1日至今）无行贿犯罪行为；</w:t>
      </w:r>
    </w:p>
    <w:p w14:paraId="39AC1D43">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（7）投标人不存在法律法规规定的其他情形。</w:t>
      </w:r>
    </w:p>
    <w:p w14:paraId="213C7D57">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注：联合体形式投标的，联合体所有成员均须满足</w:t>
      </w: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.1.3款信誉要求。</w:t>
      </w:r>
    </w:p>
    <w:p w14:paraId="472A57B6">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.2与招标人存在利害关系可能影响招标公正性的单位，不得参加本次投标。投标人（不包括同一联合体成员之间）具有下列情况之一的，不得同时参加本招标项目投标，否则相关投标均无效：</w:t>
      </w:r>
    </w:p>
    <w:p w14:paraId="3795EB52">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（1）单位负责人为同一人或者存在控股、管理关系的不同单位；</w:t>
      </w:r>
    </w:p>
    <w:p w14:paraId="76AC795E">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（2）对招投标造成影响的具有投资参股关系的关联企业；</w:t>
      </w:r>
    </w:p>
    <w:p w14:paraId="2C41E6A5">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（3）董事、监事、总经理、副总经理和财务负责人相互兼职的关联企业；</w:t>
      </w:r>
    </w:p>
    <w:p w14:paraId="0AFD196D">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（4）法律法规规章规定的具有关联关系的其他情形。</w:t>
      </w:r>
    </w:p>
    <w:p w14:paraId="340D1824">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color w:val="000000" w:themeColor="text1"/>
          <w:sz w:val="24"/>
          <w:highlight w:val="none"/>
          <w:lang w:eastAsia="zh-CN"/>
          <w14:textFill>
            <w14:solidFill>
              <w14:schemeClr w14:val="tx1"/>
            </w14:solidFill>
          </w14:textFill>
        </w:rPr>
        <w:t>.3本次招标接受联合体投标。联合体投标的，应满足下列要求：</w:t>
      </w:r>
    </w:p>
    <w:p w14:paraId="581644A4">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（1）联合体所有成员数量不得超过2家。</w:t>
      </w:r>
    </w:p>
    <w:p w14:paraId="097A2B09">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（2）联合体各方不得再以自己名义单独或参加其他联合体在本招标项目投标，否则相关投标均无效。</w:t>
      </w:r>
    </w:p>
    <w:p w14:paraId="3B3A5A84">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（3）联合体中标后，联合体各方应当共同与招标人签订合同，为履行合同向招标人承担连带责任。</w:t>
      </w:r>
    </w:p>
    <w:p w14:paraId="11EEC955">
      <w:pPr>
        <w:adjustRightInd w:val="0"/>
        <w:snapToGrid w:val="0"/>
        <w:spacing w:line="360" w:lineRule="auto"/>
        <w:ind w:firstLine="480" w:firstLineChars="200"/>
        <w:rPr>
          <w:rFonts w:hint="eastAsia" w:ascii="宋体" w:hAnsi="宋体" w:eastAsia="宋体" w:cs="宋体"/>
          <w:b w:val="0"/>
          <w:bCs/>
          <w:color w:val="000000" w:themeColor="text1"/>
          <w:sz w:val="24"/>
          <w:highlight w:val="none"/>
          <w:lang w:eastAsia="zh-CN"/>
          <w14:textFill>
            <w14:solidFill>
              <w14:schemeClr w14:val="tx1"/>
            </w14:solidFill>
          </w14:textFill>
        </w:rPr>
      </w:pPr>
      <w:r>
        <w:rPr>
          <w:rFonts w:hint="eastAsia" w:ascii="宋体" w:hAnsi="宋体" w:eastAsia="宋体" w:cs="宋体"/>
          <w:b w:val="0"/>
          <w:bCs/>
          <w:color w:val="000000" w:themeColor="text1"/>
          <w:sz w:val="24"/>
          <w:highlight w:val="none"/>
          <w:lang w:eastAsia="zh-CN"/>
          <w14:textFill>
            <w14:solidFill>
              <w14:schemeClr w14:val="tx1"/>
            </w14:solidFill>
          </w14:textFill>
        </w:rPr>
        <w:t>（4）联合体协议书中应明确联合体各方的有关责任与义务并就合同条款共同分担合同的义务。</w:t>
      </w:r>
    </w:p>
    <w:p w14:paraId="6442ADA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color w:val="000000"/>
          <w:sz w:val="24"/>
          <w:highlight w:val="none"/>
          <w:lang w:val="en-US" w:eastAsia="zh-CN"/>
        </w:rPr>
      </w:pPr>
    </w:p>
    <w:p w14:paraId="5ABE54D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br w:type="page"/>
      </w:r>
    </w:p>
    <w:p w14:paraId="4B3EE081">
      <w:pPr>
        <w:keepNext w:val="0"/>
        <w:keepLines w:val="0"/>
        <w:pageBreakBefore w:val="0"/>
        <w:widowControl w:val="0"/>
        <w:tabs>
          <w:tab w:val="left" w:pos="6397"/>
        </w:tabs>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三</w:t>
      </w:r>
      <w:r>
        <w:rPr>
          <w:rFonts w:hint="eastAsia" w:ascii="宋体" w:hAnsi="宋体" w:eastAsia="宋体" w:cs="宋体"/>
          <w:b w:val="0"/>
          <w:bCs/>
          <w:color w:val="auto"/>
          <w:sz w:val="24"/>
          <w:highlight w:val="none"/>
        </w:rPr>
        <w:t>、评标办法（</w:t>
      </w:r>
      <w:r>
        <w:rPr>
          <w:rFonts w:hint="eastAsia" w:ascii="宋体" w:hAnsi="宋体" w:eastAsia="宋体" w:cs="宋体"/>
          <w:b w:val="0"/>
          <w:bCs/>
          <w:color w:val="auto"/>
          <w:sz w:val="24"/>
          <w:highlight w:val="none"/>
          <w:lang w:val="en-US" w:eastAsia="zh-CN"/>
        </w:rPr>
        <w:t>双信封</w:t>
      </w:r>
      <w:r>
        <w:rPr>
          <w:rFonts w:hint="eastAsia" w:ascii="宋体" w:hAnsi="宋体" w:eastAsia="宋体" w:cs="宋体"/>
          <w:b w:val="0"/>
          <w:bCs/>
          <w:color w:val="auto"/>
          <w:sz w:val="24"/>
          <w:highlight w:val="none"/>
        </w:rPr>
        <w:t>综合评分法）</w:t>
      </w:r>
    </w:p>
    <w:p w14:paraId="23828648">
      <w:pPr>
        <w:keepNext w:val="0"/>
        <w:keepLines w:val="0"/>
        <w:pageBreakBefore w:val="0"/>
        <w:widowControl w:val="0"/>
        <w:kinsoku/>
        <w:wordWrap/>
        <w:overflowPunct/>
        <w:topLinePunct w:val="0"/>
        <w:autoSpaceDN/>
        <w:bidi w:val="0"/>
        <w:spacing w:line="440" w:lineRule="exact"/>
        <w:outlineLvl w:val="1"/>
        <w:rPr>
          <w:rFonts w:hint="eastAsia" w:ascii="宋体" w:hAnsi="宋体" w:eastAsia="宋体" w:cs="宋体"/>
          <w:b w:val="0"/>
          <w:bCs w:val="0"/>
          <w:color w:val="000000" w:themeColor="text1"/>
          <w:sz w:val="24"/>
          <w:szCs w:val="28"/>
          <w:highlight w:val="none"/>
          <w14:textFill>
            <w14:solidFill>
              <w14:schemeClr w14:val="tx1"/>
            </w14:solidFill>
          </w14:textFill>
        </w:rPr>
      </w:pPr>
      <w:bookmarkStart w:id="1" w:name="_Toc396461664"/>
      <w:bookmarkStart w:id="2" w:name="_Toc396460496"/>
      <w:bookmarkStart w:id="3" w:name="_Toc447602753"/>
      <w:bookmarkStart w:id="4" w:name="_Toc447145191"/>
      <w:r>
        <w:rPr>
          <w:rFonts w:hint="eastAsia" w:ascii="宋体" w:hAnsi="宋体" w:eastAsia="宋体" w:cs="宋体"/>
          <w:b w:val="0"/>
          <w:bCs w:val="0"/>
          <w:color w:val="000000" w:themeColor="text1"/>
          <w:sz w:val="24"/>
          <w:szCs w:val="28"/>
          <w:highlight w:val="none"/>
          <w14:textFill>
            <w14:solidFill>
              <w14:schemeClr w14:val="tx1"/>
            </w14:solidFill>
          </w14:textFill>
        </w:rPr>
        <w:t>评标办法前附表</w:t>
      </w:r>
      <w:bookmarkEnd w:id="1"/>
      <w:bookmarkEnd w:id="2"/>
      <w:r>
        <w:rPr>
          <w:rStyle w:val="16"/>
          <w:rFonts w:hint="eastAsia" w:ascii="宋体" w:hAnsi="宋体" w:eastAsia="宋体" w:cs="宋体"/>
          <w:b w:val="0"/>
          <w:bCs w:val="0"/>
          <w:color w:val="000000" w:themeColor="text1"/>
          <w:kern w:val="44"/>
          <w:sz w:val="30"/>
          <w:szCs w:val="30"/>
          <w:highlight w:val="none"/>
          <w14:textFill>
            <w14:solidFill>
              <w14:schemeClr w14:val="tx1"/>
            </w14:solidFill>
          </w14:textFill>
        </w:rPr>
        <w:footnoteReference w:id="0"/>
      </w:r>
      <w:bookmarkEnd w:id="3"/>
      <w:bookmarkEnd w:id="4"/>
    </w:p>
    <w:tbl>
      <w:tblPr>
        <w:tblStyle w:val="13"/>
        <w:tblW w:w="98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237"/>
        <w:gridCol w:w="7661"/>
      </w:tblGrid>
      <w:tr w14:paraId="081DD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2178" w:type="dxa"/>
            <w:gridSpan w:val="2"/>
            <w:tcBorders>
              <w:tl2br w:val="nil"/>
              <w:tr2bl w:val="nil"/>
            </w:tcBorders>
            <w:vAlign w:val="center"/>
          </w:tcPr>
          <w:p w14:paraId="3CD76A74">
            <w:pPr>
              <w:keepNext w:val="0"/>
              <w:keepLines w:val="0"/>
              <w:pageBreakBefore w:val="0"/>
              <w:widowControl w:val="0"/>
              <w:kinsoku/>
              <w:wordWrap/>
              <w:overflowPunct/>
              <w:topLinePunct w:val="0"/>
              <w:autoSpaceDN/>
              <w:bidi w:val="0"/>
              <w:snapToGrid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条款号/名称</w:t>
            </w:r>
          </w:p>
        </w:tc>
        <w:tc>
          <w:tcPr>
            <w:tcW w:w="7661" w:type="dxa"/>
            <w:tcBorders>
              <w:tl2br w:val="nil"/>
              <w:tr2bl w:val="nil"/>
            </w:tcBorders>
            <w:vAlign w:val="center"/>
          </w:tcPr>
          <w:p w14:paraId="6AADEE47">
            <w:pPr>
              <w:keepNext w:val="0"/>
              <w:keepLines w:val="0"/>
              <w:pageBreakBefore w:val="0"/>
              <w:widowControl w:val="0"/>
              <w:kinsoku/>
              <w:wordWrap/>
              <w:overflowPunct/>
              <w:topLinePunct w:val="0"/>
              <w:autoSpaceDN/>
              <w:bidi w:val="0"/>
              <w:snapToGrid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评审因素与标准</w:t>
            </w:r>
          </w:p>
        </w:tc>
      </w:tr>
      <w:tr w14:paraId="4DF11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941" w:type="dxa"/>
            <w:tcBorders>
              <w:tl2br w:val="nil"/>
              <w:tr2bl w:val="nil"/>
            </w:tcBorders>
            <w:vAlign w:val="center"/>
          </w:tcPr>
          <w:p w14:paraId="2A7A826B">
            <w:pPr>
              <w:keepNext w:val="0"/>
              <w:keepLines w:val="0"/>
              <w:pageBreakBefore w:val="0"/>
              <w:widowControl w:val="0"/>
              <w:kinsoku/>
              <w:wordWrap/>
              <w:overflowPunct/>
              <w:topLinePunct w:val="0"/>
              <w:autoSpaceDN/>
              <w:bidi w:val="0"/>
              <w:snapToGrid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1237" w:type="dxa"/>
            <w:tcBorders>
              <w:tl2br w:val="nil"/>
              <w:tr2bl w:val="nil"/>
            </w:tcBorders>
            <w:vAlign w:val="center"/>
          </w:tcPr>
          <w:p w14:paraId="298CDC39">
            <w:pPr>
              <w:keepNext w:val="0"/>
              <w:keepLines w:val="0"/>
              <w:pageBreakBefore w:val="0"/>
              <w:widowControl w:val="0"/>
              <w:kinsoku/>
              <w:wordWrap/>
              <w:overflowPunct/>
              <w:topLinePunct w:val="0"/>
              <w:autoSpaceDN/>
              <w:bidi w:val="0"/>
              <w:snapToGrid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评标办法</w:t>
            </w:r>
          </w:p>
        </w:tc>
        <w:tc>
          <w:tcPr>
            <w:tcW w:w="7661" w:type="dxa"/>
            <w:tcBorders>
              <w:tl2br w:val="nil"/>
              <w:tr2bl w:val="nil"/>
            </w:tcBorders>
            <w:vAlign w:val="center"/>
          </w:tcPr>
          <w:p w14:paraId="3BB207C7">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综合评分相等时，评标委员会依次按照以下优先顺序推荐中标候选人：</w:t>
            </w:r>
          </w:p>
          <w:p w14:paraId="3D56B42A">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（1）评标价低的投标人优先；</w:t>
            </w:r>
          </w:p>
          <w:p w14:paraId="1E2B6BF9">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（2）技术得分较高的投标人优先；</w:t>
            </w:r>
          </w:p>
          <w:p w14:paraId="225DECDC">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（3）最终投标文件上传至交易平台较早的投标人优先。</w:t>
            </w:r>
          </w:p>
        </w:tc>
      </w:tr>
      <w:tr w14:paraId="0B8887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41" w:hRule="atLeast"/>
          <w:jc w:val="center"/>
        </w:trPr>
        <w:tc>
          <w:tcPr>
            <w:tcW w:w="941" w:type="dxa"/>
            <w:tcBorders>
              <w:tl2br w:val="nil"/>
              <w:tr2bl w:val="nil"/>
            </w:tcBorders>
            <w:vAlign w:val="center"/>
          </w:tcPr>
          <w:p w14:paraId="1255A0C4">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2.1.1</w:t>
            </w:r>
          </w:p>
          <w:p w14:paraId="0294A690">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2.1.3</w:t>
            </w:r>
          </w:p>
        </w:tc>
        <w:tc>
          <w:tcPr>
            <w:tcW w:w="1237" w:type="dxa"/>
            <w:tcBorders>
              <w:tl2br w:val="nil"/>
              <w:tr2bl w:val="nil"/>
            </w:tcBorders>
            <w:vAlign w:val="center"/>
          </w:tcPr>
          <w:p w14:paraId="1E52A744">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形式评审与响应性评审标准</w:t>
            </w:r>
          </w:p>
        </w:tc>
        <w:tc>
          <w:tcPr>
            <w:tcW w:w="7661" w:type="dxa"/>
            <w:tcBorders>
              <w:tl2br w:val="nil"/>
              <w:tr2bl w:val="nil"/>
            </w:tcBorders>
            <w:vAlign w:val="center"/>
          </w:tcPr>
          <w:p w14:paraId="69BC74F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第一个信封（商务及技术文件）评审标准： </w:t>
            </w:r>
          </w:p>
          <w:p w14:paraId="0389526A">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（1）投标文件按照招标文件规定的格式、内容填写，字迹清晰可辨：</w:t>
            </w:r>
          </w:p>
          <w:p w14:paraId="3F67A83F">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a.投标函按招标文件规定填报；</w:t>
            </w:r>
          </w:p>
          <w:p w14:paraId="76B2285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b.投标文件组成齐全完整，内容均按规定填写。</w:t>
            </w:r>
          </w:p>
          <w:p w14:paraId="1E4CF1C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（2）投标文件上法定代表人的电子签章、投标人单位的电子签章齐全，符合招标文件规定。</w:t>
            </w:r>
          </w:p>
          <w:p w14:paraId="04F3A71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（3）投标人按照招标文件的规定提供了投标保证金：</w:t>
            </w:r>
          </w:p>
          <w:p w14:paraId="207E75D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a.投标保证金金额符合招标文件规定的金额，且投标保证金有效期不少于投标有效期；</w:t>
            </w:r>
          </w:p>
          <w:p w14:paraId="1A416F9B">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b.若投标保证金采用现金形式提交，投标人应在递交投标文件截止时间之前，将投标保证金由投标人的基本账户转入招标人指定账户； </w:t>
            </w:r>
          </w:p>
          <w:p w14:paraId="24EC20AB">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c.若投标保证金采用非现金交易担保方式提交，保函的格式、开具保函或保证保险的单位均满足招标文件要求。</w:t>
            </w:r>
          </w:p>
          <w:p w14:paraId="4413943E">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（4）投标人法定代表人提供了法定代表人身份证明。</w:t>
            </w:r>
          </w:p>
          <w:p w14:paraId="0BBEADB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（5）投标人以联合体形式投标时，投标人按照招标文件提供的格式签订了联合体协议书，明确各方承担连带责任，并明确了联合体牵头人，满足招标文件对联合体的要求。</w:t>
            </w:r>
          </w:p>
          <w:p w14:paraId="7772C1C6">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（6）同一投标人未提交两个以上不同的投标文件。</w:t>
            </w:r>
          </w:p>
          <w:p w14:paraId="4C8A20C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（7）投标文件中未出现有关投标报价的内容。</w:t>
            </w:r>
          </w:p>
          <w:p w14:paraId="75A617BA">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（8）投标文件载明的招标项目完成期限满足招标文件规定。</w:t>
            </w:r>
          </w:p>
          <w:p w14:paraId="74770B2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（9）投标文件对招标文件的实质性要求和条件作出响应。</w:t>
            </w:r>
          </w:p>
          <w:p w14:paraId="33A88464">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（10）权利义务符合招标文件规定：</w:t>
            </w:r>
          </w:p>
          <w:p w14:paraId="2C6F5FA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a.投标人应接受招标文件规定的风险划分原则，未提出新的风险划分办法；</w:t>
            </w:r>
          </w:p>
          <w:p w14:paraId="4D5A4152">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b.投标人未增加发包人的责任范围，或减少投标人义务；</w:t>
            </w:r>
          </w:p>
          <w:p w14:paraId="70673EC4">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c.投标人未提出不同的工程验收、计量、支付办法；</w:t>
            </w:r>
          </w:p>
          <w:p w14:paraId="58EDD63C">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d.投标人对合同纠纷、事故处理办法未提出异议；</w:t>
            </w:r>
          </w:p>
          <w:p w14:paraId="505A7517">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e.投标人在投标活动中无欺诈行为；</w:t>
            </w:r>
          </w:p>
          <w:p w14:paraId="6E1E56C7">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f.投标人未对合同条款有重要保留。</w:t>
            </w:r>
          </w:p>
          <w:p w14:paraId="531F79F3">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（11）投标人名称与营业执照、开户许可证（或基本存款账户信息）一致，如企业名称有变更的，应提供变更记录或相关部门的合法批件影印件。</w:t>
            </w:r>
          </w:p>
          <w:p w14:paraId="2087313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（12）电子投标文件符合招标文件规定。</w:t>
            </w:r>
          </w:p>
          <w:p w14:paraId="7C24F68B">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（13）投标人未提交分包计划。</w:t>
            </w:r>
          </w:p>
          <w:p w14:paraId="61543FFE">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（14）投标文件未附有招标人不能接受的其他条件。</w:t>
            </w:r>
          </w:p>
          <w:p w14:paraId="67DA104D">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第二个信封（报价文件）评审标准：</w:t>
            </w:r>
          </w:p>
          <w:p w14:paraId="02A21CD9">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（1）投标文件按照招标文件规定的格式、内容填写，字迹清晰可辨，内容齐全完整：</w:t>
            </w:r>
          </w:p>
          <w:p w14:paraId="097F6C3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a．投标函按照招标文件规定填报；</w:t>
            </w:r>
          </w:p>
          <w:p w14:paraId="7DCAD48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b．投标文件组成齐全完整，内容均按规定填写。</w:t>
            </w:r>
          </w:p>
          <w:p w14:paraId="31610DBE">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（2）投标文件上法定代表人的电子签名、投标人的单位电子签章齐全，符合招标文件规定。 </w:t>
            </w:r>
          </w:p>
          <w:p w14:paraId="5433358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（3）投标报价未超过招标文件设定的最高投标限价或最终控制价上限。 </w:t>
            </w:r>
          </w:p>
          <w:p w14:paraId="6F65160A">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（4）投标报价的大写金额能够确定具体数值。 </w:t>
            </w:r>
          </w:p>
          <w:p w14:paraId="43B437B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 xml:space="preserve">（5）同一投标人未提交两个以上不同的投标报价，但招标文件要求提交备选投标的除外。 </w:t>
            </w:r>
          </w:p>
          <w:p w14:paraId="2DEB51F3">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（6）电子投标文件符合招标文件规定。</w:t>
            </w:r>
          </w:p>
          <w:p w14:paraId="7D2A8CA3">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（7）投标文件未附有招标人不能接受的其他条件。</w:t>
            </w:r>
          </w:p>
        </w:tc>
      </w:tr>
      <w:tr w14:paraId="33014C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8" w:hRule="atLeast"/>
          <w:jc w:val="center"/>
        </w:trPr>
        <w:tc>
          <w:tcPr>
            <w:tcW w:w="941" w:type="dxa"/>
            <w:tcBorders>
              <w:tl2br w:val="nil"/>
              <w:tr2bl w:val="nil"/>
            </w:tcBorders>
            <w:vAlign w:val="center"/>
          </w:tcPr>
          <w:p w14:paraId="79803A9B">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2.1.2</w:t>
            </w:r>
          </w:p>
        </w:tc>
        <w:tc>
          <w:tcPr>
            <w:tcW w:w="1237" w:type="dxa"/>
            <w:tcBorders>
              <w:tl2br w:val="nil"/>
              <w:tr2bl w:val="nil"/>
            </w:tcBorders>
            <w:vAlign w:val="center"/>
          </w:tcPr>
          <w:p w14:paraId="4A6185D5">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资格评审标准</w:t>
            </w:r>
          </w:p>
        </w:tc>
        <w:tc>
          <w:tcPr>
            <w:tcW w:w="7661" w:type="dxa"/>
            <w:tcBorders>
              <w:tl2br w:val="nil"/>
              <w:tr2bl w:val="nil"/>
            </w:tcBorders>
            <w:vAlign w:val="center"/>
          </w:tcPr>
          <w:p w14:paraId="1322A9C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（1）投标人具备有效的营业执照和开户许可证（或基本存款账户信息）。</w:t>
            </w:r>
          </w:p>
          <w:p w14:paraId="18B256C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（2）投标人的资质要求符合招标文件投标人须知附录1规定。</w:t>
            </w:r>
          </w:p>
          <w:p w14:paraId="13780396">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（3）投标人的业绩要求符合招标文件投标人须知附录2规定。</w:t>
            </w:r>
          </w:p>
          <w:p w14:paraId="00CC09B4">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（4）投标人的信誉要求符合招标文件投标人须知附录3规定。</w:t>
            </w:r>
          </w:p>
          <w:p w14:paraId="128CED0D">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（5）投标人的项目负责人资格要求符合招标文件投标人须知附录4规定。</w:t>
            </w:r>
          </w:p>
          <w:p w14:paraId="44C4F2ED">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（6）投标人不存在第二章“投标人须知”第1.4.3项或第1.4.4项规定的任何一种情形。</w:t>
            </w:r>
          </w:p>
          <w:p w14:paraId="05574DCF">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14:textFill>
                  <w14:solidFill>
                    <w14:schemeClr w14:val="tx1"/>
                  </w14:solidFill>
                </w14:textFill>
              </w:rPr>
              <w:t>（7）以联合体形式参与投标的，联合体各方均未再以自己名义单独或参加其他联合体在本项目投标；独立参与投标的，投标人未同时参加联合体在本项目投标。</w:t>
            </w:r>
          </w:p>
        </w:tc>
      </w:tr>
      <w:tr w14:paraId="2FA0B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41" w:type="dxa"/>
            <w:tcBorders>
              <w:tl2br w:val="nil"/>
              <w:tr2bl w:val="nil"/>
            </w:tcBorders>
            <w:vAlign w:val="center"/>
          </w:tcPr>
          <w:p w14:paraId="74C5098E">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2.2.1</w:t>
            </w:r>
          </w:p>
        </w:tc>
        <w:tc>
          <w:tcPr>
            <w:tcW w:w="1237" w:type="dxa"/>
            <w:tcBorders>
              <w:tl2br w:val="nil"/>
              <w:tr2bl w:val="nil"/>
            </w:tcBorders>
            <w:vAlign w:val="center"/>
          </w:tcPr>
          <w:p w14:paraId="0BF3BC10">
            <w:pPr>
              <w:keepNext w:val="0"/>
              <w:keepLines w:val="0"/>
              <w:pageBreakBefore w:val="0"/>
              <w:widowControl w:val="0"/>
              <w:kinsoku/>
              <w:wordWrap/>
              <w:overflowPunct/>
              <w:topLinePunct w:val="0"/>
              <w:autoSpaceDN/>
              <w:bidi w:val="0"/>
              <w:spacing w:line="500" w:lineRule="exact"/>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分值构成</w:t>
            </w:r>
          </w:p>
        </w:tc>
        <w:tc>
          <w:tcPr>
            <w:tcW w:w="7661" w:type="dxa"/>
            <w:tcBorders>
              <w:tl2br w:val="nil"/>
              <w:tr2bl w:val="nil"/>
            </w:tcBorders>
            <w:vAlign w:val="center"/>
          </w:tcPr>
          <w:p w14:paraId="199F1739">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第一个信封（商务及技术文件）评分分值构成：</w:t>
            </w:r>
          </w:p>
          <w:p w14:paraId="66A595EB">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技术建议书：35分</w:t>
            </w:r>
          </w:p>
          <w:p w14:paraId="50C8393F">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主要人员：25分</w:t>
            </w:r>
          </w:p>
          <w:p w14:paraId="4D729F6C">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bidi="ar"/>
                <w14:textFill>
                  <w14:solidFill>
                    <w14:schemeClr w14:val="tx1"/>
                  </w14:solidFill>
                </w14:textFill>
              </w:rPr>
            </w:pPr>
            <w:r>
              <w:rPr>
                <w:rFonts w:hint="eastAsia" w:ascii="宋体" w:hAnsi="宋体" w:eastAsia="宋体" w:cs="宋体"/>
                <w:b w:val="0"/>
                <w:bCs w:val="0"/>
                <w:color w:val="000000" w:themeColor="text1"/>
                <w:szCs w:val="21"/>
                <w:highlight w:val="none"/>
                <w:lang w:bidi="ar"/>
                <w14:textFill>
                  <w14:solidFill>
                    <w14:schemeClr w14:val="tx1"/>
                  </w14:solidFill>
                </w14:textFill>
              </w:rPr>
              <w:t>业绩：</w:t>
            </w:r>
            <w:r>
              <w:rPr>
                <w:rFonts w:hint="eastAsia" w:ascii="宋体" w:hAnsi="宋体" w:eastAsia="宋体" w:cs="宋体"/>
                <w:b w:val="0"/>
                <w:bCs w:val="0"/>
                <w:color w:val="000000" w:themeColor="text1"/>
                <w:szCs w:val="21"/>
                <w:highlight w:val="none"/>
                <w:lang w:val="en-US" w:eastAsia="zh-CN" w:bidi="ar"/>
                <w14:textFill>
                  <w14:solidFill>
                    <w14:schemeClr w14:val="tx1"/>
                  </w14:solidFill>
                </w14:textFill>
              </w:rPr>
              <w:t>25</w:t>
            </w:r>
            <w:r>
              <w:rPr>
                <w:rFonts w:hint="eastAsia" w:ascii="宋体" w:hAnsi="宋体" w:eastAsia="宋体" w:cs="宋体"/>
                <w:b w:val="0"/>
                <w:bCs w:val="0"/>
                <w:color w:val="000000" w:themeColor="text1"/>
                <w:szCs w:val="21"/>
                <w:highlight w:val="none"/>
                <w:lang w:bidi="ar"/>
                <w14:textFill>
                  <w14:solidFill>
                    <w14:schemeClr w14:val="tx1"/>
                  </w14:solidFill>
                </w14:textFill>
              </w:rPr>
              <w:t>分</w:t>
            </w:r>
          </w:p>
          <w:p w14:paraId="04ECB10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履约信誉：5分</w:t>
            </w:r>
          </w:p>
          <w:p w14:paraId="75BC56E9">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第二个信封（报价文件）评分分值构成：</w:t>
            </w:r>
          </w:p>
          <w:p w14:paraId="7ACE399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auto"/>
                <w:szCs w:val="21"/>
                <w:highlight w:val="none"/>
                <w:lang w:val="en-US" w:eastAsia="zh-CN"/>
              </w:rPr>
              <w:t>评标价：10分</w:t>
            </w:r>
          </w:p>
        </w:tc>
      </w:tr>
      <w:tr w14:paraId="2CD230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1" w:type="dxa"/>
            <w:tcBorders>
              <w:tl2br w:val="nil"/>
              <w:tr2bl w:val="nil"/>
            </w:tcBorders>
            <w:vAlign w:val="center"/>
          </w:tcPr>
          <w:p w14:paraId="032F581F">
            <w:pPr>
              <w:keepNext w:val="0"/>
              <w:keepLines w:val="0"/>
              <w:pageBreakBefore w:val="0"/>
              <w:widowControl w:val="0"/>
              <w:kinsoku/>
              <w:wordWrap/>
              <w:overflowPunct/>
              <w:topLinePunct w:val="0"/>
              <w:autoSpaceDN/>
              <w:bidi w:val="0"/>
              <w:spacing w:line="500" w:lineRule="exact"/>
              <w:ind w:right="113"/>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2.2.2</w:t>
            </w:r>
          </w:p>
        </w:tc>
        <w:tc>
          <w:tcPr>
            <w:tcW w:w="1237" w:type="dxa"/>
            <w:tcBorders>
              <w:tl2br w:val="nil"/>
              <w:tr2bl w:val="nil"/>
            </w:tcBorders>
            <w:vAlign w:val="center"/>
          </w:tcPr>
          <w:p w14:paraId="53108F6E">
            <w:pPr>
              <w:keepNext w:val="0"/>
              <w:keepLines w:val="0"/>
              <w:pageBreakBefore w:val="0"/>
              <w:widowControl w:val="0"/>
              <w:kinsoku/>
              <w:wordWrap/>
              <w:overflowPunct/>
              <w:topLinePunct w:val="0"/>
              <w:autoSpaceDN/>
              <w:bidi w:val="0"/>
              <w:spacing w:line="500" w:lineRule="exact"/>
              <w:ind w:right="113"/>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评标基准价计算方法</w:t>
            </w:r>
          </w:p>
        </w:tc>
        <w:tc>
          <w:tcPr>
            <w:tcW w:w="7661" w:type="dxa"/>
            <w:tcBorders>
              <w:tl2br w:val="nil"/>
              <w:tr2bl w:val="nil"/>
            </w:tcBorders>
            <w:vAlign w:val="center"/>
          </w:tcPr>
          <w:p w14:paraId="5A3D93C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评标基准价的计算：</w:t>
            </w:r>
          </w:p>
          <w:p w14:paraId="353FA305">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（1）评标价的确定：</w:t>
            </w:r>
          </w:p>
          <w:p w14:paraId="36A772E5">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有效评标价=第二个信封开标现场未被宣布为无效投标的投标报价函文字报价。</w:t>
            </w:r>
          </w:p>
          <w:p w14:paraId="1C70305A">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出现第二章“投标人须知”第5.2.4项所规定情况的投标文件，应做投标无效处理，其投标报价视为无效报价，不参与任何计算。</w:t>
            </w:r>
          </w:p>
          <w:p w14:paraId="016ED276">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（2）确定最终控制价上限G2</w:t>
            </w:r>
          </w:p>
          <w:p w14:paraId="15899018">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第二个信封开标现场随机抽取投标控制价上限的下浮系数X1。</w:t>
            </w:r>
          </w:p>
          <w:p w14:paraId="602219BB">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（X1为0.5%、1%、1.5%、2%、2.5%、3%六个数值中的一个）。</w:t>
            </w:r>
          </w:p>
          <w:p w14:paraId="3CDD6042">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最终控制价上限G2=G1×（1-X1）</w:t>
            </w:r>
          </w:p>
          <w:p w14:paraId="35BCB6BE">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G1=各标段最高投标限价（含暂列金额）。</w:t>
            </w:r>
          </w:p>
          <w:p w14:paraId="40D43E22">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如投标人评标价高于本标段的G2，则视其为超出招标人的支付能力，将不再参与后续任何计算，按投标无效处理。</w:t>
            </w:r>
          </w:p>
          <w:p w14:paraId="736E02EA">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（3）确定理论成本价LC</w:t>
            </w:r>
          </w:p>
          <w:p w14:paraId="3C9792FD">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所有不高于G2的有效评标价的算术平均值的50%（当有效评标价有5个及以上时，应去掉其中的最高值和最低值）与G2的50%相加后，乘以成本价系数0.85所得数值为该标段的理论成本价。</w:t>
            </w:r>
          </w:p>
          <w:p w14:paraId="336F4F71">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LC=（0.5×G2+0.5×SP1）×0.85</w:t>
            </w:r>
          </w:p>
          <w:p w14:paraId="692AD7B5">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SP1——该标段所有不高于G2的有效评标价的算术平均值（当有效评标价有5个及以上时，应去掉其中的最高值和最低值）</w:t>
            </w:r>
          </w:p>
          <w:p w14:paraId="43AF3AF6">
            <w:pPr>
              <w:keepNext w:val="0"/>
              <w:keepLines w:val="0"/>
              <w:pageBreakBefore w:val="0"/>
              <w:kinsoku/>
              <w:wordWrap/>
              <w:overflowPunct/>
              <w:topLinePunct w:val="0"/>
              <w:autoSpaceDE/>
              <w:autoSpaceDN/>
              <w:bidi w:val="0"/>
              <w:adjustRightInd/>
              <w:spacing w:line="360" w:lineRule="exact"/>
              <w:jc w:val="both"/>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color w:val="auto"/>
                <w:sz w:val="21"/>
                <w:szCs w:val="21"/>
                <w:highlight w:val="none"/>
              </w:rPr>
              <w:t>评标价低于理论成本价的，不再参与后续计算。</w:t>
            </w:r>
          </w:p>
          <w:p w14:paraId="6CB3D2E9">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（4）确定评标基准价JZ</w:t>
            </w:r>
          </w:p>
          <w:p w14:paraId="166769BB">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评标基准价=［最终投标控制价上限×加权系数＋有效评标价算术平均值×（1-加权系数）］×评标基准价系数</w:t>
            </w:r>
          </w:p>
          <w:p w14:paraId="27263BA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式中：加权系数（X2）应从0.3、0.35、0.4中选取，评标基准价系数（X3）应从0.96、0.97、0.98、0.99中选取，均在开标现场随机抽取确定。</w:t>
            </w:r>
          </w:p>
          <w:p w14:paraId="5CE99877">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有效评标价指介于理论成本价（含）与最终投标控制价上限（含）范围内的评标价。当有效评标价数量大于5时，应去掉其中的最高和最低值，再进行有效评标价算术平均值计算。</w:t>
            </w:r>
          </w:p>
          <w:p w14:paraId="2F0B3AB0">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在评标过程中，评标委员会应对招标人计算的评标基准价进行复核，存在计算错误的应予以修正并在评标报告中作出说明。除此之外，评标基准价在整个评标期间保持不变，不随任何因素发生变化。</w:t>
            </w:r>
          </w:p>
          <w:p w14:paraId="7660B02E">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上述相关系数（X1、X2、X3）在开标现场随机抽取。</w:t>
            </w:r>
          </w:p>
        </w:tc>
      </w:tr>
      <w:tr w14:paraId="3FFDB0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41" w:type="dxa"/>
            <w:tcBorders>
              <w:tl2br w:val="nil"/>
              <w:tr2bl w:val="nil"/>
            </w:tcBorders>
            <w:vAlign w:val="center"/>
          </w:tcPr>
          <w:p w14:paraId="6D70D218">
            <w:pPr>
              <w:keepNext w:val="0"/>
              <w:keepLines w:val="0"/>
              <w:pageBreakBefore w:val="0"/>
              <w:widowControl w:val="0"/>
              <w:kinsoku/>
              <w:wordWrap/>
              <w:overflowPunct/>
              <w:topLinePunct w:val="0"/>
              <w:autoSpaceDN/>
              <w:bidi w:val="0"/>
              <w:spacing w:line="500" w:lineRule="exact"/>
              <w:ind w:right="113"/>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2.2.3</w:t>
            </w:r>
          </w:p>
        </w:tc>
        <w:tc>
          <w:tcPr>
            <w:tcW w:w="1237" w:type="dxa"/>
            <w:tcBorders>
              <w:tl2br w:val="nil"/>
              <w:tr2bl w:val="nil"/>
            </w:tcBorders>
            <w:vAlign w:val="center"/>
          </w:tcPr>
          <w:p w14:paraId="39CFB0AE">
            <w:pPr>
              <w:keepNext w:val="0"/>
              <w:keepLines w:val="0"/>
              <w:pageBreakBefore w:val="0"/>
              <w:widowControl w:val="0"/>
              <w:kinsoku/>
              <w:wordWrap/>
              <w:overflowPunct/>
              <w:topLinePunct w:val="0"/>
              <w:autoSpaceDN/>
              <w:bidi w:val="0"/>
              <w:spacing w:line="500" w:lineRule="exact"/>
              <w:ind w:right="113"/>
              <w:jc w:val="center"/>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评标价的偏差率计算公式</w:t>
            </w:r>
          </w:p>
        </w:tc>
        <w:tc>
          <w:tcPr>
            <w:tcW w:w="7661" w:type="dxa"/>
            <w:tcBorders>
              <w:tl2br w:val="nil"/>
              <w:tr2bl w:val="nil"/>
            </w:tcBorders>
            <w:vAlign w:val="center"/>
          </w:tcPr>
          <w:p w14:paraId="57667352">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偏差率=100%×（投标人评标价-评标基准价）/评标基准价</w:t>
            </w:r>
          </w:p>
          <w:p w14:paraId="7395DCAC">
            <w:pPr>
              <w:keepNext w:val="0"/>
              <w:keepLines w:val="0"/>
              <w:pageBreakBefore w:val="0"/>
              <w:kinsoku/>
              <w:wordWrap/>
              <w:overflowPunct/>
              <w:topLinePunct w:val="0"/>
              <w:bidi w:val="0"/>
              <w:spacing w:line="360" w:lineRule="exact"/>
              <w:jc w:val="both"/>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“（投标人评标价-评标基准价）/评标基准价”保留至小数点后三位，小数点后第四位“四舍五入”。</w:t>
            </w:r>
          </w:p>
        </w:tc>
      </w:tr>
    </w:tbl>
    <w:p w14:paraId="5A2E56F4">
      <w:pPr>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br w:type="page"/>
      </w:r>
    </w:p>
    <w:tbl>
      <w:tblPr>
        <w:tblStyle w:val="13"/>
        <w:tblW w:w="98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139" w:type="dxa"/>
          <w:left w:w="74" w:type="dxa"/>
          <w:bottom w:w="29" w:type="dxa"/>
          <w:right w:w="74" w:type="dxa"/>
        </w:tblCellMar>
      </w:tblPr>
      <w:tblGrid>
        <w:gridCol w:w="807"/>
        <w:gridCol w:w="943"/>
        <w:gridCol w:w="1017"/>
        <w:gridCol w:w="1870"/>
        <w:gridCol w:w="728"/>
        <w:gridCol w:w="4474"/>
      </w:tblGrid>
      <w:tr w14:paraId="5EC754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586" w:hRule="atLeast"/>
          <w:jc w:val="center"/>
        </w:trPr>
        <w:tc>
          <w:tcPr>
            <w:tcW w:w="5365" w:type="dxa"/>
            <w:gridSpan w:val="5"/>
            <w:tcBorders>
              <w:tl2br w:val="nil"/>
              <w:tr2bl w:val="nil"/>
            </w:tcBorders>
            <w:vAlign w:val="center"/>
          </w:tcPr>
          <w:p w14:paraId="1DDB3958">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br w:type="page"/>
            </w:r>
            <w:r>
              <w:rPr>
                <w:rFonts w:hint="eastAsia" w:ascii="宋体" w:hAnsi="宋体" w:eastAsia="宋体" w:cs="宋体"/>
                <w:b w:val="0"/>
                <w:bCs w:val="0"/>
                <w:color w:val="000000" w:themeColor="text1"/>
                <w:sz w:val="21"/>
                <w:szCs w:val="21"/>
                <w:highlight w:val="none"/>
                <w14:textFill>
                  <w14:solidFill>
                    <w14:schemeClr w14:val="tx1"/>
                  </w14:solidFill>
                </w14:textFill>
              </w:rPr>
              <w:t>评分因素与权重分值</w:t>
            </w:r>
          </w:p>
        </w:tc>
        <w:tc>
          <w:tcPr>
            <w:tcW w:w="4474" w:type="dxa"/>
            <w:vMerge w:val="restart"/>
            <w:tcBorders>
              <w:tl2br w:val="nil"/>
              <w:tr2bl w:val="nil"/>
            </w:tcBorders>
            <w:vAlign w:val="center"/>
          </w:tcPr>
          <w:p w14:paraId="48460670">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评分标准</w:t>
            </w:r>
          </w:p>
        </w:tc>
      </w:tr>
      <w:tr w14:paraId="168645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799" w:hRule="atLeast"/>
          <w:jc w:val="center"/>
        </w:trPr>
        <w:tc>
          <w:tcPr>
            <w:tcW w:w="807" w:type="dxa"/>
            <w:tcBorders>
              <w:tl2br w:val="nil"/>
              <w:tr2bl w:val="nil"/>
            </w:tcBorders>
            <w:vAlign w:val="center"/>
          </w:tcPr>
          <w:p w14:paraId="6DA610E3">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条款号</w:t>
            </w:r>
          </w:p>
        </w:tc>
        <w:tc>
          <w:tcPr>
            <w:tcW w:w="943" w:type="dxa"/>
            <w:tcBorders>
              <w:tl2br w:val="nil"/>
              <w:tr2bl w:val="nil"/>
            </w:tcBorders>
            <w:vAlign w:val="center"/>
          </w:tcPr>
          <w:p w14:paraId="01E5961E">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评分因素</w:t>
            </w:r>
          </w:p>
        </w:tc>
        <w:tc>
          <w:tcPr>
            <w:tcW w:w="1017" w:type="dxa"/>
            <w:tcBorders>
              <w:tl2br w:val="nil"/>
              <w:tr2bl w:val="nil"/>
            </w:tcBorders>
            <w:vAlign w:val="center"/>
          </w:tcPr>
          <w:p w14:paraId="3F1C5C33">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评分因素权重分值</w:t>
            </w:r>
          </w:p>
        </w:tc>
        <w:tc>
          <w:tcPr>
            <w:tcW w:w="1870" w:type="dxa"/>
            <w:tcBorders>
              <w:tl2br w:val="nil"/>
              <w:tr2bl w:val="nil"/>
            </w:tcBorders>
            <w:vAlign w:val="center"/>
          </w:tcPr>
          <w:p w14:paraId="2B29A259">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各评分因素细分项</w:t>
            </w:r>
          </w:p>
        </w:tc>
        <w:tc>
          <w:tcPr>
            <w:tcW w:w="728" w:type="dxa"/>
            <w:tcBorders>
              <w:tl2br w:val="nil"/>
              <w:tr2bl w:val="nil"/>
            </w:tcBorders>
            <w:vAlign w:val="center"/>
          </w:tcPr>
          <w:p w14:paraId="30F54BD4">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分值</w:t>
            </w:r>
          </w:p>
        </w:tc>
        <w:tc>
          <w:tcPr>
            <w:tcW w:w="4474" w:type="dxa"/>
            <w:vMerge w:val="continue"/>
            <w:tcBorders>
              <w:tl2br w:val="nil"/>
              <w:tr2bl w:val="nil"/>
            </w:tcBorders>
            <w:vAlign w:val="center"/>
          </w:tcPr>
          <w:p w14:paraId="23E7F72F">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r>
      <w:tr w14:paraId="62D1D5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129" w:hRule="atLeast"/>
          <w:jc w:val="center"/>
        </w:trPr>
        <w:tc>
          <w:tcPr>
            <w:tcW w:w="807" w:type="dxa"/>
            <w:vMerge w:val="restart"/>
            <w:tcBorders>
              <w:tl2br w:val="nil"/>
              <w:tr2bl w:val="nil"/>
            </w:tcBorders>
            <w:vAlign w:val="center"/>
          </w:tcPr>
          <w:p w14:paraId="3A84F190">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2.2.4（1）</w:t>
            </w:r>
          </w:p>
        </w:tc>
        <w:tc>
          <w:tcPr>
            <w:tcW w:w="943" w:type="dxa"/>
            <w:vMerge w:val="restart"/>
            <w:tcBorders>
              <w:tl2br w:val="nil"/>
              <w:tr2bl w:val="nil"/>
            </w:tcBorders>
            <w:vAlign w:val="center"/>
          </w:tcPr>
          <w:p w14:paraId="6C0C90E3">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技术建</w:t>
            </w:r>
          </w:p>
          <w:p w14:paraId="7844B0DE">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议书</w:t>
            </w:r>
          </w:p>
        </w:tc>
        <w:tc>
          <w:tcPr>
            <w:tcW w:w="1017" w:type="dxa"/>
            <w:vMerge w:val="restart"/>
            <w:tcBorders>
              <w:tl2br w:val="nil"/>
              <w:tr2bl w:val="nil"/>
            </w:tcBorders>
            <w:vAlign w:val="center"/>
          </w:tcPr>
          <w:p w14:paraId="313D6EC9">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1870" w:type="dxa"/>
            <w:tcBorders>
              <w:tl2br w:val="nil"/>
              <w:tr2bl w:val="nil"/>
            </w:tcBorders>
            <w:vAlign w:val="center"/>
          </w:tcPr>
          <w:p w14:paraId="3EB88A69">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对招标项目的理解和总体服务思路</w:t>
            </w:r>
          </w:p>
        </w:tc>
        <w:tc>
          <w:tcPr>
            <w:tcW w:w="728" w:type="dxa"/>
            <w:tcBorders>
              <w:tl2br w:val="nil"/>
              <w:tr2bl w:val="nil"/>
            </w:tcBorders>
            <w:vAlign w:val="center"/>
          </w:tcPr>
          <w:p w14:paraId="3BED0A49">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c>
          <w:tcPr>
            <w:tcW w:w="4474" w:type="dxa"/>
            <w:tcBorders>
              <w:tl2br w:val="nil"/>
              <w:tr2bl w:val="nil"/>
            </w:tcBorders>
            <w:vAlign w:val="center"/>
          </w:tcPr>
          <w:p w14:paraId="299D12F0">
            <w:pPr>
              <w:keepNext w:val="0"/>
              <w:keepLines w:val="0"/>
              <w:pageBreakBefore w:val="0"/>
              <w:widowControl w:val="0"/>
              <w:kinsoku/>
              <w:wordWrap/>
              <w:overflowPunct/>
              <w:topLinePunct w:val="0"/>
              <w:autoSpaceDN/>
              <w:bidi w:val="0"/>
              <w:snapToGrid w:val="0"/>
              <w:spacing w:line="360" w:lineRule="auto"/>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基本分为</w:t>
            </w:r>
            <w:r>
              <w:rPr>
                <w:rFonts w:hint="eastAsia"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分，满分</w:t>
            </w:r>
            <w:r>
              <w:rPr>
                <w:rFonts w:hint="eastAsia"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p w14:paraId="702A4A40">
            <w:pPr>
              <w:keepNext w:val="0"/>
              <w:keepLines w:val="0"/>
              <w:pageBreakBefore w:val="0"/>
              <w:widowControl w:val="0"/>
              <w:kinsoku/>
              <w:wordWrap/>
              <w:overflowPunct/>
              <w:topLinePunct w:val="0"/>
              <w:autoSpaceDN/>
              <w:bidi w:val="0"/>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对招标项目的理解和思路准确，总体服务思路明晰、清楚，合理可行，最高加</w:t>
            </w:r>
            <w:r>
              <w:rPr>
                <w:rFonts w:hint="eastAsia"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r>
      <w:tr w14:paraId="61D01B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111" w:hRule="atLeast"/>
          <w:jc w:val="center"/>
        </w:trPr>
        <w:tc>
          <w:tcPr>
            <w:tcW w:w="807" w:type="dxa"/>
            <w:vMerge w:val="continue"/>
            <w:tcBorders>
              <w:tl2br w:val="nil"/>
              <w:tr2bl w:val="nil"/>
            </w:tcBorders>
            <w:vAlign w:val="center"/>
          </w:tcPr>
          <w:p w14:paraId="4B9B1CA7">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943" w:type="dxa"/>
            <w:vMerge w:val="continue"/>
            <w:tcBorders>
              <w:tl2br w:val="nil"/>
              <w:tr2bl w:val="nil"/>
            </w:tcBorders>
            <w:vAlign w:val="center"/>
          </w:tcPr>
          <w:p w14:paraId="0B0BA79E">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017" w:type="dxa"/>
            <w:vMerge w:val="continue"/>
            <w:tcBorders>
              <w:tl2br w:val="nil"/>
              <w:tr2bl w:val="nil"/>
            </w:tcBorders>
            <w:vAlign w:val="center"/>
          </w:tcPr>
          <w:p w14:paraId="0B2345C4">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p>
        </w:tc>
        <w:tc>
          <w:tcPr>
            <w:tcW w:w="1870" w:type="dxa"/>
            <w:tcBorders>
              <w:tl2br w:val="nil"/>
              <w:tr2bl w:val="nil"/>
            </w:tcBorders>
            <w:vAlign w:val="center"/>
          </w:tcPr>
          <w:p w14:paraId="35BDD124">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14:textFill>
                  <w14:solidFill>
                    <w14:schemeClr w14:val="tx1"/>
                  </w14:solidFill>
                </w14:textFill>
              </w:rPr>
              <w:t>数智管理中心</w:t>
            </w:r>
            <w:r>
              <w:rPr>
                <w:rFonts w:hint="eastAsia" w:cs="Times New Roman"/>
                <w:color w:val="000000" w:themeColor="text1"/>
                <w:szCs w:val="21"/>
                <w:highlight w:val="none"/>
                <w:lang w:val="en-US" w:eastAsia="zh-CN"/>
                <w14:textFill>
                  <w14:solidFill>
                    <w14:schemeClr w14:val="tx1"/>
                  </w14:solidFill>
                </w14:textFill>
              </w:rPr>
              <w:t>实施方案</w:t>
            </w:r>
          </w:p>
        </w:tc>
        <w:tc>
          <w:tcPr>
            <w:tcW w:w="728" w:type="dxa"/>
            <w:tcBorders>
              <w:tl2br w:val="nil"/>
              <w:tr2bl w:val="nil"/>
            </w:tcBorders>
            <w:vAlign w:val="center"/>
          </w:tcPr>
          <w:p w14:paraId="53AD8B84">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c>
          <w:tcPr>
            <w:tcW w:w="4474" w:type="dxa"/>
            <w:tcBorders>
              <w:tl2br w:val="nil"/>
              <w:tr2bl w:val="nil"/>
            </w:tcBorders>
            <w:vAlign w:val="center"/>
          </w:tcPr>
          <w:p w14:paraId="2CD90C03">
            <w:pPr>
              <w:keepNext w:val="0"/>
              <w:keepLines w:val="0"/>
              <w:pageBreakBefore w:val="0"/>
              <w:widowControl w:val="0"/>
              <w:kinsoku/>
              <w:wordWrap/>
              <w:overflowPunct/>
              <w:topLinePunct w:val="0"/>
              <w:autoSpaceDN/>
              <w:bidi w:val="0"/>
              <w:snapToGrid w:val="0"/>
              <w:spacing w:line="360" w:lineRule="auto"/>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基本分为</w:t>
            </w:r>
            <w:r>
              <w:rPr>
                <w:rFonts w:hint="eastAsia"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分，满分</w:t>
            </w:r>
            <w:r>
              <w:rPr>
                <w:rFonts w:hint="eastAsia"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p w14:paraId="6EA1CB60">
            <w:pPr>
              <w:keepNext w:val="0"/>
              <w:keepLines w:val="0"/>
              <w:pageBreakBefore w:val="0"/>
              <w:widowControl w:val="0"/>
              <w:kinsoku/>
              <w:wordWrap/>
              <w:overflowPunct/>
              <w:topLinePunct w:val="0"/>
              <w:autoSpaceDN/>
              <w:bidi w:val="0"/>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eastAsia" w:cs="Times New Roman"/>
                <w:color w:val="000000" w:themeColor="text1"/>
                <w:sz w:val="21"/>
                <w:szCs w:val="21"/>
                <w:highlight w:val="none"/>
                <w:lang w:val="en-US" w:eastAsia="zh-CN"/>
                <w14:textFill>
                  <w14:solidFill>
                    <w14:schemeClr w14:val="tx1"/>
                  </w14:solidFill>
                </w14:textFill>
              </w:rPr>
              <w:t>对策划设计、效果图设计、多媒体软件开发制作，多媒体硬件开发采购与安装调试，影片制作、模型设计制作、高性能机器人安装及部署等工作</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，符合项目建设目标和建设要求，从方案的科学性、合理性、可行性方面酌情加分，最高加</w:t>
            </w:r>
            <w:r>
              <w:rPr>
                <w:rFonts w:hint="eastAsia"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r>
      <w:tr w14:paraId="7DDED9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092" w:hRule="atLeast"/>
          <w:jc w:val="center"/>
        </w:trPr>
        <w:tc>
          <w:tcPr>
            <w:tcW w:w="807" w:type="dxa"/>
            <w:vMerge w:val="continue"/>
            <w:tcBorders>
              <w:tl2br w:val="nil"/>
              <w:tr2bl w:val="nil"/>
            </w:tcBorders>
            <w:vAlign w:val="center"/>
          </w:tcPr>
          <w:p w14:paraId="07A05594">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943" w:type="dxa"/>
            <w:vMerge w:val="continue"/>
            <w:tcBorders>
              <w:tl2br w:val="nil"/>
              <w:tr2bl w:val="nil"/>
            </w:tcBorders>
            <w:vAlign w:val="center"/>
          </w:tcPr>
          <w:p w14:paraId="15AA566D">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017" w:type="dxa"/>
            <w:vMerge w:val="continue"/>
            <w:tcBorders>
              <w:tl2br w:val="nil"/>
              <w:tr2bl w:val="nil"/>
            </w:tcBorders>
            <w:vAlign w:val="center"/>
          </w:tcPr>
          <w:p w14:paraId="30A8979A">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870" w:type="dxa"/>
            <w:tcBorders>
              <w:tl2br w:val="nil"/>
              <w:tr2bl w:val="nil"/>
            </w:tcBorders>
            <w:vAlign w:val="center"/>
          </w:tcPr>
          <w:p w14:paraId="2522F835">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数智化管理平台建设</w:t>
            </w:r>
            <w:r>
              <w:rPr>
                <w:rFonts w:hint="eastAsia" w:cs="Times New Roman"/>
                <w:color w:val="000000" w:themeColor="text1"/>
                <w:szCs w:val="21"/>
                <w:highlight w:val="none"/>
                <w:lang w:val="en-US" w:eastAsia="zh-CN"/>
                <w14:textFill>
                  <w14:solidFill>
                    <w14:schemeClr w14:val="tx1"/>
                  </w14:solidFill>
                </w14:textFill>
              </w:rPr>
              <w:t>实施方案</w:t>
            </w:r>
          </w:p>
        </w:tc>
        <w:tc>
          <w:tcPr>
            <w:tcW w:w="728" w:type="dxa"/>
            <w:tcBorders>
              <w:tl2br w:val="nil"/>
              <w:tr2bl w:val="nil"/>
            </w:tcBorders>
            <w:vAlign w:val="center"/>
          </w:tcPr>
          <w:p w14:paraId="2A0DA07C">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auto"/>
                <w:sz w:val="21"/>
                <w:szCs w:val="21"/>
                <w:highlight w:val="none"/>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c>
          <w:tcPr>
            <w:tcW w:w="4474" w:type="dxa"/>
            <w:tcBorders>
              <w:tl2br w:val="nil"/>
              <w:tr2bl w:val="nil"/>
            </w:tcBorders>
            <w:vAlign w:val="center"/>
          </w:tcPr>
          <w:p w14:paraId="4D39586C">
            <w:pPr>
              <w:keepNext w:val="0"/>
              <w:keepLines w:val="0"/>
              <w:pageBreakBefore w:val="0"/>
              <w:widowControl w:val="0"/>
              <w:kinsoku/>
              <w:wordWrap/>
              <w:overflowPunct/>
              <w:topLinePunct w:val="0"/>
              <w:autoSpaceDN/>
              <w:bidi w:val="0"/>
              <w:snapToGrid w:val="0"/>
              <w:spacing w:line="360" w:lineRule="auto"/>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基本分为</w:t>
            </w:r>
            <w:r>
              <w:rPr>
                <w:rFonts w:hint="eastAsia"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分，满分</w:t>
            </w:r>
            <w:r>
              <w:rPr>
                <w:rFonts w:hint="eastAsia" w:eastAsia="宋体"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p w14:paraId="5F04207D">
            <w:pPr>
              <w:keepNext w:val="0"/>
              <w:keepLines w:val="0"/>
              <w:pageBreakBefore w:val="0"/>
              <w:widowControl w:val="0"/>
              <w:kinsoku/>
              <w:wordWrap/>
              <w:overflowPunct/>
              <w:topLinePunct w:val="0"/>
              <w:autoSpaceDN/>
              <w:bidi w:val="0"/>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投标人</w:t>
            </w:r>
            <w:r>
              <w:rPr>
                <w:rFonts w:hint="eastAsia" w:cs="Times New Roman"/>
                <w:color w:val="000000" w:themeColor="text1"/>
                <w:sz w:val="21"/>
                <w:szCs w:val="21"/>
                <w:highlight w:val="none"/>
                <w:lang w:val="en-US" w:eastAsia="zh-CN"/>
                <w14:textFill>
                  <w14:solidFill>
                    <w14:schemeClr w14:val="tx1"/>
                  </w14:solidFill>
                </w14:textFill>
              </w:rPr>
              <w:t>对</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展厅数据、智慧管控中心</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平台建设</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符合项目建设目标和建设要求，从方案的科学性、合理性、可行性方面酌情加分，最高加</w:t>
            </w:r>
            <w:r>
              <w:rPr>
                <w:rFonts w:hint="eastAsia"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r>
      <w:tr w14:paraId="434A9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270" w:hRule="atLeast"/>
          <w:jc w:val="center"/>
        </w:trPr>
        <w:tc>
          <w:tcPr>
            <w:tcW w:w="807" w:type="dxa"/>
            <w:vMerge w:val="continue"/>
            <w:tcBorders>
              <w:tl2br w:val="nil"/>
              <w:tr2bl w:val="nil"/>
            </w:tcBorders>
            <w:vAlign w:val="center"/>
          </w:tcPr>
          <w:p w14:paraId="514108CB">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943" w:type="dxa"/>
            <w:vMerge w:val="continue"/>
            <w:tcBorders>
              <w:tl2br w:val="nil"/>
              <w:tr2bl w:val="nil"/>
            </w:tcBorders>
            <w:vAlign w:val="center"/>
          </w:tcPr>
          <w:p w14:paraId="517D3663">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017" w:type="dxa"/>
            <w:vMerge w:val="continue"/>
            <w:tcBorders>
              <w:tl2br w:val="nil"/>
              <w:tr2bl w:val="nil"/>
            </w:tcBorders>
            <w:vAlign w:val="center"/>
          </w:tcPr>
          <w:p w14:paraId="129D9971">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870" w:type="dxa"/>
            <w:tcBorders>
              <w:tl2br w:val="nil"/>
              <w:tr2bl w:val="nil"/>
            </w:tcBorders>
            <w:vAlign w:val="center"/>
          </w:tcPr>
          <w:p w14:paraId="5F4F1791">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运行维护期及</w:t>
            </w:r>
            <w:r>
              <w:rPr>
                <w:rFonts w:hint="eastAsia"/>
                <w:color w:val="000000" w:themeColor="text1"/>
                <w:sz w:val="21"/>
                <w:szCs w:val="21"/>
                <w:highlight w:val="none"/>
                <w14:textFill>
                  <w14:solidFill>
                    <w14:schemeClr w14:val="tx1"/>
                  </w14:solidFill>
                </w14:textFill>
              </w:rPr>
              <w:t>售后服务方案与能力</w:t>
            </w:r>
          </w:p>
        </w:tc>
        <w:tc>
          <w:tcPr>
            <w:tcW w:w="728" w:type="dxa"/>
            <w:tcBorders>
              <w:tl2br w:val="nil"/>
              <w:tr2bl w:val="nil"/>
            </w:tcBorders>
            <w:vAlign w:val="center"/>
          </w:tcPr>
          <w:p w14:paraId="5A4866A1">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auto"/>
                <w:sz w:val="21"/>
                <w:szCs w:val="21"/>
                <w:highlight w:val="none"/>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c>
          <w:tcPr>
            <w:tcW w:w="4474" w:type="dxa"/>
            <w:tcBorders>
              <w:tl2br w:val="nil"/>
              <w:tr2bl w:val="nil"/>
            </w:tcBorders>
            <w:vAlign w:val="center"/>
          </w:tcPr>
          <w:p w14:paraId="1EEAD129">
            <w:pPr>
              <w:keepNext w:val="0"/>
              <w:keepLines w:val="0"/>
              <w:pageBreakBefore w:val="0"/>
              <w:widowControl w:val="0"/>
              <w:kinsoku/>
              <w:wordWrap/>
              <w:overflowPunct/>
              <w:topLinePunct w:val="0"/>
              <w:autoSpaceDN/>
              <w:bidi w:val="0"/>
              <w:snapToGrid w:val="0"/>
              <w:spacing w:line="360" w:lineRule="auto"/>
              <w:jc w:val="left"/>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基本分为</w:t>
            </w:r>
            <w:r>
              <w:rPr>
                <w:rFonts w:hint="eastAsia"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分，满分</w:t>
            </w:r>
            <w:r>
              <w:rPr>
                <w:rFonts w:hint="eastAsia" w:eastAsia="宋体" w:cs="Times New Roman"/>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分</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14:paraId="0A0DBAF4">
            <w:pPr>
              <w:keepNext w:val="0"/>
              <w:keepLines w:val="0"/>
              <w:pageBreakBefore w:val="0"/>
              <w:widowControl w:val="0"/>
              <w:kinsoku/>
              <w:wordWrap/>
              <w:overflowPunct/>
              <w:topLinePunct w:val="0"/>
              <w:autoSpaceDN/>
              <w:bidi w:val="0"/>
              <w:snapToGrid w:val="0"/>
              <w:spacing w:line="360" w:lineRule="auto"/>
              <w:jc w:val="left"/>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投标人提出的</w:t>
            </w:r>
            <w:r>
              <w:rPr>
                <w:rFonts w:hint="eastAsia"/>
                <w:color w:val="000000" w:themeColor="text1"/>
                <w:sz w:val="21"/>
                <w:szCs w:val="21"/>
                <w:highlight w:val="none"/>
                <w:lang w:val="en-US" w:eastAsia="zh-CN"/>
                <w14:textFill>
                  <w14:solidFill>
                    <w14:schemeClr w14:val="tx1"/>
                  </w14:solidFill>
                </w14:textFill>
              </w:rPr>
              <w:t>运行维护期及</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售后服务、应急响应、服务措施、服务承诺等方面，从方案的完整性、合理性、履约优势</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，最高加</w:t>
            </w:r>
            <w:r>
              <w:rPr>
                <w:rFonts w:hint="eastAsia"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w:t>
            </w:r>
          </w:p>
        </w:tc>
      </w:tr>
      <w:tr w14:paraId="288BF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044" w:hRule="atLeast"/>
          <w:jc w:val="center"/>
        </w:trPr>
        <w:tc>
          <w:tcPr>
            <w:tcW w:w="807" w:type="dxa"/>
            <w:tcBorders>
              <w:tl2br w:val="nil"/>
              <w:tr2bl w:val="nil"/>
            </w:tcBorders>
            <w:vAlign w:val="center"/>
          </w:tcPr>
          <w:p w14:paraId="5F0B25AD">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2.2.4（2）</w:t>
            </w:r>
          </w:p>
        </w:tc>
        <w:tc>
          <w:tcPr>
            <w:tcW w:w="943" w:type="dxa"/>
            <w:tcBorders>
              <w:tl2br w:val="nil"/>
              <w:tr2bl w:val="nil"/>
            </w:tcBorders>
            <w:vAlign w:val="center"/>
          </w:tcPr>
          <w:p w14:paraId="4C6A5125">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主要人员</w:t>
            </w:r>
          </w:p>
        </w:tc>
        <w:tc>
          <w:tcPr>
            <w:tcW w:w="1017" w:type="dxa"/>
            <w:tcBorders>
              <w:tl2br w:val="nil"/>
              <w:tr2bl w:val="nil"/>
            </w:tcBorders>
            <w:vAlign w:val="center"/>
          </w:tcPr>
          <w:p w14:paraId="3D0C20D8">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1870" w:type="dxa"/>
            <w:tcBorders>
              <w:tl2br w:val="nil"/>
              <w:tr2bl w:val="nil"/>
            </w:tcBorders>
            <w:vAlign w:val="center"/>
          </w:tcPr>
          <w:p w14:paraId="60A58864">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团队人员任职资格与业绩</w:t>
            </w:r>
          </w:p>
        </w:tc>
        <w:tc>
          <w:tcPr>
            <w:tcW w:w="728" w:type="dxa"/>
            <w:tcBorders>
              <w:tl2br w:val="nil"/>
              <w:tr2bl w:val="nil"/>
            </w:tcBorders>
            <w:vAlign w:val="center"/>
          </w:tcPr>
          <w:p w14:paraId="27979B16">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25分</w:t>
            </w:r>
          </w:p>
        </w:tc>
        <w:tc>
          <w:tcPr>
            <w:tcW w:w="4474" w:type="dxa"/>
            <w:tcBorders>
              <w:tl2br w:val="nil"/>
              <w:tr2bl w:val="nil"/>
            </w:tcBorders>
            <w:vAlign w:val="center"/>
          </w:tcPr>
          <w:p w14:paraId="0B7229D2">
            <w:pPr>
              <w:keepNext w:val="0"/>
              <w:keepLines w:val="0"/>
              <w:pageBreakBefore w:val="0"/>
              <w:widowControl w:val="0"/>
              <w:kinsoku/>
              <w:wordWrap/>
              <w:overflowPunct/>
              <w:topLinePunct w:val="0"/>
              <w:autoSpaceDN/>
              <w:bidi w:val="0"/>
              <w:snapToGrid w:val="0"/>
              <w:spacing w:line="360" w:lineRule="auto"/>
              <w:jc w:val="left"/>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1.满足附录4资格审查条件（主要人员最低要求）得</w:t>
            </w:r>
            <w:r>
              <w:rPr>
                <w:rFonts w:hint="eastAsia"/>
                <w:color w:val="000000" w:themeColor="text1"/>
                <w:sz w:val="21"/>
                <w:szCs w:val="21"/>
                <w:highlight w:val="none"/>
                <w:lang w:val="en-US" w:eastAsia="zh-CN"/>
                <w14:textFill>
                  <w14:solidFill>
                    <w14:schemeClr w14:val="tx1"/>
                  </w14:solidFill>
                </w14:textFill>
              </w:rPr>
              <w:t>15</w:t>
            </w:r>
            <w:r>
              <w:rPr>
                <w:rFonts w:hint="default"/>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p>
          <w:p w14:paraId="3D051A72">
            <w:pPr>
              <w:keepNext w:val="0"/>
              <w:keepLines w:val="0"/>
              <w:pageBreakBefore w:val="0"/>
              <w:widowControl w:val="0"/>
              <w:kinsoku/>
              <w:wordWrap/>
              <w:overflowPunct/>
              <w:topLinePunct w:val="0"/>
              <w:autoSpaceDN/>
              <w:bidi w:val="0"/>
              <w:snapToGrid w:val="0"/>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投标人在满足“资格审查条件（主要人员最低要求）”的基础上：拟任项目负责人在过往项目中，以项目负责人或项目经理或技术负责人身份每增加1项高速公路的软件系统开发或信息化建设服务项目业绩加2.5分，本项最高加5分；</w:t>
            </w:r>
          </w:p>
          <w:p w14:paraId="698BF850">
            <w:pPr>
              <w:keepNext w:val="0"/>
              <w:keepLines w:val="0"/>
              <w:pageBreakBefore w:val="0"/>
              <w:widowControl w:val="0"/>
              <w:kinsoku/>
              <w:wordWrap/>
              <w:overflowPunct/>
              <w:topLinePunct w:val="0"/>
              <w:autoSpaceDN/>
              <w:bidi w:val="0"/>
              <w:snapToGrid w:val="0"/>
              <w:spacing w:line="360" w:lineRule="auto"/>
              <w:jc w:val="left"/>
              <w:rPr>
                <w:rFonts w:hint="eastAsia"/>
                <w:color w:val="000000" w:themeColor="text1"/>
                <w:sz w:val="21"/>
                <w:szCs w:val="21"/>
                <w:highlight w:val="none"/>
                <w:lang w:val="en-US" w:eastAsia="zh-CN"/>
                <w14:textFill>
                  <w14:solidFill>
                    <w14:schemeClr w14:val="tx1"/>
                  </w14:solidFill>
                </w14:textFill>
              </w:rPr>
            </w:pPr>
            <w:bookmarkStart w:id="5" w:name="OLE_LINK72"/>
            <w:r>
              <w:rPr>
                <w:rFonts w:hint="eastAsia"/>
                <w:color w:val="000000" w:themeColor="text1"/>
                <w:sz w:val="21"/>
                <w:szCs w:val="21"/>
                <w:highlight w:val="none"/>
                <w:lang w:val="en-US" w:eastAsia="zh-CN"/>
                <w14:textFill>
                  <w14:solidFill>
                    <w14:schemeClr w14:val="tx1"/>
                  </w14:solidFill>
                </w14:textFill>
              </w:rPr>
              <w:t>3.除项目负责人外，项</w:t>
            </w:r>
            <w:bookmarkEnd w:id="5"/>
            <w:r>
              <w:rPr>
                <w:rFonts w:hint="eastAsia"/>
                <w:color w:val="000000" w:themeColor="text1"/>
                <w:sz w:val="21"/>
                <w:szCs w:val="21"/>
                <w:highlight w:val="none"/>
                <w:lang w:val="en-US" w:eastAsia="zh-CN"/>
                <w14:textFill>
                  <w14:solidFill>
                    <w14:schemeClr w14:val="tx1"/>
                  </w14:solidFill>
                </w14:textFill>
              </w:rPr>
              <w:t>目组成员具有软件设计师证书或数据库系统工程师证书或系统集成项目管理工程师证书的，每配备1名持有上述不同类别证书的人员加1分，最多加5分。</w:t>
            </w:r>
          </w:p>
          <w:p w14:paraId="7669DF13">
            <w:pPr>
              <w:keepNext w:val="0"/>
              <w:keepLines w:val="0"/>
              <w:pageBreakBefore w:val="0"/>
              <w:widowControl w:val="0"/>
              <w:kinsoku/>
              <w:wordWrap/>
              <w:overflowPunct/>
              <w:topLinePunct w:val="0"/>
              <w:autoSpaceDN/>
              <w:bidi w:val="0"/>
              <w:snapToGrid w:val="0"/>
              <w:spacing w:line="360" w:lineRule="auto"/>
              <w:jc w:val="left"/>
              <w:rPr>
                <w:rFonts w:hint="default" w:eastAsia="黑体" w:cs="Times New Roman"/>
                <w:b/>
                <w:bCs/>
                <w:color w:val="000000" w:themeColor="text1"/>
                <w:sz w:val="18"/>
                <w:szCs w:val="18"/>
                <w:highlight w:val="none"/>
                <w:lang w:val="en-US" w:eastAsia="zh-CN"/>
                <w14:textFill>
                  <w14:solidFill>
                    <w14:schemeClr w14:val="tx1"/>
                  </w14:solidFill>
                </w14:textFill>
              </w:rPr>
            </w:pPr>
            <w:r>
              <w:rPr>
                <w:rFonts w:hint="eastAsia" w:ascii="Times New Roman" w:hAnsi="Times New Roman" w:eastAsia="黑体" w:cs="Times New Roman"/>
                <w:b/>
                <w:bCs/>
                <w:color w:val="000000" w:themeColor="text1"/>
                <w:sz w:val="18"/>
                <w:szCs w:val="18"/>
                <w:highlight w:val="none"/>
                <w:lang w:val="en-US" w:eastAsia="zh-CN"/>
                <w14:textFill>
                  <w14:solidFill>
                    <w14:schemeClr w14:val="tx1"/>
                  </w14:solidFill>
                </w14:textFill>
              </w:rPr>
              <w:t>注：</w:t>
            </w:r>
            <w:r>
              <w:rPr>
                <w:rFonts w:hint="eastAsia" w:eastAsia="黑体" w:cs="Times New Roman"/>
                <w:b/>
                <w:bCs/>
                <w:color w:val="000000" w:themeColor="text1"/>
                <w:sz w:val="18"/>
                <w:szCs w:val="18"/>
                <w:highlight w:val="none"/>
                <w:lang w:val="en-US" w:eastAsia="zh-CN"/>
                <w14:textFill>
                  <w14:solidFill>
                    <w14:schemeClr w14:val="tx1"/>
                  </w14:solidFill>
                </w14:textFill>
              </w:rPr>
              <w:t>1.</w:t>
            </w:r>
            <w:r>
              <w:rPr>
                <w:rFonts w:hint="eastAsia" w:ascii="Times New Roman" w:hAnsi="Times New Roman" w:eastAsia="黑体" w:cs="Times New Roman"/>
                <w:b/>
                <w:bCs/>
                <w:color w:val="000000" w:themeColor="text1"/>
                <w:sz w:val="18"/>
                <w:szCs w:val="18"/>
                <w:highlight w:val="none"/>
                <w:lang w:val="en-US" w:eastAsia="zh-CN"/>
                <w14:textFill>
                  <w14:solidFill>
                    <w14:schemeClr w14:val="tx1"/>
                  </w14:solidFill>
                </w14:textFill>
              </w:rPr>
              <w:t>同一人员同时具备不同专业不累计加分</w:t>
            </w:r>
            <w:r>
              <w:rPr>
                <w:rFonts w:hint="eastAsia" w:eastAsia="黑体" w:cs="Times New Roman"/>
                <w:b/>
                <w:bCs/>
                <w:color w:val="000000" w:themeColor="text1"/>
                <w:sz w:val="18"/>
                <w:szCs w:val="18"/>
                <w:highlight w:val="none"/>
                <w:lang w:val="en-US" w:eastAsia="zh-CN"/>
                <w14:textFill>
                  <w14:solidFill>
                    <w14:schemeClr w14:val="tx1"/>
                  </w14:solidFill>
                </w14:textFill>
              </w:rPr>
              <w:t>；</w:t>
            </w:r>
          </w:p>
          <w:p w14:paraId="02210AB0">
            <w:pPr>
              <w:keepNext w:val="0"/>
              <w:keepLines w:val="0"/>
              <w:pageBreakBefore w:val="0"/>
              <w:widowControl w:val="0"/>
              <w:kinsoku/>
              <w:wordWrap/>
              <w:overflowPunct/>
              <w:topLinePunct w:val="0"/>
              <w:autoSpaceDN/>
              <w:bidi w:val="0"/>
              <w:snapToGrid w:val="0"/>
              <w:spacing w:line="360" w:lineRule="auto"/>
              <w:jc w:val="both"/>
              <w:rPr>
                <w:rFonts w:hint="eastAsia" w:ascii="宋体" w:hAnsi="宋体" w:eastAsia="宋体" w:cs="宋体"/>
                <w:b w:val="0"/>
                <w:bCs w:val="0"/>
                <w:color w:val="auto"/>
                <w:sz w:val="21"/>
                <w:szCs w:val="21"/>
                <w:highlight w:val="none"/>
                <w:lang w:val="en-US" w:eastAsia="zh-CN"/>
              </w:rPr>
            </w:pPr>
            <w:r>
              <w:rPr>
                <w:rFonts w:hint="eastAsia" w:eastAsia="黑体" w:cs="Times New Roman"/>
                <w:b/>
                <w:bCs/>
                <w:color w:val="000000" w:themeColor="text1"/>
                <w:sz w:val="18"/>
                <w:szCs w:val="18"/>
                <w:highlight w:val="none"/>
                <w:lang w:val="en-US" w:eastAsia="zh-CN"/>
                <w14:textFill>
                  <w14:solidFill>
                    <w14:schemeClr w14:val="tx1"/>
                  </w14:solidFill>
                </w14:textFill>
              </w:rPr>
              <w:t>2.投标人须提供证书彩色影印件，否则不得分</w:t>
            </w:r>
            <w:r>
              <w:rPr>
                <w:rFonts w:hint="eastAsia" w:ascii="Times New Roman" w:hAnsi="Times New Roman" w:eastAsia="黑体" w:cs="Times New Roman"/>
                <w:b/>
                <w:bCs/>
                <w:color w:val="000000" w:themeColor="text1"/>
                <w:sz w:val="18"/>
                <w:szCs w:val="18"/>
                <w:highlight w:val="none"/>
                <w:lang w:val="en-US" w:eastAsia="zh-CN"/>
                <w14:textFill>
                  <w14:solidFill>
                    <w14:schemeClr w14:val="tx1"/>
                  </w14:solidFill>
                </w14:textFill>
              </w:rPr>
              <w:t>。</w:t>
            </w:r>
          </w:p>
        </w:tc>
      </w:tr>
      <w:tr w14:paraId="2BBEC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473" w:hRule="atLeast"/>
          <w:jc w:val="center"/>
        </w:trPr>
        <w:tc>
          <w:tcPr>
            <w:tcW w:w="807" w:type="dxa"/>
            <w:tcBorders>
              <w:tl2br w:val="nil"/>
              <w:tr2bl w:val="nil"/>
            </w:tcBorders>
            <w:vAlign w:val="center"/>
          </w:tcPr>
          <w:p w14:paraId="3120C2A4">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2.2.4（3）</w:t>
            </w:r>
          </w:p>
        </w:tc>
        <w:tc>
          <w:tcPr>
            <w:tcW w:w="943" w:type="dxa"/>
            <w:tcBorders>
              <w:tl2br w:val="nil"/>
              <w:tr2bl w:val="nil"/>
            </w:tcBorders>
            <w:vAlign w:val="center"/>
          </w:tcPr>
          <w:p w14:paraId="62CF12FA">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评标价</w:t>
            </w:r>
          </w:p>
        </w:tc>
        <w:tc>
          <w:tcPr>
            <w:tcW w:w="1017" w:type="dxa"/>
            <w:tcBorders>
              <w:tl2br w:val="nil"/>
              <w:tr2bl w:val="nil"/>
            </w:tcBorders>
            <w:vAlign w:val="center"/>
          </w:tcPr>
          <w:p w14:paraId="198E691F">
            <w:pPr>
              <w:keepNext w:val="0"/>
              <w:keepLines w:val="0"/>
              <w:pageBreakBefore w:val="0"/>
              <w:widowControl w:val="0"/>
              <w:kinsoku/>
              <w:wordWrap/>
              <w:overflowPunct/>
              <w:topLinePunct w:val="0"/>
              <w:autoSpaceDN/>
              <w:bidi w:val="0"/>
              <w:snapToGrid w:val="0"/>
              <w:spacing w:line="360" w:lineRule="auto"/>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10分</w:t>
            </w:r>
          </w:p>
        </w:tc>
        <w:tc>
          <w:tcPr>
            <w:tcW w:w="7072" w:type="dxa"/>
            <w:gridSpan w:val="3"/>
            <w:tcBorders>
              <w:tl2br w:val="nil"/>
              <w:tr2bl w:val="nil"/>
            </w:tcBorders>
            <w:vAlign w:val="center"/>
          </w:tcPr>
          <w:p w14:paraId="1D1008C1">
            <w:pPr>
              <w:keepNext w:val="0"/>
              <w:keepLines w:val="0"/>
              <w:pageBreakBefore w:val="0"/>
              <w:kinsoku/>
              <w:wordWrap/>
              <w:overflowPunct/>
              <w:topLinePunct w:val="0"/>
              <w:bidi w:val="0"/>
              <w:spacing w:line="36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投标价得分计算公式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14:paraId="1059D551">
            <w:pPr>
              <w:keepNext w:val="0"/>
              <w:keepLines w:val="0"/>
              <w:pageBreakBefore w:val="0"/>
              <w:kinsoku/>
              <w:wordWrap/>
              <w:overflowPunct/>
              <w:topLinePunct w:val="0"/>
              <w:bidi w:val="0"/>
              <w:spacing w:line="36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（1）如果投标人的评标价＞评标基准价，则投标价得分=</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aps w:val="0"/>
                <w:smallCaps w:val="0"/>
                <w:color w:val="auto"/>
                <w:spacing w:val="0"/>
                <w:w w:val="100"/>
                <w:position w:val="0"/>
                <w:sz w:val="21"/>
                <w:szCs w:val="21"/>
                <w:highlight w:val="none"/>
                <w:lang w:val="en-US" w:eastAsia="zh-CN"/>
              </w:rPr>
              <w:t>偏差率×</w:t>
            </w:r>
            <w:r>
              <w:rPr>
                <w:rFonts w:hint="eastAsia" w:ascii="宋体" w:hAnsi="宋体" w:eastAsia="宋体" w:cs="宋体"/>
                <w:b w:val="0"/>
                <w:bCs w:val="0"/>
                <w:color w:val="auto"/>
                <w:sz w:val="21"/>
                <w:szCs w:val="21"/>
                <w:highlight w:val="none"/>
                <w:lang w:val="en-US" w:eastAsia="zh-CN"/>
              </w:rPr>
              <w:t>100</w:t>
            </w:r>
            <w:r>
              <w:rPr>
                <w:rFonts w:hint="eastAsia" w:ascii="宋体" w:hAnsi="宋体" w:eastAsia="宋体" w:cs="宋体"/>
                <w:b w:val="0"/>
                <w:bCs w:val="0"/>
                <w:caps w:val="0"/>
                <w:smallCaps w:val="0"/>
                <w:color w:val="auto"/>
                <w:spacing w:val="0"/>
                <w:w w:val="100"/>
                <w:position w:val="0"/>
                <w:sz w:val="21"/>
                <w:szCs w:val="21"/>
                <w:highlight w:val="none"/>
                <w:lang w:val="en-US" w:eastAsia="zh-CN"/>
              </w:rPr>
              <w:t>×</w:t>
            </w:r>
            <w:r>
              <w:rPr>
                <w:rFonts w:hint="eastAsia" w:ascii="宋体" w:hAnsi="宋体" w:eastAsia="宋体" w:cs="宋体"/>
                <w:b w:val="0"/>
                <w:bCs w:val="0"/>
                <w:color w:val="auto"/>
                <w:sz w:val="21"/>
                <w:szCs w:val="21"/>
                <w:highlight w:val="none"/>
                <w:u w:val="none"/>
                <w:vertAlign w:val="baseline"/>
                <w:lang w:val="en-US" w:eastAsia="zh-CN"/>
              </w:rPr>
              <w:t>E1</w:t>
            </w:r>
            <w:r>
              <w:rPr>
                <w:rFonts w:hint="eastAsia" w:ascii="宋体" w:hAnsi="宋体" w:eastAsia="宋体" w:cs="宋体"/>
                <w:b w:val="0"/>
                <w:bCs w:val="0"/>
                <w:caps w:val="0"/>
                <w:smallCaps w:val="0"/>
                <w:color w:val="auto"/>
                <w:spacing w:val="0"/>
                <w:w w:val="100"/>
                <w:position w:val="0"/>
                <w:sz w:val="21"/>
                <w:szCs w:val="21"/>
                <w:highlight w:val="none"/>
                <w:lang w:val="en-US" w:eastAsia="zh-CN"/>
              </w:rPr>
              <w:t>；</w:t>
            </w:r>
          </w:p>
          <w:p w14:paraId="5E0A2D47">
            <w:pPr>
              <w:keepNext w:val="0"/>
              <w:keepLines w:val="0"/>
              <w:pageBreakBefore w:val="0"/>
              <w:kinsoku/>
              <w:wordWrap/>
              <w:overflowPunct/>
              <w:topLinePunct w:val="0"/>
              <w:bidi w:val="0"/>
              <w:spacing w:line="36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（2）如果投标人的评标价≤评标基准价，则投标价得分=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10+偏差率×100×E2</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22637C70">
            <w:pPr>
              <w:keepNext w:val="0"/>
              <w:keepLines w:val="0"/>
              <w:pageBreakBefore w:val="0"/>
              <w:kinsoku/>
              <w:wordWrap/>
              <w:overflowPunct/>
              <w:topLinePunct w:val="0"/>
              <w:bidi w:val="0"/>
              <w:spacing w:line="36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其中：E1=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b w:val="0"/>
                <w:bCs w:val="0"/>
                <w:color w:val="000000" w:themeColor="text1"/>
                <w:sz w:val="21"/>
                <w:szCs w:val="21"/>
                <w:highlight w:val="none"/>
                <w14:textFill>
                  <w14:solidFill>
                    <w14:schemeClr w14:val="tx1"/>
                  </w14:solidFill>
                </w14:textFill>
              </w:rPr>
              <w:t>，E2=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0.05</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30DA8406">
            <w:pPr>
              <w:keepNext w:val="0"/>
              <w:keepLines w:val="0"/>
              <w:pageBreakBefore w:val="0"/>
              <w:kinsoku/>
              <w:wordWrap/>
              <w:overflowPunct/>
              <w:topLinePunct w:val="0"/>
              <w:bidi w:val="0"/>
              <w:spacing w:line="360" w:lineRule="exact"/>
              <w:jc w:val="left"/>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aps w:val="0"/>
                <w:smallCaps w:val="0"/>
                <w:color w:val="auto"/>
                <w:spacing w:val="0"/>
                <w:w w:val="100"/>
                <w:position w:val="0"/>
                <w:szCs w:val="21"/>
                <w:highlight w:val="none"/>
                <w:lang w:val="en-US" w:eastAsia="zh-CN"/>
              </w:rPr>
              <w:t>最低分为0分。</w:t>
            </w:r>
          </w:p>
        </w:tc>
      </w:tr>
      <w:tr w14:paraId="4FB7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5068" w:hRule="atLeast"/>
          <w:jc w:val="center"/>
        </w:trPr>
        <w:tc>
          <w:tcPr>
            <w:tcW w:w="807" w:type="dxa"/>
            <w:vMerge w:val="restart"/>
            <w:tcBorders>
              <w:tl2br w:val="nil"/>
              <w:tr2bl w:val="nil"/>
            </w:tcBorders>
            <w:vAlign w:val="center"/>
          </w:tcPr>
          <w:p w14:paraId="47908378">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2.2.4（4）</w:t>
            </w:r>
          </w:p>
        </w:tc>
        <w:tc>
          <w:tcPr>
            <w:tcW w:w="943" w:type="dxa"/>
            <w:vMerge w:val="restart"/>
            <w:tcBorders>
              <w:tl2br w:val="nil"/>
              <w:tr2bl w:val="nil"/>
            </w:tcBorders>
            <w:vAlign w:val="center"/>
          </w:tcPr>
          <w:p w14:paraId="0BD40AEE">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其他因素</w:t>
            </w:r>
          </w:p>
        </w:tc>
        <w:tc>
          <w:tcPr>
            <w:tcW w:w="1017" w:type="dxa"/>
            <w:vMerge w:val="restart"/>
            <w:tcBorders>
              <w:tl2br w:val="nil"/>
              <w:tr2bl w:val="nil"/>
            </w:tcBorders>
            <w:vAlign w:val="center"/>
          </w:tcPr>
          <w:p w14:paraId="71BA1C75">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1870" w:type="dxa"/>
            <w:tcBorders>
              <w:tl2br w:val="nil"/>
              <w:tr2bl w:val="nil"/>
            </w:tcBorders>
            <w:vAlign w:val="center"/>
          </w:tcPr>
          <w:p w14:paraId="12BC8F10">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业绩</w:t>
            </w:r>
          </w:p>
        </w:tc>
        <w:tc>
          <w:tcPr>
            <w:tcW w:w="728" w:type="dxa"/>
            <w:tcBorders>
              <w:tl2br w:val="nil"/>
              <w:tr2bl w:val="nil"/>
            </w:tcBorders>
            <w:vAlign w:val="center"/>
          </w:tcPr>
          <w:p w14:paraId="49F64661">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25分</w:t>
            </w:r>
          </w:p>
        </w:tc>
        <w:tc>
          <w:tcPr>
            <w:tcW w:w="4474" w:type="dxa"/>
            <w:tcBorders>
              <w:tl2br w:val="nil"/>
              <w:tr2bl w:val="nil"/>
            </w:tcBorders>
            <w:vAlign w:val="center"/>
          </w:tcPr>
          <w:p w14:paraId="680AA592">
            <w:pPr>
              <w:keepNext w:val="0"/>
              <w:keepLines w:val="0"/>
              <w:pageBreakBefore w:val="0"/>
              <w:widowControl w:val="0"/>
              <w:kinsoku/>
              <w:wordWrap/>
              <w:overflowPunct/>
              <w:topLinePunct w:val="0"/>
              <w:autoSpaceDN/>
              <w:bidi w:val="0"/>
              <w:snapToGrid w:val="0"/>
              <w:spacing w:line="360" w:lineRule="auto"/>
              <w:jc w:val="left"/>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r>
              <w:rPr>
                <w:rFonts w:hint="default"/>
                <w:color w:val="000000" w:themeColor="text1"/>
                <w:sz w:val="21"/>
                <w:szCs w:val="21"/>
                <w:highlight w:val="none"/>
                <w:lang w:val="en-US" w:eastAsia="zh-CN"/>
                <w14:textFill>
                  <w14:solidFill>
                    <w14:schemeClr w14:val="tx1"/>
                  </w14:solidFill>
                </w14:textFill>
              </w:rPr>
              <w:t>满足资格审查条件</w:t>
            </w:r>
            <w:r>
              <w:rPr>
                <w:rFonts w:hint="eastAsia"/>
                <w:color w:val="000000" w:themeColor="text1"/>
                <w:sz w:val="21"/>
                <w:szCs w:val="21"/>
                <w:highlight w:val="none"/>
                <w:lang w:val="en-US" w:eastAsia="zh-CN"/>
                <w14:textFill>
                  <w14:solidFill>
                    <w14:schemeClr w14:val="tx1"/>
                  </w14:solidFill>
                </w14:textFill>
              </w:rPr>
              <w:t>（</w:t>
            </w:r>
            <w:r>
              <w:rPr>
                <w:rFonts w:hint="default"/>
                <w:color w:val="000000" w:themeColor="text1"/>
                <w:sz w:val="21"/>
                <w:szCs w:val="21"/>
                <w:highlight w:val="none"/>
                <w:lang w:val="en-US" w:eastAsia="zh-CN"/>
                <w14:textFill>
                  <w14:solidFill>
                    <w14:schemeClr w14:val="tx1"/>
                  </w14:solidFill>
                </w14:textFill>
              </w:rPr>
              <w:t>业绩最低要求</w:t>
            </w:r>
            <w:r>
              <w:rPr>
                <w:rFonts w:hint="eastAsia"/>
                <w:color w:val="000000" w:themeColor="text1"/>
                <w:sz w:val="21"/>
                <w:szCs w:val="21"/>
                <w:highlight w:val="none"/>
                <w:lang w:val="en-US" w:eastAsia="zh-CN"/>
                <w14:textFill>
                  <w14:solidFill>
                    <w14:schemeClr w14:val="tx1"/>
                  </w14:solidFill>
                </w14:textFill>
              </w:rPr>
              <w:t>）</w:t>
            </w:r>
            <w:r>
              <w:rPr>
                <w:rFonts w:hint="default"/>
                <w:color w:val="000000" w:themeColor="text1"/>
                <w:sz w:val="21"/>
                <w:szCs w:val="21"/>
                <w:highlight w:val="none"/>
                <w:lang w:val="en-US" w:eastAsia="zh-CN"/>
                <w14:textFill>
                  <w14:solidFill>
                    <w14:schemeClr w14:val="tx1"/>
                  </w14:solidFill>
                </w14:textFill>
              </w:rPr>
              <w:t>得</w:t>
            </w:r>
            <w:r>
              <w:rPr>
                <w:rFonts w:hint="eastAsia"/>
                <w:color w:val="000000" w:themeColor="text1"/>
                <w:sz w:val="21"/>
                <w:szCs w:val="21"/>
                <w:highlight w:val="none"/>
                <w:lang w:val="en-US" w:eastAsia="zh-CN"/>
                <w14:textFill>
                  <w14:solidFill>
                    <w14:schemeClr w14:val="tx1"/>
                  </w14:solidFill>
                </w14:textFill>
              </w:rPr>
              <w:t>15</w:t>
            </w:r>
            <w:r>
              <w:rPr>
                <w:rFonts w:hint="default"/>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p>
          <w:p w14:paraId="47A1D3A5">
            <w:pPr>
              <w:keepNext w:val="0"/>
              <w:keepLines w:val="0"/>
              <w:pageBreakBefore w:val="0"/>
              <w:widowControl w:val="0"/>
              <w:kinsoku/>
              <w:wordWrap/>
              <w:overflowPunct/>
              <w:topLinePunct w:val="0"/>
              <w:autoSpaceDN/>
              <w:bidi w:val="0"/>
              <w:snapToGrid w:val="0"/>
              <w:spacing w:line="360" w:lineRule="auto"/>
              <w:jc w:val="left"/>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r>
              <w:rPr>
                <w:rFonts w:hint="default"/>
                <w:color w:val="000000" w:themeColor="text1"/>
                <w:sz w:val="21"/>
                <w:szCs w:val="21"/>
                <w:highlight w:val="none"/>
                <w:lang w:val="en-US" w:eastAsia="zh-CN"/>
                <w14:textFill>
                  <w14:solidFill>
                    <w14:schemeClr w14:val="tx1"/>
                  </w14:solidFill>
                </w14:textFill>
              </w:rPr>
              <w:t>投标人近五年</w:t>
            </w:r>
            <w:r>
              <w:rPr>
                <w:rFonts w:hint="eastAsia"/>
                <w:color w:val="000000" w:themeColor="text1"/>
                <w:sz w:val="21"/>
                <w:szCs w:val="21"/>
                <w:highlight w:val="none"/>
                <w:lang w:val="en-US" w:eastAsia="zh-CN"/>
                <w14:textFill>
                  <w14:solidFill>
                    <w14:schemeClr w14:val="tx1"/>
                  </w14:solidFill>
                </w14:textFill>
              </w:rPr>
              <w:t>（2021年4月</w:t>
            </w:r>
            <w:r>
              <w:rPr>
                <w:rFonts w:hint="default"/>
                <w:color w:val="000000" w:themeColor="text1"/>
                <w:sz w:val="21"/>
                <w:szCs w:val="21"/>
                <w:highlight w:val="none"/>
                <w:lang w:val="en-US" w:eastAsia="zh-CN"/>
                <w14:textFill>
                  <w14:solidFill>
                    <w14:schemeClr w14:val="tx1"/>
                  </w14:solidFill>
                </w14:textFill>
              </w:rPr>
              <w:t>1日至投标文件递交截止日，以合同协议书签订时间为准</w:t>
            </w:r>
            <w:r>
              <w:rPr>
                <w:rFonts w:hint="eastAsia"/>
                <w:color w:val="000000" w:themeColor="text1"/>
                <w:sz w:val="21"/>
                <w:szCs w:val="21"/>
                <w:highlight w:val="none"/>
                <w:lang w:val="en-US" w:eastAsia="zh-CN"/>
                <w14:textFill>
                  <w14:solidFill>
                    <w14:schemeClr w14:val="tx1"/>
                  </w14:solidFill>
                </w14:textFill>
              </w:rPr>
              <w:t>）</w:t>
            </w:r>
            <w:r>
              <w:rPr>
                <w:rFonts w:hint="default"/>
                <w:color w:val="000000" w:themeColor="text1"/>
                <w:sz w:val="21"/>
                <w:szCs w:val="21"/>
                <w:highlight w:val="none"/>
                <w:lang w:val="en-US" w:eastAsia="zh-CN"/>
                <w14:textFill>
                  <w14:solidFill>
                    <w14:schemeClr w14:val="tx1"/>
                  </w14:solidFill>
                </w14:textFill>
              </w:rPr>
              <w:t>，每增加1项</w:t>
            </w:r>
            <w:r>
              <w:rPr>
                <w:rFonts w:hint="eastAsia"/>
                <w:color w:val="000000" w:themeColor="text1"/>
                <w:sz w:val="21"/>
                <w:szCs w:val="21"/>
                <w:highlight w:val="none"/>
                <w:lang w:val="en-US" w:eastAsia="zh-CN"/>
                <w14:textFill>
                  <w14:solidFill>
                    <w14:schemeClr w14:val="tx1"/>
                  </w14:solidFill>
                </w14:textFill>
              </w:rPr>
              <w:t>合同金额500万元以上</w:t>
            </w:r>
            <w:r>
              <w:rPr>
                <w:rFonts w:hint="default"/>
                <w:color w:val="000000" w:themeColor="text1"/>
                <w:sz w:val="21"/>
                <w:szCs w:val="21"/>
                <w:highlight w:val="none"/>
                <w:lang w:val="en-US" w:eastAsia="zh-CN"/>
                <w14:textFill>
                  <w14:solidFill>
                    <w14:schemeClr w14:val="tx1"/>
                  </w14:solidFill>
                </w14:textFill>
              </w:rPr>
              <w:t>高速公路的</w:t>
            </w:r>
            <w:r>
              <w:rPr>
                <w:rFonts w:hint="eastAsia"/>
                <w:color w:val="000000" w:themeColor="text1"/>
                <w:sz w:val="21"/>
                <w:szCs w:val="21"/>
                <w:highlight w:val="none"/>
                <w:lang w:val="en-US" w:eastAsia="zh-CN"/>
                <w14:textFill>
                  <w14:solidFill>
                    <w14:schemeClr w14:val="tx1"/>
                  </w14:solidFill>
                </w14:textFill>
              </w:rPr>
              <w:t>软件系统开发</w:t>
            </w:r>
            <w:r>
              <w:rPr>
                <w:rFonts w:hint="default"/>
                <w:color w:val="000000" w:themeColor="text1"/>
                <w:sz w:val="21"/>
                <w:szCs w:val="21"/>
                <w:highlight w:val="none"/>
                <w:lang w:val="en-US" w:eastAsia="zh-CN"/>
                <w14:textFill>
                  <w14:solidFill>
                    <w14:schemeClr w14:val="tx1"/>
                  </w14:solidFill>
                </w14:textFill>
              </w:rPr>
              <w:t>或信息化建设</w:t>
            </w:r>
            <w:r>
              <w:rPr>
                <w:rFonts w:hint="eastAsia"/>
                <w:color w:val="000000" w:themeColor="text1"/>
                <w:sz w:val="21"/>
                <w:szCs w:val="21"/>
                <w:highlight w:val="none"/>
                <w:lang w:val="en-US" w:eastAsia="zh-CN"/>
                <w14:textFill>
                  <w14:solidFill>
                    <w14:schemeClr w14:val="tx1"/>
                  </w14:solidFill>
                </w14:textFill>
              </w:rPr>
              <w:t>服务</w:t>
            </w:r>
            <w:r>
              <w:rPr>
                <w:rFonts w:hint="default"/>
                <w:color w:val="000000" w:themeColor="text1"/>
                <w:sz w:val="21"/>
                <w:szCs w:val="21"/>
                <w:highlight w:val="none"/>
                <w:lang w:val="en-US" w:eastAsia="zh-CN"/>
                <w14:textFill>
                  <w14:solidFill>
                    <w14:schemeClr w14:val="tx1"/>
                  </w14:solidFill>
                </w14:textFill>
              </w:rPr>
              <w:t>项目业绩加</w:t>
            </w:r>
            <w:r>
              <w:rPr>
                <w:rFonts w:hint="eastAsia"/>
                <w:color w:val="000000" w:themeColor="text1"/>
                <w:sz w:val="21"/>
                <w:szCs w:val="21"/>
                <w:highlight w:val="none"/>
                <w:lang w:val="en-US" w:eastAsia="zh-CN"/>
                <w14:textFill>
                  <w14:solidFill>
                    <w14:schemeClr w14:val="tx1"/>
                  </w14:solidFill>
                </w14:textFill>
              </w:rPr>
              <w:t>2</w:t>
            </w:r>
            <w:r>
              <w:rPr>
                <w:rFonts w:hint="default"/>
                <w:color w:val="000000" w:themeColor="text1"/>
                <w:sz w:val="21"/>
                <w:szCs w:val="21"/>
                <w:highlight w:val="none"/>
                <w:lang w:val="en-US" w:eastAsia="zh-CN"/>
                <w14:textFill>
                  <w14:solidFill>
                    <w14:schemeClr w14:val="tx1"/>
                  </w14:solidFill>
                </w14:textFill>
              </w:rPr>
              <w:t>分，最高加</w:t>
            </w:r>
            <w:r>
              <w:rPr>
                <w:rFonts w:hint="eastAsia"/>
                <w:color w:val="000000" w:themeColor="text1"/>
                <w:sz w:val="21"/>
                <w:szCs w:val="21"/>
                <w:highlight w:val="none"/>
                <w:lang w:val="en-US" w:eastAsia="zh-CN"/>
                <w14:textFill>
                  <w14:solidFill>
                    <w14:schemeClr w14:val="tx1"/>
                  </w14:solidFill>
                </w14:textFill>
              </w:rPr>
              <w:t>6</w:t>
            </w:r>
            <w:r>
              <w:rPr>
                <w:rFonts w:hint="default"/>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p>
          <w:p w14:paraId="5F9D3263">
            <w:pPr>
              <w:keepNext w:val="0"/>
              <w:keepLines w:val="0"/>
              <w:pageBreakBefore w:val="0"/>
              <w:widowControl w:val="0"/>
              <w:kinsoku/>
              <w:wordWrap/>
              <w:overflowPunct/>
              <w:topLinePunct w:val="0"/>
              <w:autoSpaceDN/>
              <w:bidi w:val="0"/>
              <w:snapToGrid w:val="0"/>
              <w:spacing w:line="360" w:lineRule="auto"/>
              <w:jc w:val="left"/>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r>
              <w:rPr>
                <w:rFonts w:hint="default"/>
                <w:color w:val="000000" w:themeColor="text1"/>
                <w:sz w:val="21"/>
                <w:szCs w:val="21"/>
                <w:highlight w:val="none"/>
                <w:lang w:val="en-US" w:eastAsia="zh-CN"/>
                <w14:textFill>
                  <w14:solidFill>
                    <w14:schemeClr w14:val="tx1"/>
                  </w14:solidFill>
                </w14:textFill>
              </w:rPr>
              <w:t>投标人具有软件能力成熟度CMMI</w:t>
            </w:r>
            <w:r>
              <w:rPr>
                <w:rFonts w:hint="eastAsia"/>
                <w:color w:val="000000" w:themeColor="text1"/>
                <w:sz w:val="21"/>
                <w:szCs w:val="21"/>
                <w:highlight w:val="none"/>
                <w:lang w:val="en-US" w:eastAsia="zh-CN"/>
                <w14:textFill>
                  <w14:solidFill>
                    <w14:schemeClr w14:val="tx1"/>
                  </w14:solidFill>
                </w14:textFill>
              </w:rPr>
              <w:t>5</w:t>
            </w:r>
            <w:r>
              <w:rPr>
                <w:rFonts w:hint="default"/>
                <w:color w:val="000000" w:themeColor="text1"/>
                <w:sz w:val="21"/>
                <w:szCs w:val="21"/>
                <w:highlight w:val="none"/>
                <w:lang w:val="en-US" w:eastAsia="zh-CN"/>
                <w14:textFill>
                  <w14:solidFill>
                    <w14:schemeClr w14:val="tx1"/>
                  </w14:solidFill>
                </w14:textFill>
              </w:rPr>
              <w:t>级证书的加</w:t>
            </w:r>
            <w:r>
              <w:rPr>
                <w:rFonts w:hint="eastAsia"/>
                <w:color w:val="000000" w:themeColor="text1"/>
                <w:sz w:val="21"/>
                <w:szCs w:val="21"/>
                <w:highlight w:val="none"/>
                <w:lang w:val="en-US" w:eastAsia="zh-CN"/>
                <w14:textFill>
                  <w14:solidFill>
                    <w14:schemeClr w14:val="tx1"/>
                  </w14:solidFill>
                </w14:textFill>
              </w:rPr>
              <w:t>2</w:t>
            </w:r>
            <w:r>
              <w:rPr>
                <w:rFonts w:hint="default"/>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r>
              <w:rPr>
                <w:rFonts w:hint="default"/>
                <w:color w:val="000000" w:themeColor="text1"/>
                <w:sz w:val="21"/>
                <w:szCs w:val="21"/>
                <w:highlight w:val="none"/>
                <w:lang w:val="en-US" w:eastAsia="zh-CN"/>
                <w14:textFill>
                  <w14:solidFill>
                    <w14:schemeClr w14:val="tx1"/>
                  </w14:solidFill>
                </w14:textFill>
              </w:rPr>
              <w:t>最多加</w:t>
            </w:r>
            <w:r>
              <w:rPr>
                <w:rFonts w:hint="eastAsia"/>
                <w:color w:val="000000" w:themeColor="text1"/>
                <w:sz w:val="21"/>
                <w:szCs w:val="21"/>
                <w:highlight w:val="none"/>
                <w:lang w:val="en-US" w:eastAsia="zh-CN"/>
                <w14:textFill>
                  <w14:solidFill>
                    <w14:schemeClr w14:val="tx1"/>
                  </w14:solidFill>
                </w14:textFill>
              </w:rPr>
              <w:t>2</w:t>
            </w:r>
            <w:r>
              <w:rPr>
                <w:rFonts w:hint="default"/>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p>
          <w:p w14:paraId="44A6F7BE">
            <w:pPr>
              <w:keepNext w:val="0"/>
              <w:keepLines w:val="0"/>
              <w:pageBreakBefore w:val="0"/>
              <w:widowControl w:val="0"/>
              <w:kinsoku/>
              <w:wordWrap/>
              <w:overflowPunct/>
              <w:topLinePunct w:val="0"/>
              <w:autoSpaceDN/>
              <w:bidi w:val="0"/>
              <w:snapToGrid w:val="0"/>
              <w:spacing w:line="360" w:lineRule="auto"/>
              <w:jc w:val="left"/>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r>
              <w:rPr>
                <w:rFonts w:hint="default"/>
                <w:color w:val="000000" w:themeColor="text1"/>
                <w:sz w:val="21"/>
                <w:szCs w:val="21"/>
                <w:highlight w:val="none"/>
                <w:lang w:val="en-US" w:eastAsia="zh-CN"/>
                <w14:textFill>
                  <w14:solidFill>
                    <w14:schemeClr w14:val="tx1"/>
                  </w14:solidFill>
                </w14:textFill>
              </w:rPr>
              <w:t>投标人具有信息安全管理体系认证证书、信息技术服务管理体系认证证书，每有一项加</w:t>
            </w:r>
            <w:r>
              <w:rPr>
                <w:rFonts w:hint="eastAsia"/>
                <w:color w:val="000000" w:themeColor="text1"/>
                <w:sz w:val="21"/>
                <w:szCs w:val="21"/>
                <w:highlight w:val="none"/>
                <w:lang w:val="en-US" w:eastAsia="zh-CN"/>
                <w14:textFill>
                  <w14:solidFill>
                    <w14:schemeClr w14:val="tx1"/>
                  </w14:solidFill>
                </w14:textFill>
              </w:rPr>
              <w:t>1</w:t>
            </w:r>
            <w:r>
              <w:rPr>
                <w:rFonts w:hint="default"/>
                <w:color w:val="000000" w:themeColor="text1"/>
                <w:sz w:val="21"/>
                <w:szCs w:val="21"/>
                <w:highlight w:val="none"/>
                <w:lang w:val="en-US" w:eastAsia="zh-CN"/>
                <w14:textFill>
                  <w14:solidFill>
                    <w14:schemeClr w14:val="tx1"/>
                  </w14:solidFill>
                </w14:textFill>
              </w:rPr>
              <w:t>分，最多加</w:t>
            </w:r>
            <w:r>
              <w:rPr>
                <w:rFonts w:hint="eastAsia"/>
                <w:color w:val="000000" w:themeColor="text1"/>
                <w:sz w:val="21"/>
                <w:szCs w:val="21"/>
                <w:highlight w:val="none"/>
                <w:lang w:val="en-US" w:eastAsia="zh-CN"/>
                <w14:textFill>
                  <w14:solidFill>
                    <w14:schemeClr w14:val="tx1"/>
                  </w14:solidFill>
                </w14:textFill>
              </w:rPr>
              <w:t>2</w:t>
            </w:r>
            <w:r>
              <w:rPr>
                <w:rFonts w:hint="default"/>
                <w:color w:val="000000" w:themeColor="text1"/>
                <w:sz w:val="21"/>
                <w:szCs w:val="21"/>
                <w:highlight w:val="none"/>
                <w:lang w:val="en-US" w:eastAsia="zh-CN"/>
                <w14:textFill>
                  <w14:solidFill>
                    <w14:schemeClr w14:val="tx1"/>
                  </w14:solidFill>
                </w14:textFill>
              </w:rPr>
              <w:t>分</w:t>
            </w:r>
            <w:r>
              <w:rPr>
                <w:rFonts w:hint="eastAsia"/>
                <w:color w:val="000000" w:themeColor="text1"/>
                <w:sz w:val="21"/>
                <w:szCs w:val="21"/>
                <w:highlight w:val="none"/>
                <w:lang w:val="en-US" w:eastAsia="zh-CN"/>
                <w14:textFill>
                  <w14:solidFill>
                    <w14:schemeClr w14:val="tx1"/>
                  </w14:solidFill>
                </w14:textFill>
              </w:rPr>
              <w:t>。</w:t>
            </w:r>
          </w:p>
          <w:p w14:paraId="6619F7B6">
            <w:pPr>
              <w:keepNext w:val="0"/>
              <w:keepLines w:val="0"/>
              <w:pageBreakBefore w:val="0"/>
              <w:numPr>
                <w:ilvl w:val="0"/>
                <w:numId w:val="0"/>
              </w:numPr>
              <w:kinsoku/>
              <w:wordWrap/>
              <w:overflowPunct/>
              <w:topLinePunct w:val="0"/>
              <w:bidi w:val="0"/>
              <w:spacing w:line="360" w:lineRule="auto"/>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eastAsia="黑体" w:cs="Times New Roman"/>
                <w:b/>
                <w:bCs/>
                <w:color w:val="000000" w:themeColor="text1"/>
                <w:sz w:val="18"/>
                <w:szCs w:val="18"/>
                <w:highlight w:val="none"/>
                <w:lang w:val="en-US" w:eastAsia="zh-CN"/>
                <w14:textFill>
                  <w14:solidFill>
                    <w14:schemeClr w14:val="tx1"/>
                  </w14:solidFill>
                </w14:textFill>
              </w:rPr>
              <w:t>注：投标人须提供证书彩色影印件，否则不得分</w:t>
            </w:r>
            <w:r>
              <w:rPr>
                <w:rFonts w:hint="eastAsia" w:ascii="Times New Roman" w:hAnsi="Times New Roman" w:eastAsia="黑体" w:cs="Times New Roman"/>
                <w:b/>
                <w:bCs/>
                <w:color w:val="000000" w:themeColor="text1"/>
                <w:sz w:val="18"/>
                <w:szCs w:val="18"/>
                <w:highlight w:val="none"/>
                <w:lang w:val="en-US" w:eastAsia="zh-CN"/>
                <w14:textFill>
                  <w14:solidFill>
                    <w14:schemeClr w14:val="tx1"/>
                  </w14:solidFill>
                </w14:textFill>
              </w:rPr>
              <w:t>。</w:t>
            </w:r>
          </w:p>
        </w:tc>
      </w:tr>
      <w:tr w14:paraId="0747F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430" w:hRule="atLeast"/>
          <w:jc w:val="center"/>
        </w:trPr>
        <w:tc>
          <w:tcPr>
            <w:tcW w:w="807" w:type="dxa"/>
            <w:vMerge w:val="continue"/>
            <w:tcBorders>
              <w:tl2br w:val="nil"/>
              <w:tr2bl w:val="nil"/>
            </w:tcBorders>
            <w:vAlign w:val="center"/>
          </w:tcPr>
          <w:p w14:paraId="7A243110">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943" w:type="dxa"/>
            <w:vMerge w:val="continue"/>
            <w:tcBorders>
              <w:tl2br w:val="nil"/>
              <w:tr2bl w:val="nil"/>
            </w:tcBorders>
            <w:vAlign w:val="center"/>
          </w:tcPr>
          <w:p w14:paraId="1B4AF418">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000000" w:themeColor="text1"/>
                <w:sz w:val="21"/>
                <w:szCs w:val="21"/>
                <w:highlight w:val="none"/>
                <w14:textFill>
                  <w14:solidFill>
                    <w14:schemeClr w14:val="tx1"/>
                  </w14:solidFill>
                </w14:textFill>
              </w:rPr>
            </w:pPr>
          </w:p>
        </w:tc>
        <w:tc>
          <w:tcPr>
            <w:tcW w:w="1017" w:type="dxa"/>
            <w:vMerge w:val="continue"/>
            <w:tcBorders>
              <w:tl2br w:val="nil"/>
              <w:tr2bl w:val="nil"/>
            </w:tcBorders>
            <w:vAlign w:val="center"/>
          </w:tcPr>
          <w:p w14:paraId="30688076">
            <w:pPr>
              <w:keepNext w:val="0"/>
              <w:keepLines w:val="0"/>
              <w:pageBreakBefore w:val="0"/>
              <w:widowControl w:val="0"/>
              <w:kinsoku/>
              <w:wordWrap/>
              <w:overflowPunct/>
              <w:topLinePunct w:val="0"/>
              <w:autoSpaceDN/>
              <w:bidi w:val="0"/>
              <w:snapToGrid w:val="0"/>
              <w:jc w:val="center"/>
              <w:rPr>
                <w:rFonts w:hint="eastAsia" w:ascii="宋体" w:hAnsi="宋体" w:eastAsia="宋体" w:cs="宋体"/>
                <w:b w:val="0"/>
                <w:bCs w:val="0"/>
                <w:color w:val="FF0000"/>
                <w:sz w:val="21"/>
                <w:szCs w:val="21"/>
                <w:highlight w:val="none"/>
              </w:rPr>
            </w:pPr>
          </w:p>
        </w:tc>
        <w:tc>
          <w:tcPr>
            <w:tcW w:w="1870" w:type="dxa"/>
            <w:tcBorders>
              <w:tl2br w:val="nil"/>
              <w:tr2bl w:val="nil"/>
            </w:tcBorders>
            <w:vAlign w:val="center"/>
          </w:tcPr>
          <w:p w14:paraId="1D56AAB2">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履约信誉</w:t>
            </w:r>
          </w:p>
        </w:tc>
        <w:tc>
          <w:tcPr>
            <w:tcW w:w="728" w:type="dxa"/>
            <w:tcBorders>
              <w:tl2br w:val="nil"/>
              <w:tr2bl w:val="nil"/>
            </w:tcBorders>
            <w:vAlign w:val="center"/>
          </w:tcPr>
          <w:p w14:paraId="08A454AA">
            <w:pPr>
              <w:keepNext w:val="0"/>
              <w:keepLines w:val="0"/>
              <w:pageBreakBefore w:val="0"/>
              <w:kinsoku/>
              <w:wordWrap/>
              <w:overflowPunct/>
              <w:topLinePunct w:val="0"/>
              <w:bidi w:val="0"/>
              <w:spacing w:line="36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5分</w:t>
            </w:r>
          </w:p>
        </w:tc>
        <w:tc>
          <w:tcPr>
            <w:tcW w:w="4474" w:type="dxa"/>
            <w:tcBorders>
              <w:tl2br w:val="nil"/>
              <w:tr2bl w:val="nil"/>
            </w:tcBorders>
            <w:vAlign w:val="center"/>
          </w:tcPr>
          <w:p w14:paraId="3774F1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1.满足资格审查条件（信誉最低要求）得3分；</w:t>
            </w:r>
          </w:p>
          <w:p w14:paraId="7EBF5764">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jc w:val="left"/>
              <w:textAlignment w:val="auto"/>
              <w:outlineLvl w:val="9"/>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2.在“信用中国”有诚实守信记录的，按照投标人</w:t>
            </w:r>
            <w:r>
              <w:rPr>
                <w:rFonts w:hint="eastAsia" w:ascii="宋体" w:hAnsi="宋体" w:eastAsia="宋体" w:cs="宋体"/>
                <w:b w:val="0"/>
                <w:bCs w:val="0"/>
                <w:color w:val="000000" w:themeColor="text1"/>
                <w:highlight w:val="none"/>
                <w14:textFill>
                  <w14:solidFill>
                    <w14:schemeClr w14:val="tx1"/>
                  </w14:solidFill>
                </w14:textFill>
              </w:rPr>
              <w:t>近三年内（202</w:t>
            </w:r>
            <w:r>
              <w:rPr>
                <w:rFonts w:hint="eastAsia" w:ascii="宋体" w:hAnsi="宋体" w:eastAsia="宋体" w:cs="宋体"/>
                <w:b w:val="0"/>
                <w:b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color w:val="000000" w:themeColor="text1"/>
                <w:highlight w:val="none"/>
                <w14:textFill>
                  <w14:solidFill>
                    <w14:schemeClr w14:val="tx1"/>
                  </w14:solidFill>
                </w14:textFill>
              </w:rPr>
              <w:t>年至</w:t>
            </w:r>
            <w:r>
              <w:rPr>
                <w:rFonts w:hint="eastAsia" w:ascii="宋体" w:hAnsi="宋体" w:eastAsia="宋体" w:cs="宋体"/>
                <w:b w:val="0"/>
                <w:bCs w:val="0"/>
                <w:color w:val="000000" w:themeColor="text1"/>
                <w:highlight w:val="none"/>
                <w:lang w:val="en-US" w:eastAsia="zh-CN"/>
                <w14:textFill>
                  <w14:solidFill>
                    <w14:schemeClr w14:val="tx1"/>
                  </w14:solidFill>
                </w14:textFill>
              </w:rPr>
              <w:t>2024年</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在信用中国网站被列入诚实守信名单进行评分，有诚实守信记录的加2分，此项最高加2分。</w:t>
            </w:r>
          </w:p>
          <w:p w14:paraId="5C1E960E">
            <w:pPr>
              <w:keepNext w:val="0"/>
              <w:keepLines w:val="0"/>
              <w:pageBreakBefore w:val="0"/>
              <w:numPr>
                <w:ilvl w:val="0"/>
                <w:numId w:val="0"/>
              </w:numPr>
              <w:kinsoku/>
              <w:wordWrap/>
              <w:overflowPunct/>
              <w:topLinePunct w:val="0"/>
              <w:bidi w:val="0"/>
              <w:spacing w:line="360" w:lineRule="auto"/>
              <w:jc w:val="left"/>
              <w:rPr>
                <w:rFonts w:hint="eastAsia" w:ascii="宋体" w:hAnsi="宋体" w:eastAsia="宋体" w:cs="宋体"/>
                <w:b w:val="0"/>
                <w:bCs w:val="0"/>
                <w:highlight w:val="none"/>
                <w:lang w:val="en-US" w:eastAsia="zh-CN"/>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注：若为联合体投标的，诚实守信记录以联合体所有成员最低记录为准。</w:t>
            </w:r>
          </w:p>
        </w:tc>
      </w:tr>
      <w:tr w14:paraId="158BD8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139" w:type="dxa"/>
            <w:left w:w="74" w:type="dxa"/>
            <w:bottom w:w="29" w:type="dxa"/>
            <w:right w:w="74" w:type="dxa"/>
          </w:tblCellMar>
        </w:tblPrEx>
        <w:trPr>
          <w:trHeight w:val="1638" w:hRule="atLeast"/>
          <w:jc w:val="center"/>
        </w:trPr>
        <w:tc>
          <w:tcPr>
            <w:tcW w:w="9839" w:type="dxa"/>
            <w:gridSpan w:val="6"/>
            <w:tcBorders>
              <w:tl2br w:val="nil"/>
              <w:tr2bl w:val="nil"/>
            </w:tcBorders>
            <w:vAlign w:val="center"/>
          </w:tcPr>
          <w:p w14:paraId="59D926C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需要补充的其他内容：</w:t>
            </w:r>
          </w:p>
          <w:p w14:paraId="1FEC8CD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本项目采用双信封综合评分法进行评标，评标办法正文第3条部分条款内容细化如下：</w:t>
            </w:r>
          </w:p>
          <w:p w14:paraId="41A457A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3.1款补充：</w:t>
            </w:r>
          </w:p>
          <w:p w14:paraId="3142CED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3.1.1通过第一个信封评审的投标人不足3个时，评标委员会可以否决全部投标；未否决全部投标的，评标委员会应当在评标报告中阐明理由。</w:t>
            </w:r>
          </w:p>
          <w:p w14:paraId="46C4913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第3.2款内容细化如下：</w:t>
            </w:r>
          </w:p>
          <w:p w14:paraId="1CF6672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3.2 第一个信封详细评审</w:t>
            </w:r>
          </w:p>
          <w:p w14:paraId="25F0C91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3.2.1 评标委员会按本章第2.2款规定的量化因素和分值进行打分，并计算出各投标人的商务和技术得分。</w:t>
            </w:r>
          </w:p>
          <w:p w14:paraId="224A45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（1）按本章第2.2.4项（1）目规定的评审因素和分值对技术建议书部分计算出得分A；</w:t>
            </w:r>
          </w:p>
          <w:p w14:paraId="59C0874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（2）按本章第2.2.4项（2）目规定的评审因素和分值对主要人员部分计算出得分B；</w:t>
            </w:r>
          </w:p>
          <w:p w14:paraId="7F87ECF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（3）按本章第2.2.4项（4）目规定的评审因素和分值对其他因素计算出得分D。</w:t>
            </w:r>
          </w:p>
          <w:p w14:paraId="732CE6D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3.2.2 投标人的商务和技术得分分值计算保留小数点后两位，小数点后第三位“四舍五入”。</w:t>
            </w:r>
          </w:p>
          <w:p w14:paraId="5081C1C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3.2.3 投标人的商务和技术得分=A+B+D。</w:t>
            </w:r>
          </w:p>
          <w:p w14:paraId="6941627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评标委员会对通过初步评审商务文件和技术建议书进行评分。每个投标人商务文件和技术建议书各分项的得分为评标委员会全体成员的对应分项打分去掉一个最高分和一个最低分后的算术平均值（当评标委员会成员人数为5人时不去掉最高和最低分），得分四舍五入，保留两位小数。</w:t>
            </w:r>
          </w:p>
          <w:p w14:paraId="647D506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商务和技术建议书得分一般不得低于其权重分值的60%，评标委员会成员对某一项评分因素的评分低于权重分值60%的，应在评标报告中作出说明。</w:t>
            </w:r>
          </w:p>
          <w:p w14:paraId="720F55B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3.4款补充：</w:t>
            </w:r>
          </w:p>
          <w:p w14:paraId="67CEE28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3.4.5在对第二个信封报价文件进行开标并经评审后，有效投标不足3个使得投标明显缺乏竞争的，评标委员会可以否决全部投标；未否决全部投标的，评标委员会应当在评标报告中阐明理由并推荐中标候选人。</w:t>
            </w:r>
          </w:p>
          <w:p w14:paraId="6961FD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3.6.2款补充</w:t>
            </w:r>
          </w:p>
          <w:p w14:paraId="3FEDE31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（5）按照晋交建管发〔2024〕433号文规定，有下列情形之一的，视为投标人相互串通投标，</w:t>
            </w:r>
          </w:p>
          <w:p w14:paraId="248DF4D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a.不同投标人投标文件投标报价、项目管理成员等实质性内容存在一致；</w:t>
            </w:r>
          </w:p>
          <w:p w14:paraId="4459152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b.电子投标文件记录的MAC地址相同；</w:t>
            </w:r>
          </w:p>
          <w:p w14:paraId="760574E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c.投标文件的下载、制作、记录、上传IP地址等信息出现任一相同情况；</w:t>
            </w:r>
          </w:p>
          <w:p w14:paraId="7BF77B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d.不同投标人的投标保证金来源为同一单位或者账户的；</w:t>
            </w:r>
          </w:p>
          <w:p w14:paraId="3AAA874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e.投标人之间相互约定给予未中标的投标人费用补偿的；</w:t>
            </w:r>
          </w:p>
          <w:p w14:paraId="225836B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f.不同投标人的CA数字证书混用的；</w:t>
            </w:r>
          </w:p>
          <w:p w14:paraId="610969B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g.其他法律法规规定和相关规定被视为投标人相互串通投标的情形。</w:t>
            </w:r>
          </w:p>
          <w:p w14:paraId="2A7D224A">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szCs w:val="21"/>
                <w:highlight w:val="none"/>
                <w:lang w:val="en-US" w:eastAsia="zh-CN"/>
              </w:rPr>
            </w:pPr>
            <w:r>
              <w:rPr>
                <w:rFonts w:hint="eastAsia" w:ascii="宋体" w:hAnsi="宋体" w:eastAsia="宋体" w:cs="宋体"/>
                <w:b w:val="0"/>
                <w:bCs w:val="0"/>
                <w:szCs w:val="21"/>
                <w:highlight w:val="none"/>
                <w:lang w:val="en-US" w:eastAsia="zh-CN"/>
              </w:rPr>
              <w:t>3.9.1款修改为：</w:t>
            </w:r>
          </w:p>
          <w:p w14:paraId="7A15550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b w:val="0"/>
                <w:bCs w:val="0"/>
              </w:rPr>
            </w:pPr>
            <w:r>
              <w:rPr>
                <w:rFonts w:hint="eastAsia" w:ascii="宋体" w:hAnsi="宋体" w:eastAsia="宋体" w:cs="宋体"/>
                <w:b w:val="0"/>
                <w:bCs w:val="0"/>
                <w:szCs w:val="21"/>
                <w:highlight w:val="none"/>
                <w:lang w:val="en-US" w:eastAsia="zh-CN"/>
              </w:rPr>
              <w:t>评标委员会按照得分由高到低的顺序推荐1名中标候选人。</w:t>
            </w:r>
          </w:p>
        </w:tc>
      </w:tr>
    </w:tbl>
    <w:p w14:paraId="5A7AAD0F">
      <w:pPr>
        <w:keepNext w:val="0"/>
        <w:keepLines w:val="0"/>
        <w:pageBreakBefore w:val="0"/>
        <w:widowControl w:val="0"/>
        <w:kinsoku/>
        <w:wordWrap/>
        <w:overflowPunct/>
        <w:topLinePunct w:val="0"/>
        <w:autoSpaceDN/>
        <w:bidi w:val="0"/>
        <w:rPr>
          <w:rFonts w:hint="eastAsia" w:ascii="宋体" w:hAnsi="宋体" w:eastAsia="宋体" w:cs="宋体"/>
          <w:b w:val="0"/>
          <w:bCs w:val="0"/>
          <w:color w:val="000000" w:themeColor="text1"/>
          <w:highlight w:val="none"/>
          <w14:textFill>
            <w14:solidFill>
              <w14:schemeClr w14:val="tx1"/>
            </w14:solidFill>
          </w14:textFill>
        </w:rPr>
        <w:sectPr>
          <w:headerReference r:id="rId4" w:type="even"/>
          <w:footnotePr>
            <w:numFmt w:val="decimalEnclosedCircleChinese"/>
            <w:numRestart w:val="eachPage"/>
          </w:footnotePr>
          <w:pgSz w:w="11906" w:h="16838"/>
          <w:pgMar w:top="1440" w:right="1083" w:bottom="1440" w:left="1083" w:header="851" w:footer="851" w:gutter="0"/>
          <w:pgBorders>
            <w:top w:val="none" w:sz="0" w:space="0"/>
            <w:left w:val="none" w:sz="0" w:space="0"/>
            <w:bottom w:val="none" w:sz="0" w:space="0"/>
            <w:right w:val="none" w:sz="0" w:space="0"/>
          </w:pgBorders>
          <w:pgNumType w:fmt="decimal"/>
          <w:cols w:space="425" w:num="1"/>
          <w:docGrid w:linePitch="312" w:charSpace="0"/>
        </w:sectPr>
      </w:pPr>
    </w:p>
    <w:p w14:paraId="507A8546">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6" w:name="_Toc509660990"/>
      <w:r>
        <w:rPr>
          <w:rFonts w:hint="eastAsia" w:ascii="宋体" w:hAnsi="宋体" w:eastAsia="宋体" w:cs="宋体"/>
          <w:b w:val="0"/>
          <w:bCs w:val="0"/>
          <w:color w:val="000000" w:themeColor="text1"/>
          <w:sz w:val="24"/>
          <w:szCs w:val="24"/>
          <w:highlight w:val="none"/>
          <w14:textFill>
            <w14:solidFill>
              <w14:schemeClr w14:val="tx1"/>
            </w14:solidFill>
          </w14:textFill>
        </w:rPr>
        <w:t>1.评标方法</w:t>
      </w:r>
      <w:bookmarkEnd w:id="6"/>
    </w:p>
    <w:p w14:paraId="507C734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本次评标采用双信封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422FAAF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7" w:name="_Toc509660991"/>
      <w:r>
        <w:rPr>
          <w:rFonts w:hint="eastAsia" w:ascii="宋体" w:hAnsi="宋体" w:eastAsia="宋体" w:cs="宋体"/>
          <w:b w:val="0"/>
          <w:bCs w:val="0"/>
          <w:color w:val="000000" w:themeColor="text1"/>
          <w:sz w:val="24"/>
          <w:szCs w:val="24"/>
          <w:highlight w:val="none"/>
          <w14:textFill>
            <w14:solidFill>
              <w14:schemeClr w14:val="tx1"/>
            </w14:solidFill>
          </w14:textFill>
        </w:rPr>
        <w:t>2.评审标准</w:t>
      </w:r>
      <w:bookmarkEnd w:id="7"/>
    </w:p>
    <w:p w14:paraId="643FC082">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2.1初步评审标准</w:t>
      </w:r>
    </w:p>
    <w:p w14:paraId="2FE28DE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2.1.1形式评审标准：见评标办法前附表。</w:t>
      </w:r>
    </w:p>
    <w:p w14:paraId="501FF0F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2.1.2资格评审标准：见评标办法前附表。</w:t>
      </w:r>
    </w:p>
    <w:p w14:paraId="2DD91B34">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2.1.3响应性评审标准：见评标办法前附表。</w:t>
      </w:r>
    </w:p>
    <w:p w14:paraId="1D3CBC37">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2.2分值构成与评分标准</w:t>
      </w:r>
    </w:p>
    <w:p w14:paraId="33B107A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2.2.1分值构成</w:t>
      </w:r>
    </w:p>
    <w:p w14:paraId="6F21D68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技术建议书：见评标办法前附表；</w:t>
      </w:r>
    </w:p>
    <w:p w14:paraId="2FFA18C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主要人员：见评标办法前附表；</w:t>
      </w:r>
    </w:p>
    <w:p w14:paraId="4772918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评标价：见评标办法</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前</w:t>
      </w:r>
      <w:r>
        <w:rPr>
          <w:rFonts w:hint="eastAsia" w:ascii="宋体" w:hAnsi="宋体" w:eastAsia="宋体" w:cs="宋体"/>
          <w:b w:val="0"/>
          <w:bCs w:val="0"/>
          <w:color w:val="000000" w:themeColor="text1"/>
          <w:sz w:val="24"/>
          <w:szCs w:val="24"/>
          <w:highlight w:val="none"/>
          <w14:textFill>
            <w14:solidFill>
              <w14:schemeClr w14:val="tx1"/>
            </w14:solidFill>
          </w14:textFill>
        </w:rPr>
        <w:t>附表；</w:t>
      </w:r>
    </w:p>
    <w:p w14:paraId="2EF826D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其他评分因素：见评标办法前附表。</w:t>
      </w:r>
    </w:p>
    <w:p w14:paraId="732A45C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2.2.2评标基准价计算</w:t>
      </w:r>
    </w:p>
    <w:p w14:paraId="2EB5D656">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评标基准价计算方法：见评标办法前附表。</w:t>
      </w:r>
    </w:p>
    <w:p w14:paraId="25E04A9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2.2.3评标价的偏差率计算</w:t>
      </w:r>
    </w:p>
    <w:p w14:paraId="7621B30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评标价的偏差率计算公式：见评标办法前附表。</w:t>
      </w:r>
    </w:p>
    <w:p w14:paraId="6F837A71">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2.2.4评分标准</w:t>
      </w:r>
    </w:p>
    <w:p w14:paraId="5D9078B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技术建议书评分标准：见评标办法前附表；</w:t>
      </w:r>
    </w:p>
    <w:p w14:paraId="73C030F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主要人员评分标准：见评标办法前附表；</w:t>
      </w:r>
    </w:p>
    <w:p w14:paraId="59FBE3A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评标价评分标准：见评标办法前附表；</w:t>
      </w:r>
    </w:p>
    <w:p w14:paraId="5D1038D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其他因素评分标准：见评标办法前附表。</w:t>
      </w:r>
    </w:p>
    <w:p w14:paraId="020BFF19">
      <w:pPr>
        <w:keepNext w:val="0"/>
        <w:keepLines w:val="0"/>
        <w:pageBreakBefore w:val="0"/>
        <w:widowControl w:val="0"/>
        <w:kinsoku/>
        <w:wordWrap/>
        <w:overflowPunct/>
        <w:topLinePunct w:val="0"/>
        <w:autoSpaceDN/>
        <w:bidi w:val="0"/>
        <w:snapToGrid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bookmarkStart w:id="8" w:name="_Toc509660992"/>
      <w:r>
        <w:rPr>
          <w:rFonts w:hint="eastAsia" w:ascii="宋体" w:hAnsi="宋体" w:eastAsia="宋体" w:cs="宋体"/>
          <w:b w:val="0"/>
          <w:bCs w:val="0"/>
          <w:color w:val="000000" w:themeColor="text1"/>
          <w:sz w:val="24"/>
          <w:szCs w:val="24"/>
          <w:highlight w:val="none"/>
          <w14:textFill>
            <w14:solidFill>
              <w14:schemeClr w14:val="tx1"/>
            </w14:solidFill>
          </w14:textFill>
        </w:rPr>
        <w:t>3.评标程序</w:t>
      </w:r>
      <w:bookmarkEnd w:id="8"/>
    </w:p>
    <w:p w14:paraId="1D4C807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3.1第一个信封初步评审</w:t>
      </w:r>
    </w:p>
    <w:p w14:paraId="4D67AF6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3.1.1评标委员会可以要求投标人提交第二章“投标人须知”第3.5.1项至第3.5.5 项规定的有关证明和证件的原件，以便核验。评标委员会依据本章第2.1款规定的标准对投标文件第一个信封（商务及技术文件）进行初步评审。有一项不符合评审标准的，评标委员会应否决其投标。</w:t>
      </w:r>
    </w:p>
    <w:p w14:paraId="47AE534D">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3.2第一个信封详细评审</w:t>
      </w:r>
    </w:p>
    <w:p w14:paraId="752AAD4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3.2.1评标委员会按本章第2.2款规定的量化因素和分值进行打分，并计算出各投标人的商务和技术得分。</w:t>
      </w:r>
    </w:p>
    <w:p w14:paraId="659B53E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按本章第2.2.4项（1）目规定的评审因素和分值对技术建议书部分计算出得分A；</w:t>
      </w:r>
    </w:p>
    <w:p w14:paraId="09B63AD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按本章第2.2.4项（2）目规定的评审因素和分值对主要人员部分计算出得分B；</w:t>
      </w:r>
    </w:p>
    <w:p w14:paraId="4DC037B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按本章第2.2.4项（4）目规定的评审因素和分值对其他部分计算出得D。 </w:t>
      </w:r>
    </w:p>
    <w:p w14:paraId="1D46507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3.2.2投标人的商务和技术得分分值计算保留小数点后两位，小数点后第三位“四舍五入”。</w:t>
      </w:r>
    </w:p>
    <w:p w14:paraId="27EB490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3.2.3投标人的商务和技术得分=A+B+D。</w:t>
      </w:r>
    </w:p>
    <w:p w14:paraId="22BD4FEA">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3.3第二个信封开标</w:t>
      </w:r>
    </w:p>
    <w:p w14:paraId="6595405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第一个信封（商务及技术文件）评审结束后，招标人将按照第二章“投标人须知”第5.1款规定的时间和地点对通过投标文件第一个信封（商务及技术文件）评审的投标文件第二个信封（报价文件）进行开标。</w:t>
      </w:r>
    </w:p>
    <w:p w14:paraId="0B7E0A88">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3.4第二个信封初步评审</w:t>
      </w:r>
    </w:p>
    <w:p w14:paraId="274C1E4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3.4.1评标委员会依据本章第2.1.1项、第2.1.3项规定的评审标准对投标文件第二个信封（报价文件）进行初步评审。有一项不符合评审标准的，评标委员会应否决其投标。</w:t>
      </w:r>
    </w:p>
    <w:p w14:paraId="4C55FA6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3.4.2投标报价有算术错误的，评标委员会按以下原则对投标报价进行修正，修正的价格经投标人书面确认后具有约束力。投标人不接受修正价格的，评标委员会应否决其投标。</w:t>
      </w:r>
    </w:p>
    <w:p w14:paraId="06AA9B0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投标文件中的大写金额与小写金额不一致的，以大写金额为准；</w:t>
      </w:r>
    </w:p>
    <w:p w14:paraId="5AF35D7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总价金额与依据单价计算出的结果不一致的，以单价金额为准修正总价，但单价金额小数点有明显错误的除外；</w:t>
      </w:r>
    </w:p>
    <w:p w14:paraId="5A506D9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当单价与数量相乘不等于合价时，以单价计算为准，如果单价有明显的小数点位置差错，应以标出的合价为准，同时对单价予以修正；</w:t>
      </w:r>
    </w:p>
    <w:p w14:paraId="5D454A8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当各子目的合价累计不等于总价时，应以各子目合价累计数为准，修正总价。</w:t>
      </w:r>
    </w:p>
    <w:p w14:paraId="2855E4D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3.4.3修正后的最终投标报价若超过最高投标限价（如有），评标委员会应否决其投标。</w:t>
      </w:r>
    </w:p>
    <w:p w14:paraId="0B681D3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3.4.4修正后的最终投标报价仅作为签订合同的一个依据，不参与评标价得分的计算。</w:t>
      </w:r>
    </w:p>
    <w:p w14:paraId="01A6D0BA">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3.5第二个信封详细评审</w:t>
      </w:r>
    </w:p>
    <w:p w14:paraId="38C93674">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3.5.1评标委员会按本章第2.2.4项（3）目规定的评审因素和分值对评标价计算出得分C。评标价得分分值计算保留小数点后两位，小数点后第三位“四舍五入”。 </w:t>
      </w:r>
    </w:p>
    <w:p w14:paraId="4F020B0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3.5.2投标人综合得分=投标人的商务和技术得分+C。</w:t>
      </w:r>
    </w:p>
    <w:p w14:paraId="35D4E7F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22BB8313">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3.6投标文件相关信息的核查</w:t>
      </w:r>
    </w:p>
    <w:p w14:paraId="6CE6769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3.6.1在评标过程中，评标委员会有权对投标人的资质、业绩、主要人员资历等信息进行核实。若核实的信息使得投标人的资格条件不符合招标文件规定的，评标委员会应否决其投标。</w:t>
      </w:r>
    </w:p>
    <w:p w14:paraId="6B1A707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25DF3AC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有下列情形之一的，属于投标人相互串通投标：</w:t>
      </w:r>
    </w:p>
    <w:p w14:paraId="4274257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a. 投标人之间协商投标报价等投标文件的实质性内容；</w:t>
      </w:r>
    </w:p>
    <w:p w14:paraId="4A8F98A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b.</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投标人之间约定中标人；</w:t>
      </w:r>
    </w:p>
    <w:p w14:paraId="1222813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c.</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投标人之间约定部分投标人放弃投标或中标；</w:t>
      </w:r>
    </w:p>
    <w:p w14:paraId="6D8B1E7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d.</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属于同一集团、协会、商会等组织成员的投标人按照该组织要求协同投标；</w:t>
      </w:r>
    </w:p>
    <w:p w14:paraId="35AAFFC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e.</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投标人之间为谋取中标或排斥特定投标人而采取的其他联合行动。</w:t>
      </w:r>
    </w:p>
    <w:p w14:paraId="1D1AE7C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有下列情形之一的，视为投标人相互串通投标：</w:t>
      </w:r>
    </w:p>
    <w:p w14:paraId="66839A6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a.</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不同投标人的投标文件由同一单位或个人编制；</w:t>
      </w:r>
    </w:p>
    <w:p w14:paraId="187EF60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b.</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不同投标人委托同一单位或个人办理投标事宜；</w:t>
      </w:r>
    </w:p>
    <w:p w14:paraId="7096301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c.</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不同投标人的投标文件载明的项目管理成员为同一人；</w:t>
      </w:r>
    </w:p>
    <w:p w14:paraId="520CFFF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d.</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不同投标人的投标文件异常一致或投标报价呈规律性差异；</w:t>
      </w:r>
    </w:p>
    <w:p w14:paraId="27102E4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e.</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不同投标人的投标文件相互混装；</w:t>
      </w:r>
    </w:p>
    <w:p w14:paraId="399DF9B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f.</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不同投标人的投标保证金从同一单位或个人的账户转出。</w:t>
      </w:r>
    </w:p>
    <w:p w14:paraId="58814E5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有下列情形之一的，属于招标人与投标人串通投标：</w:t>
      </w:r>
    </w:p>
    <w:p w14:paraId="31741EC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a.</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招标人在开标前开启投标文件并将有关信息泄露给其他投标人；</w:t>
      </w:r>
    </w:p>
    <w:p w14:paraId="41032AA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b.</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招标人直接或间接向投标人泄露标底、评标委员会成员等信息；</w:t>
      </w:r>
    </w:p>
    <w:p w14:paraId="5D886CB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c.</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招标人明示或暗示投标人压低或抬高投标报价；</w:t>
      </w:r>
    </w:p>
    <w:p w14:paraId="1B98E69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d.</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招标人授意投标人撤换、修改投标文件；</w:t>
      </w:r>
    </w:p>
    <w:p w14:paraId="63D31058">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e.</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招标人明示或暗示投标人为特定投标人中标提供方便；</w:t>
      </w:r>
    </w:p>
    <w:p w14:paraId="6F0B879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f.</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招标人与投标人为谋求特定投标人中标而采取的其他串通行为。</w:t>
      </w:r>
    </w:p>
    <w:p w14:paraId="6BC7E1E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14:textFill>
            <w14:solidFill>
              <w14:schemeClr w14:val="tx1"/>
            </w14:solidFill>
          </w14:textFill>
        </w:rPr>
        <w:t>投标人有下列情形之一的，属于弄虚作假的行为：</w:t>
      </w:r>
    </w:p>
    <w:p w14:paraId="15072E4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a.</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使用通过受让或租借等方式获取的资格、资质证书投标；</w:t>
      </w:r>
    </w:p>
    <w:p w14:paraId="12F67B79">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b.</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使用伪造、变造的许可证件；</w:t>
      </w:r>
    </w:p>
    <w:p w14:paraId="6173E2BF">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c.</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提供虚假的业绩；</w:t>
      </w:r>
    </w:p>
    <w:p w14:paraId="4017FB25">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d.</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提供虚假的项目负责人或主要技术人员简历、劳动关系证明；</w:t>
      </w:r>
    </w:p>
    <w:p w14:paraId="6702F7E7">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e.</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提供虚假的信用状况；</w:t>
      </w:r>
    </w:p>
    <w:p w14:paraId="526097E0">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f.</w:t>
      </w:r>
      <w:r>
        <w:rPr>
          <w:rFonts w:hint="eastAsia" w:ascii="宋体" w:hAnsi="宋体" w:eastAsia="宋体" w:cs="宋体"/>
          <w:b w:val="0"/>
          <w:bCs w:val="0"/>
          <w:color w:val="000000" w:themeColor="text1"/>
          <w:sz w:val="24"/>
          <w:szCs w:val="24"/>
          <w:highlight w:val="none"/>
          <w14:textFill>
            <w14:solidFill>
              <w14:schemeClr w14:val="tx1"/>
            </w14:solidFill>
          </w14:textFill>
        </w:rPr>
        <w:tab/>
      </w:r>
      <w:r>
        <w:rPr>
          <w:rFonts w:hint="eastAsia" w:ascii="宋体" w:hAnsi="宋体" w:eastAsia="宋体" w:cs="宋体"/>
          <w:b w:val="0"/>
          <w:bCs w:val="0"/>
          <w:color w:val="000000" w:themeColor="text1"/>
          <w:sz w:val="24"/>
          <w:szCs w:val="24"/>
          <w:highlight w:val="none"/>
          <w14:textFill>
            <w14:solidFill>
              <w14:schemeClr w14:val="tx1"/>
            </w14:solidFill>
          </w14:textFill>
        </w:rPr>
        <w:t>其他弄虚作假的行为。</w:t>
      </w:r>
    </w:p>
    <w:p w14:paraId="68521FA9">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3.7投标文件的澄清和说明</w:t>
      </w:r>
    </w:p>
    <w:p w14:paraId="302FE1DE">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3313B74C">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3.7.2澄清和说明不得超出投标文件的范围或改变投标文件的实质性内容（算术性错误的修正除外）。投标人的书面澄清、说明属于投标文件的组成部分。</w:t>
      </w:r>
    </w:p>
    <w:p w14:paraId="7892380D">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3.7.3评标委员会不得暗示或诱导投标人作出澄清、说明，对投标人提交的澄清、说明有疑问的，可以要求投标人进一步澄清或说明，直至满足评标委员会的要求。</w:t>
      </w:r>
    </w:p>
    <w:p w14:paraId="6422B7F2">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 xml:space="preserve">3.7.4凡超出招标文件规定的或给发包人带来未曾要求的利益的变化、偏差或其他因素在评标时不予考虑。 </w:t>
      </w:r>
    </w:p>
    <w:p w14:paraId="117F1D30">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3.8不得否决投标的情形</w:t>
      </w:r>
    </w:p>
    <w:p w14:paraId="4965048A">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投标文件存在第二章“投标人须知”第1.12.3项所列情形的，均视为细微偏差，评标委员会不得否决投标人的投标，应按照第二章“投标人须知”第1.12.4项规定的原则处理。</w:t>
      </w:r>
    </w:p>
    <w:p w14:paraId="1B08E946">
      <w:pPr>
        <w:keepNext w:val="0"/>
        <w:keepLines w:val="0"/>
        <w:pageBreakBefore w:val="0"/>
        <w:widowControl w:val="0"/>
        <w:kinsoku/>
        <w:wordWrap/>
        <w:overflowPunct/>
        <w:topLinePunct w:val="0"/>
        <w:autoSpaceDN/>
        <w:bidi w:val="0"/>
        <w:spacing w:line="360" w:lineRule="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3.9评标结果</w:t>
      </w:r>
    </w:p>
    <w:p w14:paraId="71A07E0B">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3.9.1除第二章“投标人须知”前附表授权直接确定中标人外，评标委员会按照 得分由高到低的顺序推荐中标候选人，并标明排序。</w:t>
      </w:r>
    </w:p>
    <w:p w14:paraId="655E3333">
      <w:pPr>
        <w:keepNext w:val="0"/>
        <w:keepLines w:val="0"/>
        <w:pageBreakBefore w:val="0"/>
        <w:widowControl w:val="0"/>
        <w:kinsoku/>
        <w:wordWrap/>
        <w:overflowPunct/>
        <w:topLinePunct w:val="0"/>
        <w:autoSpaceDN/>
        <w:bidi w:val="0"/>
        <w:spacing w:line="360" w:lineRule="auto"/>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3.9.2评标委员会完成评标后，应向招标人提交书面评标报告。</w:t>
      </w:r>
    </w:p>
    <w:p w14:paraId="5EB44730">
      <w:pP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br w:type="page"/>
      </w:r>
    </w:p>
    <w:p w14:paraId="107D8924">
      <w:pPr>
        <w:keepNext w:val="0"/>
        <w:keepLines w:val="0"/>
        <w:pageBreakBefore w:val="0"/>
        <w:widowControl w:val="0"/>
        <w:tabs>
          <w:tab w:val="left" w:pos="6397"/>
        </w:tabs>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四、其它需要公开的内容</w:t>
      </w:r>
    </w:p>
    <w:p w14:paraId="3517DA59">
      <w:pPr>
        <w:keepNext w:val="0"/>
        <w:keepLines w:val="0"/>
        <w:pageBreakBefore w:val="0"/>
        <w:widowControl w:val="0"/>
        <w:kinsoku/>
        <w:wordWrap/>
        <w:overflowPunct/>
        <w:topLinePunct w:val="0"/>
        <w:autoSpaceDN/>
        <w:bidi w:val="0"/>
        <w:rPr>
          <w:rFonts w:hint="eastAsia" w:ascii="宋体" w:hAnsi="宋体" w:eastAsia="宋体" w:cs="宋体"/>
          <w:b w:val="0"/>
          <w:bCs/>
          <w:color w:val="000000" w:themeColor="text1"/>
          <w:sz w:val="28"/>
          <w:szCs w:val="28"/>
          <w:highlight w:val="none"/>
          <w14:textFill>
            <w14:solidFill>
              <w14:schemeClr w14:val="tx1"/>
            </w14:solidFill>
          </w14:textFill>
        </w:rPr>
      </w:pPr>
      <w:bookmarkStart w:id="9" w:name="_Toc396460427"/>
      <w:bookmarkStart w:id="10" w:name="_Toc396461595"/>
      <w:r>
        <w:rPr>
          <w:rFonts w:hint="eastAsia" w:ascii="宋体" w:hAnsi="宋体" w:eastAsia="宋体" w:cs="宋体"/>
          <w:b w:val="0"/>
          <w:bCs/>
          <w:color w:val="000000" w:themeColor="text1"/>
          <w:sz w:val="28"/>
          <w:szCs w:val="28"/>
          <w:highlight w:val="none"/>
          <w14:textFill>
            <w14:solidFill>
              <w14:schemeClr w14:val="tx1"/>
            </w14:solidFill>
          </w14:textFill>
        </w:rPr>
        <w:t>附 录</w:t>
      </w:r>
      <w:bookmarkEnd w:id="9"/>
      <w:bookmarkEnd w:id="10"/>
    </w:p>
    <w:p w14:paraId="6EA12F74">
      <w:pPr>
        <w:keepNext w:val="0"/>
        <w:keepLines w:val="0"/>
        <w:pageBreakBefore w:val="0"/>
        <w:widowControl w:val="0"/>
        <w:kinsoku/>
        <w:wordWrap/>
        <w:overflowPunct/>
        <w:topLinePunct w:val="0"/>
        <w:autoSpaceDN/>
        <w:bidi w:val="0"/>
        <w:adjustRightInd w:val="0"/>
        <w:snapToGrid w:val="0"/>
        <w:spacing w:line="300" w:lineRule="exact"/>
        <w:jc w:val="center"/>
        <w:outlineLvl w:val="9"/>
        <w:rPr>
          <w:rFonts w:hint="eastAsia" w:ascii="宋体" w:hAnsi="宋体" w:eastAsia="宋体" w:cs="宋体"/>
          <w:b w:val="0"/>
          <w:bCs/>
          <w:color w:val="000000" w:themeColor="text1"/>
          <w:sz w:val="28"/>
          <w:szCs w:val="28"/>
          <w:highlight w:val="none"/>
          <w14:textFill>
            <w14:solidFill>
              <w14:schemeClr w14:val="tx1"/>
            </w14:solidFill>
          </w14:textFill>
        </w:rPr>
      </w:pPr>
      <w:bookmarkStart w:id="11" w:name="_Toc447602682"/>
      <w:bookmarkStart w:id="12" w:name="_Toc396460428"/>
      <w:bookmarkStart w:id="13" w:name="_Toc396461596"/>
    </w:p>
    <w:bookmarkEnd w:id="11"/>
    <w:bookmarkEnd w:id="12"/>
    <w:bookmarkEnd w:id="13"/>
    <w:p w14:paraId="734551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b w:val="0"/>
          <w:bCs w:val="0"/>
          <w:color w:val="000000" w:themeColor="text1"/>
          <w:sz w:val="32"/>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附录1  资格审查条件（资质最低要求）</w:t>
      </w:r>
    </w:p>
    <w:tbl>
      <w:tblPr>
        <w:tblStyle w:val="13"/>
        <w:tblW w:w="927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3"/>
      </w:tblGrid>
      <w:tr w14:paraId="6715DB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73" w:type="dxa"/>
            <w:tcBorders>
              <w:tl2br w:val="nil"/>
              <w:tr2bl w:val="nil"/>
            </w:tcBorders>
            <w:shd w:val="clear" w:color="auto" w:fill="auto"/>
            <w:vAlign w:val="center"/>
          </w:tcPr>
          <w:p w14:paraId="6E282878">
            <w:pPr>
              <w:keepNext w:val="0"/>
              <w:keepLines w:val="0"/>
              <w:pageBreakBefore w:val="0"/>
              <w:widowControl w:val="0"/>
              <w:kinsoku/>
              <w:wordWrap/>
              <w:overflowPunct/>
              <w:topLinePunct w:val="0"/>
              <w:autoSpaceDN/>
              <w:bidi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t>资质最低要求</w:t>
            </w:r>
          </w:p>
        </w:tc>
      </w:tr>
      <w:tr w14:paraId="5EC23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273" w:type="dxa"/>
            <w:tcBorders>
              <w:tl2br w:val="nil"/>
              <w:tr2bl w:val="nil"/>
            </w:tcBorders>
            <w:shd w:val="clear" w:color="auto" w:fill="auto"/>
            <w:vAlign w:val="center"/>
          </w:tcPr>
          <w:p w14:paraId="6F54C7F2">
            <w:pPr>
              <w:keepNext w:val="0"/>
              <w:keepLines w:val="0"/>
              <w:pageBreakBefore w:val="0"/>
              <w:widowControl w:val="0"/>
              <w:numPr>
                <w:ilvl w:val="0"/>
                <w:numId w:val="0"/>
              </w:numPr>
              <w:kinsoku/>
              <w:wordWrap/>
              <w:overflowPunct/>
              <w:topLinePunct w:val="0"/>
              <w:autoSpaceDN/>
              <w:bidi w:val="0"/>
              <w:spacing w:line="360" w:lineRule="auto"/>
              <w:ind w:left="0" w:leftChars="0" w:firstLine="420" w:firstLineChars="200"/>
              <w:jc w:val="center"/>
              <w:rPr>
                <w:rFonts w:hint="eastAsia" w:ascii="宋体" w:hAnsi="宋体" w:eastAsia="宋体" w:cs="宋体"/>
                <w:b w:val="0"/>
                <w:bCs w:val="0"/>
                <w:highlight w:val="none"/>
                <w:lang w:val="en-US" w:eastAsia="zh-CN"/>
              </w:rPr>
            </w:pPr>
            <w:r>
              <w:rPr>
                <w:rFonts w:hint="eastAsia" w:cs="Times New Roman"/>
                <w:b w:val="0"/>
                <w:bCs w:val="0"/>
                <w:color w:val="000000" w:themeColor="text1"/>
                <w:highlight w:val="none"/>
                <w:lang w:val="en-US" w:eastAsia="zh-CN"/>
                <w14:textFill>
                  <w14:solidFill>
                    <w14:schemeClr w14:val="tx1"/>
                  </w14:solidFill>
                </w14:textFill>
              </w:rPr>
              <w:t>/</w:t>
            </w:r>
          </w:p>
        </w:tc>
      </w:tr>
    </w:tbl>
    <w:p w14:paraId="69EE20DB">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val="0"/>
          <w:color w:val="000000" w:themeColor="text1"/>
          <w:sz w:val="32"/>
          <w:highlight w:val="none"/>
          <w14:textFill>
            <w14:solidFill>
              <w14:schemeClr w14:val="tx1"/>
            </w14:solidFill>
          </w14:textFill>
        </w:rPr>
      </w:pPr>
    </w:p>
    <w:p w14:paraId="7432511F">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val="0"/>
          <w:color w:val="000000" w:themeColor="text1"/>
          <w:sz w:val="32"/>
          <w:highlight w:val="none"/>
          <w14:textFill>
            <w14:solidFill>
              <w14:schemeClr w14:val="tx1"/>
            </w14:solidFill>
          </w14:textFill>
        </w:rPr>
      </w:pPr>
    </w:p>
    <w:p w14:paraId="5F8EA3DD">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val="0"/>
          <w:color w:val="000000" w:themeColor="text1"/>
          <w:sz w:val="32"/>
          <w:highlight w:val="none"/>
          <w14:textFill>
            <w14:solidFill>
              <w14:schemeClr w14:val="tx1"/>
            </w14:solidFill>
          </w14:textFill>
        </w:rPr>
      </w:pPr>
    </w:p>
    <w:p w14:paraId="1472B8D6">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val="0"/>
          <w:color w:val="000000" w:themeColor="text1"/>
          <w:sz w:val="32"/>
          <w:highlight w:val="none"/>
          <w14:textFill>
            <w14:solidFill>
              <w14:schemeClr w14:val="tx1"/>
            </w14:solidFill>
          </w14:textFill>
        </w:rPr>
      </w:pPr>
    </w:p>
    <w:p w14:paraId="20439468">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val="0"/>
          <w:color w:val="000000" w:themeColor="text1"/>
          <w:sz w:val="32"/>
          <w:highlight w:val="none"/>
          <w14:textFill>
            <w14:solidFill>
              <w14:schemeClr w14:val="tx1"/>
            </w14:solidFill>
          </w14:textFill>
        </w:rPr>
      </w:pPr>
    </w:p>
    <w:p w14:paraId="73C06539">
      <w:pPr>
        <w:keepNext w:val="0"/>
        <w:keepLines w:val="0"/>
        <w:pageBreakBefore w:val="0"/>
        <w:widowControl w:val="0"/>
        <w:kinsoku/>
        <w:wordWrap/>
        <w:overflowPunct/>
        <w:topLinePunct w:val="0"/>
        <w:autoSpaceDN/>
        <w:bidi w:val="0"/>
        <w:adjustRightInd w:val="0"/>
        <w:snapToGrid w:val="0"/>
        <w:spacing w:line="300" w:lineRule="exact"/>
        <w:jc w:val="left"/>
        <w:rPr>
          <w:rFonts w:hint="eastAsia" w:ascii="宋体" w:hAnsi="宋体" w:eastAsia="宋体" w:cs="宋体"/>
          <w:b w:val="0"/>
          <w:bCs w:val="0"/>
          <w:color w:val="000000" w:themeColor="text1"/>
          <w:sz w:val="32"/>
          <w:highlight w:val="none"/>
          <w14:textFill>
            <w14:solidFill>
              <w14:schemeClr w14:val="tx1"/>
            </w14:solidFill>
          </w14:textFill>
        </w:rPr>
      </w:pPr>
    </w:p>
    <w:p w14:paraId="143DE59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b w:val="0"/>
          <w:bCs w:val="0"/>
          <w:color w:val="000000" w:themeColor="text1"/>
          <w:sz w:val="28"/>
          <w:szCs w:val="28"/>
          <w:highlight w:val="none"/>
          <w14:textFill>
            <w14:solidFill>
              <w14:schemeClr w14:val="tx1"/>
            </w14:solidFill>
          </w14:textFill>
        </w:rPr>
      </w:pPr>
      <w:bookmarkStart w:id="14" w:name="_Toc396460429"/>
      <w:bookmarkStart w:id="15" w:name="_Toc447602683"/>
      <w:bookmarkStart w:id="16" w:name="_Toc396461597"/>
      <w:r>
        <w:rPr>
          <w:rFonts w:hint="eastAsia" w:ascii="宋体" w:hAnsi="宋体" w:eastAsia="宋体" w:cs="宋体"/>
          <w:b w:val="0"/>
          <w:bCs w:val="0"/>
          <w:color w:val="000000" w:themeColor="text1"/>
          <w:sz w:val="28"/>
          <w:szCs w:val="28"/>
          <w:highlight w:val="none"/>
          <w14:textFill>
            <w14:solidFill>
              <w14:schemeClr w14:val="tx1"/>
            </w14:solidFill>
          </w14:textFill>
        </w:rPr>
        <w:t>附录2  资格审查条件（业绩最低要求）</w:t>
      </w:r>
      <w:bookmarkEnd w:id="14"/>
      <w:bookmarkEnd w:id="15"/>
      <w:bookmarkEnd w:id="16"/>
    </w:p>
    <w:tbl>
      <w:tblPr>
        <w:tblStyle w:val="13"/>
        <w:tblW w:w="92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0E5CA9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8" w:type="dxa"/>
            <w:tcBorders>
              <w:tl2br w:val="nil"/>
              <w:tr2bl w:val="nil"/>
            </w:tcBorders>
            <w:vAlign w:val="center"/>
          </w:tcPr>
          <w:p w14:paraId="76ACFA72">
            <w:pPr>
              <w:keepNext w:val="0"/>
              <w:keepLines w:val="0"/>
              <w:pageBreakBefore w:val="0"/>
              <w:widowControl w:val="0"/>
              <w:kinsoku/>
              <w:wordWrap/>
              <w:overflowPunct/>
              <w:topLinePunct w:val="0"/>
              <w:autoSpaceDN/>
              <w:bidi w:val="0"/>
              <w:spacing w:line="40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业绩最低要求</w:t>
            </w:r>
          </w:p>
        </w:tc>
      </w:tr>
      <w:tr w14:paraId="0EF25A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9258" w:type="dxa"/>
            <w:tcBorders>
              <w:tl2br w:val="nil"/>
              <w:tr2bl w:val="nil"/>
            </w:tcBorders>
            <w:vAlign w:val="center"/>
          </w:tcPr>
          <w:p w14:paraId="513702EF">
            <w:pPr>
              <w:keepNext w:val="0"/>
              <w:keepLines w:val="0"/>
              <w:pageBreakBefore w:val="0"/>
              <w:widowControl w:val="0"/>
              <w:kinsoku/>
              <w:wordWrap/>
              <w:overflowPunct/>
              <w:topLinePunct w:val="0"/>
              <w:autoSpaceDN/>
              <w:bidi w:val="0"/>
              <w:spacing w:line="360" w:lineRule="auto"/>
              <w:ind w:firstLine="420" w:firstLineChars="200"/>
              <w:jc w:val="both"/>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投标人近五年内（</w:t>
            </w:r>
            <w:r>
              <w:rPr>
                <w:rFonts w:hint="eastAsia" w:ascii="宋体" w:hAnsi="宋体" w:eastAsia="宋体" w:cs="宋体"/>
                <w:b w:val="0"/>
                <w:bCs w:val="0"/>
                <w:color w:val="000000" w:themeColor="text1"/>
                <w:highlight w:val="none"/>
                <w:lang w:eastAsia="zh-CN"/>
                <w14:textFill>
                  <w14:solidFill>
                    <w14:schemeClr w14:val="tx1"/>
                  </w14:solidFill>
                </w14:textFill>
              </w:rPr>
              <w:t>2021年</w:t>
            </w:r>
            <w:r>
              <w:rPr>
                <w:rFonts w:hint="eastAsia" w:ascii="宋体" w:hAnsi="宋体" w:cs="宋体"/>
                <w:b w:val="0"/>
                <w:bCs w:val="0"/>
                <w:color w:val="000000" w:themeColor="text1"/>
                <w:highlight w:val="none"/>
                <w:lang w:eastAsia="zh-CN"/>
                <w14:textFill>
                  <w14:solidFill>
                    <w14:schemeClr w14:val="tx1"/>
                  </w14:solidFill>
                </w14:textFill>
              </w:rPr>
              <w:t>4月</w:t>
            </w:r>
            <w:r>
              <w:rPr>
                <w:rFonts w:hint="eastAsia" w:ascii="宋体" w:hAnsi="宋体" w:eastAsia="宋体" w:cs="宋体"/>
                <w:b w:val="0"/>
                <w:bCs w:val="0"/>
                <w:color w:val="000000" w:themeColor="text1"/>
                <w:highlight w:val="none"/>
                <w14:textFill>
                  <w14:solidFill>
                    <w14:schemeClr w14:val="tx1"/>
                  </w14:solidFill>
                </w14:textFill>
              </w:rPr>
              <w:t>1日至投标文件递交截止之日，以合同签订时间为准）至少承担过1项高速公路的软件系统开发或信息化建设服务项目。</w:t>
            </w:r>
          </w:p>
        </w:tc>
      </w:tr>
    </w:tbl>
    <w:p w14:paraId="28E0D494">
      <w:pPr>
        <w:keepNext w:val="0"/>
        <w:keepLines w:val="0"/>
        <w:pageBreakBefore w:val="0"/>
        <w:widowControl w:val="0"/>
        <w:kinsoku/>
        <w:wordWrap/>
        <w:overflowPunct/>
        <w:topLinePunct w:val="0"/>
        <w:autoSpaceDN/>
        <w:bidi w:val="0"/>
        <w:adjustRightInd w:val="0"/>
        <w:snapToGrid w:val="0"/>
        <w:spacing w:line="300" w:lineRule="exact"/>
        <w:jc w:val="center"/>
        <w:rPr>
          <w:rFonts w:hint="eastAsia" w:ascii="宋体" w:hAnsi="宋体" w:eastAsia="宋体" w:cs="宋体"/>
          <w:b w:val="0"/>
          <w:bCs w:val="0"/>
          <w:color w:val="000000" w:themeColor="text1"/>
          <w:sz w:val="28"/>
          <w:szCs w:val="28"/>
          <w:highlight w:val="none"/>
          <w14:textFill>
            <w14:solidFill>
              <w14:schemeClr w14:val="tx1"/>
            </w14:solidFill>
          </w14:textFill>
        </w:rPr>
      </w:pPr>
    </w:p>
    <w:p w14:paraId="150DB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2"/>
        <w:rPr>
          <w:rFonts w:hint="eastAsia" w:ascii="宋体" w:hAnsi="宋体" w:eastAsia="宋体" w:cs="宋体"/>
          <w:b w:val="0"/>
          <w:bCs w:val="0"/>
          <w:color w:val="000000" w:themeColor="text1"/>
          <w:highlight w:val="none"/>
          <w14:textFill>
            <w14:solidFill>
              <w14:schemeClr w14:val="tx1"/>
            </w14:solidFill>
          </w14:textFill>
        </w:rPr>
      </w:pPr>
      <w:bookmarkStart w:id="17" w:name="_Toc396461598"/>
      <w:bookmarkStart w:id="18" w:name="_Toc396460430"/>
      <w:r>
        <w:rPr>
          <w:rFonts w:hint="eastAsia" w:ascii="宋体" w:hAnsi="宋体" w:eastAsia="宋体" w:cs="宋体"/>
          <w:b w:val="0"/>
          <w:bCs w:val="0"/>
          <w:color w:val="000000" w:themeColor="text1"/>
          <w:sz w:val="28"/>
          <w:szCs w:val="28"/>
          <w:highlight w:val="none"/>
          <w14:textFill>
            <w14:solidFill>
              <w14:schemeClr w14:val="tx1"/>
            </w14:solidFill>
          </w14:textFill>
        </w:rPr>
        <w:br w:type="page"/>
      </w:r>
      <w:bookmarkStart w:id="19" w:name="_Toc447602684"/>
      <w:r>
        <w:rPr>
          <w:rFonts w:hint="eastAsia" w:ascii="宋体" w:hAnsi="宋体" w:eastAsia="宋体" w:cs="宋体"/>
          <w:b w:val="0"/>
          <w:bCs w:val="0"/>
          <w:color w:val="000000" w:themeColor="text1"/>
          <w:sz w:val="28"/>
          <w:szCs w:val="28"/>
          <w:highlight w:val="none"/>
          <w14:textFill>
            <w14:solidFill>
              <w14:schemeClr w14:val="tx1"/>
            </w14:solidFill>
          </w14:textFill>
        </w:rPr>
        <w:t xml:space="preserve">附录3  </w:t>
      </w:r>
      <w:bookmarkEnd w:id="17"/>
      <w:bookmarkEnd w:id="18"/>
      <w:bookmarkEnd w:id="19"/>
      <w:bookmarkStart w:id="20" w:name="_Toc396460431"/>
      <w:bookmarkStart w:id="21" w:name="_Toc447602685"/>
      <w:bookmarkStart w:id="22" w:name="_Toc396461599"/>
      <w:r>
        <w:rPr>
          <w:rFonts w:hint="eastAsia" w:ascii="宋体" w:hAnsi="宋体" w:eastAsia="宋体" w:cs="宋体"/>
          <w:b w:val="0"/>
          <w:bCs w:val="0"/>
          <w:color w:val="000000" w:themeColor="text1"/>
          <w:sz w:val="28"/>
          <w:szCs w:val="28"/>
          <w:highlight w:val="none"/>
          <w14:textFill>
            <w14:solidFill>
              <w14:schemeClr w14:val="tx1"/>
            </w14:solidFill>
          </w14:textFill>
        </w:rPr>
        <w:t>资格审查条件（信誉最低要求）</w:t>
      </w:r>
      <w:bookmarkEnd w:id="20"/>
      <w:bookmarkEnd w:id="21"/>
      <w:bookmarkEnd w:id="22"/>
    </w:p>
    <w:tbl>
      <w:tblPr>
        <w:tblStyle w:val="13"/>
        <w:tblW w:w="925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14:paraId="603E1A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58" w:type="dxa"/>
            <w:tcBorders>
              <w:tl2br w:val="nil"/>
              <w:tr2bl w:val="nil"/>
            </w:tcBorders>
            <w:vAlign w:val="center"/>
          </w:tcPr>
          <w:p w14:paraId="1B79FED0">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信誉最低要求</w:t>
            </w:r>
          </w:p>
        </w:tc>
      </w:tr>
      <w:tr w14:paraId="5BC41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47" w:hRule="atLeast"/>
          <w:jc w:val="center"/>
        </w:trPr>
        <w:tc>
          <w:tcPr>
            <w:tcW w:w="9258" w:type="dxa"/>
            <w:tcBorders>
              <w:tl2br w:val="nil"/>
              <w:tr2bl w:val="nil"/>
            </w:tcBorders>
            <w:vAlign w:val="center"/>
          </w:tcPr>
          <w:p w14:paraId="6511A1F9">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1.投标人未被省级及以上交通运输主管部门取消招标项目所在地的投标资格且未处于有效期内；</w:t>
            </w:r>
          </w:p>
          <w:p w14:paraId="4F5532FE">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2.投标人未被责令停业，暂扣或吊销执照，或吊销资质证书；</w:t>
            </w:r>
          </w:p>
          <w:p w14:paraId="72C2836B">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3.投标人未进入清算程序，或被宣告破产，或其他丧失履约能力的情形；</w:t>
            </w:r>
          </w:p>
          <w:p w14:paraId="5531143D">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4.投标人在国家企业信用信息公示系统（http://www.gsxt.gov.cn/）中未被列入严重违法失信名单（黑名单）信息；</w:t>
            </w:r>
          </w:p>
          <w:p w14:paraId="26A01533">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5.投标人在“信用中国”（http://www.creditchina.gov.cn/）网站平台中未被列入严重失信主体名单；</w:t>
            </w:r>
          </w:p>
          <w:p w14:paraId="12599DF6">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6.投标人及其法定代表人、拟担任本项目的项目负责人近三年（2023年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1日至今）无行贿犯罪行为；</w:t>
            </w:r>
          </w:p>
          <w:p w14:paraId="2C4F2173">
            <w:pPr>
              <w:keepNext w:val="0"/>
              <w:keepLines w:val="0"/>
              <w:pageBreakBefore w:val="0"/>
              <w:widowControl w:val="0"/>
              <w:kinsoku/>
              <w:wordWrap/>
              <w:overflowPunct/>
              <w:topLinePunct w:val="0"/>
              <w:autoSpaceDN/>
              <w:bidi w:val="0"/>
              <w:snapToGrid w:val="0"/>
              <w:spacing w:line="360" w:lineRule="auto"/>
              <w:ind w:firstLine="420" w:firstLineChars="200"/>
              <w:jc w:val="both"/>
              <w:rPr>
                <w:rFonts w:hint="eastAsia" w:ascii="宋体" w:hAnsi="宋体" w:eastAsia="宋体" w:cs="宋体"/>
                <w:b w:val="0"/>
                <w:bCs w:val="0"/>
                <w:highlight w:val="none"/>
                <w:lang w:val="en-US"/>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7.投标人不存在法律法规规定的其他情形。</w:t>
            </w:r>
            <w:bookmarkStart w:id="24" w:name="_GoBack"/>
            <w:bookmarkEnd w:id="24"/>
          </w:p>
        </w:tc>
      </w:tr>
    </w:tbl>
    <w:p w14:paraId="334F755E">
      <w:pPr>
        <w:keepNext w:val="0"/>
        <w:keepLines w:val="0"/>
        <w:pageBreakBefore w:val="0"/>
        <w:widowControl w:val="0"/>
        <w:kinsoku/>
        <w:wordWrap/>
        <w:overflowPunct/>
        <w:topLinePunct w:val="0"/>
        <w:autoSpaceDN/>
        <w:bidi w:val="0"/>
        <w:adjustRightInd w:val="0"/>
        <w:snapToGrid w:val="0"/>
        <w:spacing w:before="120" w:beforeLines="50" w:after="120" w:afterLines="50" w:line="400" w:lineRule="exact"/>
        <w:jc w:val="left"/>
        <w:outlineLvl w:val="9"/>
        <w:rPr>
          <w:rFonts w:hint="eastAsia" w:ascii="宋体" w:hAnsi="宋体" w:eastAsia="宋体" w:cs="宋体"/>
          <w:b w:val="0"/>
          <w:bCs w:val="0"/>
          <w:color w:val="000000" w:themeColor="text1"/>
          <w:sz w:val="28"/>
          <w:szCs w:val="28"/>
          <w:highlight w:val="none"/>
          <w14:textFill>
            <w14:solidFill>
              <w14:schemeClr w14:val="tx1"/>
            </w14:solidFill>
          </w14:textFill>
        </w:rPr>
      </w:pPr>
      <w:bookmarkStart w:id="23" w:name="_Toc447602686"/>
    </w:p>
    <w:p w14:paraId="245B1F47">
      <w:pPr>
        <w:keepNext w:val="0"/>
        <w:keepLines w:val="0"/>
        <w:pageBreakBefore w:val="0"/>
        <w:widowControl w:val="0"/>
        <w:kinsoku/>
        <w:wordWrap/>
        <w:overflowPunct/>
        <w:topLinePunct w:val="0"/>
        <w:autoSpaceDN/>
        <w:bidi w:val="0"/>
        <w:adjustRightInd w:val="0"/>
        <w:snapToGrid w:val="0"/>
        <w:spacing w:before="120" w:beforeLines="50" w:after="120" w:afterLines="50" w:line="400" w:lineRule="exact"/>
        <w:jc w:val="left"/>
        <w:outlineLvl w:val="9"/>
        <w:rPr>
          <w:rFonts w:hint="eastAsia" w:ascii="宋体" w:hAnsi="宋体" w:eastAsia="宋体" w:cs="宋体"/>
          <w:b w:val="0"/>
          <w:bCs w:val="0"/>
          <w:color w:val="000000" w:themeColor="text1"/>
          <w:sz w:val="28"/>
          <w:szCs w:val="28"/>
          <w:highlight w:val="none"/>
          <w14:textFill>
            <w14:solidFill>
              <w14:schemeClr w14:val="tx1"/>
            </w14:solidFill>
          </w14:textFill>
        </w:rPr>
      </w:pPr>
    </w:p>
    <w:p w14:paraId="3AC91BA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60" w:lineRule="auto"/>
        <w:jc w:val="center"/>
        <w:textAlignment w:val="auto"/>
        <w:outlineLvl w:val="2"/>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附录4  资格审查条件（项目负责人最低要求）</w:t>
      </w:r>
      <w:bookmarkEnd w:id="23"/>
    </w:p>
    <w:tbl>
      <w:tblPr>
        <w:tblStyle w:val="13"/>
        <w:tblW w:w="916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902"/>
        <w:gridCol w:w="6932"/>
      </w:tblGrid>
      <w:tr w14:paraId="0482E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7" w:type="dxa"/>
            <w:tcBorders>
              <w:tl2br w:val="nil"/>
              <w:tr2bl w:val="nil"/>
            </w:tcBorders>
            <w:vAlign w:val="center"/>
          </w:tcPr>
          <w:p w14:paraId="216D8BB6">
            <w:pPr>
              <w:keepNext w:val="0"/>
              <w:keepLines w:val="0"/>
              <w:pageBreakBefore w:val="0"/>
              <w:widowControl w:val="0"/>
              <w:kinsoku/>
              <w:wordWrap/>
              <w:overflowPunct/>
              <w:topLinePunct w:val="0"/>
              <w:autoSpaceDN/>
              <w:bidi w:val="0"/>
              <w:snapToGrid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人员</w:t>
            </w:r>
          </w:p>
        </w:tc>
        <w:tc>
          <w:tcPr>
            <w:tcW w:w="902" w:type="dxa"/>
            <w:tcBorders>
              <w:tl2br w:val="nil"/>
              <w:tr2bl w:val="nil"/>
            </w:tcBorders>
            <w:vAlign w:val="center"/>
          </w:tcPr>
          <w:p w14:paraId="6A1F7D79">
            <w:pPr>
              <w:keepNext w:val="0"/>
              <w:keepLines w:val="0"/>
              <w:pageBreakBefore w:val="0"/>
              <w:widowControl w:val="0"/>
              <w:kinsoku/>
              <w:wordWrap/>
              <w:overflowPunct/>
              <w:topLinePunct w:val="0"/>
              <w:autoSpaceDN/>
              <w:bidi w:val="0"/>
              <w:snapToGrid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数量</w:t>
            </w:r>
          </w:p>
        </w:tc>
        <w:tc>
          <w:tcPr>
            <w:tcW w:w="6932" w:type="dxa"/>
            <w:tcBorders>
              <w:tl2br w:val="nil"/>
              <w:tr2bl w:val="nil"/>
            </w:tcBorders>
            <w:vAlign w:val="center"/>
          </w:tcPr>
          <w:p w14:paraId="6C72E518">
            <w:pPr>
              <w:keepNext w:val="0"/>
              <w:keepLines w:val="0"/>
              <w:pageBreakBefore w:val="0"/>
              <w:widowControl w:val="0"/>
              <w:kinsoku/>
              <w:wordWrap/>
              <w:overflowPunct/>
              <w:topLinePunct w:val="0"/>
              <w:autoSpaceDN/>
              <w:bidi w:val="0"/>
              <w:snapToGrid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项目负责人</w:t>
            </w:r>
            <w:r>
              <w:rPr>
                <w:rFonts w:hint="eastAsia" w:ascii="宋体" w:hAnsi="宋体" w:eastAsia="宋体" w:cs="宋体"/>
                <w:b w:val="0"/>
                <w:bCs w:val="0"/>
                <w:color w:val="000000" w:themeColor="text1"/>
                <w:sz w:val="21"/>
                <w:szCs w:val="21"/>
                <w:highlight w:val="none"/>
                <w14:textFill>
                  <w14:solidFill>
                    <w14:schemeClr w14:val="tx1"/>
                  </w14:solidFill>
                </w14:textFill>
              </w:rPr>
              <w:t>最低要求</w:t>
            </w:r>
          </w:p>
        </w:tc>
      </w:tr>
      <w:tr w14:paraId="4A24C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327" w:type="dxa"/>
            <w:tcBorders>
              <w:tl2br w:val="nil"/>
              <w:tr2bl w:val="nil"/>
            </w:tcBorders>
            <w:vAlign w:val="center"/>
          </w:tcPr>
          <w:p w14:paraId="23EFF084">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项目负责人</w:t>
            </w:r>
          </w:p>
        </w:tc>
        <w:tc>
          <w:tcPr>
            <w:tcW w:w="902" w:type="dxa"/>
            <w:tcBorders>
              <w:tl2br w:val="nil"/>
              <w:tr2bl w:val="nil"/>
            </w:tcBorders>
            <w:vAlign w:val="center"/>
          </w:tcPr>
          <w:p w14:paraId="2A833E7F">
            <w:pPr>
              <w:keepNext w:val="0"/>
              <w:keepLines w:val="0"/>
              <w:pageBreakBefore w:val="0"/>
              <w:widowControl w:val="0"/>
              <w:kinsoku/>
              <w:wordWrap/>
              <w:overflowPunct/>
              <w:topLinePunct w:val="0"/>
              <w:autoSpaceDN/>
              <w:bidi w:val="0"/>
              <w:spacing w:line="360" w:lineRule="exact"/>
              <w:jc w:val="center"/>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w:t>
            </w:r>
          </w:p>
        </w:tc>
        <w:tc>
          <w:tcPr>
            <w:tcW w:w="6932" w:type="dxa"/>
            <w:tcBorders>
              <w:tl2br w:val="nil"/>
              <w:tr2bl w:val="nil"/>
            </w:tcBorders>
            <w:vAlign w:val="center"/>
          </w:tcPr>
          <w:p w14:paraId="0758BB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持有信息系统项目管理师证书，作为项目负责人或项目经理或技术负责人至少承担过1项高速公路的软件系统开发或信息化建设服务项目。</w:t>
            </w:r>
          </w:p>
        </w:tc>
      </w:tr>
    </w:tbl>
    <w:p w14:paraId="5668BC9B">
      <w:pPr>
        <w:rPr>
          <w:rFonts w:hint="eastAsia" w:ascii="宋体" w:hAnsi="宋体" w:eastAsia="宋体" w:cs="宋体"/>
          <w:b w:val="0"/>
          <w:bCs/>
        </w:rPr>
      </w:pPr>
    </w:p>
    <w:sectPr>
      <w:footerReference r:id="rId5"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251BC">
    <w:pPr>
      <w:pStyle w:val="8"/>
      <w:widowControl w:val="0"/>
      <w:pBdr>
        <w:top w:val="none" w:color="000000" w:sz="0" w:space="0"/>
        <w:left w:val="none" w:color="auto" w:sz="0" w:space="4"/>
        <w:bottom w:val="none" w:color="auto" w:sz="0" w:space="1"/>
        <w:right w:val="none" w:color="auto" w:sz="0" w:space="4"/>
        <w:between w:val="none" w:color="auto" w:sz="0" w:space="0"/>
      </w:pBdr>
      <w:snapToGrid w:val="0"/>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A6EDF4F">
      <w:pPr>
        <w:pStyle w:val="11"/>
        <w:spacing w:line="400" w:lineRule="atLeast"/>
        <w:ind w:firstLine="360" w:firstLineChars="200"/>
        <w:rPr>
          <w:rFonts w:eastAsia="黑体"/>
        </w:rPr>
      </w:pPr>
      <w:r>
        <w:rPr>
          <w:rStyle w:val="16"/>
        </w:rPr>
        <w:footnoteRef/>
      </w:r>
      <w:r>
        <w:rPr>
          <w:rFonts w:eastAsia="黑体"/>
        </w:rPr>
        <w:t xml:space="preserve"> </w:t>
      </w:r>
      <w:r>
        <w:rPr>
          <w:rFonts w:ascii="宋体" w:hAnsi="宋体" w:eastAsia="黑体"/>
        </w:rPr>
        <w:t>“</w:t>
      </w:r>
      <w:r>
        <w:rPr>
          <w:rFonts w:hint="eastAsia" w:eastAsia="黑体"/>
        </w:rPr>
        <w:t>评标</w:t>
      </w:r>
      <w:r>
        <w:rPr>
          <w:rFonts w:eastAsia="黑体"/>
        </w:rPr>
        <w:t>办法前附表</w:t>
      </w:r>
      <w:r>
        <w:rPr>
          <w:rFonts w:ascii="宋体" w:hAnsi="宋体" w:eastAsia="黑体"/>
        </w:rPr>
        <w:t>”</w:t>
      </w:r>
      <w:r>
        <w:rPr>
          <w:rFonts w:eastAsia="黑体"/>
        </w:rPr>
        <w:t>用于进一步明确正文中的未尽事宜，由招标人根据招标项目具体特点和实际需要编制和填写。</w:t>
      </w:r>
      <w:r>
        <w:rPr>
          <w:rFonts w:hint="eastAsia" w:eastAsia="黑体"/>
        </w:rPr>
        <w:t>评标</w:t>
      </w:r>
      <w:r>
        <w:rPr>
          <w:rFonts w:eastAsia="黑体"/>
        </w:rPr>
        <w:t>办法前附表是对</w:t>
      </w:r>
      <w:r>
        <w:rPr>
          <w:rFonts w:hint="eastAsia" w:eastAsia="黑体"/>
        </w:rPr>
        <w:t>评标</w:t>
      </w:r>
      <w:r>
        <w:rPr>
          <w:rFonts w:eastAsia="黑体"/>
        </w:rPr>
        <w:t>办法正文的修改、补充和细化，应对照</w:t>
      </w:r>
      <w:r>
        <w:rPr>
          <w:rFonts w:hint="eastAsia" w:eastAsia="黑体"/>
        </w:rPr>
        <w:t>评标</w:t>
      </w:r>
      <w:r>
        <w:rPr>
          <w:rFonts w:eastAsia="黑体"/>
        </w:rPr>
        <w:t>办法正文中同一编号的条款一起阅读和理解。</w:t>
      </w:r>
      <w:r>
        <w:rPr>
          <w:rFonts w:eastAsia="黑体"/>
          <w:b/>
        </w:rPr>
        <w:t>如前附表与正文不一致时，以前附表的规定为准。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621BC">
    <w:pPr>
      <w:pBdr>
        <w:bottom w:val="single" w:color="auto" w:sz="4" w:space="1"/>
      </w:pBdr>
      <w:topLinePunct/>
      <w:spacing w:line="240" w:lineRule="atLeast"/>
      <w:jc w:val="right"/>
      <w:rPr>
        <w:rStyle w:val="22"/>
        <w:rFonts w:eastAsia="黑体"/>
        <w:b w:val="0"/>
        <w:kern w:val="10"/>
        <w:sz w:val="18"/>
        <w:szCs w:val="18"/>
      </w:rPr>
    </w:pPr>
    <w:r>
      <w:rPr>
        <w:rStyle w:val="22"/>
        <w:rFonts w:hint="eastAsia" w:eastAsia="黑体"/>
        <w:b w:val="0"/>
        <w:kern w:val="10"/>
        <w:sz w:val="18"/>
        <w:szCs w:val="18"/>
      </w:rPr>
      <w:t>第三章  评标办法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1ZDMwNjFlMzVmNDZjYzVhNzNiM2FiMmRmNWY2NGMifQ=="/>
    <w:docVar w:name="KSO_WPS_MARK_KEY" w:val="69dfa486-fb2b-4e41-9549-ac90c6a4cc98"/>
  </w:docVars>
  <w:rsids>
    <w:rsidRoot w:val="3C922D9F"/>
    <w:rsid w:val="010A29DC"/>
    <w:rsid w:val="01A9669A"/>
    <w:rsid w:val="01B446F6"/>
    <w:rsid w:val="02117D9A"/>
    <w:rsid w:val="022B0E5C"/>
    <w:rsid w:val="030F05CE"/>
    <w:rsid w:val="04FA03E7"/>
    <w:rsid w:val="057215E0"/>
    <w:rsid w:val="05E275A9"/>
    <w:rsid w:val="063A0BB2"/>
    <w:rsid w:val="070F5669"/>
    <w:rsid w:val="078A2181"/>
    <w:rsid w:val="07D4164E"/>
    <w:rsid w:val="08D22029"/>
    <w:rsid w:val="094D16B8"/>
    <w:rsid w:val="099F0A11"/>
    <w:rsid w:val="0A0124A3"/>
    <w:rsid w:val="0BBE4FFA"/>
    <w:rsid w:val="0C995743"/>
    <w:rsid w:val="0DA44F52"/>
    <w:rsid w:val="10014FAA"/>
    <w:rsid w:val="10A962DF"/>
    <w:rsid w:val="11FE3E97"/>
    <w:rsid w:val="155F0378"/>
    <w:rsid w:val="19741FFC"/>
    <w:rsid w:val="19786BDA"/>
    <w:rsid w:val="197948CB"/>
    <w:rsid w:val="19CB1950"/>
    <w:rsid w:val="1B1C713C"/>
    <w:rsid w:val="1B590390"/>
    <w:rsid w:val="1B8F790E"/>
    <w:rsid w:val="1BD25A4D"/>
    <w:rsid w:val="1C670895"/>
    <w:rsid w:val="1C9378D2"/>
    <w:rsid w:val="1D303373"/>
    <w:rsid w:val="1DB93368"/>
    <w:rsid w:val="1DFF240A"/>
    <w:rsid w:val="205770C6"/>
    <w:rsid w:val="22D20500"/>
    <w:rsid w:val="237176C2"/>
    <w:rsid w:val="238E0DF3"/>
    <w:rsid w:val="264A51F7"/>
    <w:rsid w:val="279D6335"/>
    <w:rsid w:val="27AC35F6"/>
    <w:rsid w:val="280520F8"/>
    <w:rsid w:val="2CE64684"/>
    <w:rsid w:val="2D3B5B48"/>
    <w:rsid w:val="2EC35DF5"/>
    <w:rsid w:val="30BD6874"/>
    <w:rsid w:val="31472DE0"/>
    <w:rsid w:val="33735ECA"/>
    <w:rsid w:val="341F3253"/>
    <w:rsid w:val="346516FC"/>
    <w:rsid w:val="348222AE"/>
    <w:rsid w:val="34B8182C"/>
    <w:rsid w:val="35845BB2"/>
    <w:rsid w:val="364517E5"/>
    <w:rsid w:val="36686BD0"/>
    <w:rsid w:val="38EC0DA1"/>
    <w:rsid w:val="3C922D9F"/>
    <w:rsid w:val="3CA52FDE"/>
    <w:rsid w:val="424D5C63"/>
    <w:rsid w:val="42984A4B"/>
    <w:rsid w:val="432509D4"/>
    <w:rsid w:val="43562BAD"/>
    <w:rsid w:val="441F267B"/>
    <w:rsid w:val="44550E45"/>
    <w:rsid w:val="45E05087"/>
    <w:rsid w:val="46B02CAB"/>
    <w:rsid w:val="46C91677"/>
    <w:rsid w:val="478B4B7E"/>
    <w:rsid w:val="48735C6B"/>
    <w:rsid w:val="48F54C88"/>
    <w:rsid w:val="494D658F"/>
    <w:rsid w:val="49763F01"/>
    <w:rsid w:val="49983FDE"/>
    <w:rsid w:val="4A7933B4"/>
    <w:rsid w:val="4CE52E40"/>
    <w:rsid w:val="4D5A74CD"/>
    <w:rsid w:val="4E7A385E"/>
    <w:rsid w:val="4FA15887"/>
    <w:rsid w:val="4FA66CFD"/>
    <w:rsid w:val="50243DC2"/>
    <w:rsid w:val="505C7A00"/>
    <w:rsid w:val="510936E3"/>
    <w:rsid w:val="53424C8B"/>
    <w:rsid w:val="53D53D51"/>
    <w:rsid w:val="53E02D1B"/>
    <w:rsid w:val="56073F6A"/>
    <w:rsid w:val="56FA587C"/>
    <w:rsid w:val="56FE620B"/>
    <w:rsid w:val="57711FE2"/>
    <w:rsid w:val="58405511"/>
    <w:rsid w:val="586C4558"/>
    <w:rsid w:val="591C1ADA"/>
    <w:rsid w:val="592E180D"/>
    <w:rsid w:val="5AB82A46"/>
    <w:rsid w:val="5B0A1BCA"/>
    <w:rsid w:val="5B0D3DD0"/>
    <w:rsid w:val="5BA82F01"/>
    <w:rsid w:val="606A5C7B"/>
    <w:rsid w:val="60867A1C"/>
    <w:rsid w:val="60CB56A9"/>
    <w:rsid w:val="60CC64DC"/>
    <w:rsid w:val="624A3B5C"/>
    <w:rsid w:val="629628FD"/>
    <w:rsid w:val="62A6057B"/>
    <w:rsid w:val="645B3DFE"/>
    <w:rsid w:val="650F6997"/>
    <w:rsid w:val="66E30F06"/>
    <w:rsid w:val="671D7E04"/>
    <w:rsid w:val="67BC7BF4"/>
    <w:rsid w:val="68917735"/>
    <w:rsid w:val="68B02870"/>
    <w:rsid w:val="6919162A"/>
    <w:rsid w:val="6A7E5EDE"/>
    <w:rsid w:val="6BC009EB"/>
    <w:rsid w:val="6D6E6A0A"/>
    <w:rsid w:val="6E11372D"/>
    <w:rsid w:val="6F141745"/>
    <w:rsid w:val="6F2B6AC3"/>
    <w:rsid w:val="6F614293"/>
    <w:rsid w:val="6FCA1E38"/>
    <w:rsid w:val="70052E31"/>
    <w:rsid w:val="703241C1"/>
    <w:rsid w:val="70AE0489"/>
    <w:rsid w:val="71681909"/>
    <w:rsid w:val="72164C86"/>
    <w:rsid w:val="72C552A4"/>
    <w:rsid w:val="72C708B1"/>
    <w:rsid w:val="73076EF4"/>
    <w:rsid w:val="731C29AB"/>
    <w:rsid w:val="7434641A"/>
    <w:rsid w:val="74CC0400"/>
    <w:rsid w:val="74DB2995"/>
    <w:rsid w:val="750000AA"/>
    <w:rsid w:val="75A650F5"/>
    <w:rsid w:val="75D91027"/>
    <w:rsid w:val="76832D41"/>
    <w:rsid w:val="76D65930"/>
    <w:rsid w:val="78702892"/>
    <w:rsid w:val="78EE303B"/>
    <w:rsid w:val="79077033"/>
    <w:rsid w:val="790E2D96"/>
    <w:rsid w:val="7A8D23E0"/>
    <w:rsid w:val="7AF83CFD"/>
    <w:rsid w:val="7B166879"/>
    <w:rsid w:val="7BF501D2"/>
    <w:rsid w:val="7D384885"/>
    <w:rsid w:val="7D80447E"/>
    <w:rsid w:val="7DD0579D"/>
    <w:rsid w:val="7E5F4093"/>
    <w:rsid w:val="7EC62364"/>
    <w:rsid w:val="7FA63C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adjustRightInd w:val="0"/>
      <w:snapToGrid w:val="0"/>
      <w:spacing w:before="120" w:after="120"/>
      <w:jc w:val="center"/>
      <w:outlineLvl w:val="0"/>
    </w:pPr>
    <w:rPr>
      <w:rFonts w:eastAsia="黑体"/>
      <w:kern w:val="44"/>
      <w:sz w:val="72"/>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6"/>
    <w:qFormat/>
    <w:uiPriority w:val="99"/>
    <w:pPr>
      <w:keepNext/>
      <w:keepLines/>
      <w:spacing w:before="260" w:after="260" w:line="416" w:lineRule="auto"/>
      <w:outlineLvl w:val="2"/>
    </w:pPr>
    <w:rPr>
      <w:b/>
      <w:bCs/>
      <w:sz w:val="32"/>
      <w:szCs w:val="32"/>
    </w:rPr>
  </w:style>
  <w:style w:type="paragraph" w:styleId="7">
    <w:name w:val="heading 5"/>
    <w:basedOn w:val="1"/>
    <w:next w:val="1"/>
    <w:qFormat/>
    <w:uiPriority w:val="99"/>
    <w:pPr>
      <w:keepNext/>
      <w:adjustRightInd w:val="0"/>
      <w:spacing w:line="420" w:lineRule="atLeast"/>
      <w:jc w:val="right"/>
      <w:textAlignment w:val="baseline"/>
      <w:outlineLvl w:val="4"/>
    </w:pPr>
    <w:rPr>
      <w:i/>
      <w:kern w:val="0"/>
      <w:szCs w:val="20"/>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6">
    <w:name w:val="Normal Indent"/>
    <w:basedOn w:val="1"/>
    <w:qFormat/>
    <w:uiPriority w:val="99"/>
    <w:pPr>
      <w:ind w:firstLine="420" w:firstLineChars="200"/>
    </w:pPr>
  </w:style>
  <w:style w:type="paragraph" w:styleId="8">
    <w:name w:val="footer"/>
    <w:basedOn w:val="1"/>
    <w:next w:val="9"/>
    <w:qFormat/>
    <w:uiPriority w:val="0"/>
    <w:pPr>
      <w:tabs>
        <w:tab w:val="center" w:pos="4153"/>
        <w:tab w:val="right" w:pos="8306"/>
      </w:tabs>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Arial"/>
      <w:color w:val="0000FF"/>
      <w:kern w:val="0"/>
      <w:sz w:val="24"/>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adjustRightInd w:val="0"/>
      <w:snapToGrid w:val="0"/>
      <w:spacing w:line="420" w:lineRule="atLeast"/>
      <w:ind w:firstLine="454"/>
      <w:jc w:val="left"/>
      <w:textAlignment w:val="baseline"/>
    </w:pPr>
    <w:rPr>
      <w:kern w:val="0"/>
      <w:sz w:val="18"/>
      <w:szCs w:val="20"/>
      <w:lang w:val="zh-CN"/>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otnote reference"/>
    <w:basedOn w:val="15"/>
    <w:qFormat/>
    <w:uiPriority w:val="0"/>
    <w:rPr>
      <w:vertAlign w:val="superscript"/>
    </w:rPr>
  </w:style>
  <w:style w:type="paragraph" w:customStyle="1" w:styleId="17">
    <w:name w:val="Table Paragraph"/>
    <w:basedOn w:val="1"/>
    <w:unhideWhenUsed/>
    <w:qFormat/>
    <w:uiPriority w:val="1"/>
    <w:pPr>
      <w:spacing w:beforeLines="0" w:afterLines="0"/>
    </w:pPr>
    <w:rPr>
      <w:rFonts w:hint="default"/>
      <w:sz w:val="2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Body Text 21"/>
    <w:basedOn w:val="1"/>
    <w:qFormat/>
    <w:uiPriority w:val="0"/>
    <w:pPr>
      <w:widowControl w:val="0"/>
      <w:kinsoku/>
      <w:autoSpaceDE/>
      <w:autoSpaceDN/>
      <w:adjustRightInd/>
      <w:snapToGrid/>
      <w:spacing w:line="480" w:lineRule="auto"/>
      <w:jc w:val="both"/>
      <w:textAlignment w:val="auto"/>
    </w:pPr>
    <w:rPr>
      <w:rFonts w:ascii="Times New Roman" w:hAnsi="Times New Roman" w:eastAsia="宋体" w:cs="Times New Roman"/>
      <w:snapToGrid/>
      <w:color w:val="auto"/>
      <w:kern w:val="2"/>
      <w:sz w:val="20"/>
      <w:szCs w:val="24"/>
    </w:rPr>
  </w:style>
  <w:style w:type="paragraph" w:customStyle="1" w:styleId="20">
    <w:name w:val="第一章-2级"/>
    <w:basedOn w:val="3"/>
    <w:qFormat/>
    <w:uiPriority w:val="99"/>
    <w:rPr>
      <w:sz w:val="36"/>
    </w:rPr>
  </w:style>
  <w:style w:type="paragraph" w:customStyle="1" w:styleId="21">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character" w:customStyle="1" w:styleId="22">
    <w:name w:val="font161"/>
    <w:qFormat/>
    <w:uiPriority w:val="9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9504</Words>
  <Characters>10185</Characters>
  <Lines>0</Lines>
  <Paragraphs>0</Paragraphs>
  <TotalTime>3</TotalTime>
  <ScaleCrop>false</ScaleCrop>
  <LinksUpToDate>false</LinksUpToDate>
  <CharactersWithSpaces>10236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2020-04-07T08:37:00Z</dcterms:created>
  <dc:creator>廖梓佑</dc:creator>
  <cp:lastModifiedBy>曹俊</cp:lastModifiedBy>
  <cp:lastPrinted>2026-03-31T05:25:00Z</cp:lastPrinted>
  <dcterms:modified xsi:type="dcterms:W3CDTF">2026-03-31T07:54:15Z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50EABDE802FB4B49B6F740930F654D71_12</vt:lpwstr>
  </property>
  <property fmtid="{D5CDD505-2E9C-101B-9397-08002B2CF9AE}" pid="4" name="KSOTemplateDocerSaveRecord">
    <vt:lpwstr>eyJoZGlkIjoiOTU5Y2RiZWI4ZjkxZjRkYzk5YTU1ZTZmYmFhZTA5ZDAiLCJ1c2VySWQiOiIxNTE5NzY1MzcwIn0=</vt:lpwstr>
  </property>
</Properties>
</file>