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4A2C7">
      <w:pPr>
        <w:adjustRightInd/>
        <w:spacing w:line="360" w:lineRule="auto"/>
        <w:jc w:val="center"/>
        <w:rPr>
          <w:rFonts w:hint="eastAsia" w:ascii="宋体" w:hAnsi="宋体" w:cs="宋体"/>
          <w:color w:val="auto"/>
          <w:sz w:val="48"/>
          <w:szCs w:val="48"/>
          <w:highlight w:val="none"/>
          <w:lang w:eastAsia="zh-CN"/>
        </w:rPr>
      </w:pPr>
    </w:p>
    <w:p w14:paraId="1D4BBA07">
      <w:pPr>
        <w:adjustRightInd/>
        <w:spacing w:line="360" w:lineRule="auto"/>
        <w:jc w:val="center"/>
        <w:rPr>
          <w:rFonts w:hint="eastAsia" w:ascii="宋体" w:hAnsi="宋体" w:cs="宋体"/>
          <w:color w:val="auto"/>
          <w:sz w:val="48"/>
          <w:szCs w:val="48"/>
          <w:highlight w:val="none"/>
          <w:lang w:eastAsia="zh-CN"/>
        </w:rPr>
      </w:pPr>
    </w:p>
    <w:p w14:paraId="729E6A8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仿宋" w:cs="宋体"/>
          <w:b/>
          <w:color w:val="auto"/>
          <w:kern w:val="0"/>
          <w:sz w:val="48"/>
          <w:szCs w:val="48"/>
          <w:highlight w:val="none"/>
          <w:lang w:eastAsia="zh-CN"/>
        </w:rPr>
      </w:pPr>
      <w:r>
        <w:rPr>
          <w:rFonts w:hint="eastAsia" w:ascii="宋体" w:hAnsi="宋体" w:eastAsia="仿宋" w:cs="宋体"/>
          <w:b/>
          <w:color w:val="auto"/>
          <w:kern w:val="0"/>
          <w:sz w:val="48"/>
          <w:szCs w:val="48"/>
          <w:highlight w:val="none"/>
          <w:lang w:eastAsia="zh-CN"/>
        </w:rPr>
        <w:t>永嘉县瓯北第二小学食堂设备采购</w:t>
      </w:r>
    </w:p>
    <w:p w14:paraId="60B0ED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仿宋" w:cs="宋体"/>
          <w:b/>
          <w:color w:val="auto"/>
          <w:kern w:val="0"/>
          <w:sz w:val="48"/>
          <w:szCs w:val="48"/>
          <w:highlight w:val="none"/>
          <w:lang w:eastAsia="zh-CN"/>
        </w:rPr>
      </w:pPr>
      <w:r>
        <w:rPr>
          <w:rFonts w:hint="eastAsia" w:ascii="宋体" w:hAnsi="宋体" w:eastAsia="仿宋" w:cs="宋体"/>
          <w:b/>
          <w:color w:val="auto"/>
          <w:kern w:val="0"/>
          <w:sz w:val="48"/>
          <w:szCs w:val="48"/>
          <w:highlight w:val="none"/>
          <w:lang w:val="en-US" w:eastAsia="zh-CN"/>
        </w:rPr>
        <w:t>询价</w:t>
      </w:r>
      <w:r>
        <w:rPr>
          <w:rFonts w:hint="eastAsia" w:ascii="宋体" w:hAnsi="宋体" w:eastAsia="仿宋" w:cs="宋体"/>
          <w:b/>
          <w:color w:val="auto"/>
          <w:kern w:val="0"/>
          <w:sz w:val="48"/>
          <w:szCs w:val="48"/>
          <w:highlight w:val="none"/>
          <w:lang w:eastAsia="zh-CN"/>
        </w:rPr>
        <w:t xml:space="preserve">文件 </w:t>
      </w:r>
    </w:p>
    <w:p w14:paraId="3C826D8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仿宋" w:cs="宋体"/>
          <w:b/>
          <w:color w:val="auto"/>
          <w:kern w:val="0"/>
          <w:sz w:val="48"/>
          <w:szCs w:val="48"/>
          <w:highlight w:val="none"/>
          <w:lang w:eastAsia="zh-CN"/>
        </w:rPr>
      </w:pPr>
      <w:r>
        <w:rPr>
          <w:rFonts w:hint="eastAsia" w:ascii="宋体" w:hAnsi="宋体" w:eastAsia="仿宋" w:cs="宋体"/>
          <w:b/>
          <w:color w:val="auto"/>
          <w:kern w:val="0"/>
          <w:sz w:val="48"/>
          <w:szCs w:val="48"/>
          <w:highlight w:val="none"/>
          <w:lang w:eastAsia="zh-CN"/>
        </w:rPr>
        <w:t xml:space="preserve"> （电子招投标）</w:t>
      </w:r>
    </w:p>
    <w:p w14:paraId="10F7C1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仿宋" w:cs="宋体"/>
          <w:b/>
          <w:color w:val="auto"/>
          <w:kern w:val="0"/>
          <w:sz w:val="30"/>
          <w:szCs w:val="30"/>
          <w:highlight w:val="none"/>
          <w:lang w:val="en-US" w:eastAsia="zh-CN"/>
        </w:rPr>
      </w:pPr>
      <w:r>
        <w:rPr>
          <w:rFonts w:hint="eastAsia" w:ascii="宋体" w:hAnsi="宋体" w:eastAsia="仿宋" w:cs="宋体"/>
          <w:b/>
          <w:color w:val="auto"/>
          <w:kern w:val="0"/>
          <w:sz w:val="30"/>
          <w:szCs w:val="30"/>
          <w:highlight w:val="none"/>
          <w:lang w:eastAsia="zh-CN"/>
        </w:rPr>
        <w:t>编号:</w:t>
      </w:r>
      <w:r>
        <w:rPr>
          <w:rFonts w:hint="eastAsia" w:ascii="宋体" w:hAnsi="宋体" w:eastAsia="仿宋" w:cs="宋体"/>
          <w:b/>
          <w:color w:val="auto"/>
          <w:kern w:val="0"/>
          <w:sz w:val="30"/>
          <w:szCs w:val="30"/>
          <w:highlight w:val="none"/>
          <w:lang w:val="en-US" w:eastAsia="zh-CN"/>
        </w:rPr>
        <w:t>WZKH-2025-08005</w:t>
      </w:r>
    </w:p>
    <w:p w14:paraId="5849305D">
      <w:pPr>
        <w:adjustRightInd/>
        <w:spacing w:line="360" w:lineRule="auto"/>
        <w:rPr>
          <w:rFonts w:hint="eastAsia" w:ascii="宋体" w:hAnsi="宋体" w:eastAsia="仿宋" w:cs="宋体"/>
          <w:b/>
          <w:color w:val="auto"/>
          <w:kern w:val="0"/>
          <w:sz w:val="48"/>
          <w:szCs w:val="48"/>
          <w:highlight w:val="none"/>
          <w:lang w:eastAsia="zh-CN"/>
        </w:rPr>
      </w:pPr>
    </w:p>
    <w:p w14:paraId="65DE1006">
      <w:pPr>
        <w:adjustRightInd/>
        <w:spacing w:line="360" w:lineRule="auto"/>
        <w:jc w:val="center"/>
        <w:rPr>
          <w:rFonts w:hint="eastAsia" w:ascii="宋体" w:hAnsi="宋体" w:eastAsia="仿宋" w:cs="宋体"/>
          <w:b/>
          <w:color w:val="auto"/>
          <w:kern w:val="0"/>
          <w:sz w:val="48"/>
          <w:szCs w:val="48"/>
          <w:highlight w:val="none"/>
          <w:lang w:eastAsia="zh-CN"/>
        </w:rPr>
      </w:pPr>
      <w:r>
        <w:rPr>
          <w:rFonts w:hint="eastAsia" w:ascii="宋体" w:hAnsi="宋体" w:eastAsia="仿宋" w:cs="宋体"/>
          <w:b/>
          <w:color w:val="auto"/>
          <w:kern w:val="0"/>
          <w:sz w:val="48"/>
          <w:szCs w:val="48"/>
          <w:highlight w:val="none"/>
          <w:lang w:eastAsia="zh-CN"/>
        </w:rPr>
        <w:t xml:space="preserve"> </w:t>
      </w:r>
    </w:p>
    <w:p w14:paraId="219851FB">
      <w:pPr>
        <w:spacing w:line="360" w:lineRule="auto"/>
        <w:jc w:val="center"/>
        <w:rPr>
          <w:rFonts w:ascii="宋体" w:hAnsi="宋体" w:cs="宋体"/>
          <w:color w:val="auto"/>
          <w:sz w:val="24"/>
          <w:highlight w:val="none"/>
        </w:rPr>
      </w:pPr>
    </w:p>
    <w:p w14:paraId="205613BB">
      <w:pPr>
        <w:spacing w:line="360" w:lineRule="auto"/>
        <w:jc w:val="center"/>
        <w:rPr>
          <w:rFonts w:ascii="宋体" w:hAnsi="宋体" w:cs="宋体"/>
          <w:color w:val="auto"/>
          <w:sz w:val="24"/>
          <w:highlight w:val="none"/>
        </w:rPr>
      </w:pPr>
    </w:p>
    <w:p w14:paraId="1234DAF6">
      <w:pPr>
        <w:spacing w:line="360" w:lineRule="auto"/>
        <w:rPr>
          <w:rFonts w:ascii="宋体" w:hAnsi="宋体" w:cs="宋体"/>
          <w:color w:val="auto"/>
          <w:sz w:val="32"/>
          <w:szCs w:val="32"/>
          <w:highlight w:val="none"/>
        </w:rPr>
      </w:pPr>
    </w:p>
    <w:p w14:paraId="0D0D4FD8">
      <w:pPr>
        <w:spacing w:line="360" w:lineRule="auto"/>
        <w:jc w:val="center"/>
        <w:rPr>
          <w:rFonts w:hint="eastAsia" w:ascii="宋体" w:hAnsi="宋体" w:eastAsia="仿宋" w:cs="宋体"/>
          <w:b/>
          <w:bCs/>
          <w:color w:val="auto"/>
          <w:kern w:val="0"/>
          <w:sz w:val="32"/>
          <w:szCs w:val="32"/>
          <w:highlight w:val="none"/>
          <w:lang w:eastAsia="zh-CN"/>
        </w:rPr>
      </w:pPr>
    </w:p>
    <w:p w14:paraId="22FE051D">
      <w:pPr>
        <w:spacing w:line="360" w:lineRule="auto"/>
        <w:jc w:val="center"/>
        <w:rPr>
          <w:rFonts w:hint="eastAsia" w:ascii="宋体" w:hAnsi="宋体" w:eastAsia="仿宋" w:cs="宋体"/>
          <w:b/>
          <w:bCs/>
          <w:color w:val="auto"/>
          <w:kern w:val="0"/>
          <w:sz w:val="32"/>
          <w:szCs w:val="32"/>
          <w:highlight w:val="none"/>
          <w:lang w:eastAsia="zh-CN"/>
        </w:rPr>
      </w:pPr>
    </w:p>
    <w:p w14:paraId="49BDE374">
      <w:pPr>
        <w:spacing w:line="360" w:lineRule="auto"/>
        <w:jc w:val="center"/>
        <w:rPr>
          <w:rFonts w:hint="eastAsia" w:ascii="宋体" w:hAnsi="宋体" w:eastAsia="仿宋" w:cs="宋体"/>
          <w:b/>
          <w:bCs/>
          <w:color w:val="auto"/>
          <w:kern w:val="0"/>
          <w:sz w:val="32"/>
          <w:szCs w:val="32"/>
          <w:highlight w:val="none"/>
          <w:lang w:eastAsia="zh-CN"/>
        </w:rPr>
      </w:pPr>
      <w:r>
        <w:rPr>
          <w:rFonts w:hint="eastAsia" w:ascii="宋体" w:hAnsi="宋体" w:eastAsia="仿宋" w:cs="宋体"/>
          <w:b/>
          <w:bCs/>
          <w:color w:val="auto"/>
          <w:kern w:val="0"/>
          <w:sz w:val="32"/>
          <w:szCs w:val="32"/>
          <w:highlight w:val="none"/>
          <w:lang w:val="en-US" w:eastAsia="zh-CN"/>
        </w:rPr>
        <w:t>永嘉县瓯北第二小学</w:t>
      </w:r>
    </w:p>
    <w:p w14:paraId="4FF4F291">
      <w:pPr>
        <w:spacing w:line="360" w:lineRule="auto"/>
        <w:jc w:val="center"/>
        <w:rPr>
          <w:rFonts w:hint="eastAsia" w:ascii="宋体" w:hAnsi="宋体" w:eastAsia="仿宋" w:cs="宋体"/>
          <w:b/>
          <w:bCs/>
          <w:color w:val="auto"/>
          <w:kern w:val="0"/>
          <w:sz w:val="32"/>
          <w:szCs w:val="32"/>
          <w:highlight w:val="none"/>
          <w:lang w:eastAsia="zh-CN"/>
        </w:rPr>
      </w:pPr>
      <w:r>
        <w:rPr>
          <w:rFonts w:hint="eastAsia" w:ascii="宋体" w:hAnsi="宋体" w:eastAsia="仿宋" w:cs="宋体"/>
          <w:b/>
          <w:bCs/>
          <w:color w:val="auto"/>
          <w:kern w:val="0"/>
          <w:sz w:val="32"/>
          <w:szCs w:val="32"/>
          <w:highlight w:val="none"/>
          <w:lang w:eastAsia="zh-CN"/>
        </w:rPr>
        <w:t>温州凯恒招标代理有限公司</w:t>
      </w:r>
    </w:p>
    <w:p w14:paraId="73879048">
      <w:pPr>
        <w:spacing w:line="360" w:lineRule="auto"/>
        <w:jc w:val="center"/>
        <w:rPr>
          <w:rFonts w:hint="eastAsia" w:ascii="宋体" w:hAnsi="宋体" w:eastAsia="仿宋" w:cs="宋体"/>
          <w:b/>
          <w:bCs/>
          <w:color w:val="auto"/>
          <w:kern w:val="0"/>
          <w:sz w:val="32"/>
          <w:szCs w:val="32"/>
          <w:highlight w:val="none"/>
          <w:lang w:eastAsia="zh-CN"/>
        </w:rPr>
      </w:pPr>
      <w:r>
        <w:rPr>
          <w:rFonts w:hint="eastAsia" w:ascii="宋体" w:hAnsi="宋体" w:eastAsia="仿宋" w:cs="宋体"/>
          <w:b/>
          <w:bCs/>
          <w:color w:val="auto"/>
          <w:kern w:val="0"/>
          <w:sz w:val="32"/>
          <w:szCs w:val="32"/>
          <w:highlight w:val="none"/>
          <w:lang w:eastAsia="zh-CN"/>
        </w:rPr>
        <w:t>二〇二</w:t>
      </w:r>
      <w:r>
        <w:rPr>
          <w:rFonts w:hint="eastAsia" w:ascii="宋体" w:hAnsi="宋体" w:eastAsia="仿宋" w:cs="宋体"/>
          <w:b/>
          <w:bCs/>
          <w:color w:val="auto"/>
          <w:kern w:val="0"/>
          <w:sz w:val="32"/>
          <w:szCs w:val="32"/>
          <w:highlight w:val="none"/>
          <w:lang w:val="en-US" w:eastAsia="zh-CN"/>
        </w:rPr>
        <w:t>五</w:t>
      </w:r>
      <w:r>
        <w:rPr>
          <w:rFonts w:hint="eastAsia" w:ascii="宋体" w:hAnsi="宋体" w:eastAsia="仿宋" w:cs="宋体"/>
          <w:b/>
          <w:bCs/>
          <w:color w:val="auto"/>
          <w:kern w:val="0"/>
          <w:sz w:val="32"/>
          <w:szCs w:val="32"/>
          <w:highlight w:val="none"/>
          <w:lang w:eastAsia="zh-CN"/>
        </w:rPr>
        <w:t>年</w:t>
      </w:r>
      <w:r>
        <w:rPr>
          <w:rFonts w:hint="eastAsia" w:ascii="宋体" w:hAnsi="宋体" w:eastAsia="仿宋" w:cs="宋体"/>
          <w:b/>
          <w:bCs/>
          <w:color w:val="auto"/>
          <w:kern w:val="0"/>
          <w:sz w:val="32"/>
          <w:szCs w:val="32"/>
          <w:highlight w:val="none"/>
          <w:lang w:val="en-US" w:eastAsia="zh-CN"/>
        </w:rPr>
        <w:t>八</w:t>
      </w:r>
      <w:r>
        <w:rPr>
          <w:rFonts w:hint="eastAsia" w:ascii="宋体" w:hAnsi="宋体" w:eastAsia="仿宋" w:cs="宋体"/>
          <w:b/>
          <w:bCs/>
          <w:color w:val="auto"/>
          <w:kern w:val="0"/>
          <w:sz w:val="32"/>
          <w:szCs w:val="32"/>
          <w:highlight w:val="none"/>
          <w:lang w:eastAsia="zh-CN"/>
        </w:rPr>
        <w:t>月</w:t>
      </w:r>
    </w:p>
    <w:p w14:paraId="2279BE80">
      <w:pPr>
        <w:spacing w:line="360" w:lineRule="auto"/>
        <w:jc w:val="center"/>
        <w:rPr>
          <w:rFonts w:hint="eastAsia" w:ascii="仿宋" w:hAnsi="仿宋" w:eastAsia="仿宋" w:cs="仿宋"/>
          <w:b/>
          <w:color w:val="auto"/>
          <w:sz w:val="44"/>
          <w:szCs w:val="44"/>
          <w:highlight w:val="none"/>
        </w:rPr>
      </w:pPr>
    </w:p>
    <w:p w14:paraId="7D9DDA16">
      <w:pPr>
        <w:spacing w:line="360" w:lineRule="auto"/>
        <w:jc w:val="center"/>
        <w:rPr>
          <w:rFonts w:hint="eastAsia" w:ascii="仿宋" w:hAnsi="仿宋" w:eastAsia="仿宋" w:cs="仿宋"/>
          <w:b/>
          <w:color w:val="auto"/>
          <w:sz w:val="44"/>
          <w:szCs w:val="44"/>
          <w:highlight w:val="none"/>
        </w:rPr>
      </w:pPr>
    </w:p>
    <w:p w14:paraId="7D3D23F8">
      <w:pPr>
        <w:spacing w:line="360" w:lineRule="auto"/>
        <w:jc w:val="center"/>
        <w:rPr>
          <w:rFonts w:hint="eastAsia" w:ascii="仿宋" w:hAnsi="仿宋" w:eastAsia="仿宋" w:cs="仿宋"/>
          <w:b/>
          <w:color w:val="auto"/>
          <w:sz w:val="44"/>
          <w:szCs w:val="44"/>
          <w:highlight w:val="none"/>
        </w:rPr>
      </w:pPr>
    </w:p>
    <w:p w14:paraId="7CDFADF7">
      <w:pPr>
        <w:spacing w:line="360" w:lineRule="auto"/>
        <w:jc w:val="center"/>
        <w:rPr>
          <w:rFonts w:hint="eastAsia" w:ascii="仿宋" w:hAnsi="仿宋" w:eastAsia="仿宋" w:cs="仿宋"/>
          <w:b/>
          <w:color w:val="auto"/>
          <w:sz w:val="44"/>
          <w:szCs w:val="44"/>
          <w:highlight w:val="none"/>
        </w:rPr>
      </w:pPr>
    </w:p>
    <w:p w14:paraId="44F95D45">
      <w:pPr>
        <w:spacing w:line="360" w:lineRule="auto"/>
        <w:jc w:val="center"/>
        <w:rPr>
          <w:rFonts w:hint="eastAsia" w:ascii="仿宋" w:hAnsi="仿宋" w:eastAsia="仿宋" w:cs="仿宋"/>
          <w:b/>
          <w:color w:val="auto"/>
          <w:sz w:val="44"/>
          <w:szCs w:val="44"/>
          <w:highlight w:val="none"/>
        </w:rPr>
      </w:pPr>
    </w:p>
    <w:p w14:paraId="4034F28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0E1F7CE3">
      <w:pPr>
        <w:spacing w:line="360" w:lineRule="auto"/>
        <w:ind w:firstLine="602" w:firstLineChars="200"/>
        <w:jc w:val="center"/>
        <w:rPr>
          <w:rFonts w:cs="仿宋" w:asciiTheme="minorEastAsia" w:hAnsiTheme="minorEastAsia"/>
          <w:b/>
          <w:color w:val="auto"/>
          <w:sz w:val="30"/>
          <w:szCs w:val="30"/>
          <w:highlight w:val="none"/>
        </w:rPr>
      </w:pPr>
    </w:p>
    <w:p w14:paraId="625B1B82">
      <w:pPr>
        <w:spacing w:line="360" w:lineRule="auto"/>
        <w:ind w:left="1680" w:leftChars="800"/>
        <w:jc w:val="left"/>
        <w:rPr>
          <w:rFonts w:hint="eastAsia" w:ascii="仿宋" w:hAnsi="仿宋" w:eastAsia="仿宋" w:cs="仿宋"/>
          <w:color w:val="auto"/>
          <w:sz w:val="30"/>
          <w:szCs w:val="30"/>
          <w:highlight w:val="none"/>
        </w:rPr>
      </w:pPr>
    </w:p>
    <w:p w14:paraId="79C41C4F">
      <w:pPr>
        <w:spacing w:line="360" w:lineRule="auto"/>
        <w:ind w:left="1680" w:leftChars="8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采购公告</w:t>
      </w:r>
    </w:p>
    <w:p w14:paraId="31CC2217">
      <w:pPr>
        <w:spacing w:line="360" w:lineRule="auto"/>
        <w:ind w:left="1680" w:leftChars="8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第二部分      供应商须知</w:t>
      </w:r>
    </w:p>
    <w:p w14:paraId="667456D0">
      <w:pPr>
        <w:spacing w:line="360" w:lineRule="auto"/>
        <w:ind w:left="1680" w:leftChars="800"/>
        <w:jc w:val="left"/>
        <w:rPr>
          <w:rFonts w:hint="eastAsia" w:ascii="仿宋" w:hAnsi="仿宋" w:eastAsia="仿宋" w:cs="仿宋"/>
          <w:color w:val="auto"/>
          <w:sz w:val="30"/>
          <w:szCs w:val="30"/>
          <w:highlight w:val="none"/>
        </w:rPr>
      </w:pPr>
      <w:bookmarkStart w:id="0" w:name="_Hlk109655165"/>
      <w:r>
        <w:rPr>
          <w:rFonts w:hint="eastAsia" w:ascii="仿宋" w:hAnsi="仿宋" w:eastAsia="仿宋" w:cs="仿宋"/>
          <w:color w:val="auto"/>
          <w:sz w:val="30"/>
          <w:szCs w:val="30"/>
          <w:highlight w:val="none"/>
        </w:rPr>
        <w:t>第三部分      采购需求</w:t>
      </w:r>
    </w:p>
    <w:bookmarkEnd w:id="0"/>
    <w:p w14:paraId="213094B2">
      <w:pPr>
        <w:spacing w:line="360" w:lineRule="auto"/>
        <w:ind w:left="1680" w:leftChars="8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第四部分      评审方法</w:t>
      </w:r>
    </w:p>
    <w:p w14:paraId="0B9C92A0">
      <w:pPr>
        <w:spacing w:line="360" w:lineRule="auto"/>
        <w:ind w:left="1680" w:leftChars="8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第五部分      拟签订的合同文本</w:t>
      </w:r>
    </w:p>
    <w:p w14:paraId="19D60EAD">
      <w:pPr>
        <w:spacing w:line="360" w:lineRule="auto"/>
        <w:ind w:left="1680" w:leftChars="8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第六部分      应提交的有关格式范例</w:t>
      </w:r>
    </w:p>
    <w:p w14:paraId="38360D1F">
      <w:pPr>
        <w:rPr>
          <w:rFonts w:hint="eastAsia" w:cs="仿宋" w:asciiTheme="minorEastAsia" w:hAnsiTheme="minorEastAsia"/>
          <w:color w:val="auto"/>
          <w:sz w:val="30"/>
          <w:szCs w:val="30"/>
          <w:highlight w:val="none"/>
        </w:rPr>
      </w:pPr>
    </w:p>
    <w:p w14:paraId="1FBC50D2">
      <w:pPr>
        <w:rPr>
          <w:rFonts w:hint="eastAsia" w:cs="仿宋" w:asciiTheme="minorEastAsia" w:hAnsiTheme="minorEastAsia"/>
          <w:color w:val="auto"/>
          <w:sz w:val="30"/>
          <w:szCs w:val="30"/>
          <w:highlight w:val="none"/>
        </w:rPr>
      </w:pPr>
    </w:p>
    <w:p w14:paraId="633F870C">
      <w:pPr>
        <w:spacing w:line="560" w:lineRule="exact"/>
        <w:ind w:left="567" w:leftChars="270" w:right="565" w:rightChars="269" w:firstLine="424" w:firstLineChars="202"/>
        <w:rPr>
          <w:rFonts w:hint="eastAsia" w:ascii="楷体" w:hAnsi="楷体" w:eastAsia="楷体"/>
          <w:bCs/>
          <w:color w:val="auto"/>
          <w:szCs w:val="21"/>
          <w:highlight w:val="none"/>
          <w:u w:val="single"/>
          <w:lang w:val="en-US" w:eastAsia="zh-CN"/>
        </w:rPr>
      </w:pPr>
    </w:p>
    <w:p w14:paraId="1C6C9E81">
      <w:pPr>
        <w:spacing w:line="560" w:lineRule="exact"/>
        <w:ind w:left="567" w:leftChars="270" w:right="565" w:rightChars="269" w:firstLine="424" w:firstLineChars="202"/>
        <w:rPr>
          <w:rFonts w:hint="eastAsia" w:ascii="楷体" w:hAnsi="楷体" w:eastAsia="楷体"/>
          <w:bCs/>
          <w:color w:val="auto"/>
          <w:szCs w:val="21"/>
          <w:highlight w:val="none"/>
          <w:u w:val="single"/>
          <w:lang w:val="en-US" w:eastAsia="zh-CN"/>
        </w:rPr>
      </w:pPr>
    </w:p>
    <w:p w14:paraId="6011C662">
      <w:pPr>
        <w:spacing w:line="560" w:lineRule="exact"/>
        <w:ind w:left="567" w:leftChars="270" w:right="565" w:rightChars="269" w:firstLine="444" w:firstLineChars="202"/>
        <w:rPr>
          <w:rFonts w:hint="eastAsia" w:ascii="仿宋" w:hAnsi="仿宋" w:eastAsia="仿宋" w:cs="仿宋"/>
          <w:b/>
          <w:bCs/>
          <w:color w:val="auto"/>
          <w:sz w:val="22"/>
          <w:szCs w:val="22"/>
          <w:highlight w:val="none"/>
        </w:rPr>
      </w:pPr>
      <w:r>
        <w:rPr>
          <w:rFonts w:hint="eastAsia" w:ascii="仿宋" w:hAnsi="仿宋" w:eastAsia="仿宋" w:cs="仿宋"/>
          <w:bCs/>
          <w:color w:val="auto"/>
          <w:sz w:val="22"/>
          <w:szCs w:val="22"/>
          <w:highlight w:val="none"/>
          <w:u w:val="single"/>
          <w:lang w:val="en-US" w:eastAsia="zh-CN"/>
        </w:rPr>
        <w:t>注</w:t>
      </w:r>
      <w:r>
        <w:rPr>
          <w:rFonts w:hint="eastAsia" w:ascii="仿宋" w:hAnsi="仿宋" w:eastAsia="仿宋" w:cs="仿宋"/>
          <w:bCs/>
          <w:color w:val="auto"/>
          <w:sz w:val="22"/>
          <w:szCs w:val="22"/>
          <w:highlight w:val="none"/>
          <w:u w:val="single"/>
        </w:rPr>
        <w:t>：</w:t>
      </w:r>
      <w:r>
        <w:rPr>
          <w:rFonts w:hint="eastAsia" w:ascii="仿宋" w:hAnsi="仿宋" w:eastAsia="仿宋" w:cs="仿宋"/>
          <w:bCs/>
          <w:color w:val="auto"/>
          <w:sz w:val="22"/>
          <w:szCs w:val="22"/>
          <w:highlight w:val="none"/>
          <w:u w:val="single"/>
          <w:lang w:eastAsia="zh-CN"/>
        </w:rPr>
        <w:t>★询价通知书</w:t>
      </w:r>
      <w:r>
        <w:rPr>
          <w:rFonts w:hint="eastAsia" w:ascii="仿宋" w:hAnsi="仿宋" w:eastAsia="仿宋" w:cs="仿宋"/>
          <w:bCs/>
          <w:color w:val="auto"/>
          <w:sz w:val="22"/>
          <w:szCs w:val="22"/>
          <w:highlight w:val="none"/>
          <w:u w:val="single"/>
        </w:rPr>
        <w:t>中标“</w:t>
      </w:r>
      <w:r>
        <w:rPr>
          <w:rFonts w:hint="eastAsia" w:ascii="仿宋" w:hAnsi="仿宋" w:eastAsia="仿宋" w:cs="仿宋"/>
          <w:bCs/>
          <w:color w:val="auto"/>
          <w:sz w:val="22"/>
          <w:szCs w:val="22"/>
          <w:highlight w:val="none"/>
          <w:u w:val="single"/>
          <w:lang w:eastAsia="zh-CN"/>
        </w:rPr>
        <w:t>★</w:t>
      </w:r>
      <w:r>
        <w:rPr>
          <w:rFonts w:hint="eastAsia" w:ascii="仿宋" w:hAnsi="仿宋" w:eastAsia="仿宋" w:cs="仿宋"/>
          <w:bCs/>
          <w:color w:val="auto"/>
          <w:sz w:val="22"/>
          <w:szCs w:val="22"/>
          <w:highlight w:val="none"/>
          <w:u w:val="single"/>
        </w:rPr>
        <w:t>”且加下划线部分，为</w:t>
      </w:r>
      <w:r>
        <w:rPr>
          <w:rFonts w:hint="eastAsia" w:ascii="仿宋" w:hAnsi="仿宋" w:eastAsia="仿宋" w:cs="仿宋"/>
          <w:bCs/>
          <w:color w:val="auto"/>
          <w:sz w:val="22"/>
          <w:szCs w:val="22"/>
          <w:highlight w:val="none"/>
          <w:u w:val="single"/>
          <w:lang w:eastAsia="zh-CN"/>
        </w:rPr>
        <w:t>采购</w:t>
      </w:r>
      <w:r>
        <w:rPr>
          <w:rFonts w:hint="eastAsia" w:ascii="仿宋" w:hAnsi="仿宋" w:eastAsia="仿宋" w:cs="仿宋"/>
          <w:bCs/>
          <w:color w:val="auto"/>
          <w:sz w:val="22"/>
          <w:szCs w:val="22"/>
          <w:highlight w:val="none"/>
          <w:u w:val="single"/>
        </w:rPr>
        <w:t>的实质性要求，着重提醒各</w:t>
      </w:r>
      <w:r>
        <w:rPr>
          <w:rFonts w:hint="eastAsia" w:ascii="仿宋" w:hAnsi="仿宋" w:eastAsia="仿宋" w:cs="仿宋"/>
          <w:bCs/>
          <w:color w:val="auto"/>
          <w:sz w:val="22"/>
          <w:szCs w:val="22"/>
          <w:highlight w:val="none"/>
          <w:u w:val="single"/>
          <w:lang w:eastAsia="zh-CN"/>
        </w:rPr>
        <w:t>供应商</w:t>
      </w:r>
      <w:r>
        <w:rPr>
          <w:rFonts w:hint="eastAsia" w:ascii="仿宋" w:hAnsi="仿宋" w:eastAsia="仿宋" w:cs="仿宋"/>
          <w:bCs/>
          <w:color w:val="auto"/>
          <w:sz w:val="22"/>
          <w:szCs w:val="22"/>
          <w:highlight w:val="none"/>
          <w:u w:val="single"/>
        </w:rPr>
        <w:t>必须响应。各</w:t>
      </w:r>
      <w:r>
        <w:rPr>
          <w:rFonts w:hint="eastAsia" w:ascii="仿宋" w:hAnsi="仿宋" w:eastAsia="仿宋" w:cs="仿宋"/>
          <w:bCs/>
          <w:color w:val="auto"/>
          <w:sz w:val="22"/>
          <w:szCs w:val="22"/>
          <w:highlight w:val="none"/>
          <w:u w:val="single"/>
          <w:lang w:eastAsia="zh-CN"/>
        </w:rPr>
        <w:t>供应商</w:t>
      </w:r>
      <w:r>
        <w:rPr>
          <w:rFonts w:hint="eastAsia" w:ascii="仿宋" w:hAnsi="仿宋" w:eastAsia="仿宋" w:cs="仿宋"/>
          <w:bCs/>
          <w:color w:val="auto"/>
          <w:sz w:val="22"/>
          <w:szCs w:val="22"/>
          <w:highlight w:val="none"/>
          <w:u w:val="single"/>
        </w:rPr>
        <w:t>必须认真阅读和理解</w:t>
      </w:r>
      <w:r>
        <w:rPr>
          <w:rFonts w:hint="eastAsia" w:ascii="仿宋" w:hAnsi="仿宋" w:eastAsia="仿宋" w:cs="仿宋"/>
          <w:bCs/>
          <w:color w:val="auto"/>
          <w:sz w:val="22"/>
          <w:szCs w:val="22"/>
          <w:highlight w:val="none"/>
          <w:u w:val="single"/>
          <w:lang w:eastAsia="zh-CN"/>
        </w:rPr>
        <w:t>询价通知书</w:t>
      </w:r>
      <w:r>
        <w:rPr>
          <w:rFonts w:hint="eastAsia" w:ascii="仿宋" w:hAnsi="仿宋" w:eastAsia="仿宋" w:cs="仿宋"/>
          <w:bCs/>
          <w:color w:val="auto"/>
          <w:sz w:val="22"/>
          <w:szCs w:val="22"/>
          <w:highlight w:val="none"/>
          <w:u w:val="single"/>
        </w:rPr>
        <w:t>中的每一个条款及要求，因误读</w:t>
      </w:r>
      <w:r>
        <w:rPr>
          <w:rFonts w:hint="eastAsia" w:ascii="仿宋" w:hAnsi="仿宋" w:eastAsia="仿宋" w:cs="仿宋"/>
          <w:bCs/>
          <w:color w:val="auto"/>
          <w:sz w:val="22"/>
          <w:szCs w:val="22"/>
          <w:highlight w:val="none"/>
          <w:u w:val="single"/>
          <w:lang w:eastAsia="zh-CN"/>
        </w:rPr>
        <w:t>询价通知书</w:t>
      </w:r>
      <w:r>
        <w:rPr>
          <w:rFonts w:hint="eastAsia" w:ascii="仿宋" w:hAnsi="仿宋" w:eastAsia="仿宋" w:cs="仿宋"/>
          <w:bCs/>
          <w:color w:val="auto"/>
          <w:sz w:val="22"/>
          <w:szCs w:val="22"/>
          <w:highlight w:val="none"/>
          <w:u w:val="single"/>
        </w:rPr>
        <w:t>而造成的后果，采购人及</w:t>
      </w:r>
      <w:r>
        <w:rPr>
          <w:rFonts w:hint="eastAsia" w:ascii="仿宋" w:hAnsi="仿宋" w:eastAsia="仿宋" w:cs="仿宋"/>
          <w:bCs/>
          <w:color w:val="auto"/>
          <w:sz w:val="22"/>
          <w:szCs w:val="22"/>
          <w:highlight w:val="none"/>
          <w:u w:val="single"/>
          <w:lang w:eastAsia="zh-CN"/>
        </w:rPr>
        <w:t>集采机构</w:t>
      </w:r>
      <w:r>
        <w:rPr>
          <w:rFonts w:hint="eastAsia" w:ascii="仿宋" w:hAnsi="仿宋" w:eastAsia="仿宋" w:cs="仿宋"/>
          <w:bCs/>
          <w:color w:val="auto"/>
          <w:sz w:val="22"/>
          <w:szCs w:val="22"/>
          <w:highlight w:val="none"/>
          <w:u w:val="single"/>
        </w:rPr>
        <w:t>概不负责。</w:t>
      </w:r>
    </w:p>
    <w:p w14:paraId="77ECB5FA">
      <w:pPr>
        <w:pStyle w:val="2"/>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02"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5B6DFAA8">
      <w:pP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4CDC4D4A">
      <w:pPr>
        <w:pBdr>
          <w:top w:val="single" w:color="auto" w:sz="4" w:space="1"/>
          <w:left w:val="single" w:color="auto" w:sz="4" w:space="4"/>
          <w:bottom w:val="single" w:color="auto" w:sz="4" w:space="1"/>
          <w:right w:val="single" w:color="auto" w:sz="4" w:space="4"/>
        </w:pBdr>
        <w:spacing w:line="460" w:lineRule="exact"/>
        <w:ind w:firstLine="442" w:firstLineChars="200"/>
        <w:rPr>
          <w:rFonts w:cs="仿宋" w:asciiTheme="minorEastAsia" w:hAnsiTheme="minorEastAsia"/>
          <w:color w:val="auto"/>
          <w:sz w:val="22"/>
          <w:szCs w:val="22"/>
          <w:highlight w:val="none"/>
        </w:rPr>
      </w:pPr>
      <w:r>
        <w:rPr>
          <w:rFonts w:hint="eastAsia" w:cs="仿宋" w:asciiTheme="minorEastAsia" w:hAnsiTheme="minorEastAsia"/>
          <w:b/>
          <w:bCs/>
          <w:color w:val="auto"/>
          <w:sz w:val="22"/>
          <w:szCs w:val="22"/>
          <w:highlight w:val="none"/>
        </w:rPr>
        <w:t>项目概况</w:t>
      </w:r>
    </w:p>
    <w:p w14:paraId="3CD49BDB">
      <w:pPr>
        <w:pBdr>
          <w:top w:val="single" w:color="auto" w:sz="4" w:space="1"/>
          <w:left w:val="single" w:color="auto" w:sz="4" w:space="4"/>
          <w:bottom w:val="single" w:color="auto" w:sz="4" w:space="1"/>
          <w:right w:val="single" w:color="auto" w:sz="4" w:space="4"/>
        </w:pBdr>
        <w:spacing w:line="460" w:lineRule="exact"/>
        <w:ind w:firstLine="440" w:firstLineChars="200"/>
        <w:rPr>
          <w:rFonts w:cs="仿宋" w:asciiTheme="minorEastAsia" w:hAnsiTheme="minorEastAsia"/>
          <w:color w:val="auto"/>
          <w:sz w:val="22"/>
          <w:szCs w:val="22"/>
          <w:highlight w:val="none"/>
        </w:rPr>
      </w:pPr>
      <w:r>
        <w:rPr>
          <w:rFonts w:hint="eastAsia" w:cs="仿宋" w:asciiTheme="minorEastAsia" w:hAnsiTheme="minorEastAsia"/>
          <w:color w:val="auto"/>
          <w:sz w:val="22"/>
          <w:szCs w:val="22"/>
          <w:highlight w:val="none"/>
          <w:u w:val="single"/>
        </w:rPr>
        <w:fldChar w:fldCharType="begin"/>
      </w:r>
      <w:r>
        <w:rPr>
          <w:rFonts w:hint="eastAsia" w:cs="仿宋" w:asciiTheme="minorEastAsia" w:hAnsiTheme="minorEastAsia"/>
          <w:color w:val="auto"/>
          <w:sz w:val="22"/>
          <w:szCs w:val="22"/>
          <w:highlight w:val="none"/>
          <w:u w:val="single"/>
        </w:rPr>
        <w:instrText xml:space="preserve"> HYPERLINK "https://www.zcygov.cn/project-center/project-detail-router/624282657bf50497" \t "https://www.zcygov.cn/bid-inviting/purchaseFileMake/_blank" </w:instrText>
      </w:r>
      <w:r>
        <w:rPr>
          <w:rFonts w:hint="eastAsia" w:cs="仿宋" w:asciiTheme="minorEastAsia" w:hAnsiTheme="minorEastAsia"/>
          <w:color w:val="auto"/>
          <w:sz w:val="22"/>
          <w:szCs w:val="22"/>
          <w:highlight w:val="none"/>
          <w:u w:val="single"/>
        </w:rPr>
        <w:fldChar w:fldCharType="separate"/>
      </w:r>
      <w:r>
        <w:rPr>
          <w:rFonts w:hint="eastAsia" w:cs="仿宋" w:asciiTheme="minorEastAsia" w:hAnsiTheme="minorEastAsia"/>
          <w:color w:val="auto"/>
          <w:sz w:val="22"/>
          <w:szCs w:val="22"/>
          <w:highlight w:val="none"/>
          <w:u w:val="single"/>
          <w:lang w:val="en-US" w:eastAsia="zh-CN"/>
        </w:rPr>
        <w:t>永嘉县瓯北第二小学食堂设备采购</w:t>
      </w:r>
      <w:r>
        <w:rPr>
          <w:rFonts w:hint="eastAsia" w:cs="仿宋" w:asciiTheme="minorEastAsia" w:hAnsiTheme="minorEastAsia"/>
          <w:color w:val="auto"/>
          <w:sz w:val="22"/>
          <w:szCs w:val="22"/>
          <w:highlight w:val="none"/>
          <w:u w:val="single"/>
        </w:rPr>
        <w:fldChar w:fldCharType="end"/>
      </w:r>
      <w:r>
        <w:rPr>
          <w:rFonts w:hint="eastAsia" w:cs="仿宋" w:asciiTheme="minorEastAsia" w:hAnsiTheme="minorEastAsia"/>
          <w:color w:val="auto"/>
          <w:sz w:val="22"/>
          <w:szCs w:val="22"/>
          <w:highlight w:val="none"/>
        </w:rPr>
        <w:t>的潜在供应商应在</w:t>
      </w:r>
      <w:r>
        <w:rPr>
          <w:rFonts w:hint="eastAsia" w:cs="仿宋" w:asciiTheme="minorEastAsia" w:hAnsiTheme="minorEastAsia"/>
          <w:color w:val="auto"/>
          <w:sz w:val="22"/>
          <w:szCs w:val="22"/>
          <w:highlight w:val="none"/>
          <w:u w:val="single"/>
        </w:rPr>
        <w:t>政府采购云平台（https://www.zcygov.cn）</w:t>
      </w:r>
      <w:r>
        <w:rPr>
          <w:rFonts w:hint="eastAsia" w:cs="仿宋" w:asciiTheme="minorEastAsia" w:hAnsiTheme="minorEastAsia"/>
          <w:color w:val="auto"/>
          <w:sz w:val="22"/>
          <w:szCs w:val="22"/>
          <w:highlight w:val="none"/>
        </w:rPr>
        <w:t>获取（下载）采购文件，并于</w:t>
      </w:r>
      <w:r>
        <w:rPr>
          <w:rFonts w:hint="eastAsia" w:cs="仿宋" w:asciiTheme="minorEastAsia" w:hAnsiTheme="minorEastAsia"/>
          <w:color w:val="auto"/>
          <w:sz w:val="22"/>
          <w:szCs w:val="22"/>
          <w:highlight w:val="none"/>
          <w:u w:val="single"/>
          <w:lang w:val="en-US" w:eastAsia="zh-CN"/>
        </w:rPr>
        <w:t>2025</w:t>
      </w:r>
      <w:r>
        <w:rPr>
          <w:rFonts w:hint="eastAsia" w:cs="仿宋" w:asciiTheme="minorEastAsia" w:hAnsiTheme="minorEastAsia"/>
          <w:bCs/>
          <w:color w:val="auto"/>
          <w:sz w:val="22"/>
          <w:szCs w:val="22"/>
          <w:highlight w:val="none"/>
          <w:u w:val="single"/>
        </w:rPr>
        <w:t>年</w:t>
      </w:r>
      <w:r>
        <w:rPr>
          <w:rFonts w:hint="eastAsia" w:cs="仿宋" w:asciiTheme="minorEastAsia" w:hAnsiTheme="minorEastAsia"/>
          <w:bCs/>
          <w:color w:val="auto"/>
          <w:sz w:val="22"/>
          <w:szCs w:val="22"/>
          <w:highlight w:val="none"/>
          <w:u w:val="single"/>
          <w:lang w:val="en-US" w:eastAsia="zh-CN"/>
        </w:rPr>
        <w:t xml:space="preserve"> </w:t>
      </w:r>
      <w:r>
        <w:rPr>
          <w:rFonts w:hint="eastAsia" w:cs="仿宋" w:asciiTheme="minorEastAsia" w:hAnsiTheme="minorEastAsia"/>
          <w:bCs/>
          <w:color w:val="auto"/>
          <w:sz w:val="22"/>
          <w:szCs w:val="22"/>
          <w:highlight w:val="none"/>
          <w:u w:val="single"/>
        </w:rPr>
        <w:t>月</w:t>
      </w:r>
      <w:r>
        <w:rPr>
          <w:rFonts w:hint="eastAsia" w:cs="仿宋" w:asciiTheme="minorEastAsia" w:hAnsiTheme="minorEastAsia"/>
          <w:bCs/>
          <w:color w:val="auto"/>
          <w:sz w:val="22"/>
          <w:szCs w:val="22"/>
          <w:highlight w:val="none"/>
          <w:u w:val="single"/>
          <w:lang w:val="en-US" w:eastAsia="zh-CN"/>
        </w:rPr>
        <w:t xml:space="preserve"> </w:t>
      </w:r>
      <w:r>
        <w:rPr>
          <w:rFonts w:hint="eastAsia" w:cs="仿宋" w:asciiTheme="minorEastAsia" w:hAnsiTheme="minorEastAsia"/>
          <w:bCs/>
          <w:color w:val="auto"/>
          <w:sz w:val="22"/>
          <w:szCs w:val="22"/>
          <w:highlight w:val="none"/>
          <w:u w:val="single"/>
        </w:rPr>
        <w:t>日</w:t>
      </w:r>
      <w:r>
        <w:rPr>
          <w:rFonts w:hint="eastAsia" w:cs="仿宋" w:asciiTheme="minorEastAsia" w:hAnsiTheme="minorEastAsia"/>
          <w:bCs/>
          <w:color w:val="auto"/>
          <w:sz w:val="22"/>
          <w:szCs w:val="22"/>
          <w:highlight w:val="none"/>
          <w:u w:val="single"/>
          <w:lang w:val="en-US" w:eastAsia="zh-CN"/>
        </w:rPr>
        <w:t>9</w:t>
      </w:r>
      <w:r>
        <w:rPr>
          <w:rFonts w:hint="eastAsia" w:cs="仿宋" w:asciiTheme="minorEastAsia" w:hAnsiTheme="minorEastAsia"/>
          <w:bCs/>
          <w:color w:val="auto"/>
          <w:sz w:val="22"/>
          <w:szCs w:val="22"/>
          <w:highlight w:val="none"/>
          <w:u w:val="single"/>
        </w:rPr>
        <w:t>点</w:t>
      </w:r>
      <w:r>
        <w:rPr>
          <w:rFonts w:hint="eastAsia" w:cs="仿宋" w:asciiTheme="minorEastAsia" w:hAnsiTheme="minorEastAsia"/>
          <w:bCs/>
          <w:color w:val="auto"/>
          <w:sz w:val="22"/>
          <w:szCs w:val="22"/>
          <w:highlight w:val="none"/>
          <w:u w:val="single"/>
          <w:lang w:val="en-US" w:eastAsia="zh-CN"/>
        </w:rPr>
        <w:t>30</w:t>
      </w:r>
      <w:r>
        <w:rPr>
          <w:rFonts w:hint="eastAsia" w:cs="仿宋" w:asciiTheme="minorEastAsia" w:hAnsiTheme="minorEastAsia"/>
          <w:bCs/>
          <w:color w:val="auto"/>
          <w:sz w:val="22"/>
          <w:szCs w:val="22"/>
          <w:highlight w:val="none"/>
          <w:u w:val="single"/>
        </w:rPr>
        <w:t>分</w:t>
      </w:r>
      <w:r>
        <w:rPr>
          <w:rFonts w:hint="eastAsia" w:cs="仿宋" w:asciiTheme="minorEastAsia" w:hAnsiTheme="minorEastAsia"/>
          <w:bCs/>
          <w:color w:val="auto"/>
          <w:sz w:val="22"/>
          <w:szCs w:val="22"/>
          <w:highlight w:val="none"/>
          <w:u w:val="single"/>
          <w:lang w:val="en-US" w:eastAsia="zh-CN"/>
        </w:rPr>
        <w:t>00</w:t>
      </w:r>
      <w:r>
        <w:rPr>
          <w:rFonts w:hint="eastAsia" w:cs="仿宋" w:asciiTheme="minorEastAsia" w:hAnsiTheme="minorEastAsia"/>
          <w:bCs/>
          <w:color w:val="auto"/>
          <w:sz w:val="22"/>
          <w:szCs w:val="22"/>
          <w:highlight w:val="none"/>
          <w:u w:val="single"/>
        </w:rPr>
        <w:t>秒</w:t>
      </w:r>
      <w:r>
        <w:rPr>
          <w:rFonts w:hint="eastAsia" w:cs="仿宋" w:asciiTheme="minorEastAsia" w:hAnsiTheme="minorEastAsia"/>
          <w:bCs/>
          <w:color w:val="auto"/>
          <w:sz w:val="22"/>
          <w:szCs w:val="22"/>
          <w:highlight w:val="none"/>
        </w:rPr>
        <w:t>（北京时间）前提交（上传）响应文件</w:t>
      </w:r>
      <w:r>
        <w:rPr>
          <w:rFonts w:hint="eastAsia" w:cs="仿宋" w:asciiTheme="minorEastAsia" w:hAnsiTheme="minorEastAsia"/>
          <w:color w:val="auto"/>
          <w:sz w:val="22"/>
          <w:szCs w:val="22"/>
          <w:highlight w:val="none"/>
        </w:rPr>
        <w:t>。</w:t>
      </w:r>
    </w:p>
    <w:p w14:paraId="1E0580AB">
      <w:pPr>
        <w:widowControl/>
        <w:spacing w:line="460" w:lineRule="atLeast"/>
        <w:jc w:val="left"/>
        <w:rPr>
          <w:rFonts w:hint="eastAsia" w:ascii="宋体" w:hAnsi="宋体" w:eastAsia="宋体" w:cs="Times New Roman"/>
          <w:b/>
          <w:bCs/>
          <w:color w:val="auto"/>
          <w:kern w:val="0"/>
          <w:sz w:val="22"/>
          <w:szCs w:val="22"/>
          <w:highlight w:val="none"/>
        </w:rPr>
      </w:pPr>
      <w:bookmarkStart w:id="1" w:name="_Toc28359002"/>
      <w:bookmarkStart w:id="2" w:name="_Toc35393790"/>
      <w:bookmarkStart w:id="3" w:name="_Toc35393621"/>
      <w:bookmarkStart w:id="4" w:name="_Toc28359079"/>
      <w:bookmarkStart w:id="5" w:name="_Hlk24379207"/>
      <w:r>
        <w:rPr>
          <w:rFonts w:hint="eastAsia" w:ascii="宋体" w:hAnsi="宋体" w:eastAsia="宋体" w:cs="Times New Roman"/>
          <w:b/>
          <w:bCs/>
          <w:color w:val="auto"/>
          <w:kern w:val="0"/>
          <w:sz w:val="22"/>
          <w:szCs w:val="22"/>
          <w:highlight w:val="none"/>
        </w:rPr>
        <w:t>一、项目基本情况</w:t>
      </w:r>
      <w:bookmarkEnd w:id="1"/>
      <w:bookmarkEnd w:id="2"/>
      <w:bookmarkEnd w:id="3"/>
      <w:bookmarkEnd w:id="4"/>
    </w:p>
    <w:p w14:paraId="6B77F07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en-US" w:eastAsia="zh-CN"/>
        </w:rPr>
        <w:t>项目编号</w:t>
      </w:r>
      <w:r>
        <w:rPr>
          <w:rFonts w:hint="eastAsia" w:ascii="宋体" w:hAnsi="宋体" w:eastAsia="宋体" w:cs="宋体"/>
          <w:b w:val="0"/>
          <w:bCs/>
          <w:color w:val="auto"/>
          <w:kern w:val="0"/>
          <w:sz w:val="22"/>
          <w:szCs w:val="21"/>
          <w:highlight w:val="none"/>
        </w:rPr>
        <w:t>：</w:t>
      </w:r>
      <w:r>
        <w:rPr>
          <w:rFonts w:hint="eastAsia" w:ascii="宋体" w:hAnsi="宋体" w:eastAsia="宋体" w:cs="宋体"/>
          <w:b w:val="0"/>
          <w:bCs/>
          <w:color w:val="auto"/>
          <w:kern w:val="0"/>
          <w:sz w:val="22"/>
          <w:szCs w:val="21"/>
          <w:highlight w:val="none"/>
          <w:lang w:val="en-US" w:eastAsia="zh-CN"/>
        </w:rPr>
        <w:t>WZKH-2025-08005</w:t>
      </w:r>
    </w:p>
    <w:p w14:paraId="4BCA8AA7">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eastAsia="zh-CN"/>
        </w:rPr>
        <w:t>项目</w:t>
      </w:r>
      <w:r>
        <w:rPr>
          <w:rFonts w:hint="eastAsia" w:ascii="宋体" w:hAnsi="宋体" w:eastAsia="宋体" w:cs="宋体"/>
          <w:b w:val="0"/>
          <w:bCs/>
          <w:color w:val="auto"/>
          <w:kern w:val="0"/>
          <w:sz w:val="22"/>
          <w:szCs w:val="21"/>
          <w:highlight w:val="none"/>
          <w:lang w:val="en-US" w:eastAsia="zh-CN"/>
        </w:rPr>
        <w:t>名称</w:t>
      </w:r>
      <w:r>
        <w:rPr>
          <w:rFonts w:hint="eastAsia" w:ascii="宋体" w:hAnsi="宋体" w:eastAsia="宋体" w:cs="宋体"/>
          <w:b w:val="0"/>
          <w:bCs/>
          <w:color w:val="auto"/>
          <w:kern w:val="0"/>
          <w:sz w:val="22"/>
          <w:szCs w:val="21"/>
          <w:highlight w:val="none"/>
        </w:rPr>
        <w:t>：</w:t>
      </w:r>
      <w:r>
        <w:rPr>
          <w:rFonts w:hint="eastAsia" w:ascii="宋体" w:hAnsi="宋体" w:eastAsia="宋体" w:cs="宋体"/>
          <w:b w:val="0"/>
          <w:bCs/>
          <w:color w:val="auto"/>
          <w:kern w:val="0"/>
          <w:sz w:val="22"/>
          <w:szCs w:val="21"/>
          <w:highlight w:val="none"/>
          <w:lang w:eastAsia="zh-CN"/>
        </w:rPr>
        <w:fldChar w:fldCharType="begin"/>
      </w:r>
      <w:r>
        <w:rPr>
          <w:rFonts w:hint="eastAsia" w:ascii="宋体" w:hAnsi="宋体" w:eastAsia="宋体" w:cs="宋体"/>
          <w:b w:val="0"/>
          <w:bCs/>
          <w:color w:val="auto"/>
          <w:kern w:val="0"/>
          <w:sz w:val="22"/>
          <w:szCs w:val="21"/>
          <w:highlight w:val="none"/>
          <w:lang w:eastAsia="zh-CN"/>
        </w:rPr>
        <w:instrText xml:space="preserve"> HYPERLINK "https://www.zcygov.cn/project-center/project-detail-router/624282657bf50497" \t "https://www.zcygov.cn/bid-inviting/purchaseFileMake/_blank" </w:instrText>
      </w:r>
      <w:r>
        <w:rPr>
          <w:rFonts w:hint="eastAsia" w:ascii="宋体" w:hAnsi="宋体" w:eastAsia="宋体" w:cs="宋体"/>
          <w:b w:val="0"/>
          <w:bCs/>
          <w:color w:val="auto"/>
          <w:kern w:val="0"/>
          <w:sz w:val="22"/>
          <w:szCs w:val="21"/>
          <w:highlight w:val="none"/>
          <w:lang w:eastAsia="zh-CN"/>
        </w:rPr>
        <w:fldChar w:fldCharType="separate"/>
      </w:r>
      <w:r>
        <w:rPr>
          <w:rFonts w:hint="eastAsia" w:ascii="宋体" w:hAnsi="宋体" w:eastAsia="宋体" w:cs="宋体"/>
          <w:b w:val="0"/>
          <w:bCs/>
          <w:color w:val="auto"/>
          <w:kern w:val="0"/>
          <w:sz w:val="22"/>
          <w:szCs w:val="21"/>
          <w:highlight w:val="none"/>
          <w:lang w:val="en-US" w:eastAsia="zh-CN"/>
        </w:rPr>
        <w:t>永嘉县瓯北第二小学食堂设备采购</w:t>
      </w:r>
      <w:r>
        <w:rPr>
          <w:rFonts w:hint="eastAsia" w:ascii="宋体" w:hAnsi="宋体" w:eastAsia="宋体" w:cs="宋体"/>
          <w:b w:val="0"/>
          <w:bCs/>
          <w:color w:val="auto"/>
          <w:kern w:val="0"/>
          <w:sz w:val="22"/>
          <w:szCs w:val="21"/>
          <w:highlight w:val="none"/>
          <w:lang w:eastAsia="zh-CN"/>
        </w:rPr>
        <w:fldChar w:fldCharType="end"/>
      </w:r>
    </w:p>
    <w:p w14:paraId="5FCB1FB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采购方式：询价</w:t>
      </w:r>
    </w:p>
    <w:bookmarkEnd w:id="5"/>
    <w:p w14:paraId="1F6D7D93">
      <w:pPr>
        <w:widowControl/>
        <w:spacing w:line="460" w:lineRule="atLeast"/>
        <w:ind w:firstLine="440" w:firstLineChars="200"/>
        <w:jc w:val="left"/>
        <w:rPr>
          <w:rFonts w:hint="default"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rPr>
        <w:t>预算金额（元）：</w:t>
      </w:r>
      <w:r>
        <w:rPr>
          <w:rFonts w:hint="eastAsia" w:ascii="宋体" w:hAnsi="宋体" w:eastAsia="宋体" w:cs="宋体"/>
          <w:b w:val="0"/>
          <w:bCs/>
          <w:color w:val="auto"/>
          <w:kern w:val="0"/>
          <w:sz w:val="22"/>
          <w:szCs w:val="21"/>
          <w:highlight w:val="none"/>
          <w:lang w:val="en-US" w:eastAsia="zh-CN"/>
        </w:rPr>
        <w:t>512000</w:t>
      </w:r>
    </w:p>
    <w:p w14:paraId="7DA43356">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最高限价（元）：</w:t>
      </w:r>
      <w:r>
        <w:rPr>
          <w:rFonts w:hint="eastAsia" w:ascii="宋体" w:hAnsi="宋体" w:eastAsia="宋体" w:cs="宋体"/>
          <w:b w:val="0"/>
          <w:bCs/>
          <w:color w:val="auto"/>
          <w:kern w:val="0"/>
          <w:sz w:val="22"/>
          <w:szCs w:val="21"/>
          <w:highlight w:val="none"/>
          <w:lang w:val="en-US" w:eastAsia="zh-CN"/>
        </w:rPr>
        <w:t>512000</w:t>
      </w:r>
      <w:r>
        <w:rPr>
          <w:rFonts w:hint="eastAsia" w:ascii="宋体" w:hAnsi="宋体" w:eastAsia="宋体" w:cs="宋体"/>
          <w:b w:val="0"/>
          <w:bCs/>
          <w:color w:val="auto"/>
          <w:kern w:val="0"/>
          <w:sz w:val="22"/>
          <w:szCs w:val="21"/>
          <w:highlight w:val="none"/>
        </w:rPr>
        <w:t xml:space="preserve"> </w:t>
      </w:r>
    </w:p>
    <w:p w14:paraId="57023400">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采购需求：</w:t>
      </w:r>
    </w:p>
    <w:p w14:paraId="22334558">
      <w:pPr>
        <w:widowControl/>
        <w:spacing w:line="460" w:lineRule="atLeast"/>
        <w:ind w:firstLine="440" w:firstLineChars="200"/>
        <w:jc w:val="left"/>
        <w:rPr>
          <w:rFonts w:hint="eastAsia" w:ascii="宋体" w:hAnsi="宋体" w:eastAsia="宋体" w:cs="宋体"/>
          <w:b w:val="0"/>
          <w:bCs/>
          <w:color w:val="auto"/>
          <w:kern w:val="0"/>
          <w:sz w:val="22"/>
          <w:szCs w:val="21"/>
          <w:highlight w:val="none"/>
          <w:lang w:eastAsia="zh-CN"/>
        </w:rPr>
      </w:pPr>
      <w:r>
        <w:rPr>
          <w:rFonts w:hint="eastAsia" w:ascii="宋体" w:hAnsi="宋体" w:eastAsia="宋体" w:cs="宋体"/>
          <w:b w:val="0"/>
          <w:bCs/>
          <w:color w:val="auto"/>
          <w:kern w:val="0"/>
          <w:sz w:val="22"/>
          <w:szCs w:val="21"/>
          <w:highlight w:val="none"/>
          <w:lang w:val="en-US" w:eastAsia="zh-CN"/>
        </w:rPr>
        <w:t>标</w:t>
      </w:r>
      <w:r>
        <w:rPr>
          <w:rFonts w:hint="eastAsia" w:ascii="宋体" w:hAnsi="宋体" w:eastAsia="宋体" w:cs="宋体"/>
          <w:b w:val="0"/>
          <w:bCs/>
          <w:color w:val="auto"/>
          <w:kern w:val="0"/>
          <w:sz w:val="22"/>
          <w:szCs w:val="21"/>
          <w:highlight w:val="none"/>
        </w:rPr>
        <w:t>项名称</w:t>
      </w:r>
      <w:r>
        <w:rPr>
          <w:rFonts w:hint="eastAsia" w:ascii="宋体" w:hAnsi="宋体" w:eastAsia="宋体" w:cs="宋体"/>
          <w:b w:val="0"/>
          <w:bCs/>
          <w:color w:val="auto"/>
          <w:kern w:val="0"/>
          <w:sz w:val="22"/>
          <w:szCs w:val="21"/>
          <w:highlight w:val="none"/>
          <w:lang w:eastAsia="zh-CN"/>
        </w:rPr>
        <w:t>：</w:t>
      </w:r>
      <w:r>
        <w:rPr>
          <w:rFonts w:hint="eastAsia" w:ascii="宋体" w:hAnsi="宋体" w:eastAsia="宋体" w:cs="宋体"/>
          <w:b w:val="0"/>
          <w:bCs/>
          <w:color w:val="auto"/>
          <w:kern w:val="0"/>
          <w:sz w:val="22"/>
          <w:szCs w:val="21"/>
          <w:highlight w:val="none"/>
          <w:lang w:eastAsia="zh-CN"/>
        </w:rPr>
        <w:fldChar w:fldCharType="begin"/>
      </w:r>
      <w:r>
        <w:rPr>
          <w:rFonts w:hint="eastAsia" w:ascii="宋体" w:hAnsi="宋体" w:eastAsia="宋体" w:cs="宋体"/>
          <w:b w:val="0"/>
          <w:bCs/>
          <w:color w:val="auto"/>
          <w:kern w:val="0"/>
          <w:sz w:val="22"/>
          <w:szCs w:val="21"/>
          <w:highlight w:val="none"/>
          <w:lang w:eastAsia="zh-CN"/>
        </w:rPr>
        <w:instrText xml:space="preserve"> HYPERLINK "https://www.zcygov.cn/project-center/project-detail-router/624282657bf50497" \t "https://www.zcygov.cn/bid-inviting/purchaseFileMake/_blank" </w:instrText>
      </w:r>
      <w:r>
        <w:rPr>
          <w:rFonts w:hint="eastAsia" w:ascii="宋体" w:hAnsi="宋体" w:eastAsia="宋体" w:cs="宋体"/>
          <w:b w:val="0"/>
          <w:bCs/>
          <w:color w:val="auto"/>
          <w:kern w:val="0"/>
          <w:sz w:val="22"/>
          <w:szCs w:val="21"/>
          <w:highlight w:val="none"/>
          <w:lang w:eastAsia="zh-CN"/>
        </w:rPr>
        <w:fldChar w:fldCharType="separate"/>
      </w:r>
      <w:r>
        <w:rPr>
          <w:rFonts w:hint="eastAsia" w:ascii="宋体" w:hAnsi="宋体" w:eastAsia="宋体" w:cs="宋体"/>
          <w:b w:val="0"/>
          <w:bCs/>
          <w:color w:val="auto"/>
          <w:kern w:val="0"/>
          <w:sz w:val="22"/>
          <w:szCs w:val="21"/>
          <w:highlight w:val="none"/>
          <w:lang w:val="en-US" w:eastAsia="zh-CN"/>
        </w:rPr>
        <w:t>永嘉县瓯北第二小学食堂设备采购</w:t>
      </w:r>
      <w:r>
        <w:rPr>
          <w:rFonts w:hint="eastAsia" w:ascii="宋体" w:hAnsi="宋体" w:eastAsia="宋体" w:cs="宋体"/>
          <w:b w:val="0"/>
          <w:bCs/>
          <w:color w:val="auto"/>
          <w:kern w:val="0"/>
          <w:sz w:val="22"/>
          <w:szCs w:val="21"/>
          <w:highlight w:val="none"/>
          <w:lang w:eastAsia="zh-CN"/>
        </w:rPr>
        <w:fldChar w:fldCharType="end"/>
      </w:r>
    </w:p>
    <w:p w14:paraId="7A4C79D5">
      <w:pPr>
        <w:widowControl/>
        <w:spacing w:line="460" w:lineRule="atLeast"/>
        <w:ind w:firstLine="440" w:firstLineChars="200"/>
        <w:jc w:val="left"/>
        <w:rPr>
          <w:rFonts w:hint="eastAsia" w:ascii="宋体" w:hAnsi="宋体" w:eastAsia="宋体" w:cs="宋体"/>
          <w:b w:val="0"/>
          <w:bCs/>
          <w:color w:val="auto"/>
          <w:kern w:val="0"/>
          <w:sz w:val="22"/>
          <w:szCs w:val="21"/>
          <w:highlight w:val="none"/>
          <w:lang w:eastAsia="zh-CN"/>
        </w:rPr>
      </w:pPr>
      <w:r>
        <w:rPr>
          <w:rFonts w:hint="eastAsia" w:ascii="宋体" w:hAnsi="宋体" w:eastAsia="宋体" w:cs="宋体"/>
          <w:b w:val="0"/>
          <w:bCs/>
          <w:color w:val="auto"/>
          <w:kern w:val="0"/>
          <w:sz w:val="22"/>
          <w:szCs w:val="21"/>
          <w:highlight w:val="none"/>
        </w:rPr>
        <w:t>数量:</w:t>
      </w:r>
      <w:r>
        <w:rPr>
          <w:rFonts w:hint="eastAsia" w:ascii="宋体" w:hAnsi="宋体" w:eastAsia="宋体" w:cs="宋体"/>
          <w:b w:val="0"/>
          <w:bCs/>
          <w:color w:val="auto"/>
          <w:kern w:val="0"/>
          <w:sz w:val="22"/>
          <w:szCs w:val="21"/>
          <w:highlight w:val="none"/>
          <w:lang w:val="en-US" w:eastAsia="zh-CN"/>
        </w:rPr>
        <w:t>1批</w:t>
      </w:r>
      <w:r>
        <w:rPr>
          <w:rFonts w:hint="eastAsia" w:ascii="宋体" w:hAnsi="宋体" w:eastAsia="宋体" w:cs="宋体"/>
          <w:b w:val="0"/>
          <w:bCs/>
          <w:color w:val="auto"/>
          <w:kern w:val="0"/>
          <w:sz w:val="22"/>
          <w:szCs w:val="21"/>
          <w:highlight w:val="none"/>
        </w:rPr>
        <w:t>  </w:t>
      </w:r>
    </w:p>
    <w:p w14:paraId="66952BC0">
      <w:pPr>
        <w:widowControl/>
        <w:spacing w:line="460" w:lineRule="atLeast"/>
        <w:ind w:firstLine="440" w:firstLineChars="200"/>
        <w:jc w:val="left"/>
        <w:rPr>
          <w:rFonts w:hint="default" w:ascii="宋体" w:hAnsi="宋体" w:eastAsia="宋体" w:cs="宋体"/>
          <w:b w:val="0"/>
          <w:bCs/>
          <w:color w:val="auto"/>
          <w:kern w:val="0"/>
          <w:sz w:val="22"/>
          <w:szCs w:val="21"/>
          <w:highlight w:val="none"/>
          <w:lang w:val="en-US"/>
        </w:rPr>
      </w:pPr>
      <w:r>
        <w:rPr>
          <w:rFonts w:hint="eastAsia" w:ascii="宋体" w:hAnsi="宋体" w:eastAsia="宋体" w:cs="宋体"/>
          <w:b w:val="0"/>
          <w:bCs/>
          <w:color w:val="auto"/>
          <w:kern w:val="0"/>
          <w:sz w:val="22"/>
          <w:szCs w:val="21"/>
          <w:highlight w:val="none"/>
        </w:rPr>
        <w:t>预算金额（元）:</w:t>
      </w:r>
      <w:r>
        <w:rPr>
          <w:rFonts w:hint="eastAsia" w:ascii="宋体" w:hAnsi="宋体" w:eastAsia="宋体" w:cs="宋体"/>
          <w:b w:val="0"/>
          <w:bCs/>
          <w:color w:val="auto"/>
          <w:kern w:val="0"/>
          <w:sz w:val="22"/>
          <w:szCs w:val="21"/>
          <w:highlight w:val="none"/>
          <w:lang w:val="en-US" w:eastAsia="zh-CN"/>
        </w:rPr>
        <w:t xml:space="preserve"> 512000</w:t>
      </w:r>
    </w:p>
    <w:p w14:paraId="7BEB1825">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简要规格描述或项目基本概况介绍、用途：</w:t>
      </w:r>
      <w:r>
        <w:rPr>
          <w:rFonts w:hint="eastAsia" w:ascii="宋体" w:hAnsi="宋体" w:eastAsia="宋体" w:cs="宋体"/>
          <w:b w:val="0"/>
          <w:bCs/>
          <w:color w:val="auto"/>
          <w:kern w:val="0"/>
          <w:sz w:val="22"/>
          <w:szCs w:val="21"/>
          <w:highlight w:val="none"/>
          <w:lang w:val="en-US" w:eastAsia="zh-CN"/>
        </w:rPr>
        <w:t>具体以采购文件第三部分采购需求为准，供应商可点击本公告下方“浏览采购文件”查看采购需求。</w:t>
      </w:r>
    </w:p>
    <w:p w14:paraId="6EB3AA4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备注：/ </w:t>
      </w:r>
    </w:p>
    <w:p w14:paraId="0A5C810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rPr>
        <w:t>合同履行期限：</w:t>
      </w:r>
      <w:r>
        <w:rPr>
          <w:rFonts w:hint="eastAsia" w:ascii="宋体" w:hAnsi="宋体" w:eastAsia="宋体" w:cs="宋体"/>
          <w:b w:val="0"/>
          <w:bCs/>
          <w:color w:val="auto"/>
          <w:kern w:val="0"/>
          <w:sz w:val="22"/>
          <w:szCs w:val="21"/>
          <w:highlight w:val="none"/>
          <w:lang w:val="en-US" w:eastAsia="zh-CN"/>
        </w:rPr>
        <w:t>详见采购需求。</w:t>
      </w:r>
    </w:p>
    <w:p w14:paraId="77DA951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bookmarkStart w:id="6" w:name="_Toc28359080"/>
      <w:bookmarkStart w:id="7" w:name="_Toc35393791"/>
      <w:bookmarkStart w:id="8" w:name="_Toc35393622"/>
      <w:bookmarkStart w:id="9" w:name="_Toc28359003"/>
      <w:r>
        <w:rPr>
          <w:rFonts w:hint="eastAsia" w:ascii="宋体" w:hAnsi="宋体" w:eastAsia="宋体" w:cs="宋体"/>
          <w:b w:val="0"/>
          <w:bCs/>
          <w:color w:val="auto"/>
          <w:kern w:val="0"/>
          <w:sz w:val="22"/>
          <w:szCs w:val="21"/>
          <w:highlight w:val="none"/>
          <w:lang w:val="en-US" w:eastAsia="zh-CN"/>
        </w:rPr>
        <w:t>本项目（否）接受联合体投标。</w:t>
      </w:r>
    </w:p>
    <w:p w14:paraId="2CF30C2F">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二、申请人的资格要求：</w:t>
      </w:r>
      <w:bookmarkEnd w:id="6"/>
      <w:bookmarkEnd w:id="7"/>
      <w:bookmarkEnd w:id="8"/>
      <w:bookmarkEnd w:id="9"/>
      <w:bookmarkStart w:id="10" w:name="_Toc28359081"/>
      <w:bookmarkStart w:id="11" w:name="_Toc35393623"/>
      <w:bookmarkStart w:id="12" w:name="_Toc35393792"/>
      <w:bookmarkStart w:id="13" w:name="_Toc28359004"/>
    </w:p>
    <w:p w14:paraId="340E331D">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73C88F68">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1"/>
          <w:highlight w:val="none"/>
          <w:lang w:eastAsia="zh-CN"/>
        </w:rPr>
      </w:pP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rPr>
        <w:t>落实政府采购政策需满足的资格要求：</w:t>
      </w:r>
      <w:sdt>
        <w:sdtPr>
          <w:rPr>
            <w:rFonts w:hint="eastAsia" w:ascii="宋体" w:eastAsia="宋体"/>
            <w:b w:val="0"/>
            <w:color w:val="auto"/>
            <w:sz w:val="22"/>
            <w:highlight w:val="none"/>
          </w:rPr>
          <w:id w:val="-1024704304"/>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r>
        <w:rPr>
          <w:rFonts w:hint="eastAsia" w:ascii="宋体" w:eastAsia="宋体"/>
          <w:b w:val="0"/>
          <w:color w:val="auto"/>
          <w:sz w:val="22"/>
          <w:highlight w:val="none"/>
          <w:lang w:eastAsia="zh-CN"/>
        </w:rPr>
        <w:t>：</w:t>
      </w: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r>
        <w:rPr>
          <w:rFonts w:hint="eastAsia" w:ascii="宋体" w:hAnsi="宋体" w:eastAsia="宋体" w:cs="宋体"/>
          <w:b w:val="0"/>
          <w:bCs/>
          <w:color w:val="auto"/>
          <w:kern w:val="0"/>
          <w:sz w:val="22"/>
          <w:szCs w:val="21"/>
          <w:highlight w:val="none"/>
          <w:lang w:eastAsia="zh-CN"/>
        </w:rPr>
        <w:t>。</w:t>
      </w:r>
    </w:p>
    <w:p w14:paraId="37594F1E">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en-US" w:eastAsia="zh-CN"/>
        </w:rPr>
        <w:t>3</w:t>
      </w:r>
      <w:r>
        <w:rPr>
          <w:rFonts w:hint="eastAsia" w:ascii="宋体" w:hAnsi="宋体" w:eastAsia="宋体" w:cs="宋体"/>
          <w:b w:val="0"/>
          <w:bCs/>
          <w:color w:val="auto"/>
          <w:kern w:val="0"/>
          <w:sz w:val="22"/>
          <w:szCs w:val="21"/>
          <w:highlight w:val="none"/>
        </w:rPr>
        <w:t>.本项目的特定资格要求：无；</w:t>
      </w:r>
    </w:p>
    <w:p w14:paraId="0521CEB2">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三、</w:t>
      </w:r>
      <w:bookmarkEnd w:id="10"/>
      <w:bookmarkEnd w:id="11"/>
      <w:bookmarkEnd w:id="12"/>
      <w:bookmarkEnd w:id="13"/>
      <w:r>
        <w:rPr>
          <w:rFonts w:hint="eastAsia" w:ascii="宋体" w:hAnsi="宋体" w:eastAsia="宋体" w:cs="Times New Roman"/>
          <w:b/>
          <w:bCs/>
          <w:color w:val="auto"/>
          <w:kern w:val="0"/>
          <w:sz w:val="22"/>
          <w:szCs w:val="22"/>
          <w:highlight w:val="none"/>
        </w:rPr>
        <w:t>获取（下载）采购文件</w:t>
      </w:r>
      <w:bookmarkStart w:id="14" w:name="_Toc35393793"/>
      <w:bookmarkStart w:id="15" w:name="_Toc28359082"/>
      <w:bookmarkStart w:id="16" w:name="_Toc35393624"/>
      <w:bookmarkStart w:id="17" w:name="_Toc28359005"/>
    </w:p>
    <w:p w14:paraId="46D72A0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rPr>
        <w:t>1.时间：/至</w:t>
      </w:r>
      <w:r>
        <w:rPr>
          <w:rFonts w:hint="eastAsia" w:ascii="宋体" w:hAnsi="宋体" w:eastAsia="宋体" w:cs="宋体"/>
          <w:b w:val="0"/>
          <w:bCs/>
          <w:color w:val="auto"/>
          <w:kern w:val="0"/>
          <w:sz w:val="22"/>
          <w:szCs w:val="21"/>
          <w:highlight w:val="none"/>
          <w:lang w:val="en-US" w:eastAsia="zh-CN"/>
        </w:rPr>
        <w:t>报价截止</w:t>
      </w:r>
      <w:r>
        <w:rPr>
          <w:rFonts w:hint="eastAsia" w:ascii="宋体" w:hAnsi="宋体" w:eastAsia="宋体" w:cs="宋体"/>
          <w:b w:val="0"/>
          <w:bCs/>
          <w:color w:val="auto"/>
          <w:kern w:val="0"/>
          <w:sz w:val="22"/>
          <w:szCs w:val="21"/>
          <w:highlight w:val="none"/>
        </w:rPr>
        <w:t xml:space="preserve">，每天上午00:00至12:00，下午12:00至23:59（北京时间，线上获取法定节假日均可，线下获取文件法定节假日除外）  </w:t>
      </w:r>
      <w:r>
        <w:rPr>
          <w:rFonts w:hint="eastAsia" w:ascii="宋体" w:hAnsi="宋体" w:eastAsia="宋体" w:cs="宋体"/>
          <w:b w:val="0"/>
          <w:bCs/>
          <w:color w:val="auto"/>
          <w:kern w:val="0"/>
          <w:sz w:val="22"/>
          <w:szCs w:val="21"/>
          <w:highlight w:val="none"/>
          <w:lang w:val="en-US" w:eastAsia="zh-CN"/>
        </w:rPr>
        <w:t xml:space="preserve">    </w:t>
      </w:r>
    </w:p>
    <w:p w14:paraId="3B2FC8E7">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rPr>
        <w:t xml:space="preserve">地点（网址）：政采云平台（https://www.zcygov.cn/） </w:t>
      </w:r>
    </w:p>
    <w:p w14:paraId="0949C210">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3.方式：供应商登录政采云平台https://www.zcygov.cn/在线申请获取采购文件（进入“项目采购”应用，在获取采购文件菜单中选择项目，申请获取采购文件） </w:t>
      </w:r>
    </w:p>
    <w:p w14:paraId="7555D5A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4.售价（元）：0 </w:t>
      </w:r>
    </w:p>
    <w:bookmarkEnd w:id="14"/>
    <w:bookmarkEnd w:id="15"/>
    <w:bookmarkEnd w:id="16"/>
    <w:bookmarkEnd w:id="17"/>
    <w:p w14:paraId="1E3462F2">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四、响应文件提交（上传）</w:t>
      </w:r>
    </w:p>
    <w:p w14:paraId="6E52F92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1.截止时间：</w:t>
      </w:r>
      <w:r>
        <w:rPr>
          <w:rFonts w:hint="eastAsia" w:ascii="宋体" w:hAnsi="宋体" w:eastAsia="宋体" w:cs="宋体"/>
          <w:b w:val="0"/>
          <w:bCs/>
          <w:color w:val="auto"/>
          <w:kern w:val="0"/>
          <w:sz w:val="22"/>
          <w:szCs w:val="21"/>
          <w:highlight w:val="none"/>
          <w:lang w:val="en-US" w:eastAsia="zh-CN"/>
        </w:rPr>
        <w:t>2025年  月  日9</w:t>
      </w:r>
      <w:r>
        <w:rPr>
          <w:rFonts w:hint="eastAsia" w:ascii="宋体" w:hAnsi="宋体" w:eastAsia="宋体" w:cs="宋体"/>
          <w:b w:val="0"/>
          <w:bCs/>
          <w:color w:val="auto"/>
          <w:kern w:val="0"/>
          <w:sz w:val="22"/>
          <w:szCs w:val="21"/>
          <w:highlight w:val="none"/>
        </w:rPr>
        <w:t>点</w:t>
      </w:r>
      <w:r>
        <w:rPr>
          <w:rFonts w:hint="eastAsia" w:ascii="宋体" w:hAnsi="宋体" w:eastAsia="宋体" w:cs="宋体"/>
          <w:b w:val="0"/>
          <w:bCs/>
          <w:color w:val="auto"/>
          <w:kern w:val="0"/>
          <w:sz w:val="22"/>
          <w:szCs w:val="21"/>
          <w:highlight w:val="none"/>
          <w:lang w:val="en-US" w:eastAsia="zh-CN"/>
        </w:rPr>
        <w:t>30</w:t>
      </w:r>
      <w:r>
        <w:rPr>
          <w:rFonts w:hint="eastAsia" w:ascii="宋体" w:hAnsi="宋体" w:eastAsia="宋体" w:cs="宋体"/>
          <w:b w:val="0"/>
          <w:bCs/>
          <w:color w:val="auto"/>
          <w:kern w:val="0"/>
          <w:sz w:val="22"/>
          <w:szCs w:val="21"/>
          <w:highlight w:val="none"/>
        </w:rPr>
        <w:t>分</w:t>
      </w:r>
      <w:r>
        <w:rPr>
          <w:rFonts w:hint="eastAsia" w:ascii="宋体" w:hAnsi="宋体" w:eastAsia="宋体" w:cs="宋体"/>
          <w:b w:val="0"/>
          <w:bCs/>
          <w:color w:val="auto"/>
          <w:kern w:val="0"/>
          <w:sz w:val="22"/>
          <w:szCs w:val="21"/>
          <w:highlight w:val="none"/>
          <w:lang w:val="en-US" w:eastAsia="zh-CN"/>
        </w:rPr>
        <w:t>00</w:t>
      </w:r>
      <w:r>
        <w:rPr>
          <w:rFonts w:hint="eastAsia" w:ascii="宋体" w:hAnsi="宋体" w:eastAsia="宋体" w:cs="宋体"/>
          <w:b w:val="0"/>
          <w:bCs/>
          <w:color w:val="auto"/>
          <w:kern w:val="0"/>
          <w:sz w:val="22"/>
          <w:szCs w:val="21"/>
          <w:highlight w:val="none"/>
        </w:rPr>
        <w:t>秒（北京时间）</w:t>
      </w:r>
    </w:p>
    <w:p w14:paraId="5A193B7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2.地点（网址）：政采云平台（https://www.zcygov.cn/） </w:t>
      </w:r>
    </w:p>
    <w:p w14:paraId="2C22AD29">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五、响应文件开启</w:t>
      </w:r>
    </w:p>
    <w:p w14:paraId="22123B84">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1.开启时间：</w:t>
      </w:r>
      <w:r>
        <w:rPr>
          <w:rFonts w:hint="eastAsia" w:ascii="宋体" w:hAnsi="宋体" w:eastAsia="宋体" w:cs="宋体"/>
          <w:b w:val="0"/>
          <w:bCs/>
          <w:color w:val="auto"/>
          <w:kern w:val="0"/>
          <w:sz w:val="22"/>
          <w:szCs w:val="21"/>
          <w:highlight w:val="none"/>
          <w:lang w:val="en-US" w:eastAsia="zh-CN"/>
        </w:rPr>
        <w:t>2025年  月  日9</w:t>
      </w:r>
      <w:r>
        <w:rPr>
          <w:rFonts w:hint="eastAsia" w:ascii="宋体" w:hAnsi="宋体" w:eastAsia="宋体" w:cs="宋体"/>
          <w:b w:val="0"/>
          <w:bCs/>
          <w:color w:val="auto"/>
          <w:kern w:val="0"/>
          <w:sz w:val="22"/>
          <w:szCs w:val="21"/>
          <w:highlight w:val="none"/>
        </w:rPr>
        <w:t>点</w:t>
      </w:r>
      <w:r>
        <w:rPr>
          <w:rFonts w:hint="eastAsia" w:ascii="宋体" w:hAnsi="宋体" w:eastAsia="宋体" w:cs="宋体"/>
          <w:b w:val="0"/>
          <w:bCs/>
          <w:color w:val="auto"/>
          <w:kern w:val="0"/>
          <w:sz w:val="22"/>
          <w:szCs w:val="21"/>
          <w:highlight w:val="none"/>
          <w:lang w:val="en-US" w:eastAsia="zh-CN"/>
        </w:rPr>
        <w:t>30</w:t>
      </w:r>
      <w:r>
        <w:rPr>
          <w:rFonts w:hint="eastAsia" w:ascii="宋体" w:hAnsi="宋体" w:eastAsia="宋体" w:cs="宋体"/>
          <w:b w:val="0"/>
          <w:bCs/>
          <w:color w:val="auto"/>
          <w:kern w:val="0"/>
          <w:sz w:val="22"/>
          <w:szCs w:val="21"/>
          <w:highlight w:val="none"/>
        </w:rPr>
        <w:t>分</w:t>
      </w:r>
      <w:r>
        <w:rPr>
          <w:rFonts w:hint="eastAsia" w:ascii="宋体" w:hAnsi="宋体" w:eastAsia="宋体" w:cs="宋体"/>
          <w:b w:val="0"/>
          <w:bCs/>
          <w:color w:val="auto"/>
          <w:kern w:val="0"/>
          <w:sz w:val="22"/>
          <w:szCs w:val="21"/>
          <w:highlight w:val="none"/>
          <w:lang w:val="en-US" w:eastAsia="zh-CN"/>
        </w:rPr>
        <w:t>00</w:t>
      </w:r>
      <w:r>
        <w:rPr>
          <w:rFonts w:hint="eastAsia" w:ascii="宋体" w:hAnsi="宋体" w:eastAsia="宋体" w:cs="宋体"/>
          <w:b w:val="0"/>
          <w:bCs/>
          <w:color w:val="auto"/>
          <w:kern w:val="0"/>
          <w:sz w:val="22"/>
          <w:szCs w:val="21"/>
          <w:highlight w:val="none"/>
        </w:rPr>
        <w:t>秒（北京时间）</w:t>
      </w:r>
    </w:p>
    <w:p w14:paraId="033679EB">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2.地点（网址）：政采云平台（https://www.zcygov.cn/） </w:t>
      </w:r>
    </w:p>
    <w:p w14:paraId="098F292B">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六、公告期限 </w:t>
      </w:r>
    </w:p>
    <w:p w14:paraId="01B4AD2E">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自本公告发布之日起3个工作日。</w:t>
      </w:r>
    </w:p>
    <w:p w14:paraId="71292477">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七、其他补充事宜</w:t>
      </w:r>
    </w:p>
    <w:p w14:paraId="62317F57">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rPr>
        <w:t> </w:t>
      </w:r>
      <w:r>
        <w:rPr>
          <w:rFonts w:hint="eastAsia" w:ascii="宋体" w:hAnsi="宋体" w:eastAsia="宋体" w:cs="宋体"/>
          <w:b w:val="0"/>
          <w:bCs/>
          <w:color w:val="auto"/>
          <w:kern w:val="0"/>
          <w:sz w:val="22"/>
          <w:szCs w:val="21"/>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982307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CB6184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en-US" w:eastAsia="zh-CN"/>
        </w:rPr>
        <w:t>3</w:t>
      </w:r>
      <w:r>
        <w:rPr>
          <w:rFonts w:hint="eastAsia" w:ascii="宋体" w:hAnsi="宋体" w:eastAsia="宋体" w:cs="宋体"/>
          <w:b w:val="0"/>
          <w:bCs/>
          <w:color w:val="auto"/>
          <w:kern w:val="0"/>
          <w:sz w:val="22"/>
          <w:szCs w:val="21"/>
          <w:highlight w:val="none"/>
        </w:rPr>
        <w:t>.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ascii="宋体" w:hAnsi="宋体" w:eastAsia="宋体" w:cs="宋体"/>
          <w:b w:val="0"/>
          <w:bCs/>
          <w:color w:val="auto"/>
          <w:kern w:val="0"/>
          <w:sz w:val="22"/>
          <w:szCs w:val="21"/>
          <w:highlight w:val="none"/>
          <w:lang w:eastAsia="zh-CN"/>
        </w:rPr>
        <w:t>采购代理机构</w:t>
      </w:r>
      <w:r>
        <w:rPr>
          <w:rFonts w:hint="eastAsia" w:ascii="宋体" w:hAnsi="宋体" w:eastAsia="宋体" w:cs="宋体"/>
          <w:b w:val="0"/>
          <w:bCs/>
          <w:color w:val="auto"/>
          <w:kern w:val="0"/>
          <w:sz w:val="22"/>
          <w:szCs w:val="21"/>
          <w:highlight w:val="none"/>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3）询价通知书公告期限与本公告期限一致。</w:t>
      </w:r>
    </w:p>
    <w:p w14:paraId="327E1248">
      <w:pPr>
        <w:widowControl/>
        <w:spacing w:line="460" w:lineRule="atLeast"/>
        <w:jc w:val="left"/>
        <w:rPr>
          <w:rFonts w:hint="eastAsia" w:ascii="宋体" w:hAnsi="宋体" w:eastAsia="宋体" w:cs="Times New Roman"/>
          <w:b/>
          <w:bCs/>
          <w:color w:val="auto"/>
          <w:kern w:val="0"/>
          <w:sz w:val="22"/>
          <w:szCs w:val="22"/>
          <w:highlight w:val="none"/>
        </w:rPr>
      </w:pPr>
      <w:r>
        <w:rPr>
          <w:rFonts w:hint="eastAsia" w:ascii="宋体" w:hAnsi="宋体" w:eastAsia="宋体" w:cs="Times New Roman"/>
          <w:b/>
          <w:bCs/>
          <w:color w:val="auto"/>
          <w:kern w:val="0"/>
          <w:sz w:val="22"/>
          <w:szCs w:val="22"/>
          <w:highlight w:val="none"/>
        </w:rPr>
        <w:t>九、对本次采购提出询问、质疑、投诉，请按以下方式联系</w:t>
      </w:r>
    </w:p>
    <w:p w14:paraId="51F56A8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1.采购人</w:t>
      </w:r>
      <w:r>
        <w:rPr>
          <w:rFonts w:hint="eastAsia" w:ascii="宋体" w:hAnsi="宋体" w:eastAsia="宋体" w:cs="宋体"/>
          <w:b w:val="0"/>
          <w:bCs/>
          <w:color w:val="auto"/>
          <w:kern w:val="0"/>
          <w:sz w:val="22"/>
          <w:szCs w:val="21"/>
          <w:highlight w:val="none"/>
          <w:lang w:val="en-US" w:eastAsia="zh-CN"/>
        </w:rPr>
        <w:t>1</w:t>
      </w:r>
      <w:r>
        <w:rPr>
          <w:rFonts w:hint="eastAsia" w:ascii="宋体" w:hAnsi="宋体" w:eastAsia="宋体" w:cs="宋体"/>
          <w:b w:val="0"/>
          <w:bCs/>
          <w:color w:val="auto"/>
          <w:kern w:val="0"/>
          <w:sz w:val="22"/>
          <w:szCs w:val="21"/>
          <w:highlight w:val="none"/>
        </w:rPr>
        <w:t>信息</w:t>
      </w:r>
    </w:p>
    <w:p w14:paraId="355D42E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名    称：永嘉县瓯北第二小学</w:t>
      </w:r>
    </w:p>
    <w:p w14:paraId="2665CE5A">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地</w:t>
      </w:r>
      <w:r>
        <w:rPr>
          <w:rFonts w:hint="eastAsia" w:ascii="宋体" w:eastAsia="宋体" w:cs="宋体"/>
          <w:b w:val="0"/>
          <w:color w:val="auto"/>
          <w:sz w:val="22"/>
          <w:highlight w:val="none"/>
          <w:lang w:eastAsia="zh-CN"/>
        </w:rPr>
        <w:t xml:space="preserve">    址：</w:t>
      </w:r>
      <w:r>
        <w:rPr>
          <w:rFonts w:hint="eastAsia" w:ascii="宋体" w:hAnsi="宋体" w:eastAsia="宋体" w:cs="Times New Roman"/>
          <w:b w:val="0"/>
          <w:bCs/>
          <w:color w:val="auto"/>
          <w:sz w:val="22"/>
          <w:highlight w:val="none"/>
          <w:lang w:val="en-US" w:eastAsia="zh-CN"/>
        </w:rPr>
        <w:t>浙江省温州市永嘉县罗浦东路与罗浦西路交叉路口往东约50米</w:t>
      </w:r>
    </w:p>
    <w:p w14:paraId="2AA50A98">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项目联系人（询问）：</w:t>
      </w:r>
      <w:bookmarkStart w:id="552" w:name="_GoBack"/>
      <w:r>
        <w:rPr>
          <w:rFonts w:hint="eastAsia" w:ascii="宋体" w:hAnsi="宋体" w:eastAsia="宋体" w:cs="Times New Roman"/>
          <w:b w:val="0"/>
          <w:bCs/>
          <w:color w:val="auto"/>
          <w:sz w:val="22"/>
          <w:highlight w:val="none"/>
          <w:lang w:val="en-US" w:eastAsia="zh-CN"/>
        </w:rPr>
        <w:t>潘老师</w:t>
      </w:r>
      <w:bookmarkEnd w:id="552"/>
    </w:p>
    <w:p w14:paraId="546E5173">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项目联系方式（询问）：</w:t>
      </w:r>
      <w:r>
        <w:rPr>
          <w:rFonts w:hint="eastAsia" w:ascii="宋体" w:eastAsia="宋体"/>
          <w:b w:val="0"/>
          <w:color w:val="auto"/>
          <w:sz w:val="22"/>
          <w:highlight w:val="none"/>
          <w:lang w:eastAsia="zh-CN"/>
        </w:rPr>
        <w:t xml:space="preserve">13868645675 </w:t>
      </w:r>
    </w:p>
    <w:p w14:paraId="3A8126EF">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lang w:val="en-US" w:eastAsia="zh-CN"/>
        </w:rPr>
        <w:t>质</w:t>
      </w:r>
      <w:r>
        <w:rPr>
          <w:rFonts w:hint="eastAsia" w:ascii="宋体" w:hAnsi="宋体" w:eastAsia="宋体" w:cs="Times New Roman"/>
          <w:b w:val="0"/>
          <w:bCs/>
          <w:color w:val="auto"/>
          <w:sz w:val="22"/>
          <w:highlight w:val="none"/>
        </w:rPr>
        <w:t>疑联系人：</w:t>
      </w:r>
      <w:r>
        <w:rPr>
          <w:rFonts w:hint="eastAsia" w:ascii="宋体" w:hAnsi="宋体" w:eastAsia="宋体" w:cs="Times New Roman"/>
          <w:b w:val="0"/>
          <w:bCs/>
          <w:color w:val="auto"/>
          <w:sz w:val="22"/>
          <w:highlight w:val="none"/>
          <w:lang w:val="en-US" w:eastAsia="zh-CN"/>
        </w:rPr>
        <w:t>潘老师</w:t>
      </w:r>
    </w:p>
    <w:p w14:paraId="051CC3C2">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质疑联系方式：</w:t>
      </w:r>
      <w:r>
        <w:rPr>
          <w:rFonts w:hint="eastAsia" w:ascii="宋体" w:eastAsia="宋体"/>
          <w:b w:val="0"/>
          <w:color w:val="auto"/>
          <w:sz w:val="22"/>
          <w:highlight w:val="none"/>
          <w:lang w:eastAsia="zh-CN"/>
        </w:rPr>
        <w:t xml:space="preserve">13868645675 </w:t>
      </w:r>
    </w:p>
    <w:p w14:paraId="640DA44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2.采购代理机构信息</w:t>
      </w:r>
    </w:p>
    <w:p w14:paraId="11B60A4E">
      <w:pPr>
        <w:widowControl/>
        <w:spacing w:line="460" w:lineRule="atLeast"/>
        <w:ind w:firstLine="440" w:firstLineChars="20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温州凯恒招标代理有限公司</w:t>
      </w:r>
      <w:r>
        <w:rPr>
          <w:rFonts w:ascii="宋体" w:eastAsia="宋体" w:cs="Times New Roman"/>
          <w:b w:val="0"/>
          <w:color w:val="auto"/>
          <w:sz w:val="22"/>
          <w:szCs w:val="22"/>
          <w:highlight w:val="none"/>
        </w:rPr>
        <w:t> </w:t>
      </w:r>
    </w:p>
    <w:p w14:paraId="1105A00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地址：</w:t>
      </w:r>
      <w:r>
        <w:rPr>
          <w:rFonts w:hint="eastAsia" w:ascii="宋体" w:eastAsia="宋体"/>
          <w:b w:val="0"/>
          <w:color w:val="auto"/>
          <w:sz w:val="22"/>
          <w:szCs w:val="22"/>
          <w:highlight w:val="none"/>
          <w:lang w:eastAsia="zh-CN"/>
        </w:rPr>
        <w:t>永嘉县南城街道县前西路律师楼202室（永嘉县人民法院西北门正对面银弟烟酒楼上）</w:t>
      </w:r>
    </w:p>
    <w:p w14:paraId="4103D47B">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金先生</w:t>
      </w:r>
    </w:p>
    <w:p w14:paraId="0B6155E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项目联系方式（询问）：</w:t>
      </w:r>
      <w:r>
        <w:rPr>
          <w:rFonts w:hint="eastAsia" w:ascii="宋体" w:eastAsia="宋体"/>
          <w:b w:val="0"/>
          <w:color w:val="auto"/>
          <w:sz w:val="22"/>
          <w:highlight w:val="none"/>
          <w:lang w:eastAsia="zh-CN"/>
        </w:rPr>
        <w:t>13968998619</w:t>
      </w:r>
    </w:p>
    <w:p w14:paraId="4438503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质疑联系人：</w:t>
      </w:r>
      <w:r>
        <w:rPr>
          <w:rFonts w:hint="eastAsia" w:ascii="宋体" w:eastAsia="宋体"/>
          <w:b w:val="0"/>
          <w:color w:val="auto"/>
          <w:sz w:val="22"/>
          <w:highlight w:val="none"/>
          <w:lang w:eastAsia="zh-CN"/>
        </w:rPr>
        <w:t>张先生</w:t>
      </w:r>
    </w:p>
    <w:p w14:paraId="221E5D8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质疑联系方式：</w:t>
      </w:r>
      <w:r>
        <w:rPr>
          <w:rFonts w:hint="eastAsia" w:ascii="宋体" w:eastAsia="宋体"/>
          <w:b w:val="0"/>
          <w:bCs w:val="0"/>
          <w:color w:val="auto"/>
          <w:sz w:val="22"/>
          <w:szCs w:val="22"/>
          <w:highlight w:val="none"/>
          <w:lang w:eastAsia="zh-CN"/>
        </w:rPr>
        <w:t>18968966500</w:t>
      </w:r>
    </w:p>
    <w:p w14:paraId="1F7A3748">
      <w:pPr>
        <w:widowControl/>
        <w:spacing w:line="460" w:lineRule="atLeast"/>
        <w:ind w:firstLine="440" w:firstLineChars="200"/>
        <w:jc w:val="left"/>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3.同级政府采购监督管理部门</w:t>
      </w:r>
    </w:p>
    <w:p w14:paraId="6F94F406">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名称：永嘉县财政局（浙江省政府采购行政裁决服务中心（温州））</w:t>
      </w:r>
    </w:p>
    <w:p w14:paraId="14067CFF">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地址：温州市鹿城区滨江街道瓯江路展银大厦1606室</w:t>
      </w:r>
    </w:p>
    <w:p w14:paraId="62523BB8">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传真：</w:t>
      </w:r>
    </w:p>
    <w:p w14:paraId="5F5D05FB">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联系人：李老师、王老师</w:t>
      </w:r>
    </w:p>
    <w:p w14:paraId="3EABBF6F">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监督投诉电话：0577-85501561，0577-85501562</w:t>
      </w:r>
    </w:p>
    <w:p w14:paraId="292C02AE">
      <w:pPr>
        <w:widowControl/>
        <w:spacing w:line="460" w:lineRule="atLeast"/>
        <w:ind w:firstLine="440" w:firstLineChars="200"/>
        <w:jc w:val="left"/>
        <w:rPr>
          <w:rFonts w:hint="eastAsia" w:ascii="宋体" w:eastAsia="宋体" w:cs="Times New Roman"/>
          <w:color w:val="auto"/>
          <w:sz w:val="22"/>
          <w:szCs w:val="22"/>
          <w:highlight w:val="none"/>
        </w:rPr>
      </w:pPr>
    </w:p>
    <w:p w14:paraId="2E8F6CEA">
      <w:pPr>
        <w:widowControl/>
        <w:spacing w:line="460" w:lineRule="atLeast"/>
        <w:ind w:firstLine="440" w:firstLineChars="200"/>
        <w:jc w:val="left"/>
        <w:rPr>
          <w:rFonts w:cs="仿宋" w:asciiTheme="minorEastAsia" w:hAnsiTheme="minorEastAsia"/>
          <w:color w:val="auto"/>
          <w:sz w:val="24"/>
          <w:highlight w:val="none"/>
        </w:rPr>
        <w:sectPr>
          <w:footerReference r:id="rId9" w:type="default"/>
          <w:pgSz w:w="11906" w:h="16838"/>
          <w:pgMar w:top="1502"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eastAsia="宋体" w:cs="Times New Roman"/>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r>
        <w:rPr>
          <w:rFonts w:ascii="宋体" w:eastAsia="宋体" w:cs="Times New Roman"/>
          <w:color w:val="auto"/>
          <w:sz w:val="22"/>
          <w:szCs w:val="22"/>
          <w:highlight w:val="none"/>
        </w:rPr>
        <w:t>C</w:t>
      </w:r>
      <w:r>
        <w:rPr>
          <w:rFonts w:hint="eastAsia" w:ascii="宋体" w:eastAsia="宋体" w:cs="Times New Roman"/>
          <w:color w:val="auto"/>
          <w:sz w:val="22"/>
          <w:szCs w:val="22"/>
          <w:highlight w:val="none"/>
        </w:rPr>
        <w:t>A问题联系电话（人工）：汇信CA 400-888-4636；天谷CA 400-087-8198。</w:t>
      </w:r>
    </w:p>
    <w:p w14:paraId="6C734C39">
      <w:pP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00E4FE24">
      <w:pP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25"/>
        <w:tblW w:w="10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14:paraId="288BF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A787E60">
            <w:pPr>
              <w:keepNext w:val="0"/>
              <w:keepLines w:val="0"/>
              <w:pageBreakBefore w:val="0"/>
              <w:widowControl w:val="0"/>
              <w:kinsoku/>
              <w:wordWrap/>
              <w:overflowPunct/>
              <w:topLinePunct w:val="0"/>
              <w:autoSpaceDE/>
              <w:autoSpaceDN/>
              <w:bidi w:val="0"/>
              <w:adjustRightInd/>
              <w:snapToGrid/>
              <w:spacing w:line="240" w:lineRule="auto"/>
              <w:ind w:right="329"/>
              <w:jc w:val="right"/>
              <w:textAlignment w:val="auto"/>
              <w:rPr>
                <w:rFonts w:ascii="宋体" w:eastAsia="宋体" w:cs="Arial"/>
                <w:b w:val="0"/>
                <w:color w:val="auto"/>
                <w:sz w:val="22"/>
                <w:szCs w:val="22"/>
                <w:highlight w:val="none"/>
              </w:rPr>
            </w:pPr>
            <w:r>
              <w:rPr>
                <w:rFonts w:hint="eastAsia" w:ascii="宋体" w:eastAsia="宋体" w:cs="Arial"/>
                <w:b w:val="0"/>
                <w:color w:val="auto"/>
                <w:sz w:val="22"/>
                <w:szCs w:val="22"/>
                <w:highlight w:val="none"/>
              </w:rPr>
              <w:t>项号</w:t>
            </w:r>
          </w:p>
        </w:tc>
        <w:tc>
          <w:tcPr>
            <w:tcW w:w="2047" w:type="dxa"/>
            <w:noWrap w:val="0"/>
            <w:vAlign w:val="center"/>
          </w:tcPr>
          <w:p w14:paraId="3584D81B">
            <w:pPr>
              <w:spacing w:line="400" w:lineRule="atLeast"/>
              <w:rPr>
                <w:rFonts w:ascii="宋体" w:eastAsia="宋体" w:cs="Arial"/>
                <w:b w:val="0"/>
                <w:color w:val="auto"/>
                <w:sz w:val="22"/>
                <w:szCs w:val="22"/>
                <w:highlight w:val="none"/>
              </w:rPr>
            </w:pPr>
            <w:r>
              <w:rPr>
                <w:rFonts w:hint="eastAsia" w:ascii="宋体" w:eastAsia="宋体" w:cs="Arial"/>
                <w:b w:val="0"/>
                <w:color w:val="auto"/>
                <w:sz w:val="22"/>
                <w:szCs w:val="22"/>
                <w:highlight w:val="none"/>
              </w:rPr>
              <w:t>内容</w:t>
            </w:r>
          </w:p>
        </w:tc>
        <w:tc>
          <w:tcPr>
            <w:tcW w:w="7957" w:type="dxa"/>
            <w:noWrap w:val="0"/>
            <w:vAlign w:val="center"/>
          </w:tcPr>
          <w:p w14:paraId="47B622F1">
            <w:pPr>
              <w:spacing w:line="400" w:lineRule="atLeast"/>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说明与要求</w:t>
            </w:r>
          </w:p>
        </w:tc>
      </w:tr>
      <w:tr w14:paraId="581DA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76B856E">
            <w:pPr>
              <w:widowControl/>
              <w:numPr>
                <w:ilvl w:val="0"/>
                <w:numId w:val="3"/>
                <w:numberingChange w:id="0" w:author="yu xufan" w:date="2019-10-30T12:00:00Z" w:original="%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0F6B4E6">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项目名称</w:t>
            </w:r>
          </w:p>
        </w:tc>
        <w:tc>
          <w:tcPr>
            <w:tcW w:w="7957" w:type="dxa"/>
            <w:noWrap w:val="0"/>
            <w:vAlign w:val="center"/>
          </w:tcPr>
          <w:p w14:paraId="5A3E0101">
            <w:pPr>
              <w:rPr>
                <w:rFonts w:hint="eastAsia" w:ascii="宋体" w:eastAsia="宋体"/>
                <w:b w:val="0"/>
                <w:color w:val="auto"/>
                <w:sz w:val="22"/>
                <w:szCs w:val="22"/>
                <w:highlight w:val="none"/>
                <w:lang w:eastAsia="zh-CN"/>
              </w:rPr>
            </w:pPr>
            <w:r>
              <w:rPr>
                <w:rFonts w:hint="eastAsia" w:ascii="宋体" w:hAnsi="宋体" w:eastAsia="宋体" w:cs="宋体"/>
                <w:b w:val="0"/>
                <w:bCs/>
                <w:color w:val="auto"/>
                <w:kern w:val="0"/>
                <w:sz w:val="22"/>
                <w:szCs w:val="21"/>
                <w:highlight w:val="none"/>
                <w:lang w:val="en-US" w:eastAsia="zh-CN"/>
              </w:rPr>
              <w:t>永嘉县瓯北第二小学音乐、美术专用教室设备</w:t>
            </w:r>
          </w:p>
        </w:tc>
      </w:tr>
      <w:tr w14:paraId="054D4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5737EDF">
            <w:pPr>
              <w:widowControl/>
              <w:numPr>
                <w:ilvl w:val="0"/>
                <w:numId w:val="3"/>
                <w:numberingChange w:id="1" w:author="yu xufan" w:date="2019-10-30T12:00:00Z" w:original="%1:2:0:."/>
              </w:numPr>
              <w:tabs>
                <w:tab w:val="left" w:pos="420"/>
                <w:tab w:val="clear" w:pos="720"/>
              </w:tabs>
              <w:ind w:left="420"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3C2B6DA0">
            <w:pP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7957" w:type="dxa"/>
            <w:noWrap w:val="0"/>
            <w:vAlign w:val="center"/>
          </w:tcPr>
          <w:p w14:paraId="770C7497">
            <w:pPr>
              <w:rPr>
                <w:rFonts w:hint="eastAsia" w:ascii="宋体" w:eastAsia="宋体"/>
                <w:b w:val="0"/>
                <w:color w:val="auto"/>
                <w:sz w:val="22"/>
                <w:szCs w:val="22"/>
                <w:highlight w:val="none"/>
              </w:rPr>
            </w:pPr>
            <w:r>
              <w:rPr>
                <w:rFonts w:hint="eastAsia" w:ascii="宋体" w:hAnsi="宋体" w:eastAsia="宋体" w:cs="宋体"/>
                <w:b w:val="0"/>
                <w:bCs/>
                <w:color w:val="auto"/>
                <w:kern w:val="0"/>
                <w:sz w:val="22"/>
                <w:szCs w:val="21"/>
                <w:highlight w:val="none"/>
                <w:lang w:val="en-US" w:eastAsia="zh-CN"/>
              </w:rPr>
              <w:t>WZKH-2025-08005</w:t>
            </w:r>
          </w:p>
        </w:tc>
      </w:tr>
      <w:tr w14:paraId="5FCF6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A65EA68">
            <w:pPr>
              <w:widowControl/>
              <w:numPr>
                <w:ilvl w:val="0"/>
                <w:numId w:val="3"/>
                <w:numberingChange w:id="2" w:author="yu xufan" w:date="2019-10-30T12:00:00Z" w:original="%1:3: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CA7C2D4">
            <w:pPr>
              <w:rPr>
                <w:rFonts w:ascii="宋体" w:eastAsia="宋体" w:cs="Arial"/>
                <w:b w:val="0"/>
                <w:color w:val="auto"/>
                <w:sz w:val="22"/>
                <w:szCs w:val="22"/>
                <w:highlight w:val="none"/>
              </w:rPr>
            </w:pPr>
            <w:r>
              <w:rPr>
                <w:rFonts w:hint="eastAsia" w:ascii="宋体" w:eastAsia="宋体"/>
                <w:b w:val="0"/>
                <w:color w:val="auto"/>
                <w:sz w:val="22"/>
                <w:szCs w:val="22"/>
                <w:highlight w:val="none"/>
              </w:rPr>
              <w:t>资金来源</w:t>
            </w:r>
          </w:p>
        </w:tc>
        <w:tc>
          <w:tcPr>
            <w:tcW w:w="7957" w:type="dxa"/>
            <w:noWrap w:val="0"/>
            <w:vAlign w:val="center"/>
          </w:tcPr>
          <w:p w14:paraId="200403AB">
            <w:pPr>
              <w:rPr>
                <w:rFonts w:hint="eastAsia" w:ascii="宋体" w:eastAsia="宋体"/>
                <w:b w:val="0"/>
                <w:color w:val="auto"/>
                <w:sz w:val="22"/>
                <w:szCs w:val="22"/>
                <w:highlight w:val="none"/>
              </w:rPr>
            </w:pPr>
            <w:r>
              <w:rPr>
                <w:rFonts w:hint="eastAsia" w:ascii="宋体" w:eastAsia="宋体"/>
                <w:b w:val="0"/>
                <w:color w:val="auto"/>
                <w:sz w:val="22"/>
                <w:szCs w:val="22"/>
                <w:highlight w:val="none"/>
              </w:rPr>
              <w:t>财政性资金</w:t>
            </w:r>
          </w:p>
        </w:tc>
      </w:tr>
      <w:tr w14:paraId="4555B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23690F">
            <w:pPr>
              <w:widowControl/>
              <w:numPr>
                <w:ilvl w:val="0"/>
                <w:numId w:val="3"/>
                <w:numberingChange w:id="3" w:author="yu xufan" w:date="2019-10-30T12:00:00Z" w:original="%1:4: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56860C5">
            <w:pP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7957" w:type="dxa"/>
            <w:noWrap w:val="0"/>
            <w:vAlign w:val="center"/>
          </w:tcPr>
          <w:p w14:paraId="1EAC629F">
            <w:pPr>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询价采购</w:t>
            </w:r>
          </w:p>
        </w:tc>
      </w:tr>
      <w:tr w14:paraId="544D7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32D23FA">
            <w:pPr>
              <w:widowControl/>
              <w:numPr>
                <w:ilvl w:val="0"/>
                <w:numId w:val="3"/>
                <w:numberingChange w:id="4" w:author="yu xufan" w:date="2019-10-30T12:00:00Z" w:original="%1:5: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9D410AA">
            <w:pPr>
              <w:rPr>
                <w:rFonts w:ascii="宋体" w:eastAsia="宋体"/>
                <w:b w:val="0"/>
                <w:color w:val="auto"/>
                <w:sz w:val="22"/>
                <w:szCs w:val="22"/>
                <w:highlight w:val="none"/>
              </w:rPr>
            </w:pPr>
            <w:r>
              <w:rPr>
                <w:rFonts w:hint="eastAsia" w:ascii="宋体" w:eastAsia="宋体"/>
                <w:b w:val="0"/>
                <w:color w:val="auto"/>
                <w:sz w:val="22"/>
                <w:szCs w:val="22"/>
                <w:highlight w:val="none"/>
              </w:rPr>
              <w:t>采购预算（最高限价）</w:t>
            </w:r>
          </w:p>
        </w:tc>
        <w:tc>
          <w:tcPr>
            <w:tcW w:w="7957" w:type="dxa"/>
            <w:noWrap w:val="0"/>
            <w:vAlign w:val="center"/>
          </w:tcPr>
          <w:p w14:paraId="63F8FFD1">
            <w:pPr>
              <w:rPr>
                <w:rFonts w:ascii="宋体" w:eastAsia="宋体"/>
                <w:b w:val="0"/>
                <w:color w:val="auto"/>
                <w:sz w:val="22"/>
                <w:szCs w:val="22"/>
                <w:highlight w:val="none"/>
              </w:rPr>
            </w:pPr>
            <w:r>
              <w:rPr>
                <w:rFonts w:hint="eastAsia" w:ascii="宋体" w:eastAsia="宋体" w:cs="Arial"/>
                <w:b w:val="0"/>
                <w:color w:val="auto"/>
                <w:sz w:val="22"/>
                <w:szCs w:val="22"/>
                <w:highlight w:val="none"/>
              </w:rPr>
              <w:t>见采购公告</w:t>
            </w:r>
          </w:p>
        </w:tc>
      </w:tr>
      <w:tr w14:paraId="0AC9B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A52E5AE">
            <w:pPr>
              <w:widowControl/>
              <w:numPr>
                <w:ilvl w:val="0"/>
                <w:numId w:val="3"/>
                <w:numberingChange w:id="5" w:author="yu xufan" w:date="2019-10-30T12:00:00Z" w:original="%1:6: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BB5768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7957" w:type="dxa"/>
            <w:noWrap w:val="0"/>
            <w:vAlign w:val="center"/>
          </w:tcPr>
          <w:p w14:paraId="0599D96F">
            <w:pPr>
              <w:adjustRightInd w:val="0"/>
              <w:rPr>
                <w:rFonts w:hint="eastAsia" w:ascii="宋体" w:eastAsia="宋体"/>
                <w:b w:val="0"/>
                <w:color w:val="auto"/>
                <w:sz w:val="22"/>
                <w:szCs w:val="22"/>
                <w:highlight w:val="none"/>
                <w:lang w:eastAsia="zh-CN"/>
              </w:rPr>
            </w:pPr>
            <w:r>
              <w:rPr>
                <w:rFonts w:hint="eastAsia" w:ascii="宋体" w:hAnsi="宋体" w:eastAsia="宋体" w:cs="宋体"/>
                <w:b w:val="0"/>
                <w:bCs/>
                <w:color w:val="auto"/>
                <w:kern w:val="0"/>
                <w:sz w:val="22"/>
                <w:szCs w:val="21"/>
                <w:highlight w:val="none"/>
                <w:lang w:val="en-US" w:eastAsia="zh-CN"/>
              </w:rPr>
              <w:t>永嘉县瓯北第二小学</w:t>
            </w:r>
          </w:p>
        </w:tc>
      </w:tr>
      <w:tr w14:paraId="56D19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9198311">
            <w:pPr>
              <w:widowControl/>
              <w:numPr>
                <w:ilvl w:val="0"/>
                <w:numId w:val="3"/>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7A00B84B">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7957" w:type="dxa"/>
            <w:noWrap w:val="0"/>
            <w:vAlign w:val="center"/>
          </w:tcPr>
          <w:p w14:paraId="0C403C45">
            <w:pPr>
              <w:adjustRightInd w:val="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温州凯恒招标代理有限公司</w:t>
            </w:r>
            <w:r>
              <w:rPr>
                <w:rFonts w:ascii="宋体" w:eastAsia="宋体" w:cs="Times New Roman"/>
                <w:b w:val="0"/>
                <w:color w:val="auto"/>
                <w:sz w:val="22"/>
                <w:szCs w:val="22"/>
                <w:highlight w:val="none"/>
              </w:rPr>
              <w:t> </w:t>
            </w:r>
          </w:p>
          <w:p w14:paraId="73666AB7">
            <w:pPr>
              <w:adjustRightInd w:val="0"/>
              <w:jc w:val="left"/>
              <w:rPr>
                <w:rFonts w:hint="eastAsia" w:ascii="宋体" w:eastAsia="宋体"/>
                <w:b w:val="0"/>
                <w:color w:val="auto"/>
                <w:sz w:val="22"/>
                <w:highlight w:val="none"/>
                <w:lang w:eastAsia="zh-CN"/>
              </w:rPr>
            </w:pPr>
            <w:r>
              <w:rPr>
                <w:rFonts w:hint="eastAsia" w:ascii="宋体" w:eastAsia="宋体"/>
                <w:b w:val="0"/>
                <w:color w:val="auto"/>
                <w:sz w:val="22"/>
                <w:highlight w:val="none"/>
              </w:rPr>
              <w:t>地址：</w:t>
            </w:r>
            <w:r>
              <w:rPr>
                <w:rFonts w:hint="eastAsia" w:ascii="宋体" w:eastAsia="宋体"/>
                <w:b w:val="0"/>
                <w:color w:val="auto"/>
                <w:sz w:val="22"/>
                <w:szCs w:val="22"/>
                <w:highlight w:val="none"/>
                <w:lang w:eastAsia="zh-CN"/>
              </w:rPr>
              <w:t>永嘉县南城街道县前西路律师楼202室（永嘉县人民法院西北门正对面银弟烟酒楼上）</w:t>
            </w:r>
          </w:p>
          <w:p w14:paraId="07C443D4">
            <w:pPr>
              <w:adjustRightInd w:val="0"/>
              <w:jc w:val="left"/>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金先生</w:t>
            </w:r>
          </w:p>
          <w:p w14:paraId="5FF58027">
            <w:pPr>
              <w:adjustRightInd w:val="0"/>
              <w:jc w:val="left"/>
              <w:rPr>
                <w:rFonts w:hint="eastAsia" w:ascii="宋体" w:eastAsia="宋体"/>
                <w:b w:val="0"/>
                <w:color w:val="auto"/>
                <w:sz w:val="22"/>
                <w:highlight w:val="none"/>
                <w:lang w:val="en-US" w:eastAsia="zh-CN"/>
              </w:rPr>
            </w:pPr>
            <w:r>
              <w:rPr>
                <w:rFonts w:hint="eastAsia" w:ascii="宋体" w:eastAsia="宋体"/>
                <w:b w:val="0"/>
                <w:color w:val="auto"/>
                <w:sz w:val="22"/>
                <w:highlight w:val="none"/>
              </w:rPr>
              <w:t>项目联系方式（询问）：</w:t>
            </w:r>
            <w:r>
              <w:rPr>
                <w:rFonts w:hint="eastAsia" w:ascii="宋体" w:eastAsia="宋体"/>
                <w:b w:val="0"/>
                <w:color w:val="auto"/>
                <w:sz w:val="22"/>
                <w:highlight w:val="none"/>
                <w:lang w:eastAsia="zh-CN"/>
              </w:rPr>
              <w:t>13968998619</w:t>
            </w:r>
          </w:p>
          <w:p w14:paraId="5797E717">
            <w:pPr>
              <w:adjustRightInd w:val="0"/>
              <w:jc w:val="left"/>
              <w:rPr>
                <w:rFonts w:hint="eastAsia" w:ascii="宋体" w:eastAsia="宋体"/>
                <w:b w:val="0"/>
                <w:color w:val="auto"/>
                <w:sz w:val="22"/>
                <w:highlight w:val="none"/>
                <w:lang w:eastAsia="zh-CN"/>
              </w:rPr>
            </w:pPr>
            <w:r>
              <w:rPr>
                <w:rFonts w:hint="eastAsia" w:ascii="宋体" w:eastAsia="宋体"/>
                <w:b w:val="0"/>
                <w:color w:val="auto"/>
                <w:sz w:val="22"/>
                <w:highlight w:val="none"/>
              </w:rPr>
              <w:t>质疑联系人：</w:t>
            </w:r>
            <w:r>
              <w:rPr>
                <w:rFonts w:hint="eastAsia" w:ascii="宋体" w:eastAsia="宋体"/>
                <w:b w:val="0"/>
                <w:color w:val="auto"/>
                <w:sz w:val="22"/>
                <w:highlight w:val="none"/>
                <w:lang w:eastAsia="zh-CN"/>
              </w:rPr>
              <w:t>张先生</w:t>
            </w:r>
          </w:p>
          <w:p w14:paraId="401415C3">
            <w:pPr>
              <w:adjustRightInd w:val="0"/>
              <w:jc w:val="left"/>
              <w:rPr>
                <w:rFonts w:hint="eastAsia" w:ascii="宋体" w:eastAsia="宋体"/>
                <w:b w:val="0"/>
                <w:color w:val="auto"/>
                <w:sz w:val="22"/>
                <w:szCs w:val="22"/>
                <w:highlight w:val="none"/>
                <w:lang w:eastAsia="zh-CN"/>
              </w:rPr>
            </w:pPr>
            <w:r>
              <w:rPr>
                <w:rFonts w:hint="eastAsia" w:ascii="宋体" w:eastAsia="宋体"/>
                <w:b w:val="0"/>
                <w:color w:val="auto"/>
                <w:sz w:val="22"/>
                <w:highlight w:val="none"/>
              </w:rPr>
              <w:t>质疑联系方式：</w:t>
            </w:r>
            <w:r>
              <w:rPr>
                <w:rFonts w:hint="eastAsia" w:ascii="宋体" w:eastAsia="宋体"/>
                <w:b w:val="0"/>
                <w:bCs w:val="0"/>
                <w:color w:val="auto"/>
                <w:sz w:val="22"/>
                <w:szCs w:val="22"/>
                <w:highlight w:val="none"/>
                <w:lang w:eastAsia="zh-CN"/>
              </w:rPr>
              <w:t>18968966500</w:t>
            </w:r>
          </w:p>
        </w:tc>
      </w:tr>
      <w:tr w14:paraId="153C5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425742B">
            <w:pPr>
              <w:widowControl/>
              <w:numPr>
                <w:ilvl w:val="0"/>
                <w:numId w:val="3"/>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highlight w:val="none"/>
              </w:rPr>
            </w:pPr>
          </w:p>
        </w:tc>
        <w:tc>
          <w:tcPr>
            <w:tcW w:w="2047" w:type="dxa"/>
            <w:noWrap w:val="0"/>
            <w:vAlign w:val="center"/>
          </w:tcPr>
          <w:p w14:paraId="29E9DA05">
            <w:pPr>
              <w:adjustRightInd w:val="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7957" w:type="dxa"/>
            <w:noWrap w:val="0"/>
            <w:vAlign w:val="center"/>
          </w:tcPr>
          <w:p w14:paraId="16661C1B">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3DEED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7F34397">
            <w:pPr>
              <w:widowControl/>
              <w:numPr>
                <w:ilvl w:val="0"/>
                <w:numId w:val="3"/>
                <w:numberingChange w:id="8" w:author="yu xufan" w:date="2019-10-30T12:00:00Z" w:original="%1:9: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2D23931">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招标内容</w:t>
            </w:r>
          </w:p>
        </w:tc>
        <w:tc>
          <w:tcPr>
            <w:tcW w:w="7957" w:type="dxa"/>
            <w:noWrap w:val="0"/>
            <w:vAlign w:val="center"/>
          </w:tcPr>
          <w:p w14:paraId="6407CD2B">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w:t>
            </w:r>
            <w:r>
              <w:rPr>
                <w:rFonts w:hint="eastAsia" w:ascii="宋体" w:eastAsia="宋体"/>
                <w:b w:val="0"/>
                <w:color w:val="auto"/>
                <w:sz w:val="22"/>
                <w:szCs w:val="22"/>
                <w:highlight w:val="none"/>
                <w:lang w:eastAsia="zh-CN"/>
              </w:rPr>
              <w:t>采购文件</w:t>
            </w:r>
            <w:r>
              <w:rPr>
                <w:rFonts w:hint="eastAsia" w:ascii="宋体" w:eastAsia="宋体"/>
                <w:b w:val="0"/>
                <w:color w:val="auto"/>
                <w:sz w:val="22"/>
                <w:szCs w:val="22"/>
                <w:highlight w:val="none"/>
              </w:rPr>
              <w:t>。</w:t>
            </w:r>
          </w:p>
        </w:tc>
      </w:tr>
      <w:tr w14:paraId="2939E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4C16A0D">
            <w:pPr>
              <w:widowControl/>
              <w:numPr>
                <w:ilvl w:val="0"/>
                <w:numId w:val="3"/>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989948C">
            <w:pPr>
              <w:jc w:val="left"/>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14:paraId="3E1804AB">
            <w:pPr>
              <w:jc w:val="left"/>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noWrap w:val="0"/>
            <w:vAlign w:val="center"/>
          </w:tcPr>
          <w:p w14:paraId="0009C07D">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9BC539">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2.落实政府采购政策需满足的资格要求：</w:t>
            </w:r>
            <w:sdt>
              <w:sdtPr>
                <w:rPr>
                  <w:rFonts w:hint="eastAsia" w:ascii="宋体" w:eastAsia="宋体"/>
                  <w:b w:val="0"/>
                  <w:color w:val="auto"/>
                  <w:sz w:val="22"/>
                  <w:highlight w:val="none"/>
                </w:rPr>
                <w:id w:val="147465340"/>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r>
              <w:rPr>
                <w:rFonts w:hint="eastAsia" w:ascii="宋体" w:eastAsia="宋体"/>
                <w:b w:val="0"/>
                <w:color w:val="auto"/>
                <w:sz w:val="22"/>
                <w:highlight w:val="none"/>
                <w:lang w:eastAsia="zh-CN"/>
              </w:rPr>
              <w:t>：</w:t>
            </w: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r>
              <w:rPr>
                <w:rFonts w:hint="eastAsia" w:ascii="宋体" w:hAnsi="宋体" w:eastAsia="宋体" w:cs="宋体"/>
                <w:b w:val="0"/>
                <w:bCs/>
                <w:color w:val="auto"/>
                <w:kern w:val="0"/>
                <w:sz w:val="22"/>
                <w:szCs w:val="21"/>
                <w:highlight w:val="none"/>
                <w:lang w:eastAsia="zh-CN"/>
              </w:rPr>
              <w:t>。</w:t>
            </w:r>
          </w:p>
          <w:p w14:paraId="1A0200C6">
            <w:pPr>
              <w:adjustRightInd w:val="0"/>
              <w:rPr>
                <w:color w:val="auto"/>
                <w:highlight w:val="none"/>
              </w:rPr>
            </w:pPr>
            <w:r>
              <w:rPr>
                <w:rFonts w:hint="eastAsia" w:ascii="宋体" w:eastAsia="宋体"/>
                <w:b w:val="0"/>
                <w:iCs/>
                <w:color w:val="auto"/>
                <w:sz w:val="22"/>
                <w:szCs w:val="22"/>
                <w:highlight w:val="none"/>
              </w:rPr>
              <w:t>3.本项目的特定资格要求：无。</w:t>
            </w:r>
          </w:p>
        </w:tc>
      </w:tr>
      <w:tr w14:paraId="7912D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489F74D">
            <w:pPr>
              <w:widowControl/>
              <w:numPr>
                <w:ilvl w:val="0"/>
                <w:numId w:val="3"/>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CD429D7">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957" w:type="dxa"/>
            <w:noWrap w:val="0"/>
            <w:vAlign w:val="center"/>
          </w:tcPr>
          <w:p w14:paraId="21FB165F">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14:paraId="166A44CA">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p>
        </w:tc>
      </w:tr>
      <w:tr w14:paraId="64033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C2A162E">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607BD93">
            <w:pPr>
              <w:adjustRightInd w:val="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957" w:type="dxa"/>
            <w:noWrap w:val="0"/>
            <w:vAlign w:val="center"/>
          </w:tcPr>
          <w:p w14:paraId="2D761243">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14:paraId="355D0E2D">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允许</w:t>
            </w:r>
          </w:p>
        </w:tc>
      </w:tr>
      <w:tr w14:paraId="766ED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4132914">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BFA827F">
            <w:pPr>
              <w:adjustRightInd w:val="0"/>
              <w:jc w:val="left"/>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957" w:type="dxa"/>
            <w:noWrap w:val="0"/>
            <w:vAlign w:val="center"/>
          </w:tcPr>
          <w:p w14:paraId="406C9EAB">
            <w:pPr>
              <w:adjustRightInd w:val="0"/>
              <w:rPr>
                <w:rFonts w:hint="default" w:ascii="宋体" w:hAnsi="宋体" w:eastAsia="宋体"/>
                <w:color w:val="auto"/>
                <w:sz w:val="22"/>
                <w:szCs w:val="22"/>
                <w:highlight w:val="none"/>
                <w:lang w:val="en-US" w:eastAsia="zh-CN"/>
              </w:rPr>
            </w:pPr>
            <w:r>
              <w:rPr>
                <w:rFonts w:ascii="宋体" w:eastAsia="宋体"/>
                <w:b w:val="0"/>
                <w:color w:val="auto"/>
                <w:sz w:val="22"/>
                <w:szCs w:val="22"/>
                <w:highlight w:val="none"/>
              </w:rPr>
              <w:sym w:font="Wingdings 2" w:char="0052"/>
            </w:r>
            <w:r>
              <w:rPr>
                <w:rFonts w:hint="eastAsia" w:ascii="宋体" w:hAnsi="宋体" w:eastAsia="宋体"/>
                <w:color w:val="auto"/>
                <w:sz w:val="22"/>
                <w:szCs w:val="22"/>
                <w:highlight w:val="none"/>
              </w:rPr>
              <w:t>A货物类</w:t>
            </w:r>
          </w:p>
          <w:p w14:paraId="78572A9B">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6FC2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8F00D62">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58DAD24">
            <w:pPr>
              <w:adjustRightInd w:val="0"/>
              <w:jc w:val="left"/>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采购标的对应的中小企业划分标准所属行业</w:t>
            </w:r>
          </w:p>
        </w:tc>
        <w:tc>
          <w:tcPr>
            <w:tcW w:w="7957" w:type="dxa"/>
            <w:noWrap w:val="0"/>
            <w:vAlign w:val="center"/>
          </w:tcPr>
          <w:p w14:paraId="6AF9757F">
            <w:pPr>
              <w:adjustRightInd w:val="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（1）标的：</w:t>
            </w:r>
            <w:r>
              <w:rPr>
                <w:rFonts w:hint="eastAsia" w:ascii="宋体" w:hAnsi="宋体" w:eastAsia="宋体"/>
                <w:bCs/>
                <w:color w:val="auto"/>
                <w:sz w:val="22"/>
                <w:szCs w:val="22"/>
                <w:highlight w:val="none"/>
                <w:u w:val="single"/>
                <w:lang w:val="en-US" w:eastAsia="zh-CN"/>
              </w:rPr>
              <w:t>厨房设备</w:t>
            </w:r>
            <w:r>
              <w:rPr>
                <w:rFonts w:hint="eastAsia" w:ascii="宋体" w:hAnsi="宋体" w:eastAsia="宋体"/>
                <w:color w:val="auto"/>
                <w:sz w:val="22"/>
                <w:szCs w:val="22"/>
                <w:highlight w:val="none"/>
              </w:rPr>
              <w:t>，属于</w:t>
            </w:r>
            <w:r>
              <w:rPr>
                <w:rFonts w:hint="eastAsia" w:ascii="宋体" w:hAnsi="宋体" w:eastAsia="宋体"/>
                <w:bCs/>
                <w:color w:val="auto"/>
                <w:sz w:val="22"/>
                <w:szCs w:val="22"/>
                <w:highlight w:val="none"/>
                <w:u w:val="single"/>
                <w:lang w:val="en-US" w:eastAsia="zh-CN"/>
              </w:rPr>
              <w:t>工业</w:t>
            </w:r>
            <w:r>
              <w:rPr>
                <w:rFonts w:hint="eastAsia" w:ascii="宋体" w:hAnsi="宋体" w:eastAsia="宋体"/>
                <w:color w:val="auto"/>
                <w:sz w:val="22"/>
                <w:szCs w:val="22"/>
                <w:highlight w:val="none"/>
              </w:rPr>
              <w:t>行业；</w:t>
            </w:r>
          </w:p>
          <w:p w14:paraId="7A852E45">
            <w:pPr>
              <w:adjustRightInd w:val="0"/>
              <w:rPr>
                <w:rFonts w:hint="eastAsia" w:ascii="宋体" w:hAnsi="宋体" w:eastAsia="宋体"/>
                <w:b w:val="0"/>
                <w:color w:val="auto"/>
                <w:spacing w:val="20"/>
                <w:sz w:val="22"/>
                <w:szCs w:val="22"/>
                <w:highlight w:val="none"/>
              </w:rPr>
            </w:pPr>
            <w:r>
              <w:rPr>
                <w:rFonts w:hint="eastAsia" w:ascii="宋体" w:hAnsi="宋体" w:eastAsia="宋体"/>
                <w:color w:val="auto"/>
                <w:sz w:val="22"/>
                <w:szCs w:val="22"/>
                <w:highlight w:val="none"/>
              </w:rPr>
              <w:t>……</w:t>
            </w:r>
          </w:p>
        </w:tc>
      </w:tr>
      <w:tr w14:paraId="7CD57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239CBE5">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2DF250A">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7957" w:type="dxa"/>
            <w:noWrap w:val="0"/>
            <w:vAlign w:val="center"/>
          </w:tcPr>
          <w:p w14:paraId="78DA96F5">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1D11088B">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3CCBC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4924DF6">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4975C2A">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7957" w:type="dxa"/>
            <w:noWrap w:val="0"/>
            <w:vAlign w:val="center"/>
          </w:tcPr>
          <w:p w14:paraId="3DB237E9">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51552AE6">
            <w:pPr>
              <w:adjustRightInd w:val="0"/>
              <w:rPr>
                <w:rFonts w:ascii="宋体" w:eastAsia="宋体" w:cs="仿宋_GB2312"/>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允许</w:t>
            </w:r>
          </w:p>
        </w:tc>
      </w:tr>
      <w:tr w14:paraId="60FA5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F79F88B">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2CB7EB7">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投标货币</w:t>
            </w:r>
          </w:p>
        </w:tc>
        <w:tc>
          <w:tcPr>
            <w:tcW w:w="7957" w:type="dxa"/>
            <w:noWrap w:val="0"/>
            <w:vAlign w:val="center"/>
          </w:tcPr>
          <w:p w14:paraId="40CED8D6">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7A195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7076A87">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ED257AF">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投标语言</w:t>
            </w:r>
          </w:p>
        </w:tc>
        <w:tc>
          <w:tcPr>
            <w:tcW w:w="7957" w:type="dxa"/>
            <w:noWrap w:val="0"/>
            <w:vAlign w:val="center"/>
          </w:tcPr>
          <w:p w14:paraId="6A501280">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2D76F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CC73643">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9DE9DD3">
            <w:pPr>
              <w:jc w:val="left"/>
              <w:rPr>
                <w:rFonts w:hint="eastAsia" w:ascii="宋体" w:eastAsia="宋体"/>
                <w:b w:val="0"/>
                <w:color w:val="auto"/>
                <w:sz w:val="22"/>
                <w:szCs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的形式</w:t>
            </w:r>
          </w:p>
        </w:tc>
        <w:tc>
          <w:tcPr>
            <w:tcW w:w="7957" w:type="dxa"/>
            <w:noWrap w:val="0"/>
            <w:vAlign w:val="center"/>
          </w:tcPr>
          <w:p w14:paraId="63E1DD19">
            <w:pPr>
              <w:rPr>
                <w:rFonts w:hint="eastAsia" w:ascii="宋体" w:eastAsia="宋体" w:cs="Courier New"/>
                <w:color w:val="auto"/>
                <w:sz w:val="22"/>
                <w:highlight w:val="none"/>
                <w:lang w:eastAsia="zh-CN"/>
              </w:rPr>
            </w:pPr>
            <w:r>
              <w:rPr>
                <w:rFonts w:hint="eastAsia" w:ascii="宋体" w:eastAsia="宋体" w:cs="Courier New"/>
                <w:color w:val="auto"/>
                <w:sz w:val="22"/>
                <w:highlight w:val="none"/>
              </w:rPr>
              <w:t>投标供应商应准备电子</w:t>
            </w:r>
            <w:r>
              <w:rPr>
                <w:rFonts w:hint="eastAsia" w:ascii="宋体" w:eastAsia="宋体" w:cs="Courier New"/>
                <w:color w:val="auto"/>
                <w:sz w:val="22"/>
                <w:highlight w:val="none"/>
                <w:lang w:eastAsia="zh-CN"/>
              </w:rPr>
              <w:t>响应文件</w:t>
            </w:r>
          </w:p>
          <w:p w14:paraId="660F1736">
            <w:pPr>
              <w:rPr>
                <w:rFonts w:hint="eastAsia" w:ascii="宋体" w:eastAsia="宋体"/>
                <w:b w:val="0"/>
                <w:color w:val="auto"/>
                <w:sz w:val="22"/>
                <w:szCs w:val="22"/>
                <w:highlight w:val="none"/>
              </w:rPr>
            </w:pPr>
            <w:r>
              <w:rPr>
                <w:rFonts w:hint="eastAsia" w:ascii="宋体" w:eastAsia="宋体" w:cs="Courier New"/>
                <w:color w:val="auto"/>
                <w:sz w:val="22"/>
                <w:highlight w:val="none"/>
              </w:rPr>
              <w:t>电子</w:t>
            </w: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是指通过“政采云电子交易客户端”完成</w:t>
            </w: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编制后生成并加密的数据电文形式的电子加密</w:t>
            </w: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lang w:bidi="ar"/>
              </w:rPr>
              <w:t>。</w:t>
            </w:r>
          </w:p>
        </w:tc>
      </w:tr>
      <w:tr w14:paraId="69AF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11C0128">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AEAF02C">
            <w:pPr>
              <w:jc w:val="left"/>
              <w:rPr>
                <w:rFonts w:hint="eastAsia" w:ascii="宋体" w:eastAsia="宋体" w:cs="Courier New"/>
                <w:color w:val="auto"/>
                <w:sz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的编制</w:t>
            </w:r>
          </w:p>
        </w:tc>
        <w:tc>
          <w:tcPr>
            <w:tcW w:w="7957" w:type="dxa"/>
            <w:noWrap w:val="0"/>
            <w:vAlign w:val="center"/>
          </w:tcPr>
          <w:p w14:paraId="4FA9379D">
            <w:pPr>
              <w:rPr>
                <w:rFonts w:hint="eastAsia" w:ascii="宋体" w:eastAsia="宋体" w:cs="Courier New"/>
                <w:color w:val="auto"/>
                <w:sz w:val="22"/>
                <w:highlight w:val="none"/>
              </w:rPr>
            </w:pPr>
            <w:r>
              <w:rPr>
                <w:rFonts w:hint="eastAsia" w:ascii="宋体" w:eastAsia="宋体" w:cs="Courier New"/>
                <w:color w:val="auto"/>
                <w:sz w:val="22"/>
                <w:highlight w:val="none"/>
              </w:rPr>
              <w:t>供应商应先安装“政采云电子交易客户端”，并按照本</w:t>
            </w:r>
            <w:r>
              <w:rPr>
                <w:rFonts w:hint="eastAsia" w:ascii="宋体" w:eastAsia="宋体" w:cs="Courier New"/>
                <w:color w:val="auto"/>
                <w:sz w:val="22"/>
                <w:highlight w:val="none"/>
                <w:lang w:eastAsia="zh-CN"/>
              </w:rPr>
              <w:t>采购文件</w:t>
            </w:r>
            <w:r>
              <w:rPr>
                <w:rFonts w:hint="eastAsia" w:ascii="宋体" w:eastAsia="宋体" w:cs="Courier New"/>
                <w:color w:val="auto"/>
                <w:sz w:val="22"/>
                <w:highlight w:val="none"/>
              </w:rPr>
              <w:t>和“政府采购云平台”的要求，通过“政采云电子交易客户端”编制并加密</w:t>
            </w: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w:t>
            </w:r>
          </w:p>
        </w:tc>
      </w:tr>
      <w:tr w14:paraId="3E7E2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9B3688">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7D5ADEF">
            <w:pPr>
              <w:jc w:val="left"/>
              <w:rPr>
                <w:rFonts w:ascii="宋体" w:eastAsia="宋体" w:cs="Arial"/>
                <w:b w:val="0"/>
                <w:color w:val="auto"/>
                <w:sz w:val="22"/>
                <w:szCs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份数</w:t>
            </w:r>
          </w:p>
        </w:tc>
        <w:tc>
          <w:tcPr>
            <w:tcW w:w="7957" w:type="dxa"/>
            <w:noWrap w:val="0"/>
            <w:vAlign w:val="center"/>
          </w:tcPr>
          <w:p w14:paraId="385C72C5">
            <w:pPr>
              <w:rPr>
                <w:b w:val="0"/>
                <w:color w:val="auto"/>
                <w:highlight w:val="none"/>
              </w:rPr>
            </w:pPr>
            <w:r>
              <w:rPr>
                <w:rFonts w:hint="eastAsia" w:ascii="宋体" w:eastAsia="宋体"/>
                <w:color w:val="auto"/>
                <w:sz w:val="22"/>
                <w:szCs w:val="22"/>
                <w:highlight w:val="none"/>
              </w:rPr>
              <w:t>“电子加密</w:t>
            </w:r>
            <w:r>
              <w:rPr>
                <w:rFonts w:hint="eastAsia" w:ascii="宋体" w:eastAsia="宋体"/>
                <w:color w:val="auto"/>
                <w:sz w:val="22"/>
                <w:szCs w:val="22"/>
                <w:highlight w:val="none"/>
                <w:lang w:eastAsia="zh-CN"/>
              </w:rPr>
              <w:t>响应文件</w:t>
            </w:r>
            <w:r>
              <w:rPr>
                <w:rFonts w:hint="eastAsia" w:ascii="宋体" w:eastAsia="宋体"/>
                <w:color w:val="auto"/>
                <w:sz w:val="22"/>
                <w:szCs w:val="22"/>
                <w:highlight w:val="none"/>
              </w:rPr>
              <w:t>”：在线上传递交，一份。</w:t>
            </w:r>
          </w:p>
        </w:tc>
      </w:tr>
      <w:tr w14:paraId="15FC8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511D561">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DF35808">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投标有效期</w:t>
            </w:r>
          </w:p>
        </w:tc>
        <w:tc>
          <w:tcPr>
            <w:tcW w:w="7957" w:type="dxa"/>
            <w:noWrap w:val="0"/>
            <w:vAlign w:val="center"/>
          </w:tcPr>
          <w:p w14:paraId="0E683019">
            <w:pPr>
              <w:rPr>
                <w:rFonts w:ascii="宋体" w:eastAsia="宋体" w:cs="Arial"/>
                <w:b w:val="0"/>
                <w:i/>
                <w:color w:val="auto"/>
                <w:sz w:val="22"/>
                <w:szCs w:val="22"/>
                <w:highlight w:val="none"/>
              </w:rPr>
            </w:pPr>
            <w:r>
              <w:rPr>
                <w:rFonts w:hint="eastAsia" w:ascii="宋体" w:eastAsia="宋体" w:cs="Arial"/>
                <w:b w:val="0"/>
                <w:i/>
                <w:color w:val="auto"/>
                <w:sz w:val="22"/>
                <w:szCs w:val="22"/>
                <w:highlight w:val="none"/>
              </w:rPr>
              <w:t>提交</w:t>
            </w:r>
            <w:r>
              <w:rPr>
                <w:rFonts w:hint="eastAsia" w:ascii="宋体" w:eastAsia="宋体" w:cs="Arial"/>
                <w:b w:val="0"/>
                <w:i/>
                <w:color w:val="auto"/>
                <w:sz w:val="22"/>
                <w:szCs w:val="22"/>
                <w:highlight w:val="none"/>
                <w:lang w:eastAsia="zh-CN"/>
              </w:rPr>
              <w:t>响应文件</w:t>
            </w:r>
            <w:r>
              <w:rPr>
                <w:rFonts w:hint="eastAsia" w:ascii="宋体" w:eastAsia="宋体" w:cs="Arial"/>
                <w:b w:val="0"/>
                <w:i/>
                <w:color w:val="auto"/>
                <w:sz w:val="22"/>
                <w:szCs w:val="22"/>
                <w:highlight w:val="none"/>
              </w:rPr>
              <w:t>截止时间起90天内</w:t>
            </w:r>
          </w:p>
        </w:tc>
      </w:tr>
      <w:tr w14:paraId="33B0A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E865D48">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E89404A">
            <w:pPr>
              <w:jc w:val="left"/>
              <w:rPr>
                <w:rFonts w:ascii="宋体" w:eastAsia="宋体" w:cs="Arial"/>
                <w:b w:val="0"/>
                <w:color w:val="auto"/>
                <w:sz w:val="22"/>
                <w:szCs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的签章</w:t>
            </w:r>
          </w:p>
        </w:tc>
        <w:tc>
          <w:tcPr>
            <w:tcW w:w="7957" w:type="dxa"/>
            <w:noWrap w:val="0"/>
            <w:vAlign w:val="center"/>
          </w:tcPr>
          <w:p w14:paraId="2558BBD0">
            <w:pPr>
              <w:rPr>
                <w:rFonts w:ascii="宋体" w:eastAsia="宋体" w:cs="Arial"/>
                <w:b w:val="0"/>
                <w:color w:val="auto"/>
                <w:sz w:val="22"/>
                <w:szCs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中所涉及的加盖公章均采用CA电子签章。</w:t>
            </w:r>
          </w:p>
        </w:tc>
      </w:tr>
      <w:tr w14:paraId="4990E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D2E5AA7">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8A05D95">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投标样品/演示</w:t>
            </w:r>
          </w:p>
        </w:tc>
        <w:tc>
          <w:tcPr>
            <w:tcW w:w="7957" w:type="dxa"/>
            <w:noWrap w:val="0"/>
            <w:vAlign w:val="center"/>
          </w:tcPr>
          <w:p w14:paraId="3A9C76AF">
            <w:pPr>
              <w:rPr>
                <w:rFonts w:ascii="宋体" w:eastAsia="宋体"/>
                <w:b w:val="0"/>
                <w:color w:val="auto"/>
                <w:sz w:val="22"/>
                <w:szCs w:val="22"/>
                <w:highlight w:val="none"/>
              </w:rPr>
            </w:pPr>
            <w:r>
              <w:rPr>
                <w:rFonts w:ascii="宋体" w:eastAsia="宋体"/>
                <w:b w:val="0"/>
                <w:color w:val="auto"/>
                <w:sz w:val="22"/>
                <w:szCs w:val="22"/>
                <w:highlight w:val="none"/>
              </w:rPr>
              <w:sym w:font="Wingdings 2" w:char="00A3"/>
            </w:r>
            <w:r>
              <w:rPr>
                <w:rFonts w:hint="eastAsia" w:ascii="宋体" w:eastAsia="宋体"/>
                <w:b w:val="0"/>
                <w:color w:val="auto"/>
                <w:sz w:val="22"/>
                <w:szCs w:val="22"/>
                <w:highlight w:val="none"/>
              </w:rPr>
              <w:t>不需要</w:t>
            </w:r>
          </w:p>
          <w:p w14:paraId="65F52718">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p w14:paraId="13F47A79">
            <w:pPr>
              <w:keepNext w:val="0"/>
              <w:keepLines w:val="0"/>
              <w:pageBreakBefore w:val="0"/>
              <w:kinsoku/>
              <w:wordWrap/>
              <w:overflowPunct/>
              <w:topLinePunct w:val="0"/>
              <w:autoSpaceDE/>
              <w:autoSpaceDN/>
              <w:bidi w:val="0"/>
              <w:spacing w:line="240" w:lineRule="auto"/>
              <w:jc w:val="left"/>
              <w:rPr>
                <w:rFonts w:hint="eastAsia" w:ascii="宋体" w:eastAsia="宋体" w:cs="Courier New"/>
                <w:b w:val="0"/>
                <w:bCs/>
                <w:color w:val="auto"/>
                <w:sz w:val="22"/>
                <w:highlight w:val="none"/>
                <w:u w:val="single"/>
                <w:lang w:val="en-US" w:eastAsia="zh-CN"/>
              </w:rPr>
            </w:pPr>
            <w:r>
              <w:rPr>
                <w:rFonts w:hint="eastAsia" w:ascii="宋体" w:eastAsia="宋体" w:cs="Courier New"/>
                <w:b w:val="0"/>
                <w:bCs/>
                <w:color w:val="auto"/>
                <w:sz w:val="22"/>
                <w:highlight w:val="none"/>
              </w:rPr>
              <w:t>（1）样品：</w:t>
            </w:r>
            <w:r>
              <w:rPr>
                <w:rFonts w:hint="eastAsia" w:ascii="宋体" w:eastAsia="宋体" w:cs="Courier New"/>
                <w:b w:val="0"/>
                <w:bCs/>
                <w:color w:val="auto"/>
                <w:sz w:val="22"/>
                <w:highlight w:val="none"/>
                <w:u w:val="single"/>
                <w:lang w:val="en-US" w:eastAsia="zh-CN"/>
              </w:rPr>
              <w:t xml:space="preserve"> </w:t>
            </w:r>
            <w:r>
              <w:rPr>
                <w:rFonts w:hint="eastAsia" w:ascii="宋体" w:hAnsi="宋体" w:eastAsia="宋体" w:cs="宋体"/>
                <w:bCs/>
                <w:color w:val="auto"/>
                <w:kern w:val="2"/>
                <w:sz w:val="21"/>
                <w:szCs w:val="21"/>
                <w:highlight w:val="none"/>
                <w:u w:val="single"/>
                <w:lang w:val="en-US" w:eastAsia="zh-CN" w:bidi="ar-SA"/>
              </w:rPr>
              <w:t>电磁800双头大锅灶</w:t>
            </w:r>
            <w:r>
              <w:rPr>
                <w:rFonts w:hint="eastAsia" w:ascii="宋体" w:eastAsia="宋体" w:cs="Courier New"/>
                <w:b w:val="0"/>
                <w:bCs/>
                <w:color w:val="auto"/>
                <w:sz w:val="22"/>
                <w:highlight w:val="none"/>
                <w:u w:val="single"/>
                <w:lang w:val="en-US" w:eastAsia="zh-CN"/>
              </w:rPr>
              <w:t xml:space="preserve"> ；</w:t>
            </w:r>
          </w:p>
          <w:p w14:paraId="67376877">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（2）样品制作的标准和要求：</w:t>
            </w:r>
            <w:r>
              <w:rPr>
                <w:rFonts w:hint="eastAsia" w:ascii="宋体" w:eastAsia="宋体" w:cs="Courier New"/>
                <w:b w:val="0"/>
                <w:bCs/>
                <w:color w:val="auto"/>
                <w:sz w:val="22"/>
                <w:highlight w:val="none"/>
                <w:u w:val="single"/>
                <w:lang w:val="en-US" w:eastAsia="zh-CN"/>
              </w:rPr>
              <w:t>见技术参数要求</w:t>
            </w:r>
            <w:r>
              <w:rPr>
                <w:rFonts w:hint="eastAsia" w:ascii="宋体" w:eastAsia="宋体" w:cs="Courier New"/>
                <w:b w:val="0"/>
                <w:bCs/>
                <w:color w:val="auto"/>
                <w:sz w:val="22"/>
                <w:highlight w:val="none"/>
              </w:rPr>
              <w:t>；</w:t>
            </w:r>
          </w:p>
          <w:p w14:paraId="707BD6C3">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（3）样品的评审方法以及评审标准：详见</w:t>
            </w:r>
            <w:r>
              <w:rPr>
                <w:rFonts w:hint="eastAsia" w:ascii="宋体" w:eastAsia="宋体" w:cs="Courier New"/>
                <w:b w:val="0"/>
                <w:bCs/>
                <w:color w:val="auto"/>
                <w:sz w:val="22"/>
                <w:highlight w:val="none"/>
                <w:u w:val="single"/>
              </w:rPr>
              <w:t>评标办法</w:t>
            </w:r>
            <w:r>
              <w:rPr>
                <w:rFonts w:hint="eastAsia" w:ascii="宋体" w:eastAsia="宋体" w:cs="Courier New"/>
                <w:b w:val="0"/>
                <w:bCs/>
                <w:color w:val="auto"/>
                <w:sz w:val="22"/>
                <w:highlight w:val="none"/>
              </w:rPr>
              <w:t>；</w:t>
            </w:r>
          </w:p>
          <w:p w14:paraId="58518D8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w:t>
            </w:r>
            <w:r>
              <w:rPr>
                <w:rFonts w:hint="eastAsia" w:ascii="宋体" w:eastAsia="宋体" w:cs="Courier New"/>
                <w:b w:val="0"/>
                <w:bCs/>
                <w:color w:val="auto"/>
                <w:sz w:val="22"/>
                <w:highlight w:val="none"/>
                <w:lang w:val="en-US" w:eastAsia="zh-CN"/>
              </w:rPr>
              <w:t>4</w:t>
            </w:r>
            <w:r>
              <w:rPr>
                <w:rFonts w:hint="eastAsia" w:ascii="宋体" w:eastAsia="宋体" w:cs="Courier New"/>
                <w:b w:val="0"/>
                <w:bCs/>
                <w:color w:val="auto"/>
                <w:sz w:val="22"/>
                <w:highlight w:val="none"/>
              </w:rPr>
              <w:t>）是否需要随样品提交检测报告：</w:t>
            </w:r>
            <w:sdt>
              <w:sdtPr>
                <w:rPr>
                  <w:rFonts w:hint="eastAsia" w:ascii="宋体" w:eastAsia="宋体" w:cs="Courier New"/>
                  <w:b w:val="0"/>
                  <w:bCs/>
                  <w:color w:val="auto"/>
                  <w:sz w:val="22"/>
                  <w:highlight w:val="none"/>
                </w:rPr>
                <w:id w:val="1303421454"/>
                <w14:checkbox>
                  <w14:checked w14:val="0"/>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MS Gothic" w:hAnsi="MS Gothic" w:eastAsia="宋体" w:cs="Courier New"/>
                    <w:b w:val="0"/>
                    <w:bCs/>
                    <w:color w:val="auto"/>
                    <w:kern w:val="2"/>
                    <w:sz w:val="22"/>
                    <w:szCs w:val="21"/>
                    <w:highlight w:val="none"/>
                    <w:lang w:val="en-US" w:eastAsia="zh-CN" w:bidi="ar-SA"/>
                  </w:rPr>
                  <w:t>☐</w:t>
                </w:r>
              </w:sdtContent>
            </w:sdt>
            <w:r>
              <w:rPr>
                <w:rFonts w:hint="eastAsia" w:ascii="宋体" w:eastAsia="宋体" w:cs="Courier New"/>
                <w:b w:val="0"/>
                <w:bCs/>
                <w:color w:val="auto"/>
                <w:sz w:val="22"/>
                <w:highlight w:val="none"/>
              </w:rPr>
              <w:t>否；</w:t>
            </w:r>
            <w:sdt>
              <w:sdtPr>
                <w:rPr>
                  <w:rFonts w:hint="eastAsia" w:ascii="宋体" w:eastAsia="宋体" w:cs="Courier New"/>
                  <w:b w:val="0"/>
                  <w:bCs/>
                  <w:color w:val="auto"/>
                  <w:sz w:val="22"/>
                  <w:highlight w:val="none"/>
                </w:rPr>
                <w:id w:val="1621728433"/>
                <w14:checkbox>
                  <w14:checked w14:val="1"/>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Wingdings" w:hAnsi="Wingdings" w:eastAsia="宋体" w:cs="Courier New"/>
                    <w:b w:val="0"/>
                    <w:bCs/>
                    <w:color w:val="auto"/>
                    <w:kern w:val="2"/>
                    <w:sz w:val="22"/>
                    <w:szCs w:val="24"/>
                    <w:highlight w:val="none"/>
                    <w:lang w:val="en-US" w:eastAsia="zh-CN" w:bidi="ar-SA"/>
                  </w:rPr>
                  <w:t>þ</w:t>
                </w:r>
              </w:sdtContent>
            </w:sdt>
            <w:r>
              <w:rPr>
                <w:rFonts w:hint="eastAsia" w:ascii="宋体" w:eastAsia="宋体" w:cs="Courier New"/>
                <w:b w:val="0"/>
                <w:bCs/>
                <w:color w:val="auto"/>
                <w:sz w:val="22"/>
                <w:highlight w:val="none"/>
              </w:rPr>
              <w:t>是，检测机构的要求：</w:t>
            </w:r>
            <w:r>
              <w:rPr>
                <w:rFonts w:hint="eastAsia" w:ascii="宋体" w:eastAsia="宋体" w:cs="Courier New"/>
                <w:b w:val="0"/>
                <w:bCs/>
                <w:color w:val="auto"/>
                <w:sz w:val="22"/>
                <w:highlight w:val="none"/>
                <w:u w:val="single"/>
                <w:lang w:val="en-US" w:eastAsia="zh-CN"/>
              </w:rPr>
              <w:t>详见第三部分采购需求</w:t>
            </w:r>
            <w:r>
              <w:rPr>
                <w:rFonts w:hint="eastAsia" w:ascii="宋体" w:eastAsia="宋体" w:cs="Courier New"/>
                <w:b w:val="0"/>
                <w:bCs/>
                <w:color w:val="auto"/>
                <w:sz w:val="22"/>
                <w:highlight w:val="none"/>
              </w:rPr>
              <w:t>；检测内容：</w:t>
            </w:r>
            <w:r>
              <w:rPr>
                <w:rFonts w:hint="eastAsia" w:ascii="宋体" w:eastAsia="宋体" w:cs="Courier New"/>
                <w:b w:val="0"/>
                <w:bCs/>
                <w:color w:val="auto"/>
                <w:sz w:val="22"/>
                <w:highlight w:val="none"/>
                <w:u w:val="single"/>
                <w:lang w:val="en-US" w:eastAsia="zh-CN"/>
              </w:rPr>
              <w:t>详见第三部分采购需求</w:t>
            </w:r>
            <w:r>
              <w:rPr>
                <w:rFonts w:hint="eastAsia" w:ascii="宋体" w:eastAsia="宋体" w:cs="Courier New"/>
                <w:b w:val="0"/>
                <w:bCs/>
                <w:color w:val="auto"/>
                <w:sz w:val="22"/>
                <w:highlight w:val="none"/>
              </w:rPr>
              <w:t>。</w:t>
            </w:r>
          </w:p>
          <w:p w14:paraId="65A3677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（5）提供样品的时间：</w:t>
            </w:r>
            <w:r>
              <w:rPr>
                <w:rFonts w:hint="eastAsia" w:ascii="宋体" w:eastAsia="宋体"/>
                <w:b w:val="0"/>
                <w:color w:val="auto"/>
                <w:sz w:val="22"/>
                <w:highlight w:val="none"/>
                <w:lang w:val="en-US" w:eastAsia="zh-CN"/>
              </w:rPr>
              <w:t xml:space="preserve"> </w:t>
            </w:r>
            <w:r>
              <w:rPr>
                <w:rFonts w:hint="eastAsia" w:ascii="宋体" w:eastAsia="宋体"/>
                <w:b w:val="0"/>
                <w:color w:val="auto"/>
                <w:sz w:val="22"/>
                <w:highlight w:val="none"/>
                <w:lang w:eastAsia="zh-CN"/>
              </w:rPr>
              <w:t>年</w:t>
            </w:r>
            <w:r>
              <w:rPr>
                <w:rFonts w:hint="eastAsia" w:ascii="宋体" w:eastAsia="宋体"/>
                <w:b w:val="0"/>
                <w:color w:val="auto"/>
                <w:sz w:val="22"/>
                <w:highlight w:val="none"/>
                <w:lang w:val="en-US" w:eastAsia="zh-CN"/>
              </w:rPr>
              <w:t xml:space="preserve"> </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 xml:space="preserve"> </w:t>
            </w:r>
            <w:r>
              <w:rPr>
                <w:rFonts w:hint="eastAsia" w:ascii="宋体" w:eastAsia="宋体"/>
                <w:b w:val="0"/>
                <w:color w:val="auto"/>
                <w:sz w:val="22"/>
                <w:highlight w:val="none"/>
                <w:lang w:eastAsia="zh-CN"/>
              </w:rPr>
              <w:t>日</w:t>
            </w:r>
            <w:r>
              <w:rPr>
                <w:rFonts w:hint="eastAsia" w:ascii="宋体" w:eastAsia="宋体" w:cs="Courier New"/>
                <w:b w:val="0"/>
                <w:bCs/>
                <w:color w:val="auto"/>
                <w:sz w:val="22"/>
                <w:highlight w:val="none"/>
                <w:u w:val="single"/>
                <w:lang w:val="en-US" w:eastAsia="zh-CN"/>
              </w:rPr>
              <w:t>08:30--09:30</w:t>
            </w:r>
            <w:r>
              <w:rPr>
                <w:rFonts w:hint="eastAsia" w:ascii="宋体" w:eastAsia="宋体" w:cs="Courier New"/>
                <w:b w:val="0"/>
                <w:bCs/>
                <w:color w:val="auto"/>
                <w:sz w:val="22"/>
                <w:highlight w:val="none"/>
              </w:rPr>
              <w:t>；地点：</w:t>
            </w:r>
            <w:r>
              <w:rPr>
                <w:rFonts w:hint="eastAsia" w:ascii="宋体" w:eastAsia="宋体"/>
                <w:b w:val="0"/>
                <w:color w:val="auto"/>
                <w:sz w:val="22"/>
                <w:szCs w:val="22"/>
                <w:highlight w:val="none"/>
                <w:u w:val="single"/>
                <w:lang w:eastAsia="zh-CN"/>
              </w:rPr>
              <w:t>永嘉县南城街道县前西路律师楼202室（永嘉县人民法院西北门正对面银弟烟酒楼上）</w:t>
            </w:r>
            <w:r>
              <w:rPr>
                <w:rFonts w:hint="eastAsia" w:ascii="宋体" w:eastAsia="宋体" w:cs="Courier New"/>
                <w:b w:val="0"/>
                <w:bCs/>
                <w:color w:val="auto"/>
                <w:sz w:val="22"/>
                <w:highlight w:val="none"/>
              </w:rPr>
              <w:t>；联系人：</w:t>
            </w:r>
            <w:r>
              <w:rPr>
                <w:rFonts w:hint="eastAsia" w:ascii="宋体" w:eastAsia="宋体" w:cs="Courier New"/>
                <w:b w:val="0"/>
                <w:bCs/>
                <w:color w:val="auto"/>
                <w:sz w:val="22"/>
                <w:highlight w:val="none"/>
                <w:u w:val="single"/>
                <w:lang w:val="en-US" w:eastAsia="zh-CN"/>
              </w:rPr>
              <w:t>金先生</w:t>
            </w:r>
            <w:r>
              <w:rPr>
                <w:rFonts w:hint="eastAsia" w:ascii="宋体" w:eastAsia="宋体" w:cs="Courier New"/>
                <w:b w:val="0"/>
                <w:bCs/>
                <w:color w:val="auto"/>
                <w:sz w:val="22"/>
                <w:highlight w:val="none"/>
              </w:rPr>
              <w:t>，联系电话：</w:t>
            </w:r>
            <w:r>
              <w:rPr>
                <w:rFonts w:hint="eastAsia" w:ascii="宋体" w:eastAsia="宋体"/>
                <w:b w:val="0"/>
                <w:color w:val="auto"/>
                <w:sz w:val="22"/>
                <w:highlight w:val="none"/>
                <w:u w:val="single"/>
                <w:lang w:eastAsia="zh-CN"/>
              </w:rPr>
              <w:t>13968998619</w:t>
            </w:r>
            <w:r>
              <w:rPr>
                <w:rFonts w:hint="eastAsia" w:ascii="宋体" w:eastAsia="宋体" w:cs="Courier New"/>
                <w:b w:val="0"/>
                <w:bCs/>
                <w:color w:val="auto"/>
                <w:sz w:val="22"/>
                <w:highlight w:val="none"/>
              </w:rPr>
              <w:t>。请投标人在上述时间内提供样品并按规定位置</w:t>
            </w:r>
            <w:r>
              <w:rPr>
                <w:rFonts w:hint="eastAsia" w:ascii="宋体" w:eastAsia="宋体" w:cs="Courier New"/>
                <w:b w:val="0"/>
                <w:bCs/>
                <w:color w:val="auto"/>
                <w:sz w:val="22"/>
                <w:highlight w:val="none"/>
                <w:lang w:val="en-US" w:eastAsia="zh-CN"/>
              </w:rPr>
              <w:t>安置</w:t>
            </w:r>
            <w:r>
              <w:rPr>
                <w:rFonts w:hint="eastAsia" w:ascii="宋体" w:eastAsia="宋体" w:cs="Courier New"/>
                <w:b w:val="0"/>
                <w:bCs/>
                <w:color w:val="auto"/>
                <w:sz w:val="22"/>
                <w:highlight w:val="none"/>
              </w:rPr>
              <w:t>完毕。超过截止时间的，采购人或采购代理机构将不予接收，并将清场并封闭样品现场。</w:t>
            </w:r>
          </w:p>
          <w:p w14:paraId="4053DC8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BCA826">
            <w:pPr>
              <w:adjustRightInd w:val="0"/>
              <w:rPr>
                <w:rFonts w:hint="eastAsia" w:ascii="宋体" w:eastAsia="宋体"/>
                <w:b w:val="0"/>
                <w:color w:val="auto"/>
                <w:sz w:val="22"/>
                <w:szCs w:val="22"/>
                <w:highlight w:val="none"/>
              </w:rPr>
            </w:pPr>
            <w:r>
              <w:rPr>
                <w:rFonts w:hint="eastAsia" w:ascii="宋体" w:eastAsia="宋体" w:cs="Courier New"/>
                <w:b w:val="0"/>
                <w:bCs/>
                <w:color w:val="auto"/>
                <w:sz w:val="22"/>
                <w:highlight w:val="none"/>
              </w:rPr>
              <w:t>（7）制作、运输、安装和保管样品所发生的一切费用由投标人自理。</w:t>
            </w:r>
          </w:p>
        </w:tc>
      </w:tr>
      <w:tr w14:paraId="2CD0D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91BA7B7">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D6C6E69">
            <w:pPr>
              <w:adjustRightInd w:val="0"/>
              <w:jc w:val="left"/>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957" w:type="dxa"/>
            <w:noWrap w:val="0"/>
            <w:vAlign w:val="center"/>
          </w:tcPr>
          <w:p w14:paraId="74812CA2">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3E7FFA2D">
            <w:pPr>
              <w:adjustRightInd w:val="0"/>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 见第</w:t>
            </w:r>
            <w:r>
              <w:rPr>
                <w:rFonts w:hint="eastAsia" w:ascii="宋体" w:eastAsia="宋体"/>
                <w:b w:val="0"/>
                <w:color w:val="auto"/>
                <w:sz w:val="22"/>
                <w:szCs w:val="22"/>
                <w:highlight w:val="none"/>
                <w:lang w:val="en-US" w:eastAsia="zh-CN"/>
              </w:rPr>
              <w:t>一总则</w:t>
            </w:r>
            <w:r>
              <w:rPr>
                <w:rFonts w:hint="eastAsia" w:ascii="宋体" w:eastAsia="宋体"/>
                <w:b w:val="0"/>
                <w:color w:val="auto"/>
                <w:sz w:val="22"/>
                <w:szCs w:val="22"/>
                <w:highlight w:val="none"/>
              </w:rPr>
              <w:t>部分第</w:t>
            </w:r>
            <w:r>
              <w:rPr>
                <w:rFonts w:hint="eastAsia" w:ascii="宋体" w:eastAsia="宋体"/>
                <w:b w:val="0"/>
                <w:color w:val="auto"/>
                <w:sz w:val="22"/>
                <w:szCs w:val="22"/>
                <w:highlight w:val="none"/>
                <w:lang w:val="en-US" w:eastAsia="zh-CN"/>
              </w:rPr>
              <w:t>七</w:t>
            </w:r>
            <w:r>
              <w:rPr>
                <w:rFonts w:hint="eastAsia" w:ascii="宋体" w:eastAsia="宋体"/>
                <w:b w:val="0"/>
                <w:color w:val="auto"/>
                <w:sz w:val="22"/>
                <w:szCs w:val="22"/>
                <w:highlight w:val="none"/>
              </w:rPr>
              <w:t>大点</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lang w:val="en-US" w:eastAsia="zh-CN"/>
              </w:rPr>
              <w:t>授予合同</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第</w:t>
            </w:r>
            <w:r>
              <w:rPr>
                <w:rFonts w:hint="eastAsia" w:ascii="宋体" w:eastAsia="宋体"/>
                <w:b w:val="0"/>
                <w:color w:val="auto"/>
                <w:sz w:val="22"/>
                <w:szCs w:val="22"/>
                <w:highlight w:val="none"/>
                <w:lang w:val="en-US" w:eastAsia="zh-CN"/>
              </w:rPr>
              <w:t>27</w:t>
            </w:r>
            <w:r>
              <w:rPr>
                <w:rFonts w:hint="eastAsia" w:ascii="宋体" w:eastAsia="宋体"/>
                <w:b w:val="0"/>
                <w:color w:val="auto"/>
                <w:sz w:val="22"/>
                <w:szCs w:val="22"/>
                <w:highlight w:val="none"/>
              </w:rPr>
              <w:t>小点--履约保证金</w:t>
            </w:r>
          </w:p>
        </w:tc>
      </w:tr>
      <w:tr w14:paraId="7D99D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2D4CB2B">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6CFBA46">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lang w:eastAsia="zh-CN"/>
              </w:rPr>
              <w:t>采购文件</w:t>
            </w:r>
            <w:r>
              <w:rPr>
                <w:rFonts w:hint="eastAsia" w:ascii="宋体" w:eastAsia="宋体" w:cs="Arial"/>
                <w:b w:val="0"/>
                <w:color w:val="auto"/>
                <w:sz w:val="22"/>
                <w:szCs w:val="22"/>
                <w:highlight w:val="none"/>
              </w:rPr>
              <w:t>获取方式</w:t>
            </w:r>
          </w:p>
        </w:tc>
        <w:tc>
          <w:tcPr>
            <w:tcW w:w="7957" w:type="dxa"/>
            <w:noWrap w:val="0"/>
            <w:vAlign w:val="center"/>
          </w:tcPr>
          <w:p w14:paraId="28E64DBE">
            <w:pPr>
              <w:rPr>
                <w:rFonts w:ascii="宋体" w:eastAsia="宋体" w:cs="Arial"/>
                <w:b w:val="0"/>
                <w:color w:val="auto"/>
                <w:sz w:val="22"/>
                <w:szCs w:val="22"/>
                <w:highlight w:val="none"/>
              </w:rPr>
            </w:pPr>
            <w:r>
              <w:rPr>
                <w:rFonts w:hint="eastAsia" w:ascii="宋体" w:eastAsia="宋体"/>
                <w:b w:val="0"/>
                <w:color w:val="auto"/>
                <w:sz w:val="22"/>
                <w:szCs w:val="22"/>
                <w:highlight w:val="none"/>
              </w:rPr>
              <w:t>见招标公告</w:t>
            </w:r>
          </w:p>
        </w:tc>
      </w:tr>
      <w:tr w14:paraId="29B79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EC5F4CC">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60D26B7">
            <w:pPr>
              <w:jc w:val="left"/>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标书售价</w:t>
            </w:r>
          </w:p>
        </w:tc>
        <w:tc>
          <w:tcPr>
            <w:tcW w:w="7957" w:type="dxa"/>
            <w:noWrap w:val="0"/>
            <w:vAlign w:val="center"/>
          </w:tcPr>
          <w:p w14:paraId="71B662A6">
            <w:pPr>
              <w:rPr>
                <w:rFonts w:ascii="宋体" w:eastAsia="宋体"/>
                <w:b w:val="0"/>
                <w:color w:val="auto"/>
                <w:sz w:val="22"/>
                <w:szCs w:val="22"/>
                <w:highlight w:val="none"/>
              </w:rPr>
            </w:pPr>
            <w:r>
              <w:rPr>
                <w:rFonts w:hint="eastAsia" w:ascii="宋体" w:eastAsia="宋体"/>
                <w:b w:val="0"/>
                <w:color w:val="auto"/>
                <w:sz w:val="22"/>
                <w:szCs w:val="22"/>
                <w:highlight w:val="none"/>
              </w:rPr>
              <w:t>免费提供</w:t>
            </w:r>
          </w:p>
        </w:tc>
      </w:tr>
      <w:tr w14:paraId="08494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B26D025">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1A2C647">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投标截止时间</w:t>
            </w:r>
          </w:p>
        </w:tc>
        <w:tc>
          <w:tcPr>
            <w:tcW w:w="7957" w:type="dxa"/>
            <w:noWrap w:val="0"/>
            <w:vAlign w:val="center"/>
          </w:tcPr>
          <w:p w14:paraId="0F4C4087">
            <w:pPr>
              <w:rPr>
                <w:rFonts w:ascii="宋体" w:eastAsia="宋体" w:cs="Arial"/>
                <w:b w:val="0"/>
                <w:color w:val="auto"/>
                <w:sz w:val="22"/>
                <w:szCs w:val="22"/>
                <w:highlight w:val="none"/>
              </w:rPr>
            </w:pPr>
            <w:r>
              <w:rPr>
                <w:rFonts w:hint="eastAsia" w:ascii="宋体" w:eastAsia="宋体" w:cs="宋体"/>
                <w:b/>
                <w:bCs/>
                <w:i/>
                <w:color w:val="auto"/>
                <w:sz w:val="22"/>
                <w:szCs w:val="22"/>
                <w:highlight w:val="none"/>
                <w:lang w:val="en-US" w:eastAsia="zh-CN"/>
              </w:rPr>
              <w:t>2025年  月  日9</w:t>
            </w:r>
            <w:r>
              <w:rPr>
                <w:rFonts w:hint="eastAsia" w:ascii="宋体" w:eastAsia="宋体" w:cs="宋体"/>
                <w:b/>
                <w:bCs/>
                <w:i/>
                <w:color w:val="auto"/>
                <w:sz w:val="22"/>
                <w:szCs w:val="22"/>
                <w:highlight w:val="none"/>
              </w:rPr>
              <w:t>点</w:t>
            </w:r>
            <w:r>
              <w:rPr>
                <w:rFonts w:hint="eastAsia" w:ascii="宋体" w:eastAsia="宋体" w:cs="宋体"/>
                <w:b/>
                <w:bCs/>
                <w:i/>
                <w:color w:val="auto"/>
                <w:sz w:val="22"/>
                <w:szCs w:val="22"/>
                <w:highlight w:val="none"/>
                <w:lang w:val="en-US" w:eastAsia="zh-CN"/>
              </w:rPr>
              <w:t>30</w:t>
            </w:r>
            <w:r>
              <w:rPr>
                <w:rFonts w:hint="eastAsia" w:ascii="宋体" w:eastAsia="宋体" w:cs="宋体"/>
                <w:b/>
                <w:bCs/>
                <w:i/>
                <w:color w:val="auto"/>
                <w:sz w:val="22"/>
                <w:szCs w:val="22"/>
                <w:highlight w:val="none"/>
              </w:rPr>
              <w:t>分</w:t>
            </w:r>
            <w:r>
              <w:rPr>
                <w:rFonts w:hint="eastAsia" w:ascii="宋体" w:eastAsia="宋体" w:cs="宋体"/>
                <w:b/>
                <w:bCs/>
                <w:i/>
                <w:color w:val="auto"/>
                <w:sz w:val="22"/>
                <w:szCs w:val="22"/>
                <w:highlight w:val="none"/>
                <w:lang w:val="en-US" w:eastAsia="zh-CN"/>
              </w:rPr>
              <w:t>00</w:t>
            </w:r>
            <w:r>
              <w:rPr>
                <w:rFonts w:hint="eastAsia" w:ascii="宋体" w:eastAsia="宋体" w:cs="宋体"/>
                <w:b/>
                <w:bCs/>
                <w:i/>
                <w:color w:val="auto"/>
                <w:sz w:val="22"/>
                <w:szCs w:val="22"/>
                <w:highlight w:val="none"/>
              </w:rPr>
              <w:t>秒截止(北京时间)。</w:t>
            </w:r>
          </w:p>
        </w:tc>
      </w:tr>
      <w:tr w14:paraId="7C516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8EC185C">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AAD1CDC">
            <w:pPr>
              <w:jc w:val="left"/>
              <w:rPr>
                <w:rFonts w:ascii="宋体" w:eastAsia="宋体" w:cs="Arial"/>
                <w:b w:val="0"/>
                <w:color w:val="auto"/>
                <w:sz w:val="22"/>
                <w:szCs w:val="22"/>
                <w:highlight w:val="none"/>
              </w:rPr>
            </w:pPr>
            <w:r>
              <w:rPr>
                <w:rFonts w:hint="eastAsia" w:ascii="宋体" w:eastAsia="宋体"/>
                <w:b w:val="0"/>
                <w:color w:val="auto"/>
                <w:sz w:val="22"/>
                <w:szCs w:val="22"/>
                <w:highlight w:val="none"/>
                <w:lang w:eastAsia="zh-CN"/>
              </w:rPr>
              <w:t>响应文件</w:t>
            </w:r>
            <w:r>
              <w:rPr>
                <w:rFonts w:hint="eastAsia" w:ascii="宋体" w:eastAsia="宋体"/>
                <w:b w:val="0"/>
                <w:color w:val="auto"/>
                <w:sz w:val="22"/>
                <w:szCs w:val="22"/>
                <w:highlight w:val="none"/>
              </w:rPr>
              <w:t>递交时间及地点</w:t>
            </w:r>
          </w:p>
        </w:tc>
        <w:tc>
          <w:tcPr>
            <w:tcW w:w="7957" w:type="dxa"/>
            <w:noWrap w:val="0"/>
            <w:vAlign w:val="center"/>
          </w:tcPr>
          <w:p w14:paraId="4C056371">
            <w:pPr>
              <w:rPr>
                <w:rFonts w:ascii="宋体" w:eastAsia="宋体" w:cs="Arial"/>
                <w:b w:val="0"/>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13096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A042750">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A159FD5">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0A72F296">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开标地点</w:t>
            </w:r>
          </w:p>
        </w:tc>
        <w:tc>
          <w:tcPr>
            <w:tcW w:w="7957" w:type="dxa"/>
            <w:noWrap w:val="0"/>
            <w:vAlign w:val="center"/>
          </w:tcPr>
          <w:p w14:paraId="0625F89D">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cs="宋体"/>
                <w:b/>
                <w:bCs/>
                <w:i/>
                <w:color w:val="auto"/>
                <w:sz w:val="22"/>
                <w:szCs w:val="22"/>
                <w:highlight w:val="none"/>
                <w:lang w:val="en-US" w:eastAsia="zh-CN"/>
              </w:rPr>
              <w:t>2025年  月  日9</w:t>
            </w:r>
            <w:r>
              <w:rPr>
                <w:rFonts w:hint="eastAsia" w:ascii="宋体" w:eastAsia="宋体" w:cs="宋体"/>
                <w:b/>
                <w:bCs/>
                <w:i/>
                <w:color w:val="auto"/>
                <w:sz w:val="22"/>
                <w:szCs w:val="22"/>
                <w:highlight w:val="none"/>
              </w:rPr>
              <w:t>点</w:t>
            </w:r>
            <w:r>
              <w:rPr>
                <w:rFonts w:hint="eastAsia" w:ascii="宋体" w:eastAsia="宋体" w:cs="宋体"/>
                <w:b/>
                <w:bCs/>
                <w:i/>
                <w:color w:val="auto"/>
                <w:sz w:val="22"/>
                <w:szCs w:val="22"/>
                <w:highlight w:val="none"/>
                <w:lang w:val="en-US" w:eastAsia="zh-CN"/>
              </w:rPr>
              <w:t>30</w:t>
            </w:r>
            <w:r>
              <w:rPr>
                <w:rFonts w:hint="eastAsia" w:ascii="宋体" w:eastAsia="宋体" w:cs="宋体"/>
                <w:b/>
                <w:bCs/>
                <w:i/>
                <w:color w:val="auto"/>
                <w:sz w:val="22"/>
                <w:szCs w:val="22"/>
                <w:highlight w:val="none"/>
              </w:rPr>
              <w:t>分</w:t>
            </w:r>
            <w:r>
              <w:rPr>
                <w:rFonts w:hint="eastAsia" w:ascii="宋体" w:eastAsia="宋体" w:cs="宋体"/>
                <w:b/>
                <w:bCs/>
                <w:i/>
                <w:color w:val="auto"/>
                <w:sz w:val="22"/>
                <w:szCs w:val="22"/>
                <w:highlight w:val="none"/>
                <w:lang w:val="en-US" w:eastAsia="zh-CN"/>
              </w:rPr>
              <w:t>00</w:t>
            </w:r>
            <w:r>
              <w:rPr>
                <w:rFonts w:hint="eastAsia" w:ascii="宋体" w:eastAsia="宋体" w:cs="宋体"/>
                <w:b/>
                <w:bCs/>
                <w:i/>
                <w:color w:val="auto"/>
                <w:sz w:val="22"/>
                <w:szCs w:val="22"/>
                <w:highlight w:val="none"/>
              </w:rPr>
              <w:t>秒正 (北京时间)</w:t>
            </w:r>
          </w:p>
          <w:p w14:paraId="0EEE4943">
            <w:pPr>
              <w:rPr>
                <w:rFonts w:ascii="宋体" w:eastAsia="宋体"/>
                <w:b w:val="0"/>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0E1FC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50D7CAB">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B8E7908">
            <w:pPr>
              <w:jc w:val="left"/>
              <w:rPr>
                <w:rFonts w:hint="eastAsia" w:ascii="宋体" w:eastAsia="宋体" w:cs="Arial"/>
                <w:b w:val="0"/>
                <w:color w:val="auto"/>
                <w:sz w:val="22"/>
                <w:szCs w:val="22"/>
                <w:highlight w:val="none"/>
              </w:rPr>
            </w:pPr>
            <w:r>
              <w:rPr>
                <w:rFonts w:hint="eastAsia" w:ascii="宋体" w:eastAsia="宋体" w:cs="Courier New"/>
                <w:color w:val="auto"/>
                <w:sz w:val="22"/>
                <w:highlight w:val="none"/>
                <w:lang w:eastAsia="zh-CN"/>
              </w:rPr>
              <w:t>响应文件</w:t>
            </w:r>
            <w:r>
              <w:rPr>
                <w:rFonts w:hint="eastAsia" w:ascii="宋体" w:eastAsia="宋体" w:cs="Courier New"/>
                <w:color w:val="auto"/>
                <w:sz w:val="22"/>
                <w:highlight w:val="none"/>
              </w:rPr>
              <w:t>上传和递交</w:t>
            </w:r>
          </w:p>
        </w:tc>
        <w:tc>
          <w:tcPr>
            <w:tcW w:w="7957" w:type="dxa"/>
            <w:noWrap w:val="0"/>
            <w:vAlign w:val="center"/>
          </w:tcPr>
          <w:p w14:paraId="5EECF466">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32"/>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w:t>
            </w:r>
            <w:r>
              <w:rPr>
                <w:rFonts w:hint="eastAsia" w:ascii="宋体" w:eastAsia="宋体" w:cs="Courier New"/>
                <w:color w:val="auto"/>
                <w:sz w:val="22"/>
                <w:highlight w:val="none"/>
                <w:lang w:eastAsia="zh-CN"/>
              </w:rPr>
              <w:t>响应文件</w:t>
            </w:r>
            <w:r>
              <w:rPr>
                <w:rFonts w:ascii="宋体" w:eastAsia="宋体" w:cs="Courier New"/>
                <w:color w:val="auto"/>
                <w:sz w:val="22"/>
                <w:highlight w:val="none"/>
              </w:rPr>
              <w:t>”上传递交至“政府采购云平台”。</w:t>
            </w:r>
          </w:p>
          <w:p w14:paraId="7CCE13DE">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”的上传、递交：</w:t>
            </w:r>
          </w:p>
          <w:p w14:paraId="22EABD0E">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”成功上传递交至“政府采购云平台”，否则投标无效。</w:t>
            </w:r>
          </w:p>
          <w:p w14:paraId="17133378">
            <w:pPr>
              <w:rPr>
                <w:rFonts w:hint="eastAsia" w:ascii="宋体" w:eastAsia="宋体"/>
                <w:b w:val="0"/>
                <w:color w:val="auto"/>
                <w:sz w:val="22"/>
                <w:szCs w:val="22"/>
                <w:highlight w:val="none"/>
              </w:rPr>
            </w:pPr>
            <w:r>
              <w:rPr>
                <w:rFonts w:hint="eastAsia" w:ascii="宋体" w:eastAsia="宋体" w:cs="Courier New"/>
                <w:color w:val="auto"/>
                <w:sz w:val="22"/>
                <w:highlight w:val="none"/>
                <w:lang w:bidi="ar"/>
              </w:rPr>
              <w:t>b.“电子加密</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”成功上传递交后，供应商可自行打印</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接收回执。</w:t>
            </w:r>
          </w:p>
        </w:tc>
      </w:tr>
      <w:tr w14:paraId="2D4B4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320DF07">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9FED704">
            <w:pPr>
              <w:jc w:val="left"/>
              <w:rPr>
                <w:rFonts w:hint="eastAsia" w:ascii="宋体" w:hAnsi="宋体" w:eastAsia="宋体" w:cs="Courier New"/>
                <w:bCs/>
                <w:color w:val="auto"/>
                <w:sz w:val="22"/>
                <w:highlight w:val="none"/>
              </w:rPr>
            </w:pPr>
            <w:r>
              <w:rPr>
                <w:rFonts w:hint="eastAsia" w:ascii="宋体" w:hAnsi="宋体" w:eastAsia="宋体"/>
                <w:color w:val="auto"/>
                <w:sz w:val="22"/>
                <w:szCs w:val="22"/>
                <w:highlight w:val="none"/>
              </w:rPr>
              <w:t>备份</w:t>
            </w:r>
            <w:r>
              <w:rPr>
                <w:rFonts w:hint="eastAsia" w:ascii="宋体" w:hAnsi="宋体" w:eastAsia="宋体"/>
                <w:color w:val="auto"/>
                <w:sz w:val="22"/>
                <w:szCs w:val="22"/>
                <w:highlight w:val="none"/>
                <w:lang w:eastAsia="zh-CN"/>
              </w:rPr>
              <w:t>响应文件</w:t>
            </w:r>
            <w:r>
              <w:rPr>
                <w:rFonts w:hint="eastAsia" w:ascii="宋体" w:hAnsi="宋体" w:eastAsia="宋体"/>
                <w:color w:val="auto"/>
                <w:sz w:val="22"/>
                <w:szCs w:val="22"/>
                <w:highlight w:val="none"/>
              </w:rPr>
              <w:t>送达地点和签收</w:t>
            </w:r>
            <w:r>
              <w:rPr>
                <w:rFonts w:hint="eastAsia" w:ascii="宋体" w:hAnsi="宋体" w:eastAsia="宋体" w:cs="Courier New"/>
                <w:bCs/>
                <w:color w:val="auto"/>
                <w:sz w:val="22"/>
                <w:highlight w:val="none"/>
              </w:rPr>
              <w:t xml:space="preserve">人员 </w:t>
            </w:r>
          </w:p>
        </w:tc>
        <w:tc>
          <w:tcPr>
            <w:tcW w:w="7957" w:type="dxa"/>
            <w:noWrap w:val="0"/>
            <w:vAlign w:val="center"/>
          </w:tcPr>
          <w:p w14:paraId="6D60B3C0">
            <w:pPr>
              <w:rPr>
                <w:rFonts w:hint="eastAsia" w:ascii="宋体" w:hAnsi="宋体" w:eastAsia="宋体"/>
                <w:color w:val="auto"/>
                <w:sz w:val="22"/>
                <w:szCs w:val="22"/>
                <w:highlight w:val="none"/>
              </w:rPr>
            </w:pPr>
            <w:r>
              <w:rPr>
                <w:rFonts w:hint="eastAsia" w:ascii="宋体" w:hAnsi="宋体" w:eastAsia="宋体"/>
                <w:color w:val="auto"/>
                <w:kern w:val="28"/>
                <w:sz w:val="22"/>
                <w:szCs w:val="22"/>
                <w:highlight w:val="none"/>
              </w:rPr>
              <w:t>备份</w:t>
            </w:r>
            <w:r>
              <w:rPr>
                <w:rFonts w:hint="eastAsia" w:ascii="宋体" w:hAnsi="宋体" w:eastAsia="宋体"/>
                <w:color w:val="auto"/>
                <w:kern w:val="28"/>
                <w:sz w:val="22"/>
                <w:szCs w:val="22"/>
                <w:highlight w:val="none"/>
                <w:lang w:eastAsia="zh-CN"/>
              </w:rPr>
              <w:t>响应文件</w:t>
            </w:r>
            <w:r>
              <w:rPr>
                <w:rFonts w:hint="eastAsia" w:ascii="宋体" w:hAnsi="宋体" w:eastAsia="宋体"/>
                <w:color w:val="auto"/>
                <w:kern w:val="28"/>
                <w:sz w:val="22"/>
                <w:szCs w:val="22"/>
                <w:highlight w:val="none"/>
              </w:rPr>
              <w:t>送达地点：</w:t>
            </w:r>
            <w:r>
              <w:rPr>
                <w:rFonts w:hint="eastAsia" w:ascii="宋体" w:hAnsi="宋体" w:eastAsia="宋体" w:cs="宋体"/>
                <w:color w:val="auto"/>
                <w:kern w:val="28"/>
                <w:sz w:val="22"/>
                <w:szCs w:val="22"/>
                <w:highlight w:val="none"/>
                <w:lang w:eastAsia="zh-CN"/>
              </w:rPr>
              <w:t>永嘉县南城街道县前西路律师楼202室（永嘉县人民法院西北门正对面银弟烟酒楼上）</w:t>
            </w:r>
            <w:r>
              <w:rPr>
                <w:rFonts w:hint="eastAsia" w:ascii="宋体" w:hAnsi="宋体" w:eastAsia="宋体" w:cs="宋体"/>
                <w:color w:val="auto"/>
                <w:kern w:val="28"/>
                <w:sz w:val="22"/>
                <w:szCs w:val="22"/>
                <w:highlight w:val="none"/>
              </w:rPr>
              <w:t>；备份投标</w:t>
            </w:r>
            <w:r>
              <w:rPr>
                <w:rFonts w:hint="eastAsia" w:ascii="宋体" w:hAnsi="宋体" w:eastAsia="宋体"/>
                <w:color w:val="auto"/>
                <w:kern w:val="28"/>
                <w:sz w:val="22"/>
                <w:szCs w:val="22"/>
                <w:highlight w:val="none"/>
              </w:rPr>
              <w:t>文件签收人员联系电话：</w:t>
            </w:r>
            <w:r>
              <w:rPr>
                <w:rFonts w:hint="eastAsia" w:ascii="宋体" w:hAnsi="宋体" w:eastAsia="宋体"/>
                <w:color w:val="auto"/>
                <w:sz w:val="22"/>
                <w:szCs w:val="22"/>
                <w:highlight w:val="none"/>
                <w:u w:val="single"/>
                <w:lang w:val="en-US" w:eastAsia="zh-CN"/>
              </w:rPr>
              <w:t>张先生</w:t>
            </w:r>
            <w:r>
              <w:rPr>
                <w:rFonts w:hint="eastAsia" w:ascii="宋体" w:hAnsi="宋体" w:eastAsia="宋体"/>
                <w:color w:val="auto"/>
                <w:sz w:val="22"/>
                <w:szCs w:val="22"/>
                <w:highlight w:val="none"/>
              </w:rPr>
              <w:t xml:space="preserve"> </w:t>
            </w:r>
            <w:r>
              <w:rPr>
                <w:rFonts w:hint="eastAsia" w:ascii="宋体" w:hAnsi="宋体" w:eastAsia="宋体" w:cs="宋体"/>
                <w:color w:val="auto"/>
                <w:sz w:val="22"/>
                <w:szCs w:val="22"/>
                <w:highlight w:val="none"/>
                <w:u w:val="single"/>
                <w:lang w:val="en-US" w:eastAsia="zh-CN"/>
              </w:rPr>
              <w:t>18968966500</w:t>
            </w:r>
            <w:r>
              <w:rPr>
                <w:rFonts w:hint="eastAsia" w:ascii="宋体" w:hAnsi="宋体" w:eastAsia="宋体"/>
                <w:color w:val="auto"/>
                <w:sz w:val="22"/>
                <w:szCs w:val="22"/>
                <w:highlight w:val="none"/>
              </w:rPr>
              <w:t>。(建议采用顺丰快递)</w:t>
            </w:r>
          </w:p>
          <w:p w14:paraId="38F2093E">
            <w:pPr>
              <w:rPr>
                <w:rFonts w:hint="eastAsia" w:ascii="宋体" w:hAnsi="宋体" w:eastAsia="宋体"/>
                <w:bCs/>
                <w:color w:val="auto"/>
                <w:kern w:val="28"/>
                <w:sz w:val="22"/>
                <w:szCs w:val="22"/>
                <w:highlight w:val="none"/>
              </w:rPr>
            </w:pPr>
            <w:r>
              <w:rPr>
                <w:rFonts w:hint="eastAsia" w:ascii="宋体" w:hAnsi="宋体" w:eastAsia="宋体"/>
                <w:color w:val="auto"/>
                <w:sz w:val="22"/>
                <w:szCs w:val="22"/>
                <w:highlight w:val="none"/>
              </w:rPr>
              <w:t>采购人、采购机构不强制或变相强制投标人提交备份</w:t>
            </w:r>
            <w:r>
              <w:rPr>
                <w:rFonts w:hint="eastAsia" w:ascii="宋体" w:hAnsi="宋体" w:eastAsia="宋体"/>
                <w:color w:val="auto"/>
                <w:sz w:val="22"/>
                <w:szCs w:val="22"/>
                <w:highlight w:val="none"/>
                <w:lang w:eastAsia="zh-CN"/>
              </w:rPr>
              <w:t>响应文件</w:t>
            </w:r>
            <w:r>
              <w:rPr>
                <w:rFonts w:hint="eastAsia" w:ascii="宋体" w:hAnsi="宋体" w:eastAsia="宋体"/>
                <w:color w:val="auto"/>
                <w:sz w:val="22"/>
                <w:szCs w:val="22"/>
                <w:highlight w:val="none"/>
              </w:rPr>
              <w:t>。采购活动结束后，备份</w:t>
            </w:r>
            <w:r>
              <w:rPr>
                <w:rFonts w:hint="eastAsia" w:ascii="宋体" w:hAnsi="宋体" w:eastAsia="宋体"/>
                <w:color w:val="auto"/>
                <w:sz w:val="22"/>
                <w:szCs w:val="22"/>
                <w:highlight w:val="none"/>
                <w:lang w:eastAsia="zh-CN"/>
              </w:rPr>
              <w:t>响应文件</w:t>
            </w:r>
            <w:r>
              <w:rPr>
                <w:rFonts w:hint="eastAsia" w:ascii="宋体" w:hAnsi="宋体" w:eastAsia="宋体"/>
                <w:color w:val="auto"/>
                <w:sz w:val="22"/>
                <w:szCs w:val="22"/>
                <w:highlight w:val="none"/>
              </w:rPr>
              <w:t>存储介质请于3个工作日内取回，逾期未取回，不负保管义务。</w:t>
            </w:r>
          </w:p>
        </w:tc>
      </w:tr>
      <w:tr w14:paraId="4AD4E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88829FA">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54B0251">
            <w:pPr>
              <w:rPr>
                <w:rFonts w:ascii="宋体" w:eastAsia="宋体" w:cs="Courier New"/>
                <w:b w:val="0"/>
                <w:color w:val="auto"/>
                <w:sz w:val="22"/>
                <w:highlight w:val="none"/>
              </w:rPr>
            </w:pPr>
            <w:r>
              <w:rPr>
                <w:rFonts w:hint="eastAsia" w:ascii="宋体" w:eastAsia="宋体" w:cs="Courier New"/>
                <w:b w:val="0"/>
                <w:color w:val="auto"/>
                <w:sz w:val="22"/>
                <w:highlight w:val="none"/>
                <w:lang w:bidi="ar"/>
              </w:rPr>
              <w:t>电子加密</w:t>
            </w:r>
            <w:r>
              <w:rPr>
                <w:rFonts w:hint="eastAsia" w:ascii="宋体" w:eastAsia="宋体" w:cs="Courier New"/>
                <w:b w:val="0"/>
                <w:color w:val="auto"/>
                <w:sz w:val="22"/>
                <w:highlight w:val="none"/>
                <w:lang w:eastAsia="zh-CN" w:bidi="ar"/>
              </w:rPr>
              <w:t>响应文件</w:t>
            </w:r>
            <w:r>
              <w:rPr>
                <w:rFonts w:hint="eastAsia" w:ascii="宋体" w:eastAsia="宋体" w:cs="Courier New"/>
                <w:b w:val="0"/>
                <w:color w:val="auto"/>
                <w:sz w:val="22"/>
                <w:highlight w:val="none"/>
                <w:lang w:bidi="ar"/>
              </w:rPr>
              <w:t>的解密和异常情况处理</w:t>
            </w:r>
          </w:p>
        </w:tc>
        <w:tc>
          <w:tcPr>
            <w:tcW w:w="7957" w:type="dxa"/>
            <w:noWrap w:val="0"/>
            <w:vAlign w:val="center"/>
          </w:tcPr>
          <w:p w14:paraId="5C43A751">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”的解密通知，各投标供应商代表应当在接到解密通知后30分钟内自行完成“电子加密</w:t>
            </w:r>
            <w:r>
              <w:rPr>
                <w:rFonts w:hint="eastAsia" w:ascii="宋体" w:eastAsia="宋体" w:cs="Courier New"/>
                <w:color w:val="auto"/>
                <w:sz w:val="22"/>
                <w:highlight w:val="none"/>
                <w:lang w:eastAsia="zh-CN" w:bidi="ar"/>
              </w:rPr>
              <w:t>响应文件</w:t>
            </w:r>
            <w:r>
              <w:rPr>
                <w:rFonts w:hint="eastAsia" w:ascii="宋体" w:eastAsia="宋体" w:cs="Courier New"/>
                <w:color w:val="auto"/>
                <w:sz w:val="22"/>
                <w:highlight w:val="none"/>
                <w:lang w:bidi="ar"/>
              </w:rPr>
              <w:t>”的在线解密。</w:t>
            </w:r>
          </w:p>
          <w:p w14:paraId="0F9842CA">
            <w:pPr>
              <w:rPr>
                <w:rFonts w:hint="eastAsia" w:ascii="宋体" w:eastAsia="宋体" w:cs="Courier New"/>
                <w:color w:val="auto"/>
                <w:sz w:val="22"/>
                <w:highlight w:val="none"/>
                <w:lang w:bidi="ar"/>
              </w:rPr>
            </w:pPr>
            <w:r>
              <w:rPr>
                <w:rFonts w:hint="eastAsia" w:ascii="宋体" w:hAnsi="宋体" w:eastAsia="宋体" w:cs="Courier New"/>
                <w:bCs/>
                <w:color w:val="auto"/>
                <w:sz w:val="22"/>
                <w:highlight w:val="none"/>
                <w:lang w:bidi="ar"/>
              </w:rPr>
              <w:t>2、</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未按时解密，投标人提供了备份</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的，以备份</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作为依据，否则视为</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撤回。</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已按时解密的，备份</w:t>
            </w:r>
            <w:r>
              <w:rPr>
                <w:rFonts w:hint="eastAsia" w:ascii="宋体" w:hAnsi="宋体" w:eastAsia="宋体" w:cs="Courier New"/>
                <w:bCs/>
                <w:color w:val="auto"/>
                <w:sz w:val="22"/>
                <w:highlight w:val="none"/>
                <w:lang w:eastAsia="zh-CN" w:bidi="ar"/>
              </w:rPr>
              <w:t>响应文件</w:t>
            </w:r>
            <w:r>
              <w:rPr>
                <w:rFonts w:hint="eastAsia" w:ascii="宋体" w:hAnsi="宋体" w:eastAsia="宋体" w:cs="Courier New"/>
                <w:bCs/>
                <w:color w:val="auto"/>
                <w:sz w:val="22"/>
                <w:highlight w:val="none"/>
                <w:lang w:bidi="ar"/>
              </w:rPr>
              <w:t>自动失效。</w:t>
            </w:r>
          </w:p>
        </w:tc>
      </w:tr>
      <w:tr w14:paraId="5B96B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9A8FCA0">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EAC99B2">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评审委员会的</w:t>
            </w:r>
          </w:p>
          <w:p w14:paraId="67A7C42D">
            <w:pPr>
              <w:jc w:val="left"/>
              <w:rPr>
                <w:rFonts w:ascii="宋体" w:eastAsia="宋体" w:cs="Arial"/>
                <w:b w:val="0"/>
                <w:color w:val="auto"/>
                <w:sz w:val="22"/>
                <w:szCs w:val="22"/>
                <w:highlight w:val="none"/>
              </w:rPr>
            </w:pPr>
            <w:r>
              <w:rPr>
                <w:rFonts w:hint="eastAsia" w:ascii="宋体" w:eastAsia="宋体" w:cs="Arial"/>
                <w:b w:val="0"/>
                <w:color w:val="auto"/>
                <w:sz w:val="22"/>
                <w:szCs w:val="22"/>
                <w:highlight w:val="none"/>
              </w:rPr>
              <w:t>组建</w:t>
            </w:r>
          </w:p>
        </w:tc>
        <w:tc>
          <w:tcPr>
            <w:tcW w:w="7957" w:type="dxa"/>
            <w:noWrap w:val="0"/>
            <w:vAlign w:val="center"/>
          </w:tcPr>
          <w:p w14:paraId="5962E09D">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评审委员会构成： 由采购人代表以及有关技术、经济等方面的专家组成，成员为3人及以上单数，其中技术、经济类专家不得少于总人数的2/3；评标专家确定方式：按相关规定从专家库中抽取。</w:t>
            </w:r>
          </w:p>
        </w:tc>
      </w:tr>
      <w:tr w14:paraId="247C0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47733DD">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65CB616">
            <w:pPr>
              <w:adjustRightInd w:val="0"/>
              <w:jc w:val="both"/>
              <w:rPr>
                <w:rFonts w:hint="eastAsia" w:ascii="宋体" w:eastAsia="宋体"/>
                <w:b w:val="0"/>
                <w:color w:val="auto"/>
                <w:sz w:val="22"/>
                <w:szCs w:val="22"/>
                <w:highlight w:val="none"/>
              </w:rPr>
            </w:pPr>
            <w:r>
              <w:rPr>
                <w:rFonts w:hint="eastAsia" w:ascii="宋体" w:hAnsi="宋体" w:eastAsia="宋体"/>
                <w:b w:val="0"/>
                <w:color w:val="auto"/>
                <w:sz w:val="22"/>
                <w:szCs w:val="22"/>
                <w:highlight w:val="none"/>
              </w:rPr>
              <w:t>政采金融服务</w:t>
            </w:r>
          </w:p>
        </w:tc>
        <w:tc>
          <w:tcPr>
            <w:tcW w:w="7957" w:type="dxa"/>
            <w:noWrap w:val="0"/>
            <w:vAlign w:val="center"/>
          </w:tcPr>
          <w:p w14:paraId="0141AF77">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7AC02687">
            <w:pPr>
              <w:rPr>
                <w:rFonts w:hint="eastAsia" w:ascii="宋体" w:eastAsia="宋体"/>
                <w:b w:val="0"/>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110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D9CCA81">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136B6E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供应商信用查询</w:t>
            </w:r>
          </w:p>
        </w:tc>
        <w:tc>
          <w:tcPr>
            <w:tcW w:w="7957" w:type="dxa"/>
            <w:noWrap w:val="0"/>
            <w:vAlign w:val="center"/>
          </w:tcPr>
          <w:p w14:paraId="537E35D7">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1、信用信息查询渠道及截止时间：采购机构将通过“信用中国”网站(www.creditchina.gov.cn)、中国政府采购网(www.ccgp.gov.cn)渠道查询投标人投标截止时间当天的信用记录。</w:t>
            </w:r>
          </w:p>
          <w:p w14:paraId="2B444BE8">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2、信用信息查询记录和证据留存的具体方式：现场查询的投标人的信用记录、查询结果经确认后将与采购文件一起存档。</w:t>
            </w:r>
          </w:p>
          <w:p w14:paraId="359668CB">
            <w:pPr>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3、信用信息的使用规则：经查询列入失信被执行人名单、重大税收违法案件当事人名单、政府采购严重违法失信行为记录名单的投标人将被拒绝参与政府采购活动。</w:t>
            </w:r>
          </w:p>
          <w:p w14:paraId="10FD8993">
            <w:pPr>
              <w:rPr>
                <w:rFonts w:hint="eastAsia" w:ascii="宋体" w:eastAsia="宋体" w:cs="Arial"/>
                <w:color w:val="auto"/>
                <w:sz w:val="22"/>
                <w:szCs w:val="22"/>
                <w:highlight w:val="none"/>
              </w:rPr>
            </w:pPr>
            <w:r>
              <w:rPr>
                <w:rFonts w:hint="eastAsia" w:ascii="宋体" w:hAnsi="宋体" w:eastAsia="宋体" w:cs="Arial"/>
                <w:bCs/>
                <w:color w:val="auto"/>
                <w:sz w:val="22"/>
                <w:szCs w:val="22"/>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CE13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BE73EB5">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3233EE1">
            <w:pPr>
              <w:jc w:val="both"/>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合同备案</w:t>
            </w:r>
          </w:p>
        </w:tc>
        <w:tc>
          <w:tcPr>
            <w:tcW w:w="7957" w:type="dxa"/>
            <w:noWrap w:val="0"/>
            <w:vAlign w:val="center"/>
          </w:tcPr>
          <w:p w14:paraId="6F706F5E">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1、中标供应商须在发出中标通知书之日起30日历天内与采购人签订合同。</w:t>
            </w:r>
          </w:p>
          <w:p w14:paraId="3D0EEAE7">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2、中标供应商与采购人签订合同后。2天内合同原件扫描件电子版发邮箱：</w:t>
            </w:r>
            <w:r>
              <w:rPr>
                <w:rFonts w:ascii="宋体" w:eastAsia="宋体" w:cs="Arial"/>
                <w:b w:val="0"/>
                <w:color w:val="auto"/>
                <w:sz w:val="22"/>
                <w:szCs w:val="22"/>
                <w:highlight w:val="none"/>
              </w:rPr>
              <w:fldChar w:fldCharType="begin"/>
            </w:r>
            <w:r>
              <w:rPr>
                <w:rFonts w:ascii="宋体" w:eastAsia="宋体" w:cs="Arial"/>
                <w:b w:val="0"/>
                <w:color w:val="auto"/>
                <w:sz w:val="22"/>
                <w:szCs w:val="22"/>
                <w:highlight w:val="none"/>
              </w:rPr>
              <w:instrText xml:space="preserve"> HYPERLINK "mailto:</w:instrText>
            </w:r>
            <w:r>
              <w:rPr>
                <w:rFonts w:hint="eastAsia" w:ascii="宋体" w:eastAsia="宋体" w:cs="Arial"/>
                <w:b w:val="0"/>
                <w:color w:val="auto"/>
                <w:sz w:val="22"/>
                <w:szCs w:val="22"/>
                <w:highlight w:val="none"/>
              </w:rPr>
              <w:instrText xml:space="preserve">627157963@qq.com</w:instrText>
            </w:r>
            <w:r>
              <w:rPr>
                <w:rFonts w:ascii="宋体" w:eastAsia="宋体" w:cs="Arial"/>
                <w:b w:val="0"/>
                <w:color w:val="auto"/>
                <w:sz w:val="22"/>
                <w:szCs w:val="22"/>
                <w:highlight w:val="none"/>
              </w:rPr>
              <w:instrText xml:space="preserve">" </w:instrText>
            </w:r>
            <w:r>
              <w:rPr>
                <w:rFonts w:ascii="宋体" w:eastAsia="宋体" w:cs="Arial"/>
                <w:b w:val="0"/>
                <w:color w:val="auto"/>
                <w:sz w:val="22"/>
                <w:szCs w:val="22"/>
                <w:highlight w:val="none"/>
              </w:rPr>
              <w:fldChar w:fldCharType="separate"/>
            </w:r>
            <w:r>
              <w:rPr>
                <w:rStyle w:val="32"/>
                <w:rFonts w:hint="eastAsia" w:ascii="宋体" w:eastAsia="宋体" w:cs="Arial"/>
                <w:b w:val="0"/>
                <w:color w:val="auto"/>
                <w:sz w:val="22"/>
                <w:szCs w:val="22"/>
                <w:highlight w:val="none"/>
                <w:lang w:val="en-US" w:eastAsia="zh-CN"/>
              </w:rPr>
              <w:t>101026922</w:t>
            </w:r>
            <w:r>
              <w:rPr>
                <w:rStyle w:val="32"/>
                <w:rFonts w:hint="eastAsia" w:ascii="宋体" w:eastAsia="宋体" w:cs="Arial"/>
                <w:b w:val="0"/>
                <w:color w:val="auto"/>
                <w:sz w:val="22"/>
                <w:szCs w:val="22"/>
                <w:highlight w:val="none"/>
              </w:rPr>
              <w:t>@qq.com</w:t>
            </w:r>
            <w:r>
              <w:rPr>
                <w:rFonts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14:paraId="502C76CE">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3、本项目政府采购合同按规定在</w:t>
            </w:r>
            <w:r>
              <w:rPr>
                <w:rFonts w:hint="eastAsia" w:ascii="宋体" w:eastAsia="宋体"/>
                <w:b w:val="0"/>
                <w:color w:val="auto"/>
                <w:sz w:val="22"/>
                <w:szCs w:val="22"/>
                <w:highlight w:val="none"/>
              </w:rPr>
              <w:t>浙江政府采购网（</w:t>
            </w:r>
            <w:r>
              <w:rPr>
                <w:rFonts w:ascii="宋体" w:eastAsia="宋体"/>
                <w:b w:val="0"/>
                <w:color w:val="auto"/>
                <w:sz w:val="22"/>
                <w:szCs w:val="22"/>
                <w:highlight w:val="none"/>
              </w:rPr>
              <w:t>http://www.zjzfcg.gov.cn</w:t>
            </w:r>
            <w:r>
              <w:rPr>
                <w:rFonts w:hint="eastAsia" w:ascii="宋体" w:eastAsia="宋体"/>
                <w:b w:val="0"/>
                <w:color w:val="auto"/>
                <w:sz w:val="22"/>
                <w:szCs w:val="22"/>
                <w:highlight w:val="none"/>
              </w:rPr>
              <w:t>）</w:t>
            </w:r>
            <w:r>
              <w:rPr>
                <w:rFonts w:hint="eastAsia" w:ascii="宋体" w:eastAsia="宋体" w:cs="Arial"/>
                <w:b w:val="0"/>
                <w:color w:val="auto"/>
                <w:sz w:val="22"/>
                <w:szCs w:val="22"/>
                <w:highlight w:val="none"/>
              </w:rPr>
              <w:t>予以公告。</w:t>
            </w:r>
          </w:p>
        </w:tc>
      </w:tr>
      <w:tr w14:paraId="180B5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9A60390">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8067662">
            <w:pPr>
              <w:jc w:val="both"/>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7957" w:type="dxa"/>
            <w:noWrap w:val="0"/>
            <w:vAlign w:val="center"/>
          </w:tcPr>
          <w:p w14:paraId="76C34799">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7B312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2CD8D0C">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5EDDE46">
            <w:pPr>
              <w:jc w:val="both"/>
              <w:rPr>
                <w:rFonts w:hint="eastAsia"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7957" w:type="dxa"/>
            <w:noWrap w:val="0"/>
            <w:vAlign w:val="center"/>
          </w:tcPr>
          <w:p w14:paraId="2910A87D">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3A787F41">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2BB1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C0C81F1">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shd w:val="clear" w:color="auto" w:fill="auto"/>
            <w:noWrap w:val="0"/>
            <w:vAlign w:val="center"/>
          </w:tcPr>
          <w:p w14:paraId="4DEF2F4E">
            <w:pPr>
              <w:jc w:val="center"/>
              <w:rPr>
                <w:rFonts w:hint="eastAsia" w:ascii="宋体" w:eastAsia="宋体" w:cs="Courier New" w:hAnsiTheme="minorHAnsi"/>
                <w:b w:val="0"/>
                <w:color w:val="auto"/>
                <w:kern w:val="2"/>
                <w:sz w:val="22"/>
                <w:szCs w:val="24"/>
                <w:highlight w:val="none"/>
                <w:lang w:val="en-US" w:eastAsia="zh-CN" w:bidi="ar-SA"/>
              </w:rPr>
            </w:pPr>
            <w:r>
              <w:rPr>
                <w:rFonts w:hint="eastAsia" w:ascii="宋体" w:eastAsia="宋体" w:cs="Courier New"/>
                <w:b w:val="0"/>
                <w:color w:val="auto"/>
                <w:sz w:val="22"/>
                <w:highlight w:val="none"/>
                <w:lang w:val="en-US" w:eastAsia="zh-CN"/>
              </w:rPr>
              <w:t>招标代理服务费</w:t>
            </w:r>
          </w:p>
        </w:tc>
        <w:tc>
          <w:tcPr>
            <w:tcW w:w="7957" w:type="dxa"/>
            <w:shd w:val="clear" w:color="auto" w:fill="auto"/>
            <w:noWrap w:val="0"/>
            <w:vAlign w:val="center"/>
          </w:tcPr>
          <w:p w14:paraId="58803DDC">
            <w:pPr>
              <w:rPr>
                <w:rFonts w:hint="eastAsia" w:ascii="宋体" w:eastAsia="宋体" w:cs="Courier New" w:hAnsiTheme="minorHAnsi"/>
                <w:b w:val="0"/>
                <w:color w:val="auto"/>
                <w:kern w:val="2"/>
                <w:sz w:val="22"/>
                <w:szCs w:val="24"/>
                <w:highlight w:val="none"/>
                <w:lang w:val="en-US" w:eastAsia="zh-CN" w:bidi="ar-SA"/>
              </w:rPr>
            </w:pPr>
            <w:r>
              <w:rPr>
                <w:rFonts w:hint="eastAsia" w:ascii="宋体" w:eastAsia="宋体" w:cs="Arial"/>
                <w:b w:val="0"/>
                <w:color w:val="auto"/>
                <w:sz w:val="22"/>
                <w:szCs w:val="22"/>
                <w:highlight w:val="none"/>
              </w:rPr>
              <w:t>本项目的采购代理费由中标人支付；本项目的采购代理服务费为：参照《关于印发招标代理服务收费管理暂行办法的通知(计价格[2002]1980号)文件(招标代理服务费)规定收费标准</w:t>
            </w:r>
            <w:r>
              <w:rPr>
                <w:rFonts w:hint="eastAsia" w:ascii="宋体" w:eastAsia="宋体" w:cs="Arial"/>
                <w:b w:val="0"/>
                <w:color w:val="auto"/>
                <w:sz w:val="22"/>
                <w:szCs w:val="22"/>
                <w:highlight w:val="none"/>
                <w:lang w:val="en-US" w:eastAsia="zh-CN"/>
              </w:rPr>
              <w:t>。不足8000元按8000元记取。</w:t>
            </w:r>
            <w:r>
              <w:rPr>
                <w:rFonts w:hint="eastAsia" w:ascii="宋体" w:eastAsia="宋体" w:cs="Arial"/>
                <w:b w:val="0"/>
                <w:color w:val="auto"/>
                <w:sz w:val="22"/>
                <w:szCs w:val="22"/>
                <w:highlight w:val="none"/>
              </w:rPr>
              <w:t>由中标人在领取中标通知书</w:t>
            </w:r>
            <w:r>
              <w:rPr>
                <w:rFonts w:hint="eastAsia" w:ascii="宋体" w:eastAsia="宋体" w:cs="Arial"/>
                <w:b w:val="0"/>
                <w:color w:val="auto"/>
                <w:sz w:val="22"/>
                <w:szCs w:val="22"/>
                <w:highlight w:val="none"/>
                <w:lang w:val="en-US" w:eastAsia="zh-CN"/>
              </w:rPr>
              <w:t>前</w:t>
            </w:r>
            <w:r>
              <w:rPr>
                <w:rFonts w:hint="eastAsia" w:ascii="宋体" w:eastAsia="宋体" w:cs="Arial"/>
                <w:b w:val="0"/>
                <w:color w:val="auto"/>
                <w:sz w:val="22"/>
                <w:szCs w:val="22"/>
                <w:highlight w:val="none"/>
              </w:rPr>
              <w:t>一次性向代理机构支付。该费用在投标文件中不单列，由投标人在投标总报价中综合考虑。</w:t>
            </w:r>
          </w:p>
        </w:tc>
      </w:tr>
      <w:tr w14:paraId="06881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B8866C0">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C71CE6F">
            <w:pPr>
              <w:jc w:val="both"/>
              <w:rPr>
                <w:rFonts w:ascii="宋体" w:eastAsia="宋体" w:cs="Arial"/>
                <w:b w:val="0"/>
                <w:color w:val="auto"/>
                <w:sz w:val="22"/>
                <w:szCs w:val="22"/>
                <w:highlight w:val="none"/>
              </w:rPr>
            </w:pPr>
            <w:r>
              <w:rPr>
                <w:rFonts w:hint="eastAsia" w:ascii="宋体" w:eastAsia="宋体" w:cs="Courier New"/>
                <w:b w:val="0"/>
                <w:color w:val="auto"/>
                <w:sz w:val="22"/>
                <w:highlight w:val="none"/>
              </w:rPr>
              <w:t>解释权</w:t>
            </w:r>
          </w:p>
        </w:tc>
        <w:tc>
          <w:tcPr>
            <w:tcW w:w="7957" w:type="dxa"/>
            <w:noWrap w:val="0"/>
            <w:vAlign w:val="center"/>
          </w:tcPr>
          <w:p w14:paraId="64EA0CEB">
            <w:pPr>
              <w:rPr>
                <w:rFonts w:ascii="宋体" w:eastAsia="宋体" w:cs="Arial"/>
                <w:b w:val="0"/>
                <w:color w:val="auto"/>
                <w:sz w:val="22"/>
                <w:szCs w:val="22"/>
                <w:highlight w:val="none"/>
              </w:rPr>
            </w:pPr>
            <w:r>
              <w:rPr>
                <w:rFonts w:hint="eastAsia" w:ascii="宋体" w:eastAsia="宋体" w:cs="Courier New"/>
                <w:b w:val="0"/>
                <w:color w:val="auto"/>
                <w:sz w:val="22"/>
                <w:highlight w:val="none"/>
              </w:rPr>
              <w:t>构成本</w:t>
            </w:r>
            <w:r>
              <w:rPr>
                <w:rFonts w:hint="eastAsia" w:ascii="宋体" w:eastAsia="宋体" w:cs="Courier New"/>
                <w:b w:val="0"/>
                <w:color w:val="auto"/>
                <w:sz w:val="22"/>
                <w:highlight w:val="none"/>
                <w:lang w:eastAsia="zh-CN"/>
              </w:rPr>
              <w:t>采购文件</w:t>
            </w:r>
            <w:r>
              <w:rPr>
                <w:rFonts w:hint="eastAsia" w:ascii="宋体" w:eastAsia="宋体" w:cs="Courier New"/>
                <w:b w:val="0"/>
                <w:color w:val="auto"/>
                <w:sz w:val="22"/>
                <w:highlight w:val="none"/>
              </w:rPr>
              <w:t>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w:t>
            </w:r>
            <w:r>
              <w:rPr>
                <w:rFonts w:hint="eastAsia" w:ascii="宋体" w:eastAsia="宋体" w:cs="Courier New"/>
                <w:b w:val="0"/>
                <w:color w:val="auto"/>
                <w:sz w:val="22"/>
                <w:highlight w:val="none"/>
                <w:lang w:eastAsia="zh-CN"/>
              </w:rPr>
              <w:t>响应文件</w:t>
            </w:r>
            <w:r>
              <w:rPr>
                <w:rFonts w:hint="eastAsia" w:ascii="宋体" w:eastAsia="宋体" w:cs="Courier New"/>
                <w:b w:val="0"/>
                <w:color w:val="auto"/>
                <w:sz w:val="22"/>
                <w:highlight w:val="none"/>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DAE5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C751063">
            <w:pPr>
              <w:widowControl/>
              <w:numPr>
                <w:ilvl w:val="0"/>
                <w:numId w:val="3"/>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16A5C0D">
            <w:pPr>
              <w:jc w:val="both"/>
              <w:rPr>
                <w:rFonts w:ascii="宋体" w:eastAsia="宋体" w:cs="Arial"/>
                <w:b w:val="0"/>
                <w:color w:val="auto"/>
                <w:sz w:val="22"/>
                <w:szCs w:val="22"/>
                <w:highlight w:val="none"/>
              </w:rPr>
            </w:pPr>
            <w:r>
              <w:rPr>
                <w:rFonts w:hint="eastAsia" w:ascii="宋体" w:eastAsia="宋体"/>
                <w:b w:val="0"/>
                <w:color w:val="auto"/>
                <w:sz w:val="22"/>
                <w:highlight w:val="none"/>
              </w:rPr>
              <w:t>注意事项</w:t>
            </w:r>
          </w:p>
        </w:tc>
        <w:tc>
          <w:tcPr>
            <w:tcW w:w="7957" w:type="dxa"/>
            <w:noWrap w:val="0"/>
            <w:vAlign w:val="center"/>
          </w:tcPr>
          <w:p w14:paraId="4177CA55">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w:t>
            </w:r>
            <w:r>
              <w:rPr>
                <w:rFonts w:hint="eastAsia" w:ascii="宋体" w:eastAsia="宋体" w:cs="Arial"/>
                <w:b w:val="0"/>
                <w:color w:val="auto"/>
                <w:sz w:val="22"/>
                <w:szCs w:val="22"/>
                <w:highlight w:val="none"/>
                <w:lang w:eastAsia="zh-CN"/>
              </w:rPr>
              <w:t>响应文件</w:t>
            </w:r>
            <w:r>
              <w:rPr>
                <w:rFonts w:hint="eastAsia" w:ascii="宋体" w:eastAsia="宋体" w:cs="Arial"/>
                <w:b w:val="0"/>
                <w:color w:val="auto"/>
                <w:sz w:val="22"/>
                <w:szCs w:val="22"/>
                <w:highlight w:val="none"/>
              </w:rPr>
              <w:t>制作客户端为最新版本，旧版本可能导致</w:t>
            </w:r>
            <w:r>
              <w:rPr>
                <w:rFonts w:hint="eastAsia" w:ascii="宋体" w:eastAsia="宋体" w:cs="Arial"/>
                <w:b w:val="0"/>
                <w:color w:val="auto"/>
                <w:sz w:val="22"/>
                <w:szCs w:val="22"/>
                <w:highlight w:val="none"/>
                <w:lang w:eastAsia="zh-CN"/>
              </w:rPr>
              <w:t>响应文件</w:t>
            </w:r>
            <w:r>
              <w:rPr>
                <w:rFonts w:hint="eastAsia" w:ascii="宋体" w:eastAsia="宋体" w:cs="Arial"/>
                <w:b w:val="0"/>
                <w:color w:val="auto"/>
                <w:sz w:val="22"/>
                <w:szCs w:val="22"/>
                <w:highlight w:val="none"/>
              </w:rPr>
              <w:t>解密失败。</w:t>
            </w:r>
          </w:p>
          <w:p w14:paraId="34760A2B">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2、请务必确保</w:t>
            </w:r>
            <w:r>
              <w:rPr>
                <w:rFonts w:hint="eastAsia" w:ascii="宋体" w:eastAsia="宋体" w:cs="Arial"/>
                <w:b w:val="0"/>
                <w:color w:val="auto"/>
                <w:sz w:val="22"/>
                <w:szCs w:val="22"/>
                <w:highlight w:val="none"/>
                <w:lang w:eastAsia="zh-CN"/>
              </w:rPr>
              <w:t>响应文件</w:t>
            </w:r>
            <w:r>
              <w:rPr>
                <w:rFonts w:hint="eastAsia" w:ascii="宋体" w:eastAsia="宋体" w:cs="Arial"/>
                <w:b w:val="0"/>
                <w:color w:val="auto"/>
                <w:sz w:val="22"/>
                <w:szCs w:val="22"/>
                <w:highlight w:val="none"/>
              </w:rPr>
              <w:t>制作时所用的 CA 锁与</w:t>
            </w:r>
            <w:r>
              <w:rPr>
                <w:rFonts w:hint="eastAsia" w:ascii="宋体" w:eastAsia="宋体" w:cs="Arial"/>
                <w:b w:val="0"/>
                <w:color w:val="auto"/>
                <w:sz w:val="22"/>
                <w:szCs w:val="22"/>
                <w:highlight w:val="none"/>
                <w:lang w:eastAsia="zh-CN"/>
              </w:rPr>
              <w:t>响应文件</w:t>
            </w:r>
            <w:r>
              <w:rPr>
                <w:rFonts w:hint="eastAsia" w:ascii="宋体" w:eastAsia="宋体" w:cs="Arial"/>
                <w:b w:val="0"/>
                <w:color w:val="auto"/>
                <w:sz w:val="22"/>
                <w:szCs w:val="22"/>
                <w:highlight w:val="none"/>
              </w:rPr>
              <w:t>解密时的 CA 锁为同一把，否则可能导致</w:t>
            </w:r>
            <w:r>
              <w:rPr>
                <w:rFonts w:hint="eastAsia" w:ascii="宋体" w:eastAsia="宋体" w:cs="Arial"/>
                <w:b w:val="0"/>
                <w:color w:val="auto"/>
                <w:sz w:val="22"/>
                <w:szCs w:val="22"/>
                <w:highlight w:val="none"/>
                <w:lang w:eastAsia="zh-CN"/>
              </w:rPr>
              <w:t>响应文件</w:t>
            </w:r>
            <w:r>
              <w:rPr>
                <w:rFonts w:hint="eastAsia" w:ascii="宋体" w:eastAsia="宋体" w:cs="Arial"/>
                <w:b w:val="0"/>
                <w:color w:val="auto"/>
                <w:sz w:val="22"/>
                <w:szCs w:val="22"/>
                <w:highlight w:val="none"/>
              </w:rPr>
              <w:t>解密失败。</w:t>
            </w:r>
          </w:p>
        </w:tc>
      </w:tr>
    </w:tbl>
    <w:p w14:paraId="72D91801">
      <w:pPr>
        <w:spacing w:line="360" w:lineRule="auto"/>
        <w:jc w:val="center"/>
        <w:outlineLvl w:val="0"/>
        <w:rPr>
          <w:rFonts w:cs="仿宋" w:asciiTheme="minorEastAsia" w:hAnsiTheme="minorEastAsia"/>
          <w:b/>
          <w:color w:val="auto"/>
          <w:sz w:val="32"/>
          <w:szCs w:val="20"/>
          <w:highlight w:val="none"/>
        </w:rPr>
      </w:pPr>
    </w:p>
    <w:p w14:paraId="2B16D7A9">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一、总则</w:t>
      </w:r>
    </w:p>
    <w:p w14:paraId="501A988C">
      <w:pPr>
        <w:widowControl/>
        <w:spacing w:line="460" w:lineRule="atLeast"/>
        <w:ind w:firstLine="442" w:firstLineChars="200"/>
        <w:jc w:val="left"/>
        <w:rPr>
          <w:rFonts w:hint="eastAsia" w:ascii="宋体" w:hAnsi="宋体" w:eastAsia="宋体" w:cs="宋体"/>
          <w:b/>
          <w:bCs w:val="0"/>
          <w:color w:val="auto"/>
          <w:kern w:val="0"/>
          <w:sz w:val="22"/>
          <w:szCs w:val="21"/>
          <w:highlight w:val="none"/>
        </w:rPr>
      </w:pPr>
      <w:r>
        <w:rPr>
          <w:rFonts w:hint="eastAsia" w:ascii="宋体" w:hAnsi="宋体" w:eastAsia="宋体" w:cs="宋体"/>
          <w:b/>
          <w:bCs w:val="0"/>
          <w:color w:val="auto"/>
          <w:kern w:val="0"/>
          <w:sz w:val="22"/>
          <w:szCs w:val="21"/>
          <w:highlight w:val="none"/>
        </w:rPr>
        <w:t>1. 适用范围</w:t>
      </w:r>
    </w:p>
    <w:p w14:paraId="35A3B94A">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本采购文件适用于该项目的邀请、响应、响应文件开启、资格审查及信用信息查询、询价、确定成交供应商、合同、验收等行为（法律、法规另有规定的，从其规定）。</w:t>
      </w:r>
    </w:p>
    <w:p w14:paraId="097E2279">
      <w:pPr>
        <w:widowControl/>
        <w:spacing w:line="460" w:lineRule="atLeast"/>
        <w:ind w:firstLine="442" w:firstLineChars="200"/>
        <w:jc w:val="left"/>
        <w:rPr>
          <w:rFonts w:hint="eastAsia" w:ascii="宋体" w:hAnsi="宋体" w:eastAsia="宋体" w:cs="宋体"/>
          <w:b/>
          <w:bCs w:val="0"/>
          <w:color w:val="auto"/>
          <w:kern w:val="0"/>
          <w:sz w:val="22"/>
          <w:szCs w:val="21"/>
          <w:highlight w:val="none"/>
        </w:rPr>
      </w:pPr>
      <w:r>
        <w:rPr>
          <w:rFonts w:hint="eastAsia" w:ascii="宋体" w:hAnsi="宋体" w:eastAsia="宋体" w:cs="宋体"/>
          <w:b/>
          <w:bCs w:val="0"/>
          <w:color w:val="auto"/>
          <w:kern w:val="0"/>
          <w:sz w:val="22"/>
          <w:szCs w:val="21"/>
          <w:highlight w:val="none"/>
        </w:rPr>
        <w:t>2.定义</w:t>
      </w:r>
    </w:p>
    <w:p w14:paraId="683B09E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2.1 “采购人”系指采购公告中载明的本项目的采购人。</w:t>
      </w:r>
    </w:p>
    <w:p w14:paraId="7B0D056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2.2 “</w:t>
      </w:r>
      <w:r>
        <w:rPr>
          <w:rFonts w:hint="eastAsia" w:ascii="宋体" w:hAnsi="宋体" w:eastAsia="宋体" w:cs="宋体"/>
          <w:b w:val="0"/>
          <w:bCs/>
          <w:color w:val="auto"/>
          <w:kern w:val="0"/>
          <w:sz w:val="22"/>
          <w:szCs w:val="21"/>
          <w:highlight w:val="none"/>
          <w:lang w:eastAsia="zh-CN"/>
        </w:rPr>
        <w:t>采购代理机构</w:t>
      </w:r>
      <w:r>
        <w:rPr>
          <w:rFonts w:hint="eastAsia" w:ascii="宋体" w:hAnsi="宋体" w:eastAsia="宋体" w:cs="宋体"/>
          <w:b w:val="0"/>
          <w:bCs/>
          <w:color w:val="auto"/>
          <w:kern w:val="0"/>
          <w:sz w:val="22"/>
          <w:szCs w:val="21"/>
          <w:highlight w:val="none"/>
        </w:rPr>
        <w:t>”系指采购公告中载明的本项目的</w:t>
      </w:r>
      <w:r>
        <w:rPr>
          <w:rFonts w:hint="eastAsia" w:ascii="宋体" w:hAnsi="宋体" w:eastAsia="宋体" w:cs="宋体"/>
          <w:b w:val="0"/>
          <w:bCs/>
          <w:color w:val="auto"/>
          <w:kern w:val="0"/>
          <w:sz w:val="22"/>
          <w:szCs w:val="21"/>
          <w:highlight w:val="none"/>
          <w:lang w:eastAsia="zh-CN"/>
        </w:rPr>
        <w:t>采购代理机构</w:t>
      </w:r>
      <w:r>
        <w:rPr>
          <w:rFonts w:hint="eastAsia" w:ascii="宋体" w:hAnsi="宋体" w:eastAsia="宋体" w:cs="宋体"/>
          <w:b w:val="0"/>
          <w:bCs/>
          <w:color w:val="auto"/>
          <w:kern w:val="0"/>
          <w:sz w:val="22"/>
          <w:szCs w:val="21"/>
          <w:highlight w:val="none"/>
        </w:rPr>
        <w:t>。</w:t>
      </w:r>
    </w:p>
    <w:p w14:paraId="65BC742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2.3 “供应商”系指是指响应询价邀请、参加响应竞争的法人、其他组织或者自然人。</w:t>
      </w:r>
    </w:p>
    <w:p w14:paraId="1CECA40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2.4 “负责人”系指法人企业的法定负责人，或其他组织为法律、行政法规规定代表单位行使职权的主要负责人，或自然人本人。</w:t>
      </w:r>
    </w:p>
    <w:p w14:paraId="3D6C009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6014810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2.6“电子交易平台”</w:t>
      </w:r>
      <w:r>
        <w:rPr>
          <w:rFonts w:hint="eastAsia" w:ascii="宋体" w:hAnsi="宋体" w:eastAsia="宋体" w:cs="宋体"/>
          <w:b w:val="0"/>
          <w:bCs/>
          <w:color w:val="auto"/>
          <w:kern w:val="0"/>
          <w:sz w:val="22"/>
          <w:szCs w:val="21"/>
          <w:highlight w:val="none"/>
          <w:lang w:val="en-US" w:eastAsia="zh-CN"/>
        </w:rPr>
        <w:t>系</w:t>
      </w:r>
      <w:r>
        <w:rPr>
          <w:rFonts w:hint="eastAsia" w:ascii="宋体" w:hAnsi="宋体" w:eastAsia="宋体" w:cs="宋体"/>
          <w:b w:val="0"/>
          <w:bCs/>
          <w:color w:val="auto"/>
          <w:kern w:val="0"/>
          <w:sz w:val="22"/>
          <w:szCs w:val="21"/>
          <w:highlight w:val="none"/>
        </w:rPr>
        <w:t>指本项目政府采购活动所依托的政府采购云平台（https://www.zcygov.cn/）。</w:t>
      </w:r>
    </w:p>
    <w:p w14:paraId="63CB6C51">
      <w:pPr>
        <w:widowControl/>
        <w:spacing w:line="460" w:lineRule="atLeas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且加下划线部分</w:t>
      </w:r>
      <w:r>
        <w:rPr>
          <w:rFonts w:hint="eastAsia" w:ascii="宋体" w:hAnsi="宋体" w:eastAsia="宋体" w:cs="宋体"/>
          <w:color w:val="auto"/>
          <w:sz w:val="22"/>
          <w:szCs w:val="22"/>
          <w:highlight w:val="none"/>
        </w:rPr>
        <w:t>” 系指实质性要求条款，“</w:t>
      </w:r>
      <w:sdt>
        <w:sdtPr>
          <w:rPr>
            <w:rFonts w:hint="eastAsia" w:ascii="宋体" w:hAnsi="宋体" w:eastAsia="宋体" w:cs="宋体"/>
            <w:color w:val="auto"/>
            <w:kern w:val="0"/>
            <w:sz w:val="22"/>
            <w:szCs w:val="22"/>
            <w:highlight w:val="none"/>
          </w:rPr>
          <w:id w:val="512970236"/>
        </w:sdtPr>
        <w:sdtEndPr>
          <w:rPr>
            <w:rFonts w:hint="eastAsia" w:ascii="宋体" w:hAnsi="宋体" w:eastAsia="宋体" w:cs="宋体"/>
            <w:color w:val="auto"/>
            <w:kern w:val="0"/>
            <w:sz w:val="22"/>
            <w:szCs w:val="22"/>
            <w:highlight w:val="none"/>
          </w:rPr>
        </w:sdtEndPr>
        <w:sdtContent>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sdtContent>
      </w:sdt>
      <w:r>
        <w:rPr>
          <w:rFonts w:hint="eastAsia" w:ascii="宋体" w:hAnsi="宋体" w:eastAsia="宋体" w:cs="宋体"/>
          <w:color w:val="auto"/>
          <w:sz w:val="22"/>
          <w:szCs w:val="22"/>
          <w:highlight w:val="none"/>
        </w:rPr>
        <w:t>”系指适用本项目的要求，“</w:t>
      </w: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s="宋体"/>
          <w:color w:val="auto"/>
          <w:sz w:val="22"/>
          <w:szCs w:val="22"/>
          <w:highlight w:val="none"/>
        </w:rPr>
        <w:t>”</w:t>
      </w:r>
      <w:r>
        <w:rPr>
          <w:rFonts w:hint="eastAsia" w:ascii="宋体" w:hAnsi="宋体" w:eastAsia="宋体" w:cs="宋体"/>
          <w:b w:val="0"/>
          <w:bCs/>
          <w:color w:val="auto"/>
          <w:kern w:val="0"/>
          <w:sz w:val="22"/>
          <w:szCs w:val="22"/>
          <w:highlight w:val="none"/>
        </w:rPr>
        <w:t xml:space="preserve"> 系指不适用本项目的要求。</w:t>
      </w:r>
    </w:p>
    <w:p w14:paraId="439E564D">
      <w:pPr>
        <w:widowControl/>
        <w:spacing w:line="460" w:lineRule="atLeast"/>
        <w:ind w:firstLine="442" w:firstLineChars="200"/>
        <w:jc w:val="left"/>
        <w:rPr>
          <w:rFonts w:hint="eastAsia" w:ascii="宋体" w:hAnsi="宋体" w:eastAsia="宋体" w:cs="宋体"/>
          <w:b/>
          <w:bCs w:val="0"/>
          <w:color w:val="auto"/>
          <w:kern w:val="0"/>
          <w:sz w:val="22"/>
          <w:szCs w:val="21"/>
          <w:highlight w:val="none"/>
        </w:rPr>
      </w:pPr>
      <w:r>
        <w:rPr>
          <w:rFonts w:hint="eastAsia" w:ascii="宋体" w:hAnsi="宋体" w:eastAsia="宋体" w:cs="宋体"/>
          <w:b/>
          <w:bCs w:val="0"/>
          <w:color w:val="auto"/>
          <w:kern w:val="0"/>
          <w:sz w:val="22"/>
          <w:szCs w:val="21"/>
          <w:highlight w:val="none"/>
        </w:rPr>
        <w:t>3.采购项目需要落实的政府采购政策</w:t>
      </w:r>
    </w:p>
    <w:p w14:paraId="210C4AEB">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b w:val="0"/>
          <w:bCs/>
          <w:color w:val="auto"/>
          <w:kern w:val="0"/>
          <w:sz w:val="22"/>
          <w:szCs w:val="21"/>
          <w:highlight w:val="none"/>
          <w:lang w:eastAsia="zh-CN"/>
        </w:rPr>
        <w:t>采购代理机构</w:t>
      </w:r>
      <w:r>
        <w:rPr>
          <w:rFonts w:hint="eastAsia" w:ascii="宋体" w:hAnsi="宋体" w:eastAsia="宋体" w:cs="宋体"/>
          <w:b w:val="0"/>
          <w:bCs/>
          <w:color w:val="auto"/>
          <w:kern w:val="0"/>
          <w:sz w:val="22"/>
          <w:szCs w:val="21"/>
          <w:highlight w:val="none"/>
        </w:rPr>
        <w:t>不会对其加以限制，仍将按照公平竞争原则实施采购）。</w:t>
      </w:r>
    </w:p>
    <w:p w14:paraId="06537CBA">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3.2 支持绿色发展</w:t>
      </w:r>
    </w:p>
    <w:p w14:paraId="46A15E1C">
      <w:pPr>
        <w:widowControl/>
        <w:spacing w:line="460" w:lineRule="atLeast"/>
        <w:ind w:firstLine="440" w:firstLineChars="200"/>
        <w:jc w:val="left"/>
        <w:rPr>
          <w:rFonts w:cs="仿宋" w:asciiTheme="minorEastAsia" w:hAnsiTheme="minorEastAsia"/>
          <w:b/>
          <w:color w:val="auto"/>
          <w:sz w:val="24"/>
          <w:highlight w:val="none"/>
        </w:rPr>
      </w:pPr>
      <w:r>
        <w:rPr>
          <w:rFonts w:hint="eastAsia" w:ascii="宋体" w:hAnsi="宋体" w:eastAsia="宋体" w:cs="宋体"/>
          <w:b w:val="0"/>
          <w:bCs/>
          <w:color w:val="auto"/>
          <w:kern w:val="0"/>
          <w:sz w:val="22"/>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bCs w:val="0"/>
          <w:color w:val="auto"/>
          <w:kern w:val="0"/>
          <w:sz w:val="22"/>
          <w:szCs w:val="21"/>
          <w:highlight w:val="none"/>
          <w:u w:val="single"/>
          <w:lang w:eastAsia="zh-CN"/>
        </w:rPr>
        <w:t>★</w:t>
      </w:r>
      <w:r>
        <w:rPr>
          <w:rFonts w:hint="eastAsia" w:ascii="宋体" w:hAnsi="宋体" w:eastAsia="宋体" w:cs="宋体"/>
          <w:b/>
          <w:bCs w:val="0"/>
          <w:color w:val="auto"/>
          <w:kern w:val="0"/>
          <w:sz w:val="22"/>
          <w:szCs w:val="21"/>
          <w:highlight w:val="none"/>
          <w:u w:val="single"/>
        </w:rPr>
        <w:t>采购人拟采购的产品属于政府强制采购的节能产品品目清单范围的，供应商响应的产品未获得国家确定的认证机构出具的、处于有效期之内的节能产品认证证书的，响应无效。</w:t>
      </w:r>
    </w:p>
    <w:p w14:paraId="72C131DA">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7639DFE">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eastAsia="宋体" w:cs="宋体"/>
          <w:b w:val="0"/>
          <w:bCs/>
          <w:color w:val="auto"/>
          <w:kern w:val="0"/>
          <w:sz w:val="22"/>
          <w:szCs w:val="21"/>
          <w:highlight w:val="none"/>
        </w:rPr>
        <w:t>鼓励采购单位优先采购秸秆环保板材等资源综合利用产品。鼓励采购单位优先采购绿色物流配送服务、提供新能源交通工具的租赁服务。</w:t>
      </w:r>
    </w:p>
    <w:p w14:paraId="14E44225">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14:paraId="0D90CB9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3.3支持中小企业发展</w:t>
      </w:r>
    </w:p>
    <w:p w14:paraId="61EE3BC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8BA4E6">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符合中小企业划分标准的个体工商户，在政府采购活动中视同中小企业。</w:t>
      </w:r>
    </w:p>
    <w:p w14:paraId="2B59015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3.3.2在政府采购活动中，供应商提供的货物、工程或者服务符合下列情形的，享受中小企业扶持政策：</w:t>
      </w:r>
    </w:p>
    <w:p w14:paraId="2176D78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3.3.2.1在货物采购项目中，货物由中小企业制造，即货物由中小企业生产且使用该中小企业商号或者注册商标；</w:t>
      </w:r>
    </w:p>
    <w:p w14:paraId="7813B5B4">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3.3.2.2在工程采购项目中，工程由中小企业承建，即工程施工单位为中小企业；</w:t>
      </w:r>
    </w:p>
    <w:p w14:paraId="1EE01F6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3.3.2.3在服务采购项目中，服务由中小企业承接，即提供服务的人员为中小企业依照《中华人民共和国</w:t>
      </w:r>
      <w:r>
        <w:rPr>
          <w:rFonts w:hint="eastAsia" w:ascii="宋体" w:hAnsi="宋体" w:eastAsia="宋体" w:cs="宋体"/>
          <w:b w:val="0"/>
          <w:bCs/>
          <w:color w:val="auto"/>
          <w:kern w:val="0"/>
          <w:sz w:val="22"/>
          <w:szCs w:val="21"/>
          <w:highlight w:val="none"/>
          <w:lang w:val="en-US" w:eastAsia="zh-CN"/>
        </w:rPr>
        <w:t>民法典</w:t>
      </w:r>
      <w:r>
        <w:rPr>
          <w:rFonts w:hint="eastAsia" w:ascii="宋体" w:hAnsi="宋体" w:eastAsia="宋体" w:cs="宋体"/>
          <w:b w:val="0"/>
          <w:bCs/>
          <w:color w:val="auto"/>
          <w:kern w:val="0"/>
          <w:sz w:val="22"/>
          <w:szCs w:val="21"/>
          <w:highlight w:val="none"/>
        </w:rPr>
        <w:t>》订立劳动合同的从业人员。</w:t>
      </w:r>
    </w:p>
    <w:p w14:paraId="54E2B14A">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在货物采购项目中，供应商提供的货物既有中小企业制造货物，也有大型企业制造货物的，不享受中小企业扶持政策。</w:t>
      </w:r>
    </w:p>
    <w:p w14:paraId="3D2AE04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以联合体形式参加政府采购活动，联合体各方均为中小企业的，联合体视同中小企业。其中，联合体各方均为小微企业的，联合体视同小微企业。</w:t>
      </w:r>
    </w:p>
    <w:p w14:paraId="123FFCF9">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3.3.3对于未预留份额专门面向中小企业的政府采购货物或服务项目，以及预留份额政府采购货物或服务项目中的非预留部分标项，对小型和微型企业的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514E02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3.3.4符合《关于促进残疾人就业政府采购政策的通知》（财库〔2017〕141号）规定的条件并提供《残疾人福利性单位声明函》（附件1）的残疾人福利性单位视同小型、微型企业；</w:t>
      </w:r>
    </w:p>
    <w:p w14:paraId="5E30A5E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CCA25D">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2B3EB6B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3.3.7中小企业享受扶持政策获得政府采购合同的，小微企业不得将合同分包给大中型企业，中型企业不得将合同分包给大型企业。</w:t>
      </w:r>
    </w:p>
    <w:p w14:paraId="02B8D40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3.4支持创新发展</w:t>
      </w:r>
    </w:p>
    <w:p w14:paraId="4AC01DF7">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3.4.1 采购人优先采购被认定为首台套产品和“制造精品”的自主创新产品。</w:t>
      </w:r>
    </w:p>
    <w:p w14:paraId="137C379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w:t>
      </w:r>
    </w:p>
    <w:p w14:paraId="167B8BEE">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3.5平等对待内外资企业和符合条件的破产重整企业</w:t>
      </w:r>
    </w:p>
    <w:p w14:paraId="32EC492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平等对待内外资企业和符合条件的破产重整企业，切实保障企业公平竞争，平等维护企业的合法利益。</w:t>
      </w:r>
    </w:p>
    <w:p w14:paraId="2612FFE5">
      <w:pPr>
        <w:widowControl/>
        <w:spacing w:line="460" w:lineRule="atLeast"/>
        <w:ind w:firstLine="442" w:firstLineChars="200"/>
        <w:jc w:val="left"/>
        <w:rPr>
          <w:rFonts w:cs="仿宋" w:asciiTheme="minorEastAsia" w:hAnsiTheme="minorEastAsia"/>
          <w:color w:val="auto"/>
          <w:kern w:val="0"/>
          <w:sz w:val="24"/>
          <w:highlight w:val="none"/>
          <w:lang w:val="zh-CN"/>
        </w:rPr>
      </w:pPr>
      <w:r>
        <w:rPr>
          <w:rFonts w:hint="eastAsia" w:ascii="宋体" w:hAnsi="宋体" w:eastAsia="宋体" w:cs="宋体"/>
          <w:b/>
          <w:bCs w:val="0"/>
          <w:color w:val="auto"/>
          <w:kern w:val="0"/>
          <w:sz w:val="22"/>
          <w:szCs w:val="21"/>
          <w:highlight w:val="none"/>
          <w:lang w:val="zh-CN"/>
        </w:rPr>
        <w:t>4. 询问、质疑、投诉</w:t>
      </w:r>
    </w:p>
    <w:p w14:paraId="143A168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4.1在线询问、质疑、投诉</w:t>
      </w:r>
    </w:p>
    <w:p w14:paraId="733EACE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6F7B3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4.2供应商询问</w:t>
      </w:r>
    </w:p>
    <w:p w14:paraId="52F2111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供应商对政府采购活动事项有疑问的，可以提出询问，采购人应当在3个工作日内对供应商依法提出的询问作出答复，但答复的内容不得涉及商业秘密。</w:t>
      </w:r>
    </w:p>
    <w:p w14:paraId="3DC14C9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4.3供应商质疑</w:t>
      </w:r>
    </w:p>
    <w:p w14:paraId="1EE3172C">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zh-CN"/>
        </w:rPr>
        <w:t>4.3</w:t>
      </w:r>
      <w:r>
        <w:rPr>
          <w:rFonts w:hint="eastAsia" w:ascii="宋体" w:hAnsi="宋体" w:eastAsia="宋体" w:cs="宋体"/>
          <w:b w:val="0"/>
          <w:bCs/>
          <w:color w:val="auto"/>
          <w:kern w:val="0"/>
          <w:sz w:val="22"/>
          <w:szCs w:val="21"/>
          <w:highlight w:val="none"/>
        </w:rPr>
        <w:t>.1提出质疑的供应商应当是参与所质疑项目采购活动的供应商。潜在供应商已依法获取其可质疑的采购文件的，可以对该文件提出质疑。</w:t>
      </w:r>
    </w:p>
    <w:p w14:paraId="0841498F">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zh-CN"/>
        </w:rPr>
        <w:t>4.3</w:t>
      </w:r>
      <w:r>
        <w:rPr>
          <w:rFonts w:hint="eastAsia" w:ascii="宋体" w:hAnsi="宋体" w:eastAsia="宋体" w:cs="宋体"/>
          <w:b w:val="0"/>
          <w:bCs/>
          <w:color w:val="auto"/>
          <w:kern w:val="0"/>
          <w:sz w:val="22"/>
          <w:szCs w:val="21"/>
          <w:highlight w:val="none"/>
        </w:rPr>
        <w:t>.2供应商认为采购文件、采购过程和成交结果使自己的权益受到损害的，可以在知道或者应知其权益受到损害之日起七个工作日内，以书面形式向采购人提出质疑，否则，采购人不予受理：</w:t>
      </w:r>
    </w:p>
    <w:p w14:paraId="576364EB">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4.3.2.1对采购文件提出质疑的，质疑期限为供应商获得采购文件之日或者采购文件公告期限届满之日起计算。</w:t>
      </w:r>
    </w:p>
    <w:p w14:paraId="584A389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4.3.2.2对采购过程提出质疑的，质疑期限为各采购程序环节结束之日起计算。对同一采购程序环节的质疑，供应商须一次性提出。</w:t>
      </w:r>
    </w:p>
    <w:p w14:paraId="1CC9A7D5">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4.3.2.3对采购结果提出质疑的，质疑期限自采购结果公告期限届满之日起计算。</w:t>
      </w:r>
    </w:p>
    <w:p w14:paraId="6C440E2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w:t>
      </w:r>
      <w:r>
        <w:rPr>
          <w:rFonts w:hint="eastAsia" w:ascii="宋体" w:hAnsi="宋体" w:eastAsia="宋体" w:cs="宋体"/>
          <w:b w:val="0"/>
          <w:bCs/>
          <w:color w:val="auto"/>
          <w:kern w:val="0"/>
          <w:sz w:val="22"/>
          <w:szCs w:val="21"/>
          <w:highlight w:val="none"/>
        </w:rPr>
        <w:t>供应商提出质疑应当提交质疑函和必要的证明材料。质疑函应当包括下列内容：</w:t>
      </w:r>
    </w:p>
    <w:p w14:paraId="11E6DDD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4.3.3.1供应商的姓名或者名称、地址、邮编、联系人及联系电话；</w:t>
      </w:r>
    </w:p>
    <w:p w14:paraId="2DB6DE6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4.3.3.2质疑项目的名称、编号；</w:t>
      </w:r>
    </w:p>
    <w:p w14:paraId="2DD4CF6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4.3.3.3具体、明确的质疑事项和与质疑事项相关的请求；</w:t>
      </w:r>
    </w:p>
    <w:p w14:paraId="0076519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4.3.3.4事实依据；</w:t>
      </w:r>
    </w:p>
    <w:p w14:paraId="4FBE9007">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4.2.3.5必要的法律依据；</w:t>
      </w:r>
    </w:p>
    <w:p w14:paraId="3486CD9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4.3.3.6提出质疑的日期。</w:t>
      </w:r>
    </w:p>
    <w:p w14:paraId="70044465">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8FC7550">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质疑函范本及制作说明详见附件2。</w:t>
      </w:r>
    </w:p>
    <w:p w14:paraId="05589B13">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zh-CN"/>
        </w:rPr>
        <w:t>4.3</w:t>
      </w:r>
      <w:r>
        <w:rPr>
          <w:rFonts w:hint="eastAsia" w:ascii="宋体" w:hAnsi="宋体" w:eastAsia="宋体" w:cs="宋体"/>
          <w:b w:val="0"/>
          <w:bCs/>
          <w:color w:val="auto"/>
          <w:kern w:val="0"/>
          <w:sz w:val="22"/>
          <w:szCs w:val="21"/>
          <w:highlight w:val="none"/>
        </w:rPr>
        <w:t>.4采购人应当在收到供应商的书面质疑后七个工作日内作出答复，并以书面形式通知质疑供应商和其他与质疑处理结果有利害关系的政府采购当事人，但答复的内容不得涉及商业秘密。根据《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b w:val="0"/>
          <w:bCs/>
          <w:color w:val="auto"/>
          <w:kern w:val="0"/>
          <w:sz w:val="22"/>
          <w:szCs w:val="21"/>
          <w:highlight w:val="none"/>
          <w:lang w:val="zh-CN" w:eastAsia="zh-CN"/>
        </w:rPr>
        <w:t>浙江省财政厅关于进一步促进政府采购公平竞争打造最优营商环境的通知</w:t>
      </w:r>
      <w:r>
        <w:rPr>
          <w:rFonts w:hint="eastAsia" w:ascii="宋体" w:hAnsi="宋体" w:eastAsia="宋体" w:cs="宋体"/>
          <w:b w:val="0"/>
          <w:bCs/>
          <w:color w:val="auto"/>
          <w:kern w:val="0"/>
          <w:sz w:val="22"/>
          <w:szCs w:val="21"/>
          <w:highlight w:val="none"/>
          <w:lang w:val="en-US" w:eastAsia="zh-CN"/>
        </w:rPr>
        <w:t>（</w:t>
      </w:r>
      <w:r>
        <w:rPr>
          <w:rFonts w:hint="eastAsia" w:ascii="宋体" w:hAnsi="宋体" w:eastAsia="宋体" w:cs="宋体"/>
          <w:b w:val="0"/>
          <w:bCs/>
          <w:color w:val="auto"/>
          <w:kern w:val="0"/>
          <w:sz w:val="22"/>
          <w:szCs w:val="21"/>
          <w:highlight w:val="none"/>
          <w:lang w:val="zh-CN" w:eastAsia="zh-CN"/>
        </w:rPr>
        <w:t>浙财采监〔2021〕22号</w:t>
      </w:r>
      <w:r>
        <w:rPr>
          <w:rFonts w:hint="eastAsia" w:ascii="宋体" w:hAnsi="宋体" w:eastAsia="宋体" w:cs="宋体"/>
          <w:b w:val="0"/>
          <w:bCs/>
          <w:color w:val="auto"/>
          <w:kern w:val="0"/>
          <w:sz w:val="22"/>
          <w:szCs w:val="21"/>
          <w:highlight w:val="none"/>
          <w:lang w:val="en-US" w:eastAsia="zh-CN"/>
        </w:rPr>
        <w:t>)</w:t>
      </w:r>
      <w:r>
        <w:rPr>
          <w:rFonts w:hint="eastAsia" w:ascii="宋体" w:hAnsi="宋体" w:eastAsia="宋体" w:cs="宋体"/>
          <w:b w:val="0"/>
          <w:bCs/>
          <w:color w:val="auto"/>
          <w:kern w:val="0"/>
          <w:sz w:val="22"/>
          <w:szCs w:val="21"/>
          <w:highlight w:val="none"/>
        </w:rPr>
        <w:t>,采购人在浙江政府采购网的“其他公告”栏目公开质疑答复，答复内容应当完整。质疑函作为附件上传。</w:t>
      </w:r>
    </w:p>
    <w:p w14:paraId="5529F53D">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zh-CN"/>
        </w:rPr>
        <w:t>4.3</w:t>
      </w:r>
      <w:r>
        <w:rPr>
          <w:rFonts w:hint="eastAsia" w:ascii="宋体" w:hAnsi="宋体" w:eastAsia="宋体" w:cs="宋体"/>
          <w:b w:val="0"/>
          <w:bCs/>
          <w:color w:val="auto"/>
          <w:kern w:val="0"/>
          <w:sz w:val="22"/>
          <w:szCs w:val="21"/>
          <w:highlight w:val="none"/>
        </w:rPr>
        <w:t>.5询问或者质疑事项可能影响采购结果的，采购人应当暂停签订合同，已经签订合同的，应当中止履行合同。</w:t>
      </w:r>
    </w:p>
    <w:p w14:paraId="5E324E0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rPr>
      </w:pPr>
      <w:r>
        <w:rPr>
          <w:rFonts w:hint="eastAsia" w:ascii="宋体" w:hAnsi="宋体" w:eastAsia="宋体" w:cs="宋体"/>
          <w:b w:val="0"/>
          <w:bCs/>
          <w:color w:val="auto"/>
          <w:kern w:val="0"/>
          <w:sz w:val="22"/>
          <w:szCs w:val="21"/>
          <w:highlight w:val="none"/>
          <w:lang w:val="zh-CN"/>
        </w:rPr>
        <w:t>4.4供应商投诉</w:t>
      </w:r>
    </w:p>
    <w:p w14:paraId="19E42F68">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4.4.1质疑供应商对采购人的答复不满意或者采购人未在规定的时间内作出答复的，可以在答复期满后十五个工作日内向同级政府采购监督管理部门提出投诉。</w:t>
      </w:r>
    </w:p>
    <w:p w14:paraId="00B64D4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4.4.</w:t>
      </w:r>
      <w:r>
        <w:rPr>
          <w:rFonts w:hint="eastAsia" w:ascii="宋体" w:hAnsi="宋体" w:eastAsia="宋体" w:cs="宋体"/>
          <w:b w:val="0"/>
          <w:bCs/>
          <w:color w:val="auto"/>
          <w:kern w:val="0"/>
          <w:sz w:val="22"/>
          <w:szCs w:val="21"/>
          <w:highlight w:val="none"/>
          <w:lang w:val="zh-CN"/>
        </w:rPr>
        <w:t>2</w:t>
      </w:r>
      <w:r>
        <w:rPr>
          <w:rFonts w:hint="eastAsia" w:ascii="宋体" w:hAnsi="宋体" w:eastAsia="宋体" w:cs="宋体"/>
          <w:b w:val="0"/>
          <w:bCs/>
          <w:color w:val="auto"/>
          <w:kern w:val="0"/>
          <w:sz w:val="22"/>
          <w:szCs w:val="21"/>
          <w:highlight w:val="none"/>
        </w:rPr>
        <w:t>供应商投诉的事项不得超出已质疑事项的范围，基于质疑答复内容提出的投诉事项除外。</w:t>
      </w:r>
    </w:p>
    <w:p w14:paraId="4E54259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4.4.3供应商投诉应当有明确的请求和必要的证明材料。</w:t>
      </w:r>
    </w:p>
    <w:p w14:paraId="7CEE6652">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4.4.4 以联合体形式参加政府采购活动的，其投诉应当由组成联合体的所有供应商共同提出。</w:t>
      </w:r>
    </w:p>
    <w:p w14:paraId="3430061B">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rPr>
        <w:t>投诉书范本及制作说明详见附件3。</w:t>
      </w:r>
    </w:p>
    <w:p w14:paraId="11A9E5D6">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5.其他说明</w:t>
      </w:r>
    </w:p>
    <w:p w14:paraId="331FADA1">
      <w:pPr>
        <w:widowControl/>
        <w:spacing w:line="460" w:lineRule="atLeast"/>
        <w:ind w:firstLine="440" w:firstLineChars="200"/>
        <w:jc w:val="left"/>
        <w:rPr>
          <w:rFonts w:hint="eastAsia" w:ascii="宋体" w:hAnsi="宋体" w:eastAsia="宋体" w:cs="宋体"/>
          <w:b w:val="0"/>
          <w:bCs/>
          <w:color w:val="auto"/>
          <w:kern w:val="0"/>
          <w:sz w:val="22"/>
          <w:szCs w:val="21"/>
          <w:highlight w:val="none"/>
        </w:rPr>
      </w:pPr>
      <w:r>
        <w:rPr>
          <w:rFonts w:hint="eastAsia" w:ascii="宋体" w:hAnsi="宋体" w:eastAsia="宋体" w:cs="宋体"/>
          <w:b w:val="0"/>
          <w:bCs/>
          <w:color w:val="auto"/>
          <w:kern w:val="0"/>
          <w:sz w:val="22"/>
          <w:szCs w:val="21"/>
          <w:highlight w:val="none"/>
          <w:lang w:val="en-US" w:eastAsia="zh-CN"/>
        </w:rPr>
        <w:t>5.1采购</w:t>
      </w:r>
      <w:r>
        <w:rPr>
          <w:rFonts w:hint="eastAsia" w:ascii="宋体" w:hAnsi="宋体" w:eastAsia="宋体" w:cs="宋体"/>
          <w:b w:val="0"/>
          <w:bCs/>
          <w:color w:val="auto"/>
          <w:kern w:val="0"/>
          <w:sz w:val="22"/>
          <w:szCs w:val="21"/>
          <w:highlight w:val="none"/>
        </w:rPr>
        <w:t>文件中所涉及的产品品牌或型号均为建议性要求或为代替部分技术指标描述，供应商可以选择其他品牌型号的产品参加</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rPr>
        <w:t>但</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rPr>
        <w:t>产品须具有相当于或优于采购文件要求的指标、性能。否则，</w:t>
      </w:r>
      <w:r>
        <w:rPr>
          <w:rFonts w:hint="eastAsia" w:ascii="宋体" w:hAnsi="宋体" w:eastAsia="宋体" w:cs="宋体"/>
          <w:b w:val="0"/>
          <w:bCs/>
          <w:color w:val="auto"/>
          <w:kern w:val="0"/>
          <w:sz w:val="22"/>
          <w:szCs w:val="21"/>
          <w:highlight w:val="none"/>
          <w:lang w:val="en-US" w:eastAsia="zh-CN"/>
        </w:rPr>
        <w:t>询价小组</w:t>
      </w:r>
      <w:r>
        <w:rPr>
          <w:rFonts w:hint="eastAsia" w:ascii="宋体" w:hAnsi="宋体" w:eastAsia="宋体" w:cs="宋体"/>
          <w:b w:val="0"/>
          <w:bCs/>
          <w:color w:val="auto"/>
          <w:kern w:val="0"/>
          <w:sz w:val="22"/>
          <w:szCs w:val="21"/>
          <w:highlight w:val="none"/>
        </w:rPr>
        <w:t>将对其作出不利的评审。</w:t>
      </w:r>
    </w:p>
    <w:p w14:paraId="6894B74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5.2采购文件中如有描述歧义或前后不一致的地方，询价小组有权按公平、合理的原则进行评判，但对同一条款的评判适用于每个供应商。</w:t>
      </w:r>
    </w:p>
    <w:p w14:paraId="0703837B">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二、采购文件的构成、澄清、修改</w:t>
      </w:r>
    </w:p>
    <w:p w14:paraId="0B07393C">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6．采购文件的构成</w:t>
      </w:r>
    </w:p>
    <w:p w14:paraId="0D79DDF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 采购文件包括下列文件及附件：</w:t>
      </w:r>
    </w:p>
    <w:p w14:paraId="1962624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6.1.1采购公告；</w:t>
      </w:r>
    </w:p>
    <w:p w14:paraId="4E659C8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6.1.2供应商须知；</w:t>
      </w:r>
    </w:p>
    <w:p w14:paraId="5A73653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6.1.3采购需求；</w:t>
      </w:r>
    </w:p>
    <w:p w14:paraId="7D62F2E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6.1.4评审办法；</w:t>
      </w:r>
    </w:p>
    <w:p w14:paraId="18671E5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6.1.5拟签订的合同文本；</w:t>
      </w:r>
    </w:p>
    <w:p w14:paraId="69F5E79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6.1.6应提交的有关格式范例。</w:t>
      </w:r>
    </w:p>
    <w:p w14:paraId="0B59A30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6.2与本项目有关的澄清或者修改的内容为采购文件的组成部分。</w:t>
      </w:r>
    </w:p>
    <w:p w14:paraId="58EB7DDA">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7. 采购文件的澄清、修改</w:t>
      </w:r>
    </w:p>
    <w:p w14:paraId="01BDBAF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7.1已获取采购文件的潜在供应商，若有问题需要澄清，应于响应截止时间前，以书面形式向采购代理机构提出。</w:t>
      </w:r>
    </w:p>
    <w:p w14:paraId="3720104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7.2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2A78373F">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三、响应</w:t>
      </w:r>
    </w:p>
    <w:p w14:paraId="329D65BD">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8. 采购文件的获取</w:t>
      </w:r>
    </w:p>
    <w:p w14:paraId="7A39C57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详见采购公告中获取采购文件的时间期限、地点、方式及采购文件售价。</w:t>
      </w:r>
    </w:p>
    <w:p w14:paraId="4BDB64E1">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9.响应截至前答疑会或现场考察</w:t>
      </w:r>
    </w:p>
    <w:p w14:paraId="026B732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采购人组织潜在供应商现场考察或者召开响应文件开启前答疑会的，潜在供应商按第二部分供应商须知前附表的规定参加现场考察或者响应文件开启前答疑会。</w:t>
      </w:r>
    </w:p>
    <w:p w14:paraId="3223AD8A">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10.履约保证金</w:t>
      </w:r>
    </w:p>
    <w:p w14:paraId="2703B7F7">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本项目需缴纳总项目费用的不超过1%的履约保证金，项目验收合格后，无息退还。</w:t>
      </w:r>
    </w:p>
    <w:p w14:paraId="7B8829E4">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11. 采购文件的语言</w:t>
      </w:r>
    </w:p>
    <w:p w14:paraId="72581D4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en-US" w:eastAsia="zh-CN"/>
        </w:rPr>
        <w:t>采购文件及供应商与采购有关的来往通知、函件和文件均应使用中文。</w:t>
      </w:r>
    </w:p>
    <w:p w14:paraId="58E4A505">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12. 响应文件的组成</w:t>
      </w:r>
    </w:p>
    <w:p w14:paraId="2CDD7C17">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12.1资格文件：</w:t>
      </w:r>
    </w:p>
    <w:p w14:paraId="3772FE2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12.1.1符合参加政府采购活动应当具备的一般条件的承诺函；</w:t>
      </w:r>
    </w:p>
    <w:p w14:paraId="78A9EC9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12.1.2联合协议（以联合体形式参与响应的，提供联合协议；本项目不接受联合体的或者供应商不以联合体形式参与响应的，则不需要提供）；</w:t>
      </w:r>
    </w:p>
    <w:p w14:paraId="5AD5A0D0">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12.1.3落实政府采购政策需满足的资格要求：</w:t>
      </w:r>
      <w:sdt>
        <w:sdtPr>
          <w:rPr>
            <w:rFonts w:hint="eastAsia" w:ascii="宋体" w:eastAsia="宋体"/>
            <w:b w:val="0"/>
            <w:color w:val="auto"/>
            <w:sz w:val="22"/>
            <w:highlight w:val="none"/>
          </w:rPr>
          <w:id w:val="147455891"/>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r>
        <w:rPr>
          <w:rFonts w:hint="eastAsia" w:ascii="宋体" w:eastAsia="宋体"/>
          <w:b w:val="0"/>
          <w:color w:val="auto"/>
          <w:sz w:val="22"/>
          <w:highlight w:val="none"/>
          <w:lang w:eastAsia="zh-CN"/>
        </w:rPr>
        <w:t>：</w:t>
      </w: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r>
        <w:rPr>
          <w:rFonts w:hint="eastAsia" w:ascii="宋体" w:hAnsi="宋体" w:eastAsia="宋体" w:cs="宋体"/>
          <w:b w:val="0"/>
          <w:bCs/>
          <w:color w:val="auto"/>
          <w:kern w:val="0"/>
          <w:sz w:val="22"/>
          <w:szCs w:val="21"/>
          <w:highlight w:val="none"/>
          <w:lang w:val="en-US" w:eastAsia="zh-CN"/>
        </w:rPr>
        <w:t>；</w:t>
      </w:r>
    </w:p>
    <w:p w14:paraId="298613B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12.1.4本项目的特定资格要求（未要求的，无需提供）。</w:t>
      </w:r>
    </w:p>
    <w:p w14:paraId="6AE7CC60">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zh-CN" w:eastAsia="zh-CN"/>
        </w:rPr>
      </w:pPr>
      <w:r>
        <w:rPr>
          <w:rFonts w:hint="eastAsia" w:ascii="宋体" w:hAnsi="宋体" w:eastAsia="宋体" w:cs="宋体"/>
          <w:b/>
          <w:bCs w:val="0"/>
          <w:color w:val="auto"/>
          <w:kern w:val="0"/>
          <w:sz w:val="22"/>
          <w:szCs w:val="21"/>
          <w:highlight w:val="none"/>
          <w:lang w:val="zh-CN" w:eastAsia="zh-CN"/>
        </w:rPr>
        <w:t>1</w:t>
      </w:r>
      <w:r>
        <w:rPr>
          <w:rFonts w:hint="eastAsia" w:ascii="宋体" w:hAnsi="宋体" w:eastAsia="宋体" w:cs="宋体"/>
          <w:b/>
          <w:bCs w:val="0"/>
          <w:color w:val="auto"/>
          <w:kern w:val="0"/>
          <w:sz w:val="22"/>
          <w:szCs w:val="21"/>
          <w:highlight w:val="none"/>
          <w:lang w:val="en-US" w:eastAsia="zh-CN"/>
        </w:rPr>
        <w:t>2</w:t>
      </w:r>
      <w:r>
        <w:rPr>
          <w:rFonts w:hint="eastAsia" w:ascii="宋体" w:hAnsi="宋体" w:eastAsia="宋体" w:cs="宋体"/>
          <w:b/>
          <w:bCs w:val="0"/>
          <w:color w:val="auto"/>
          <w:kern w:val="0"/>
          <w:sz w:val="22"/>
          <w:szCs w:val="21"/>
          <w:highlight w:val="none"/>
          <w:lang w:val="zh-CN" w:eastAsia="zh-CN"/>
        </w:rPr>
        <w:t>.</w:t>
      </w:r>
      <w:r>
        <w:rPr>
          <w:rFonts w:hint="eastAsia" w:ascii="宋体" w:hAnsi="宋体" w:eastAsia="宋体" w:cs="宋体"/>
          <w:b/>
          <w:bCs w:val="0"/>
          <w:color w:val="auto"/>
          <w:kern w:val="0"/>
          <w:sz w:val="22"/>
          <w:szCs w:val="21"/>
          <w:highlight w:val="none"/>
          <w:lang w:val="en-US" w:eastAsia="zh-CN"/>
        </w:rPr>
        <w:t>2商务技术</w:t>
      </w:r>
      <w:r>
        <w:rPr>
          <w:rFonts w:hint="eastAsia" w:ascii="宋体" w:hAnsi="宋体" w:eastAsia="宋体" w:cs="宋体"/>
          <w:b/>
          <w:bCs w:val="0"/>
          <w:color w:val="auto"/>
          <w:kern w:val="0"/>
          <w:sz w:val="22"/>
          <w:szCs w:val="21"/>
          <w:highlight w:val="none"/>
          <w:lang w:val="zh-CN" w:eastAsia="zh-CN"/>
        </w:rPr>
        <w:t>文件：</w:t>
      </w:r>
    </w:p>
    <w:p w14:paraId="0D9C3AE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12.2.1响应函；</w:t>
      </w:r>
    </w:p>
    <w:p w14:paraId="5128714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12.2.2授权委托书或法定代表人（单位负责人、自然人本人）身份证明；</w:t>
      </w:r>
    </w:p>
    <w:p w14:paraId="6CC0283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12.2.3分包意向协议（成交后以分包方式履行合同的，提供分包意向协议；采购人不同意分包或者供应商成交后不以分包方式履行合同的，则不需要提供）；</w:t>
      </w:r>
    </w:p>
    <w:p w14:paraId="4F7D84E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12.2.4符合性审查资料；</w:t>
      </w:r>
    </w:p>
    <w:p w14:paraId="277B8F0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12.2.5响应产品规格配置清单；</w:t>
      </w:r>
    </w:p>
    <w:p w14:paraId="3DD8F59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12.2.6商务技术偏离表；</w:t>
      </w:r>
    </w:p>
    <w:p w14:paraId="6ACA76C8">
      <w:pPr>
        <w:widowControl/>
        <w:spacing w:line="460" w:lineRule="atLeast"/>
        <w:ind w:firstLine="440" w:firstLineChars="200"/>
        <w:jc w:val="left"/>
        <w:rPr>
          <w:rFonts w:hint="default"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12.2.7认为需要的其他文件或说明；</w:t>
      </w:r>
    </w:p>
    <w:p w14:paraId="76D0F87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lang w:val="zh-CN" w:eastAsia="zh-CN"/>
        </w:rPr>
        <w:t>.</w:t>
      </w: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lang w:val="zh-CN" w:eastAsia="zh-CN"/>
        </w:rPr>
        <w:t>.</w:t>
      </w:r>
      <w:r>
        <w:rPr>
          <w:rFonts w:hint="eastAsia" w:ascii="宋体" w:hAnsi="宋体" w:eastAsia="宋体" w:cs="宋体"/>
          <w:b w:val="0"/>
          <w:bCs/>
          <w:color w:val="auto"/>
          <w:kern w:val="0"/>
          <w:sz w:val="22"/>
          <w:szCs w:val="21"/>
          <w:highlight w:val="none"/>
          <w:lang w:val="en-US" w:eastAsia="zh-CN"/>
        </w:rPr>
        <w:t>8</w:t>
      </w:r>
      <w:r>
        <w:rPr>
          <w:rFonts w:hint="eastAsia" w:ascii="宋体" w:hAnsi="宋体" w:eastAsia="宋体" w:cs="宋体"/>
          <w:b w:val="0"/>
          <w:bCs/>
          <w:color w:val="auto"/>
          <w:kern w:val="0"/>
          <w:sz w:val="22"/>
          <w:szCs w:val="21"/>
          <w:highlight w:val="none"/>
          <w:lang w:val="zh-CN" w:eastAsia="zh-CN"/>
        </w:rPr>
        <w:t>政府采购供应商廉洁自律承诺书；</w:t>
      </w:r>
    </w:p>
    <w:p w14:paraId="5EB15E2C">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zh-CN" w:eastAsia="zh-CN"/>
        </w:rPr>
      </w:pPr>
      <w:r>
        <w:rPr>
          <w:rFonts w:hint="eastAsia" w:ascii="宋体" w:hAnsi="宋体" w:eastAsia="宋体" w:cs="宋体"/>
          <w:b/>
          <w:bCs w:val="0"/>
          <w:color w:val="auto"/>
          <w:kern w:val="0"/>
          <w:sz w:val="22"/>
          <w:szCs w:val="21"/>
          <w:highlight w:val="none"/>
          <w:lang w:val="zh-CN" w:eastAsia="zh-CN"/>
        </w:rPr>
        <w:t>1</w:t>
      </w:r>
      <w:r>
        <w:rPr>
          <w:rFonts w:hint="eastAsia" w:ascii="宋体" w:hAnsi="宋体" w:eastAsia="宋体" w:cs="宋体"/>
          <w:b/>
          <w:bCs w:val="0"/>
          <w:color w:val="auto"/>
          <w:kern w:val="0"/>
          <w:sz w:val="22"/>
          <w:szCs w:val="21"/>
          <w:highlight w:val="none"/>
          <w:lang w:val="en-US" w:eastAsia="zh-CN"/>
        </w:rPr>
        <w:t>2</w:t>
      </w:r>
      <w:r>
        <w:rPr>
          <w:rFonts w:hint="eastAsia" w:ascii="宋体" w:hAnsi="宋体" w:eastAsia="宋体" w:cs="宋体"/>
          <w:b/>
          <w:bCs w:val="0"/>
          <w:color w:val="auto"/>
          <w:kern w:val="0"/>
          <w:sz w:val="22"/>
          <w:szCs w:val="21"/>
          <w:highlight w:val="none"/>
          <w:lang w:val="zh-CN" w:eastAsia="zh-CN"/>
        </w:rPr>
        <w:t>.</w:t>
      </w:r>
      <w:r>
        <w:rPr>
          <w:rFonts w:hint="eastAsia" w:ascii="宋体" w:hAnsi="宋体" w:eastAsia="宋体" w:cs="宋体"/>
          <w:b/>
          <w:bCs w:val="0"/>
          <w:color w:val="auto"/>
          <w:kern w:val="0"/>
          <w:sz w:val="22"/>
          <w:szCs w:val="21"/>
          <w:highlight w:val="none"/>
          <w:lang w:val="en-US" w:eastAsia="zh-CN"/>
        </w:rPr>
        <w:t>3报价文件：</w:t>
      </w:r>
    </w:p>
    <w:p w14:paraId="55FDC13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lang w:val="zh-CN" w:eastAsia="zh-CN"/>
        </w:rPr>
        <w:t>.3.1响应报价明细表；</w:t>
      </w:r>
    </w:p>
    <w:p w14:paraId="41AB2E1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2</w:t>
      </w:r>
      <w:r>
        <w:rPr>
          <w:rFonts w:hint="eastAsia" w:ascii="宋体" w:hAnsi="宋体" w:eastAsia="宋体" w:cs="宋体"/>
          <w:b w:val="0"/>
          <w:bCs/>
          <w:color w:val="auto"/>
          <w:kern w:val="0"/>
          <w:sz w:val="22"/>
          <w:szCs w:val="21"/>
          <w:highlight w:val="none"/>
          <w:lang w:val="zh-CN" w:eastAsia="zh-CN"/>
        </w:rPr>
        <w:t>.3.2中小企业声明函。</w:t>
      </w:r>
    </w:p>
    <w:p w14:paraId="17520FD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响应文件含有采购人不能接受的附加条件的，响应无效；</w:t>
      </w:r>
    </w:p>
    <w:p w14:paraId="25CFF16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供应商提供虚假材料响应的，响应无效。</w:t>
      </w:r>
    </w:p>
    <w:p w14:paraId="653983C5">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13</w:t>
      </w:r>
      <w:r>
        <w:rPr>
          <w:rFonts w:hint="eastAsia" w:ascii="宋体" w:hAnsi="宋体" w:eastAsia="宋体" w:cs="宋体"/>
          <w:b/>
          <w:bCs w:val="0"/>
          <w:color w:val="auto"/>
          <w:kern w:val="0"/>
          <w:sz w:val="22"/>
          <w:szCs w:val="21"/>
          <w:highlight w:val="none"/>
          <w:lang w:val="zh-CN" w:eastAsia="zh-CN"/>
        </w:rPr>
        <w:t>. 响应</w:t>
      </w:r>
      <w:r>
        <w:rPr>
          <w:rFonts w:hint="eastAsia" w:ascii="宋体" w:hAnsi="宋体" w:eastAsia="宋体" w:cs="宋体"/>
          <w:b/>
          <w:bCs w:val="0"/>
          <w:color w:val="auto"/>
          <w:kern w:val="0"/>
          <w:sz w:val="22"/>
          <w:szCs w:val="21"/>
          <w:highlight w:val="none"/>
          <w:lang w:val="en-US" w:eastAsia="zh-CN"/>
        </w:rPr>
        <w:t>文件的编制</w:t>
      </w:r>
    </w:p>
    <w:p w14:paraId="20DC40D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3</w:t>
      </w:r>
      <w:r>
        <w:rPr>
          <w:rFonts w:hint="eastAsia" w:ascii="宋体" w:hAnsi="宋体" w:eastAsia="宋体" w:cs="宋体"/>
          <w:b w:val="0"/>
          <w:bCs/>
          <w:color w:val="auto"/>
          <w:kern w:val="0"/>
          <w:sz w:val="22"/>
          <w:szCs w:val="21"/>
          <w:highlight w:val="none"/>
          <w:lang w:val="zh-CN" w:eastAsia="zh-CN"/>
        </w:rPr>
        <w:t>.1响应文件分为资格文件、商务技术文件、报价文件三部分。各供应商在编制响应文件时请按照采购文件第六部分规定的格式进行，混乱的编排导致响应文件被误读或询价小组查找不到有效文件是供应商的风险。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4FA931D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3</w:t>
      </w:r>
      <w:r>
        <w:rPr>
          <w:rFonts w:hint="eastAsia" w:ascii="宋体" w:hAnsi="宋体" w:eastAsia="宋体" w:cs="宋体"/>
          <w:b w:val="0"/>
          <w:bCs/>
          <w:color w:val="auto"/>
          <w:kern w:val="0"/>
          <w:sz w:val="22"/>
          <w:szCs w:val="21"/>
          <w:highlight w:val="none"/>
          <w:lang w:val="zh-CN" w:eastAsia="zh-CN"/>
        </w:rPr>
        <w:t>.2供应商进行电子响应应安装客户端软件—“政采云电子交易客户端”，并按照采购文件和电子交易平台的要求编制并加密响应文件。供应商未按规定加密的响应文件，电子交易平台将拒收并提示。</w:t>
      </w:r>
    </w:p>
    <w:p w14:paraId="7320858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3</w:t>
      </w:r>
      <w:r>
        <w:rPr>
          <w:rFonts w:hint="eastAsia" w:ascii="宋体" w:hAnsi="宋体" w:eastAsia="宋体" w:cs="宋体"/>
          <w:b w:val="0"/>
          <w:bCs/>
          <w:color w:val="auto"/>
          <w:kern w:val="0"/>
          <w:sz w:val="22"/>
          <w:szCs w:val="21"/>
          <w:highlight w:val="none"/>
          <w:lang w:val="zh-CN" w:eastAsia="zh-CN"/>
        </w:rPr>
        <w:t>.3使用“政采云电子交易客户端”需要提前申领CA数字证书，申领流程请自行前往“浙江政府采购网-下载专区-电子交易客户端-CA驱动和申领流程”进行查阅。</w:t>
      </w:r>
    </w:p>
    <w:p w14:paraId="166A042B">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14.响应文件的签署、盖章</w:t>
      </w:r>
    </w:p>
    <w:p w14:paraId="0A2A8A46">
      <w:pPr>
        <w:widowControl/>
        <w:spacing w:line="460" w:lineRule="atLeast"/>
        <w:ind w:firstLine="440" w:firstLineChars="200"/>
        <w:jc w:val="left"/>
        <w:rPr>
          <w:rFonts w:hint="eastAsia" w:ascii="宋体" w:hAnsi="宋体" w:eastAsia="宋体" w:cs="宋体"/>
          <w:b/>
          <w:bCs w:val="0"/>
          <w:color w:val="auto"/>
          <w:kern w:val="0"/>
          <w:sz w:val="22"/>
          <w:szCs w:val="21"/>
          <w:highlight w:val="none"/>
          <w:u w:val="singl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4</w:t>
      </w:r>
      <w:r>
        <w:rPr>
          <w:rFonts w:hint="eastAsia" w:ascii="宋体" w:hAnsi="宋体" w:eastAsia="宋体" w:cs="宋体"/>
          <w:b w:val="0"/>
          <w:bCs/>
          <w:color w:val="auto"/>
          <w:kern w:val="0"/>
          <w:sz w:val="22"/>
          <w:szCs w:val="21"/>
          <w:highlight w:val="none"/>
          <w:lang w:val="zh-CN" w:eastAsia="zh-CN"/>
        </w:rPr>
        <w:t>.1响应文件按照采购文件第六部分格式要求进行签署、盖章。</w:t>
      </w:r>
      <w:r>
        <w:rPr>
          <w:rFonts w:hint="eastAsia" w:ascii="宋体" w:hAnsi="宋体" w:eastAsia="宋体" w:cs="宋体"/>
          <w:b/>
          <w:bCs w:val="0"/>
          <w:color w:val="auto"/>
          <w:kern w:val="0"/>
          <w:sz w:val="22"/>
          <w:szCs w:val="21"/>
          <w:highlight w:val="none"/>
          <w:u w:val="single"/>
          <w:lang w:val="zh-CN" w:eastAsia="zh-CN"/>
        </w:rPr>
        <w:t>★供应商的响应文件未按照采购文件要求签署、盖章的，其响应无效。</w:t>
      </w:r>
    </w:p>
    <w:p w14:paraId="734A464B">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4</w:t>
      </w:r>
      <w:r>
        <w:rPr>
          <w:rFonts w:hint="eastAsia" w:ascii="宋体" w:hAnsi="宋体" w:eastAsia="宋体" w:cs="宋体"/>
          <w:b w:val="0"/>
          <w:bCs/>
          <w:color w:val="auto"/>
          <w:kern w:val="0"/>
          <w:sz w:val="22"/>
          <w:szCs w:val="21"/>
          <w:highlight w:val="none"/>
          <w:lang w:val="zh-CN" w:eastAsia="zh-CN"/>
        </w:rPr>
        <w:t>.2为确保网上操作合法、有效和安全，供应商应当在响应截止时间前完成在“政府采购云平台”的身份认证，确保在电子响应过程中能够对相关数据电文进行加密和使用电子签名。</w:t>
      </w:r>
    </w:p>
    <w:p w14:paraId="578A81D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4</w:t>
      </w:r>
      <w:r>
        <w:rPr>
          <w:rFonts w:hint="eastAsia" w:ascii="宋体" w:hAnsi="宋体" w:eastAsia="宋体" w:cs="宋体"/>
          <w:b w:val="0"/>
          <w:bCs/>
          <w:color w:val="auto"/>
          <w:kern w:val="0"/>
          <w:sz w:val="22"/>
          <w:szCs w:val="21"/>
          <w:highlight w:val="none"/>
          <w:lang w:val="zh-CN" w:eastAsia="zh-CN"/>
        </w:rPr>
        <w:t>.3采购文件对响应文件签署、盖章的要求适用于电子签名。</w:t>
      </w:r>
    </w:p>
    <w:p w14:paraId="2CA46AEB">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15. 响应文件的提交、补充、修改、撤回</w:t>
      </w:r>
    </w:p>
    <w:p w14:paraId="2D4102F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5</w:t>
      </w:r>
      <w:r>
        <w:rPr>
          <w:rFonts w:hint="eastAsia" w:ascii="宋体" w:hAnsi="宋体" w:eastAsia="宋体" w:cs="宋体"/>
          <w:b w:val="0"/>
          <w:bCs/>
          <w:color w:val="auto"/>
          <w:kern w:val="0"/>
          <w:sz w:val="22"/>
          <w:szCs w:val="21"/>
          <w:highlight w:val="none"/>
          <w:lang w:val="zh-CN" w:eastAsia="zh-CN"/>
        </w:rPr>
        <w:t>.1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73999C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5</w:t>
      </w:r>
      <w:r>
        <w:rPr>
          <w:rFonts w:hint="eastAsia" w:ascii="宋体" w:hAnsi="宋体" w:eastAsia="宋体" w:cs="宋体"/>
          <w:b w:val="0"/>
          <w:bCs/>
          <w:color w:val="auto"/>
          <w:kern w:val="0"/>
          <w:sz w:val="22"/>
          <w:szCs w:val="21"/>
          <w:highlight w:val="none"/>
          <w:lang w:val="zh-CN" w:eastAsia="zh-CN"/>
        </w:rPr>
        <w:t>.2电子交易平台收到响应文件，将妥善保存并即时向供应商发出确认回执通知。在响应截止时间前，除供应商补充、修改或者撤回响应文件外，任何单位和个人不得解密或提取响应文件。</w:t>
      </w:r>
    </w:p>
    <w:p w14:paraId="2133F08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5</w:t>
      </w:r>
      <w:r>
        <w:rPr>
          <w:rFonts w:hint="eastAsia" w:ascii="宋体" w:hAnsi="宋体" w:eastAsia="宋体" w:cs="宋体"/>
          <w:b w:val="0"/>
          <w:bCs/>
          <w:color w:val="auto"/>
          <w:kern w:val="0"/>
          <w:sz w:val="22"/>
          <w:szCs w:val="21"/>
          <w:highlight w:val="none"/>
          <w:lang w:val="zh-CN" w:eastAsia="zh-CN"/>
        </w:rPr>
        <w:t>.3采购人、采购代理机构可以视情况延长响应文件提交的截止时间。在上述情况下，采购代理机构与供应商以前在响应截止期方面的全部权利、责任和义务，将适用于延长至新的响应截止期。</w:t>
      </w:r>
    </w:p>
    <w:p w14:paraId="7697F87B">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zh-CN" w:eastAsia="zh-CN"/>
        </w:rPr>
      </w:pPr>
      <w:r>
        <w:rPr>
          <w:rFonts w:hint="eastAsia" w:ascii="宋体" w:hAnsi="宋体" w:eastAsia="宋体" w:cs="宋体"/>
          <w:b/>
          <w:bCs w:val="0"/>
          <w:color w:val="auto"/>
          <w:kern w:val="0"/>
          <w:sz w:val="22"/>
          <w:szCs w:val="21"/>
          <w:highlight w:val="none"/>
          <w:lang w:val="zh-CN" w:eastAsia="zh-CN"/>
        </w:rPr>
        <w:t>1</w:t>
      </w:r>
      <w:r>
        <w:rPr>
          <w:rFonts w:hint="eastAsia" w:ascii="宋体" w:hAnsi="宋体" w:eastAsia="宋体" w:cs="宋体"/>
          <w:b/>
          <w:bCs w:val="0"/>
          <w:color w:val="auto"/>
          <w:kern w:val="0"/>
          <w:sz w:val="22"/>
          <w:szCs w:val="21"/>
          <w:highlight w:val="none"/>
          <w:lang w:val="en-US" w:eastAsia="zh-CN"/>
        </w:rPr>
        <w:t>6</w:t>
      </w:r>
      <w:r>
        <w:rPr>
          <w:rFonts w:hint="eastAsia" w:ascii="宋体" w:hAnsi="宋体" w:eastAsia="宋体" w:cs="宋体"/>
          <w:b/>
          <w:bCs w:val="0"/>
          <w:color w:val="auto"/>
          <w:kern w:val="0"/>
          <w:sz w:val="22"/>
          <w:szCs w:val="21"/>
          <w:highlight w:val="none"/>
          <w:lang w:val="zh-CN" w:eastAsia="zh-CN"/>
        </w:rPr>
        <w:t>.备份</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文件</w:t>
      </w:r>
    </w:p>
    <w:p w14:paraId="6D5C176A">
      <w:pPr>
        <w:widowControl/>
        <w:spacing w:line="460" w:lineRule="atLeast"/>
        <w:ind w:firstLine="440" w:firstLineChars="200"/>
        <w:jc w:val="left"/>
        <w:rPr>
          <w:rFonts w:hint="eastAsia" w:ascii="宋体" w:hAnsi="宋体" w:eastAsia="宋体" w:cs="宋体"/>
          <w:b/>
          <w:bCs w:val="0"/>
          <w:color w:val="auto"/>
          <w:kern w:val="0"/>
          <w:sz w:val="22"/>
          <w:szCs w:val="21"/>
          <w:highlight w:val="none"/>
          <w:lang w:val="zh-CN"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6</w:t>
      </w: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供应商</w:t>
      </w:r>
      <w:r>
        <w:rPr>
          <w:rFonts w:hint="eastAsia" w:ascii="宋体" w:hAnsi="宋体" w:eastAsia="宋体" w:cs="宋体"/>
          <w:b w:val="0"/>
          <w:bCs/>
          <w:color w:val="auto"/>
          <w:kern w:val="0"/>
          <w:sz w:val="22"/>
          <w:szCs w:val="21"/>
          <w:highlight w:val="none"/>
          <w:lang w:val="zh-CN" w:eastAsia="zh-CN"/>
        </w:rPr>
        <w:t>在电子交易平台传输递交</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文件后，还可以在</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截止时间前直接提交或者以邮政快递方式递交备份</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文件1份，</w:t>
      </w:r>
      <w:r>
        <w:rPr>
          <w:rFonts w:hint="eastAsia" w:ascii="宋体" w:hAnsi="宋体" w:eastAsia="宋体" w:cs="宋体"/>
          <w:b/>
          <w:bCs w:val="0"/>
          <w:color w:val="auto"/>
          <w:kern w:val="0"/>
          <w:sz w:val="22"/>
          <w:szCs w:val="21"/>
          <w:highlight w:val="none"/>
          <w:lang w:val="zh-CN" w:eastAsia="zh-CN"/>
        </w:rPr>
        <w:t>但采购人、采购代理机构不强制或变相强制</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人提交备份</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文件。</w:t>
      </w:r>
    </w:p>
    <w:p w14:paraId="6B665ED0">
      <w:pPr>
        <w:widowControl/>
        <w:spacing w:line="460" w:lineRule="atLeast"/>
        <w:ind w:firstLine="440" w:firstLineChars="200"/>
        <w:jc w:val="left"/>
        <w:rPr>
          <w:rFonts w:hint="default" w:ascii="宋体" w:hAnsi="宋体" w:eastAsia="宋体" w:cs="宋体"/>
          <w:b/>
          <w:bCs w:val="0"/>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zh-CN" w:eastAsia="zh-CN"/>
        </w:rPr>
        <w:t>1</w:t>
      </w:r>
      <w:r>
        <w:rPr>
          <w:rFonts w:hint="eastAsia" w:ascii="宋体" w:hAnsi="宋体" w:eastAsia="宋体" w:cs="宋体"/>
          <w:b w:val="0"/>
          <w:bCs/>
          <w:color w:val="auto"/>
          <w:kern w:val="0"/>
          <w:sz w:val="22"/>
          <w:szCs w:val="21"/>
          <w:highlight w:val="none"/>
          <w:lang w:val="en-US" w:eastAsia="zh-CN"/>
        </w:rPr>
        <w:t>6</w:t>
      </w:r>
      <w:r>
        <w:rPr>
          <w:rFonts w:hint="eastAsia" w:ascii="宋体" w:hAnsi="宋体" w:eastAsia="宋体" w:cs="宋体"/>
          <w:b w:val="0"/>
          <w:bCs/>
          <w:color w:val="auto"/>
          <w:kern w:val="0"/>
          <w:sz w:val="22"/>
          <w:szCs w:val="21"/>
          <w:highlight w:val="none"/>
          <w:lang w:val="zh-CN" w:eastAsia="zh-CN"/>
        </w:rPr>
        <w:t>.2备份</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文件须在“政采云投标客户端”制作生成，并储存在DVD光盘</w:t>
      </w:r>
      <w:r>
        <w:rPr>
          <w:rFonts w:hint="eastAsia" w:ascii="宋体" w:hAnsi="宋体" w:eastAsia="宋体" w:cs="宋体"/>
          <w:b w:val="0"/>
          <w:bCs/>
          <w:color w:val="auto"/>
          <w:kern w:val="0"/>
          <w:sz w:val="22"/>
          <w:szCs w:val="21"/>
          <w:highlight w:val="none"/>
          <w:lang w:val="en-US" w:eastAsia="zh-CN"/>
        </w:rPr>
        <w:t>等存储介质</w:t>
      </w:r>
      <w:r>
        <w:rPr>
          <w:rFonts w:hint="eastAsia" w:ascii="宋体" w:hAnsi="宋体" w:eastAsia="宋体" w:cs="宋体"/>
          <w:b w:val="0"/>
          <w:bCs/>
          <w:color w:val="auto"/>
          <w:kern w:val="0"/>
          <w:sz w:val="22"/>
          <w:szCs w:val="21"/>
          <w:highlight w:val="none"/>
          <w:lang w:val="zh-CN" w:eastAsia="zh-CN"/>
        </w:rPr>
        <w:t>中。备份</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文件应当密封包装并在包装上加盖公章并注明</w:t>
      </w:r>
      <w:r>
        <w:rPr>
          <w:rFonts w:hint="eastAsia" w:ascii="宋体" w:hAnsi="宋体" w:eastAsia="宋体" w:cs="宋体"/>
          <w:b w:val="0"/>
          <w:bCs/>
          <w:color w:val="auto"/>
          <w:kern w:val="0"/>
          <w:sz w:val="22"/>
          <w:szCs w:val="21"/>
          <w:highlight w:val="none"/>
          <w:lang w:val="en-US" w:eastAsia="zh-CN"/>
        </w:rPr>
        <w:t>响应</w:t>
      </w:r>
      <w:r>
        <w:rPr>
          <w:rFonts w:hint="eastAsia" w:ascii="宋体" w:hAnsi="宋体" w:eastAsia="宋体" w:cs="宋体"/>
          <w:b w:val="0"/>
          <w:bCs/>
          <w:color w:val="auto"/>
          <w:kern w:val="0"/>
          <w:sz w:val="22"/>
          <w:szCs w:val="21"/>
          <w:highlight w:val="none"/>
          <w:lang w:val="zh-CN" w:eastAsia="zh-CN"/>
        </w:rPr>
        <w:t>永嘉县瓯北第二小学食堂设备采购，</w:t>
      </w:r>
      <w:r>
        <w:rPr>
          <w:rFonts w:hint="eastAsia" w:ascii="宋体" w:hAnsi="宋体" w:eastAsia="宋体" w:cs="宋体"/>
          <w:b w:val="0"/>
          <w:bCs/>
          <w:color w:val="auto"/>
          <w:kern w:val="0"/>
          <w:sz w:val="22"/>
          <w:szCs w:val="21"/>
          <w:highlight w:val="none"/>
          <w:lang w:val="en-US" w:eastAsia="zh-CN"/>
        </w:rPr>
        <w:t>供应商</w:t>
      </w:r>
      <w:r>
        <w:rPr>
          <w:rFonts w:hint="eastAsia" w:ascii="宋体" w:hAnsi="宋体" w:eastAsia="宋体" w:cs="宋体"/>
          <w:b w:val="0"/>
          <w:bCs/>
          <w:color w:val="auto"/>
          <w:kern w:val="0"/>
          <w:sz w:val="22"/>
          <w:szCs w:val="21"/>
          <w:highlight w:val="none"/>
          <w:lang w:val="zh-CN" w:eastAsia="zh-CN"/>
        </w:rPr>
        <w:t>名称(联合体投标的，包装物封面需注明联合体投标，并注明联合体成员各方的名称和联合协议中约定的牵头人的名称)。</w:t>
      </w:r>
      <w:r>
        <w:rPr>
          <w:rFonts w:hint="eastAsia" w:ascii="宋体" w:hAnsi="宋体" w:eastAsia="宋体" w:cs="宋体"/>
          <w:b/>
          <w:bCs w:val="0"/>
          <w:color w:val="auto"/>
          <w:kern w:val="0"/>
          <w:sz w:val="22"/>
          <w:szCs w:val="21"/>
          <w:highlight w:val="none"/>
          <w:lang w:val="zh-CN" w:eastAsia="zh-CN"/>
        </w:rPr>
        <w:t>不符合上述制作、存储、密封规定的备份</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文件将被视为无效或者被拒绝接收。</w:t>
      </w:r>
      <w:r>
        <w:rPr>
          <w:rFonts w:hint="eastAsia" w:ascii="宋体" w:hAnsi="宋体" w:eastAsia="宋体" w:cs="宋体"/>
          <w:b/>
          <w:bCs w:val="0"/>
          <w:color w:val="auto"/>
          <w:kern w:val="0"/>
          <w:sz w:val="22"/>
          <w:szCs w:val="21"/>
          <w:highlight w:val="none"/>
          <w:lang w:val="en-US" w:eastAsia="zh-CN"/>
        </w:rPr>
        <w:t xml:space="preserve"> </w:t>
      </w:r>
    </w:p>
    <w:p w14:paraId="6F03688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16.3直接提交备份响应文件的，供应商应于投标截止时间前在采购公告中载明的开标地点将备份响应文件提交给采购代理机构，采购代理机构将拒绝接受逾期送达的备份响应文件。</w:t>
      </w:r>
    </w:p>
    <w:p w14:paraId="3921BC8D">
      <w:pPr>
        <w:widowControl/>
        <w:spacing w:line="460" w:lineRule="atLeast"/>
        <w:ind w:firstLine="440" w:firstLineChars="200"/>
        <w:jc w:val="left"/>
        <w:rPr>
          <w:rFonts w:hint="default"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16.4以邮政快递方式递交备份响应文件的，供应商应先将备份响应文件按要求密封和标记，再进行邮政快递包装后邮寄。备份响应文件须在投标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46CAD6A">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zh-CN" w:eastAsia="zh-CN"/>
        </w:rPr>
      </w:pPr>
      <w:r>
        <w:rPr>
          <w:rFonts w:hint="eastAsia" w:ascii="宋体" w:hAnsi="宋体" w:eastAsia="宋体" w:cs="宋体"/>
          <w:b/>
          <w:bCs w:val="0"/>
          <w:color w:val="auto"/>
          <w:kern w:val="0"/>
          <w:sz w:val="22"/>
          <w:szCs w:val="21"/>
          <w:highlight w:val="none"/>
          <w:lang w:val="zh-CN" w:eastAsia="zh-CN"/>
        </w:rPr>
        <w:t>1</w:t>
      </w:r>
      <w:r>
        <w:rPr>
          <w:rFonts w:hint="eastAsia" w:ascii="宋体" w:hAnsi="宋体" w:eastAsia="宋体" w:cs="宋体"/>
          <w:b/>
          <w:bCs w:val="0"/>
          <w:color w:val="auto"/>
          <w:kern w:val="0"/>
          <w:sz w:val="22"/>
          <w:szCs w:val="21"/>
          <w:highlight w:val="none"/>
          <w:lang w:val="en-US" w:eastAsia="zh-CN"/>
        </w:rPr>
        <w:t>6</w:t>
      </w:r>
      <w:r>
        <w:rPr>
          <w:rFonts w:hint="eastAsia" w:ascii="宋体" w:hAnsi="宋体" w:eastAsia="宋体" w:cs="宋体"/>
          <w:b/>
          <w:bCs w:val="0"/>
          <w:color w:val="auto"/>
          <w:kern w:val="0"/>
          <w:sz w:val="22"/>
          <w:szCs w:val="21"/>
          <w:highlight w:val="none"/>
          <w:lang w:val="zh-CN" w:eastAsia="zh-CN"/>
        </w:rPr>
        <w:t>.5</w:t>
      </w:r>
      <w:r>
        <w:rPr>
          <w:rFonts w:hint="eastAsia" w:ascii="宋体" w:hAnsi="宋体" w:eastAsia="宋体" w:cs="宋体"/>
          <w:b/>
          <w:bCs w:val="0"/>
          <w:color w:val="auto"/>
          <w:kern w:val="0"/>
          <w:sz w:val="22"/>
          <w:szCs w:val="21"/>
          <w:highlight w:val="none"/>
          <w:lang w:val="en-US" w:eastAsia="zh-CN"/>
        </w:rPr>
        <w:t>供应商</w:t>
      </w:r>
      <w:r>
        <w:rPr>
          <w:rFonts w:hint="eastAsia" w:ascii="宋体" w:hAnsi="宋体" w:eastAsia="宋体" w:cs="宋体"/>
          <w:b/>
          <w:bCs w:val="0"/>
          <w:color w:val="auto"/>
          <w:kern w:val="0"/>
          <w:sz w:val="22"/>
          <w:szCs w:val="21"/>
          <w:highlight w:val="none"/>
          <w:lang w:val="zh-CN" w:eastAsia="zh-CN"/>
        </w:rPr>
        <w:t>仅提交备份</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文件，未在电子交易平台传输递交</w:t>
      </w:r>
      <w:r>
        <w:rPr>
          <w:rFonts w:hint="eastAsia" w:ascii="宋体" w:hAnsi="宋体" w:eastAsia="宋体" w:cs="宋体"/>
          <w:b/>
          <w:bCs w:val="0"/>
          <w:color w:val="auto"/>
          <w:kern w:val="0"/>
          <w:sz w:val="22"/>
          <w:szCs w:val="21"/>
          <w:highlight w:val="none"/>
          <w:lang w:val="en-US" w:eastAsia="zh-CN"/>
        </w:rPr>
        <w:t>响应</w:t>
      </w:r>
      <w:r>
        <w:rPr>
          <w:rFonts w:hint="eastAsia" w:ascii="宋体" w:hAnsi="宋体" w:eastAsia="宋体" w:cs="宋体"/>
          <w:b/>
          <w:bCs w:val="0"/>
          <w:color w:val="auto"/>
          <w:kern w:val="0"/>
          <w:sz w:val="22"/>
          <w:szCs w:val="21"/>
          <w:highlight w:val="none"/>
          <w:lang w:val="zh-CN" w:eastAsia="zh-CN"/>
        </w:rPr>
        <w:t>文件的，投标无效。</w:t>
      </w:r>
    </w:p>
    <w:p w14:paraId="18C83FDC">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17.响应文件的无效处理</w:t>
      </w:r>
    </w:p>
    <w:p w14:paraId="1D9D2F3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有采购文件规定的响应无效情形之一的，响应无效。</w:t>
      </w:r>
    </w:p>
    <w:p w14:paraId="0530254A">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18.响应有效期</w:t>
      </w:r>
    </w:p>
    <w:p w14:paraId="3FB8CC99">
      <w:pPr>
        <w:widowControl/>
        <w:spacing w:line="460" w:lineRule="atLeast"/>
        <w:ind w:firstLine="442" w:firstLineChars="200"/>
        <w:jc w:val="left"/>
        <w:rPr>
          <w:rFonts w:hint="eastAsia" w:ascii="宋体" w:hAnsi="宋体" w:eastAsia="宋体" w:cs="宋体"/>
          <w:b/>
          <w:bCs w:val="0"/>
          <w:color w:val="auto"/>
          <w:kern w:val="0"/>
          <w:sz w:val="22"/>
          <w:szCs w:val="21"/>
          <w:highlight w:val="none"/>
          <w:u w:val="single"/>
          <w:lang w:val="en-US" w:eastAsia="zh-CN"/>
        </w:rPr>
      </w:pPr>
      <w:r>
        <w:rPr>
          <w:rFonts w:hint="eastAsia" w:ascii="宋体" w:hAnsi="宋体" w:eastAsia="宋体" w:cs="宋体"/>
          <w:b/>
          <w:bCs w:val="0"/>
          <w:color w:val="auto"/>
          <w:kern w:val="0"/>
          <w:sz w:val="22"/>
          <w:szCs w:val="21"/>
          <w:highlight w:val="none"/>
          <w:u w:val="single"/>
          <w:lang w:val="en-US" w:eastAsia="zh-CN"/>
        </w:rPr>
        <w:t>18.1★响应有效期为从提交响应文件的截止之日起90天。供应商的响应文件中承诺的响应有效期少于采购文件中载明的响应有效期的，响应无效。</w:t>
      </w:r>
    </w:p>
    <w:p w14:paraId="3308C44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18.2响应文件合格投递后，自响应截止日期起，在响应有效期内有效。</w:t>
      </w:r>
    </w:p>
    <w:p w14:paraId="520FB7C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18.3在原定响应有效期满之前，如果出现特殊情况，采购代理机构可以以书面形式通知供应商延长响应有效期。供应商同意延长的，不得要求或被允许修改其响应文件，供应商拒绝延长的，其响应无效。</w:t>
      </w:r>
    </w:p>
    <w:p w14:paraId="1E8F2B39">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四、响应文件开启、资格审查与信用信息查询</w:t>
      </w:r>
    </w:p>
    <w:p w14:paraId="1CF45D93">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19.响应文件开启</w:t>
      </w:r>
    </w:p>
    <w:p w14:paraId="5F9599E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19.1采购代理机构按照采购文件规定的时间通过电子交易平台组织响应文件的开启，所有供应商均应当准时在线参加。供应商不足3家的，不得开启响应文件。</w:t>
      </w:r>
    </w:p>
    <w:p w14:paraId="266528D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19.2响应文件开启时，电子交易平台按响应文件开启时间自动提取所有响应文件。采购代理机构依托电子交易平台发起开始解密指令，供应商按照平台提示和采购文件的规定在半小时内完成在线解密。</w:t>
      </w:r>
    </w:p>
    <w:p w14:paraId="4EE0CF1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19.3</w:t>
      </w:r>
      <w:r>
        <w:rPr>
          <w:rFonts w:hint="eastAsia" w:ascii="宋体" w:hAnsi="宋体" w:eastAsia="宋体" w:cs="宋体"/>
          <w:b/>
          <w:bCs w:val="0"/>
          <w:color w:val="auto"/>
          <w:kern w:val="0"/>
          <w:sz w:val="22"/>
          <w:szCs w:val="21"/>
          <w:highlight w:val="none"/>
          <w:lang w:val="en-US" w:eastAsia="zh-CN"/>
        </w:rPr>
        <w:t>响应文件未按时解密，供应商提供了备份响应文件的，以备份响应文件作为依据，否则视为响应文件撤回。响应文件已按时解密的，备份响应文件自动失效。</w:t>
      </w:r>
    </w:p>
    <w:p w14:paraId="31723970">
      <w:pPr>
        <w:widowControl/>
        <w:spacing w:line="460" w:lineRule="atLeast"/>
        <w:ind w:firstLine="442" w:firstLineChars="200"/>
        <w:jc w:val="left"/>
        <w:rPr>
          <w:rFonts w:hint="eastAsia" w:cs="仿宋" w:asciiTheme="minorEastAsia" w:hAnsiTheme="minorEastAsia"/>
          <w:b/>
          <w:color w:val="auto"/>
          <w:szCs w:val="24"/>
          <w:highlight w:val="none"/>
          <w:lang w:val="en-US" w:eastAsia="zh-CN"/>
        </w:rPr>
      </w:pPr>
      <w:r>
        <w:rPr>
          <w:rFonts w:hint="eastAsia" w:ascii="宋体" w:hAnsi="宋体" w:eastAsia="宋体" w:cs="宋体"/>
          <w:b/>
          <w:bCs w:val="0"/>
          <w:color w:val="auto"/>
          <w:kern w:val="0"/>
          <w:sz w:val="22"/>
          <w:szCs w:val="21"/>
          <w:highlight w:val="none"/>
          <w:lang w:val="en-US" w:eastAsia="zh-CN" w:bidi="ar-SA"/>
        </w:rPr>
        <w:t>20.资格审查</w:t>
      </w:r>
    </w:p>
    <w:p w14:paraId="0308B2E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20.1响应文件开启后，询价小组将依法对供应商的资格进行审查。</w:t>
      </w:r>
    </w:p>
    <w:p w14:paraId="4EBF422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20.2询价小组依据法律法规和采购文件的规定，对供应商的基本资格条件、特定资格条件进行审查。</w:t>
      </w:r>
    </w:p>
    <w:p w14:paraId="21F94BA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20.3供应商未按照采购文件要求提供与基本资格条件、特定资格条件相应的有效资格证明材料的，视为供应商不具备采购文件中规定的资格要求，其响应无效。</w:t>
      </w:r>
    </w:p>
    <w:p w14:paraId="5C58AF6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20.4对未通过资格审查的供应商，采购代理机构告知其未通过的原因。</w:t>
      </w:r>
    </w:p>
    <w:p w14:paraId="2E2F226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20.5合格供应商不足3家的，不再评审。</w:t>
      </w:r>
    </w:p>
    <w:p w14:paraId="346B4865">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bidi="ar-SA"/>
        </w:rPr>
      </w:pPr>
      <w:r>
        <w:rPr>
          <w:rFonts w:hint="eastAsia" w:ascii="宋体" w:hAnsi="宋体" w:eastAsia="宋体" w:cs="宋体"/>
          <w:b/>
          <w:bCs w:val="0"/>
          <w:color w:val="auto"/>
          <w:kern w:val="0"/>
          <w:sz w:val="22"/>
          <w:szCs w:val="21"/>
          <w:highlight w:val="none"/>
          <w:lang w:val="en-US" w:eastAsia="zh-CN" w:bidi="ar-SA"/>
        </w:rPr>
        <w:t>21.信用信息查询</w:t>
      </w:r>
    </w:p>
    <w:p w14:paraId="62338AF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21.1信用信息查询渠道及截止时间：采购代理机构将通过“信用中国”网站(www.creditchina.gov.cn)、中国政府采购网(www.ccgp.gov.cn)渠道查询供应商响应截止时间当天的信用记录。</w:t>
      </w:r>
    </w:p>
    <w:p w14:paraId="3B34D2B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21.2信用信息查询记录和证据留存的具体方式：现场查询的供应商的信用记录、查询结果经确认后将与采购文件一起存档。</w:t>
      </w:r>
    </w:p>
    <w:p w14:paraId="28D94B3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21.3信用信息的使用规则：经查询列入失信被执行人名单、重大税收违法案件当事人名单、政府采购严重违法失信行为记录名单的供应商将被拒绝参与政府采购活动。</w:t>
      </w:r>
    </w:p>
    <w:p w14:paraId="4717CD5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E35B6F7">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五、评审</w:t>
      </w:r>
    </w:p>
    <w:p w14:paraId="64C917B5">
      <w:pPr>
        <w:widowControl/>
        <w:spacing w:line="460" w:lineRule="atLeast"/>
        <w:ind w:firstLine="440" w:firstLineChars="200"/>
        <w:jc w:val="left"/>
        <w:rPr>
          <w:rFonts w:hint="eastAsia" w:ascii="宋体" w:hAnsi="宋体" w:eastAsia="宋体" w:cs="宋体"/>
          <w:b/>
          <w:bCs w:val="0"/>
          <w:color w:val="auto"/>
          <w:kern w:val="0"/>
          <w:sz w:val="22"/>
          <w:szCs w:val="21"/>
          <w:highlight w:val="none"/>
          <w:lang w:val="en-US" w:eastAsia="zh-CN"/>
        </w:rPr>
      </w:pPr>
      <w:bookmarkStart w:id="19" w:name="_Toc91899903"/>
      <w:r>
        <w:rPr>
          <w:rFonts w:hint="eastAsia" w:ascii="宋体" w:hAnsi="宋体" w:eastAsia="宋体" w:cs="宋体"/>
          <w:b w:val="0"/>
          <w:bCs/>
          <w:color w:val="auto"/>
          <w:kern w:val="0"/>
          <w:sz w:val="22"/>
          <w:szCs w:val="21"/>
          <w:highlight w:val="none"/>
          <w:lang w:val="en-US" w:eastAsia="zh-CN"/>
        </w:rPr>
        <w:t>22.询价小组将根据采购文件和有关规定，履行评审工作职责，并按照评审方法及评审标准，全面衡量各供应商对采购文件的响应情况。对实质上响应采购文件的供应商，按照报价从低到高排出推荐成交的供应商的先后顺序，推荐3名成交候选人，并按顺序提出授标建议。</w:t>
      </w:r>
      <w:r>
        <w:rPr>
          <w:rFonts w:hint="eastAsia" w:ascii="宋体" w:hAnsi="宋体" w:eastAsia="宋体" w:cs="宋体"/>
          <w:b/>
          <w:bCs w:val="0"/>
          <w:color w:val="auto"/>
          <w:kern w:val="0"/>
          <w:sz w:val="22"/>
          <w:szCs w:val="21"/>
          <w:highlight w:val="none"/>
          <w:lang w:val="en-US" w:eastAsia="zh-CN"/>
        </w:rPr>
        <w:t>详见采购文件第四部分评审办法。</w:t>
      </w:r>
    </w:p>
    <w:p w14:paraId="6FE2A933">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六、成交</w:t>
      </w:r>
    </w:p>
    <w:p w14:paraId="6E276541">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23. 确定成交供应商</w:t>
      </w:r>
    </w:p>
    <w:p w14:paraId="78811B5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采购人将自收到评审报告之日起2个工作日内通过电子交易平台在评审报告推荐的成交候选人中按顺序确定成交供应商。</w:t>
      </w:r>
    </w:p>
    <w:p w14:paraId="6FCF0824">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24. 成交通知与成交结果公告</w:t>
      </w:r>
    </w:p>
    <w:p w14:paraId="1EAA818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24.1自成交供应商确定之日起2个工作日内，采购代理机构通过电子交易平台向成交供应商发出成交通知书，同时编制发布采购结果公告。采购代理机构也可以以纸质形式进行成交通知。</w:t>
      </w:r>
    </w:p>
    <w:p w14:paraId="60DD856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24.2成交结果公告内容包括采购人及其委托的采购代理机构的名称、地址、联系方式，项目名称和项目编号，成交供应商名称、地址和成交金额，主要成交标的的名称、规格型号、数量、单价、服务要求，响应文件开启记录、未成交情况说明、成交公告期限以及评审专家名单。</w:t>
      </w:r>
    </w:p>
    <w:p w14:paraId="7F2C13D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24.3公告期限为1个工作日。</w:t>
      </w:r>
    </w:p>
    <w:p w14:paraId="5931B532">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七、合同授予</w:t>
      </w:r>
    </w:p>
    <w:p w14:paraId="4850ED4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25. 合同主要条款详见第五部分拟签订的合同文本。</w:t>
      </w:r>
    </w:p>
    <w:p w14:paraId="64D107F3">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26. 合同的签订</w:t>
      </w:r>
    </w:p>
    <w:p w14:paraId="40A7E9F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26.1 采购人与成交供应商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002C5C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zh-CN" w:eastAsia="zh-CN"/>
        </w:rPr>
        <w:t>2</w:t>
      </w:r>
      <w:r>
        <w:rPr>
          <w:rFonts w:hint="eastAsia" w:ascii="宋体" w:hAnsi="宋体" w:eastAsia="宋体" w:cs="宋体"/>
          <w:b w:val="0"/>
          <w:bCs/>
          <w:color w:val="auto"/>
          <w:kern w:val="0"/>
          <w:sz w:val="22"/>
          <w:szCs w:val="21"/>
          <w:highlight w:val="none"/>
          <w:lang w:val="en-US" w:eastAsia="zh-CN"/>
        </w:rPr>
        <w:t>6</w:t>
      </w:r>
      <w:r>
        <w:rPr>
          <w:rFonts w:hint="eastAsia" w:ascii="宋体" w:hAnsi="宋体" w:eastAsia="宋体" w:cs="宋体"/>
          <w:b w:val="0"/>
          <w:bCs/>
          <w:color w:val="auto"/>
          <w:kern w:val="0"/>
          <w:sz w:val="22"/>
          <w:szCs w:val="21"/>
          <w:highlight w:val="none"/>
          <w:lang w:val="zh-CN" w:eastAsia="zh-CN"/>
        </w:rPr>
        <w:t>.2成交供应商按规定的日期、时间、地点，由法定代表人或其授权代表与采购人代表签订合同。如成交供应商为联合体的，由联合体成员各方法定代表人或其授权代表与采购人代表签订合同。</w:t>
      </w:r>
    </w:p>
    <w:p w14:paraId="63B53D2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26.3如签订合同并生效后，供应商无故拒绝或延期，除按照合同条款处理外，列入不良行为记录一次，并给予通报。</w:t>
      </w:r>
    </w:p>
    <w:p w14:paraId="73E78DF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26.4排名第一的成交候选人放弃成交；因不可抗力提出不能履行合同；或者询价通知书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人可以按照评审报告推荐的成交候选人名单排序，确定下一候选人为成交供应商，也可以重新开展政府采购活动。</w:t>
      </w:r>
    </w:p>
    <w:p w14:paraId="2B39EA6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25.5采购合同由采购人与成交供应商根据采购文件、响应文件等内容通过政府采购电子交易平台在线签订，自动备案。</w:t>
      </w:r>
    </w:p>
    <w:p w14:paraId="3E49F547">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27.履约保证金</w:t>
      </w:r>
    </w:p>
    <w:p w14:paraId="3C08778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拟签订的合同文本要求成交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5BCCCC">
      <w:pPr>
        <w:widowControl/>
        <w:spacing w:line="460" w:lineRule="atLeast"/>
        <w:ind w:firstLine="440" w:firstLineChars="200"/>
        <w:jc w:val="left"/>
        <w:rPr>
          <w:rFonts w:cs="仿宋" w:asciiTheme="minorEastAsia" w:hAnsiTheme="minorEastAsia"/>
          <w:color w:val="auto"/>
          <w:sz w:val="24"/>
          <w:szCs w:val="20"/>
          <w:highlight w:val="none"/>
        </w:rPr>
      </w:pPr>
      <w:r>
        <w:rPr>
          <w:rFonts w:hint="eastAsia" w:ascii="宋体" w:hAnsi="宋体" w:eastAsia="宋体" w:cs="宋体"/>
          <w:b w:val="0"/>
          <w:bCs/>
          <w:color w:val="auto"/>
          <w:kern w:val="0"/>
          <w:sz w:val="22"/>
          <w:szCs w:val="21"/>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仿宋" w:asciiTheme="minorEastAsia" w:hAnsiTheme="minorEastAsia"/>
          <w:color w:val="auto"/>
          <w:sz w:val="24"/>
          <w:szCs w:val="20"/>
          <w:highlight w:val="none"/>
        </w:rPr>
        <w:t>400-903-9583。</w:t>
      </w:r>
    </w:p>
    <w:p w14:paraId="53176FD4">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28.预付款</w:t>
      </w:r>
    </w:p>
    <w:p w14:paraId="16A675A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A20CE51">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八、电子交易活动的中止</w:t>
      </w:r>
    </w:p>
    <w:p w14:paraId="2E2639DA">
      <w:pPr>
        <w:widowControl/>
        <w:spacing w:line="460" w:lineRule="atLeast"/>
        <w:ind w:firstLine="442"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29. 电子交易活动的中止。</w:t>
      </w:r>
      <w:r>
        <w:rPr>
          <w:rFonts w:hint="eastAsia" w:ascii="宋体" w:hAnsi="宋体" w:eastAsia="宋体" w:cs="宋体"/>
          <w:b w:val="0"/>
          <w:bCs/>
          <w:color w:val="auto"/>
          <w:kern w:val="0"/>
          <w:sz w:val="22"/>
          <w:szCs w:val="21"/>
          <w:highlight w:val="none"/>
          <w:lang w:val="en-US" w:eastAsia="zh-CN"/>
        </w:rPr>
        <w:t>采购过程中出现以下情形，导致电子交易平台无法正常运行，或者无法保证电子交易的公平、公正和安全时，采购代理机构可中止电子交易活动：</w:t>
      </w:r>
    </w:p>
    <w:p w14:paraId="3328BC6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 xml:space="preserve">29.1电子交易平台发生故障而无法登录访问的； </w:t>
      </w:r>
    </w:p>
    <w:p w14:paraId="67CCCBE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29.2电子交易平台应用或数据库出现错误，不能进行正常操作的；</w:t>
      </w:r>
    </w:p>
    <w:p w14:paraId="4FED288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29.3电子交易平台发现严重安全漏洞，有潜在泄密危险的；</w:t>
      </w:r>
    </w:p>
    <w:p w14:paraId="58D793F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 xml:space="preserve">29.4病毒发作导致不能进行正常操作的； </w:t>
      </w:r>
    </w:p>
    <w:p w14:paraId="35B1BDA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29.5其他无法保证电子交易的公平、公正和安全的情况。</w:t>
      </w:r>
    </w:p>
    <w:p w14:paraId="4A2D6A9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30.出现以上情形，不影响采购公平、公正性的，采购组织机构可以待上述情形消除后继续组织电子交易活动，也可以决定某些环节以纸质形式进行；影响或可能影响采购公平、公正性的，应当重新采购。</w:t>
      </w:r>
    </w:p>
    <w:p w14:paraId="4556EA25">
      <w:pPr>
        <w:pStyle w:val="22"/>
        <w:widowControl w:val="0"/>
        <w:overflowPunct/>
        <w:autoSpaceDE/>
        <w:autoSpaceDN/>
        <w:adjustRightInd/>
        <w:spacing w:before="240" w:after="60"/>
        <w:textAlignment w:val="auto"/>
        <w:outlineLvl w:val="0"/>
        <w:rPr>
          <w:rFonts w:hint="eastAsia" w:ascii="Arial" w:hAnsi="Arial" w:eastAsia="宋体" w:cs="Times New Roman"/>
          <w:bCs/>
          <w:color w:val="auto"/>
          <w:kern w:val="0"/>
          <w:sz w:val="32"/>
          <w:szCs w:val="32"/>
          <w:highlight w:val="none"/>
          <w:lang w:val="en-US"/>
        </w:rPr>
      </w:pPr>
      <w:r>
        <w:rPr>
          <w:rFonts w:hint="eastAsia" w:ascii="Arial" w:hAnsi="Arial" w:eastAsia="宋体" w:cs="Times New Roman"/>
          <w:bCs/>
          <w:color w:val="auto"/>
          <w:kern w:val="0"/>
          <w:sz w:val="32"/>
          <w:szCs w:val="32"/>
          <w:highlight w:val="none"/>
          <w:lang w:val="en-US"/>
        </w:rPr>
        <w:t>九、验收</w:t>
      </w:r>
    </w:p>
    <w:p w14:paraId="6B4563F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31.验收</w:t>
      </w:r>
    </w:p>
    <w:p w14:paraId="363EAD1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F7DFF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31.2采购人可以邀请参加本项目的其他供应商或者第三方机构参与验收。参与验收的供应商或者第三方机构的意见作为验收书的参考资料一并存档。</w:t>
      </w:r>
    </w:p>
    <w:p w14:paraId="7053EBE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67AB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sectPr>
          <w:headerReference r:id="rId10" w:type="default"/>
          <w:footerReference r:id="rId11" w:type="default"/>
          <w:pgSz w:w="11907" w:h="16840"/>
          <w:pgMar w:top="1502" w:right="1440" w:bottom="1440" w:left="1440"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val="0"/>
          <w:bCs/>
          <w:color w:val="auto"/>
          <w:kern w:val="0"/>
          <w:sz w:val="22"/>
          <w:szCs w:val="21"/>
          <w:highlight w:val="none"/>
          <w:lang w:val="en-US" w:eastAsia="zh-CN"/>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14:paraId="404FA11D">
      <w:pPr>
        <w:numPr>
          <w:ilvl w:val="0"/>
          <w:numId w:val="4"/>
        </w:numPr>
        <w:spacing w:line="460" w:lineRule="exact"/>
        <w:ind w:firstLine="2891" w:firstLineChars="800"/>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采购需求</w:t>
      </w:r>
    </w:p>
    <w:p w14:paraId="55EC0E0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采购需求中标“★且加下划线部分”，为采购的实质性要求，着重提醒各供应商必须响应。</w:t>
      </w:r>
    </w:p>
    <w:p w14:paraId="7D1B7B31">
      <w:pPr>
        <w:widowControl/>
        <w:spacing w:line="460" w:lineRule="atLeast"/>
        <w:ind w:firstLine="422" w:firstLineChars="200"/>
        <w:jc w:val="left"/>
        <w:rPr>
          <w:color w:val="auto"/>
          <w:highlight w:val="none"/>
        </w:rPr>
      </w:pPr>
      <w:bookmarkStart w:id="20" w:name="_Toc14965171"/>
      <w:bookmarkStart w:id="21" w:name="_Toc69311720"/>
      <w:bookmarkStart w:id="22" w:name="_Toc19489"/>
      <w:bookmarkStart w:id="23" w:name="_Toc14965173"/>
      <w:bookmarkStart w:id="24" w:name="_Toc157410887"/>
      <w:bookmarkStart w:id="25" w:name="_Toc306116040"/>
      <w:r>
        <w:rPr>
          <w:rFonts w:hint="eastAsia"/>
          <w:b/>
          <w:bCs/>
          <w:color w:val="auto"/>
          <w:highlight w:val="none"/>
        </w:rPr>
        <w:t>一、采购总说明</w:t>
      </w:r>
      <w:bookmarkEnd w:id="20"/>
      <w:bookmarkEnd w:id="21"/>
      <w:bookmarkEnd w:id="22"/>
    </w:p>
    <w:p w14:paraId="3844BBC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26" w:name="_Toc69311721"/>
      <w:bookmarkStart w:id="27" w:name="_Toc14965172"/>
      <w:bookmarkStart w:id="28" w:name="_Toc5177"/>
      <w:r>
        <w:rPr>
          <w:rFonts w:hint="eastAsia" w:ascii="宋体" w:eastAsia="宋体"/>
          <w:b w:val="0"/>
          <w:color w:val="auto"/>
          <w:sz w:val="22"/>
          <w:highlight w:val="none"/>
        </w:rPr>
        <w:t>1</w:t>
      </w:r>
      <w:r>
        <w:rPr>
          <w:rFonts w:hint="eastAsia" w:ascii="宋体" w:eastAsia="宋体"/>
          <w:b w:val="0"/>
          <w:color w:val="auto"/>
          <w:sz w:val="22"/>
          <w:highlight w:val="none"/>
          <w:lang w:eastAsia="zh-CN"/>
        </w:rPr>
        <w:t>.</w:t>
      </w:r>
      <w:r>
        <w:rPr>
          <w:rFonts w:hint="eastAsia" w:ascii="宋体" w:eastAsia="宋体"/>
          <w:b w:val="0"/>
          <w:color w:val="auto"/>
          <w:sz w:val="22"/>
          <w:highlight w:val="none"/>
        </w:rPr>
        <w:t>本技术规范要求提出的是最低限度的基本技术要求，并未对所有技术细节作出规定，供应商应提供符合本技术要求和国家标准、行业标准的优质产品。</w:t>
      </w:r>
    </w:p>
    <w:p w14:paraId="565D742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highlight w:val="none"/>
          <w:lang w:eastAsia="zh-CN"/>
        </w:rPr>
        <w:t>.</w:t>
      </w:r>
      <w:r>
        <w:rPr>
          <w:rFonts w:hint="eastAsia" w:ascii="宋体" w:eastAsia="宋体"/>
          <w:b w:val="0"/>
          <w:color w:val="auto"/>
          <w:sz w:val="22"/>
          <w:highlight w:val="none"/>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614375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w:t>
      </w:r>
      <w:r>
        <w:rPr>
          <w:rFonts w:hint="eastAsia" w:ascii="宋体" w:eastAsia="宋体"/>
          <w:b w:val="0"/>
          <w:color w:val="auto"/>
          <w:sz w:val="22"/>
          <w:highlight w:val="none"/>
          <w:lang w:eastAsia="zh-CN"/>
        </w:rPr>
        <w:t>.</w:t>
      </w:r>
      <w:r>
        <w:rPr>
          <w:rFonts w:hint="eastAsia" w:ascii="宋体" w:eastAsia="宋体"/>
          <w:b w:val="0"/>
          <w:color w:val="auto"/>
          <w:sz w:val="22"/>
          <w:highlight w:val="none"/>
        </w:rPr>
        <w:t>技术要求及标准的执行</w:t>
      </w:r>
    </w:p>
    <w:p w14:paraId="552BC5D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供应商提供的产品投标时需说明所执行的质量标准，若同一标准已颁发新标准，则按最新标准执行。若同一产品同时有几个标准（国际标准、国家标准、行业标准、企业标准等），则按最高层次的标准执行。</w:t>
      </w:r>
    </w:p>
    <w:p w14:paraId="38CC8D3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color w:val="auto"/>
          <w:sz w:val="22"/>
          <w:szCs w:val="22"/>
          <w:highlight w:val="none"/>
          <w:lang w:val="en-US" w:eastAsia="zh-CN"/>
        </w:rPr>
        <w:t>4.</w:t>
      </w:r>
      <w:r>
        <w:rPr>
          <w:rFonts w:hint="eastAsia" w:ascii="宋体" w:eastAsia="宋体"/>
          <w:b w:val="0"/>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如中标，中标供应商及制造商对中标产品使用的安全性能与可靠性负全部责任。中标供应商须随产品提供使用说明书与维保卡。供应商提供相关数据与说明，投标文件须对下列要求作出实质性回应。</w:t>
      </w:r>
    </w:p>
    <w:p w14:paraId="3A91F435">
      <w:pPr>
        <w:widowControl/>
        <w:spacing w:line="460" w:lineRule="atLeast"/>
        <w:ind w:firstLine="422" w:firstLineChars="200"/>
        <w:jc w:val="left"/>
        <w:rPr>
          <w:rFonts w:hint="eastAsia"/>
          <w:b/>
          <w:bCs/>
          <w:color w:val="auto"/>
          <w:highlight w:val="none"/>
        </w:rPr>
      </w:pPr>
      <w:r>
        <w:rPr>
          <w:rFonts w:hint="eastAsia"/>
          <w:b/>
          <w:bCs/>
          <w:color w:val="auto"/>
          <w:highlight w:val="none"/>
        </w:rPr>
        <w:t>二、采购内容及技术要求</w:t>
      </w:r>
      <w:bookmarkEnd w:id="26"/>
      <w:bookmarkEnd w:id="27"/>
      <w:bookmarkEnd w:id="28"/>
    </w:p>
    <w:p w14:paraId="79A4AC0A">
      <w:pPr>
        <w:widowControl/>
        <w:autoSpaceDE w:val="0"/>
        <w:autoSpaceDN w:val="0"/>
        <w:adjustRightInd w:val="0"/>
        <w:spacing w:line="460" w:lineRule="atLeast"/>
        <w:ind w:firstLine="442" w:firstLineChars="200"/>
        <w:textAlignment w:val="bottom"/>
        <w:rPr>
          <w:rFonts w:hint="eastAsia" w:ascii="宋体" w:eastAsia="宋体"/>
          <w:b/>
          <w:bCs/>
          <w:color w:val="auto"/>
          <w:sz w:val="22"/>
          <w:highlight w:val="none"/>
          <w:lang w:val="en-US" w:eastAsia="zh-CN"/>
        </w:rPr>
      </w:pPr>
      <w:r>
        <w:rPr>
          <w:rFonts w:hint="eastAsia" w:ascii="宋体" w:eastAsia="宋体"/>
          <w:b/>
          <w:bCs/>
          <w:color w:val="auto"/>
          <w:sz w:val="22"/>
          <w:highlight w:val="none"/>
          <w:lang w:val="en-US" w:eastAsia="zh-CN"/>
        </w:rPr>
        <w:t>（一）采购清单</w:t>
      </w:r>
    </w:p>
    <w:tbl>
      <w:tblPr>
        <w:tblStyle w:val="25"/>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174"/>
        <w:gridCol w:w="929"/>
        <w:gridCol w:w="1810"/>
      </w:tblGrid>
      <w:tr w14:paraId="4179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8" w:type="dxa"/>
            <w:noWrap w:val="0"/>
            <w:vAlign w:val="center"/>
          </w:tcPr>
          <w:p w14:paraId="7D58E2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4174" w:type="dxa"/>
            <w:noWrap w:val="0"/>
            <w:vAlign w:val="center"/>
          </w:tcPr>
          <w:p w14:paraId="2D6570C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929" w:type="dxa"/>
            <w:noWrap w:val="0"/>
            <w:vAlign w:val="center"/>
          </w:tcPr>
          <w:p w14:paraId="6E300CF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810" w:type="dxa"/>
            <w:noWrap w:val="0"/>
            <w:vAlign w:val="center"/>
          </w:tcPr>
          <w:p w14:paraId="7DFDCC7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参考</w:t>
            </w:r>
            <w:r>
              <w:rPr>
                <w:rFonts w:hint="eastAsia" w:ascii="宋体" w:hAnsi="宋体" w:eastAsia="宋体" w:cs="宋体"/>
                <w:b/>
                <w:bCs/>
                <w:color w:val="auto"/>
                <w:sz w:val="21"/>
                <w:szCs w:val="21"/>
                <w:highlight w:val="none"/>
              </w:rPr>
              <w:t>图片</w:t>
            </w:r>
          </w:p>
        </w:tc>
      </w:tr>
      <w:tr w14:paraId="55A43C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EC3A103">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3273A8B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
                <w:bCs w:val="0"/>
                <w:color w:val="0000FF"/>
                <w:kern w:val="2"/>
                <w:sz w:val="21"/>
                <w:szCs w:val="21"/>
                <w:highlight w:val="none"/>
                <w:lang w:val="en-US" w:eastAsia="zh-CN" w:bidi="ar-SA"/>
              </w:rPr>
              <w:t>一次更</w:t>
            </w:r>
            <w:r>
              <w:rPr>
                <w:rFonts w:hint="eastAsia" w:ascii="宋体" w:hAnsi="宋体" w:eastAsia="宋体" w:cs="宋体"/>
                <w:b/>
                <w:bCs w:val="0"/>
                <w:color w:val="0000FF"/>
                <w:kern w:val="2"/>
                <w:sz w:val="21"/>
                <w:szCs w:val="21"/>
                <w:highlight w:val="none"/>
                <w:lang w:val="en-US" w:eastAsia="zh-CN" w:bidi="ar-SA"/>
              </w:rPr>
              <w:t>衣室</w:t>
            </w:r>
          </w:p>
        </w:tc>
        <w:tc>
          <w:tcPr>
            <w:tcW w:w="929" w:type="dxa"/>
            <w:tcBorders>
              <w:left w:val="single" w:color="auto" w:sz="4" w:space="0"/>
              <w:right w:val="single" w:color="auto" w:sz="4" w:space="0"/>
            </w:tcBorders>
            <w:noWrap w:val="0"/>
            <w:vAlign w:val="center"/>
          </w:tcPr>
          <w:p w14:paraId="0373C93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4FD8DB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0328B8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DABA88F">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4097E34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挂式洗手星盆</w:t>
            </w:r>
          </w:p>
          <w:p w14:paraId="12F1ADF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说明：采用SUS304-2B优质发纹贴塑不锈钢板制作，台面δ≥1.1mm，星盆斗δ≥1.1mm，配优质不锈钢落水器、拦渣斗。</w:t>
            </w:r>
          </w:p>
          <w:p w14:paraId="45D1200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规格：400×440×（200+150）</w:t>
            </w:r>
          </w:p>
        </w:tc>
        <w:tc>
          <w:tcPr>
            <w:tcW w:w="929" w:type="dxa"/>
            <w:tcBorders>
              <w:left w:val="single" w:color="auto" w:sz="4" w:space="0"/>
              <w:right w:val="single" w:color="auto" w:sz="4" w:space="0"/>
            </w:tcBorders>
            <w:noWrap w:val="0"/>
            <w:vAlign w:val="center"/>
          </w:tcPr>
          <w:p w14:paraId="16EA5AF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02F8F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685800" cy="408940"/>
                  <wp:effectExtent l="0" t="0" r="0" b="10160"/>
                  <wp:docPr id="6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2"/>
                          <pic:cNvPicPr>
                            <a:picLocks noChangeAspect="1"/>
                          </pic:cNvPicPr>
                        </pic:nvPicPr>
                        <pic:blipFill>
                          <a:blip r:embed="rId31"/>
                          <a:stretch>
                            <a:fillRect/>
                          </a:stretch>
                        </pic:blipFill>
                        <pic:spPr>
                          <a:xfrm>
                            <a:off x="0" y="0"/>
                            <a:ext cx="685800" cy="408940"/>
                          </a:xfrm>
                          <a:prstGeom prst="rect">
                            <a:avLst/>
                          </a:prstGeom>
                          <a:noFill/>
                          <a:ln w="9525">
                            <a:noFill/>
                          </a:ln>
                        </pic:spPr>
                      </pic:pic>
                    </a:graphicData>
                  </a:graphic>
                </wp:inline>
              </w:drawing>
            </w:r>
          </w:p>
        </w:tc>
      </w:tr>
      <w:tr w14:paraId="3647D92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7FC691A">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5393AEC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单冷龙头连脚踏龙头</w:t>
            </w:r>
          </w:p>
          <w:p w14:paraId="33DACDA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说明：单孔台面鹅颈龙头，配G1/2′进水接头，出水管中心距130mm，4′对中镀铬镍黄铜本体。</w:t>
            </w:r>
          </w:p>
        </w:tc>
        <w:tc>
          <w:tcPr>
            <w:tcW w:w="929" w:type="dxa"/>
            <w:tcBorders>
              <w:left w:val="single" w:color="auto" w:sz="4" w:space="0"/>
              <w:right w:val="single" w:color="auto" w:sz="4" w:space="0"/>
            </w:tcBorders>
            <w:noWrap w:val="0"/>
            <w:vAlign w:val="center"/>
          </w:tcPr>
          <w:p w14:paraId="0FF3606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1个</w:t>
            </w:r>
          </w:p>
        </w:tc>
        <w:tc>
          <w:tcPr>
            <w:tcW w:w="1810" w:type="dxa"/>
            <w:tcBorders>
              <w:left w:val="single" w:color="auto" w:sz="4" w:space="0"/>
              <w:right w:val="single" w:color="auto" w:sz="4" w:space="0"/>
            </w:tcBorders>
            <w:noWrap w:val="0"/>
            <w:vAlign w:val="center"/>
          </w:tcPr>
          <w:p w14:paraId="60431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94970" cy="539115"/>
                  <wp:effectExtent l="0" t="0" r="11430" b="6985"/>
                  <wp:docPr id="6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5"/>
                          <pic:cNvPicPr>
                            <a:picLocks noChangeAspect="1"/>
                          </pic:cNvPicPr>
                        </pic:nvPicPr>
                        <pic:blipFill>
                          <a:blip r:embed="rId32"/>
                          <a:stretch>
                            <a:fillRect/>
                          </a:stretch>
                        </pic:blipFill>
                        <pic:spPr>
                          <a:xfrm>
                            <a:off x="0" y="0"/>
                            <a:ext cx="394970" cy="539115"/>
                          </a:xfrm>
                          <a:prstGeom prst="rect">
                            <a:avLst/>
                          </a:prstGeom>
                          <a:noFill/>
                          <a:ln>
                            <a:noFill/>
                          </a:ln>
                        </pic:spPr>
                      </pic:pic>
                    </a:graphicData>
                  </a:graphic>
                </wp:inline>
              </w:drawing>
            </w:r>
          </w:p>
        </w:tc>
      </w:tr>
      <w:tr w14:paraId="08EC87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F09C8DD">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A44097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干手器</w:t>
            </w:r>
          </w:p>
          <w:p w14:paraId="0B8726F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说明：智能全自动感应，涡轮增压风箱，强劲风力，安全保护，为洁净双手保驾护航。</w:t>
            </w:r>
          </w:p>
          <w:p w14:paraId="4ECBE02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
              </w:rPr>
              <w:t>功率：2000W/220V</w:t>
            </w:r>
          </w:p>
        </w:tc>
        <w:tc>
          <w:tcPr>
            <w:tcW w:w="929" w:type="dxa"/>
            <w:tcBorders>
              <w:left w:val="single" w:color="auto" w:sz="4" w:space="0"/>
              <w:right w:val="single" w:color="auto" w:sz="4" w:space="0"/>
            </w:tcBorders>
            <w:noWrap w:val="0"/>
            <w:vAlign w:val="center"/>
          </w:tcPr>
          <w:p w14:paraId="67C452E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3DF5328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102870</wp:posOffset>
                  </wp:positionH>
                  <wp:positionV relativeFrom="paragraph">
                    <wp:posOffset>326390</wp:posOffset>
                  </wp:positionV>
                  <wp:extent cx="636905" cy="636905"/>
                  <wp:effectExtent l="0" t="0" r="10795" b="10795"/>
                  <wp:wrapSquare wrapText="bothSides"/>
                  <wp:docPr id="19" name="图片 19"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img (1)"/>
                          <pic:cNvPicPr>
                            <a:picLocks noChangeAspect="1"/>
                          </pic:cNvPicPr>
                        </pic:nvPicPr>
                        <pic:blipFill>
                          <a:blip r:embed="rId33"/>
                          <a:stretch>
                            <a:fillRect/>
                          </a:stretch>
                        </pic:blipFill>
                        <pic:spPr>
                          <a:xfrm>
                            <a:off x="0" y="0"/>
                            <a:ext cx="636905" cy="636905"/>
                          </a:xfrm>
                          <a:prstGeom prst="rect">
                            <a:avLst/>
                          </a:prstGeom>
                        </pic:spPr>
                      </pic:pic>
                    </a:graphicData>
                  </a:graphic>
                </wp:anchor>
              </w:drawing>
            </w:r>
          </w:p>
        </w:tc>
      </w:tr>
      <w:tr w14:paraId="66D5DC6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72FB591">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shd w:val="clear" w:color="auto" w:fill="auto"/>
            <w:noWrap w:val="0"/>
            <w:vAlign w:val="center"/>
          </w:tcPr>
          <w:p w14:paraId="4D361B6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六门更衣柜</w:t>
            </w:r>
          </w:p>
          <w:p w14:paraId="125D8A2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说明：冷轧钢板，六开门设计，内置层板，配不锈钢加强筋；铝合金拉手；独立带安全锁。</w:t>
            </w:r>
          </w:p>
          <w:p w14:paraId="01E9AED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规格：900×400×1800</w:t>
            </w:r>
          </w:p>
        </w:tc>
        <w:tc>
          <w:tcPr>
            <w:tcW w:w="929" w:type="dxa"/>
            <w:tcBorders>
              <w:left w:val="single" w:color="auto" w:sz="4" w:space="0"/>
              <w:right w:val="single" w:color="auto" w:sz="4" w:space="0"/>
            </w:tcBorders>
            <w:shd w:val="clear" w:color="auto" w:fill="auto"/>
            <w:noWrap w:val="0"/>
            <w:vAlign w:val="center"/>
          </w:tcPr>
          <w:p w14:paraId="3FB729A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6A8AA83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INCLUDEPICTURE "C:\\Users\\Administrator\\AppData\\Roaming\\Tencent\\Users\\114082838\\QQ\\WinTemp\\RichOle\\Y$CHL{Z`YMKY6$@J{1KA5{2.png" \* MERGEFORMATINET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drawing>
                <wp:inline distT="0" distB="0" distL="114300" distR="114300">
                  <wp:extent cx="362585" cy="701040"/>
                  <wp:effectExtent l="0" t="0" r="18415" b="10160"/>
                  <wp:docPr id="8" name="图片 8" descr="Y$CHL{Z`YMKY6$@J{1K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CHL{Z`YMKY6$@J{1KA5{2"/>
                          <pic:cNvPicPr>
                            <a:picLocks noChangeAspect="1"/>
                          </pic:cNvPicPr>
                        </pic:nvPicPr>
                        <pic:blipFill>
                          <a:blip r:embed="rId34"/>
                          <a:stretch>
                            <a:fillRect/>
                          </a:stretch>
                        </pic:blipFill>
                        <pic:spPr>
                          <a:xfrm>
                            <a:off x="0" y="0"/>
                            <a:ext cx="362585" cy="701040"/>
                          </a:xfrm>
                          <a:prstGeom prst="rect">
                            <a:avLst/>
                          </a:prstGeom>
                          <a:noFill/>
                          <a:ln>
                            <a:noFill/>
                          </a:ln>
                        </pic:spPr>
                      </pic:pic>
                    </a:graphicData>
                  </a:graphic>
                </wp:inline>
              </w:drawing>
            </w:r>
            <w:r>
              <w:rPr>
                <w:rFonts w:hint="eastAsia" w:ascii="宋体" w:hAnsi="宋体" w:eastAsia="宋体" w:cs="宋体"/>
                <w:color w:val="auto"/>
                <w:kern w:val="0"/>
                <w:sz w:val="21"/>
                <w:szCs w:val="21"/>
              </w:rPr>
              <w:fldChar w:fldCharType="end"/>
            </w:r>
          </w:p>
        </w:tc>
      </w:tr>
      <w:tr w14:paraId="6790F9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BB42386">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3ADD27D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主/副食库</w:t>
            </w:r>
          </w:p>
        </w:tc>
        <w:tc>
          <w:tcPr>
            <w:tcW w:w="929" w:type="dxa"/>
            <w:tcBorders>
              <w:left w:val="single" w:color="auto" w:sz="4" w:space="0"/>
              <w:right w:val="single" w:color="auto" w:sz="4" w:space="0"/>
            </w:tcBorders>
            <w:noWrap w:val="0"/>
            <w:vAlign w:val="center"/>
          </w:tcPr>
          <w:p w14:paraId="1603009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46F03F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3232477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4CC7993C">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shd w:val="clear" w:color="auto" w:fill="auto"/>
            <w:noWrap w:val="0"/>
            <w:vAlign w:val="center"/>
          </w:tcPr>
          <w:p w14:paraId="19854F8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四层平板架</w:t>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 xml:space="preserve">     </w:t>
            </w:r>
          </w:p>
          <w:p w14:paraId="78B3857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说明：采用SUS304-2B优质发纹贴塑不锈钢板制作，骨架δ≥1.1mm。￠38圆管，层板δ≥0.9mm 下衬加宽加强，（配有可调子弹脚）。</w:t>
            </w:r>
          </w:p>
          <w:p w14:paraId="24D24BE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规格：1150×500×1550</w:t>
            </w:r>
          </w:p>
        </w:tc>
        <w:tc>
          <w:tcPr>
            <w:tcW w:w="929" w:type="dxa"/>
            <w:tcBorders>
              <w:left w:val="single" w:color="auto" w:sz="4" w:space="0"/>
              <w:right w:val="single" w:color="auto" w:sz="4" w:space="0"/>
            </w:tcBorders>
            <w:shd w:val="clear" w:color="auto" w:fill="auto"/>
            <w:noWrap w:val="0"/>
            <w:vAlign w:val="center"/>
          </w:tcPr>
          <w:p w14:paraId="71259E9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2032F4AD">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74040" cy="591185"/>
                  <wp:effectExtent l="0" t="0" r="10160" b="18415"/>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35"/>
                          <a:stretch>
                            <a:fillRect/>
                          </a:stretch>
                        </pic:blipFill>
                        <pic:spPr>
                          <a:xfrm>
                            <a:off x="0" y="0"/>
                            <a:ext cx="574040" cy="591185"/>
                          </a:xfrm>
                          <a:prstGeom prst="rect">
                            <a:avLst/>
                          </a:prstGeom>
                          <a:noFill/>
                          <a:ln>
                            <a:noFill/>
                          </a:ln>
                        </pic:spPr>
                      </pic:pic>
                    </a:graphicData>
                  </a:graphic>
                </wp:inline>
              </w:drawing>
            </w:r>
          </w:p>
        </w:tc>
      </w:tr>
      <w:tr w14:paraId="22079A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2207FB3A">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36C0E4A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低搁架</w:t>
            </w:r>
          </w:p>
          <w:p w14:paraId="46172FB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说明：采用SUS304-2B优质50×50不锈钢方管制作，骨架δ≥1.1mm。配防滑皮腿。</w:t>
            </w:r>
          </w:p>
          <w:p w14:paraId="53D45CC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规格：1200×500×300</w:t>
            </w:r>
          </w:p>
        </w:tc>
        <w:tc>
          <w:tcPr>
            <w:tcW w:w="929" w:type="dxa"/>
            <w:tcBorders>
              <w:left w:val="single" w:color="auto" w:sz="4" w:space="0"/>
              <w:right w:val="single" w:color="auto" w:sz="4" w:space="0"/>
            </w:tcBorders>
            <w:noWrap w:val="0"/>
            <w:vAlign w:val="center"/>
          </w:tcPr>
          <w:p w14:paraId="0298B4C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57CDE4C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31495" cy="403860"/>
                  <wp:effectExtent l="0" t="0" r="1905" b="2540"/>
                  <wp:docPr id="23" name="图片 24" descr="说明: 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说明: 低搁架 副本"/>
                          <pic:cNvPicPr>
                            <a:picLocks noChangeAspect="1"/>
                          </pic:cNvPicPr>
                        </pic:nvPicPr>
                        <pic:blipFill>
                          <a:blip r:embed="rId36">
                            <a:lum contrast="6000"/>
                          </a:blip>
                          <a:stretch>
                            <a:fillRect/>
                          </a:stretch>
                        </pic:blipFill>
                        <pic:spPr>
                          <a:xfrm>
                            <a:off x="0" y="0"/>
                            <a:ext cx="531495" cy="403860"/>
                          </a:xfrm>
                          <a:prstGeom prst="rect">
                            <a:avLst/>
                          </a:prstGeom>
                          <a:noFill/>
                          <a:ln w="9525">
                            <a:noFill/>
                          </a:ln>
                        </pic:spPr>
                      </pic:pic>
                    </a:graphicData>
                  </a:graphic>
                </wp:inline>
              </w:drawing>
            </w:r>
          </w:p>
        </w:tc>
      </w:tr>
      <w:tr w14:paraId="2F226B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9C03FAB">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61F75A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bCs w:val="0"/>
                <w:color w:val="0000FF"/>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加工切配间</w:t>
            </w:r>
          </w:p>
        </w:tc>
        <w:tc>
          <w:tcPr>
            <w:tcW w:w="929" w:type="dxa"/>
            <w:tcBorders>
              <w:left w:val="single" w:color="auto" w:sz="4" w:space="0"/>
              <w:right w:val="single" w:color="auto" w:sz="4" w:space="0"/>
            </w:tcBorders>
            <w:noWrap w:val="0"/>
            <w:vAlign w:val="center"/>
          </w:tcPr>
          <w:p w14:paraId="000D452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38C84B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5777437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065A9A1">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3C94CB1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大单星盆台</w:t>
            </w:r>
          </w:p>
          <w:p w14:paraId="353AE60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说明：采用SUS304-2B优质发纹贴塑不锈钢板制作，台面δ≥1.1mm，星盆斗δ≥1.1mm，加强筋δ≥0.9mm；配置Φ38mm不锈钢可调节重力子弹脚，配优质不锈钢落水器、拦渣斗。</w:t>
            </w:r>
          </w:p>
          <w:p w14:paraId="731BD66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规格：1000×700×(800+150)</w:t>
            </w:r>
          </w:p>
        </w:tc>
        <w:tc>
          <w:tcPr>
            <w:tcW w:w="929" w:type="dxa"/>
            <w:tcBorders>
              <w:left w:val="single" w:color="auto" w:sz="4" w:space="0"/>
              <w:right w:val="single" w:color="auto" w:sz="4" w:space="0"/>
            </w:tcBorders>
            <w:noWrap w:val="0"/>
            <w:vAlign w:val="center"/>
          </w:tcPr>
          <w:p w14:paraId="5B34D28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3B0DE02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2540" b="5715"/>
                  <wp:docPr id="65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30"/>
                          <pic:cNvPicPr>
                            <a:picLocks noChangeAspect="1"/>
                          </pic:cNvPicPr>
                        </pic:nvPicPr>
                        <pic:blipFill>
                          <a:blip r:embed="rId37"/>
                          <a:stretch>
                            <a:fillRect/>
                          </a:stretch>
                        </pic:blipFill>
                        <pic:spPr>
                          <a:xfrm>
                            <a:off x="0" y="0"/>
                            <a:ext cx="632460" cy="578485"/>
                          </a:xfrm>
                          <a:prstGeom prst="rect">
                            <a:avLst/>
                          </a:prstGeom>
                          <a:noFill/>
                          <a:ln>
                            <a:noFill/>
                          </a:ln>
                        </pic:spPr>
                      </pic:pic>
                    </a:graphicData>
                  </a:graphic>
                </wp:inline>
              </w:drawing>
            </w:r>
          </w:p>
        </w:tc>
      </w:tr>
      <w:tr w14:paraId="4486A9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4314EDE">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573658A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双门刀具消毒柜</w:t>
            </w:r>
          </w:p>
          <w:p w14:paraId="0043FAC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说明：采用优质发纹贴塑不锈钢板制作，台面δ≥0.9mm，工具消毒柜采用双开门推车设计。</w:t>
            </w:r>
          </w:p>
          <w:p w14:paraId="1D7A30C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消毒方式：紫外线</w:t>
            </w:r>
          </w:p>
          <w:p w14:paraId="482BD85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烘干方式：风轮</w:t>
            </w:r>
          </w:p>
          <w:p w14:paraId="431B395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消毒刀数量：10把</w:t>
            </w:r>
          </w:p>
          <w:p w14:paraId="333C688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消毒砧板数量：10块</w:t>
            </w:r>
          </w:p>
          <w:p w14:paraId="6C23F89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功率：1KW/220V</w:t>
            </w:r>
          </w:p>
          <w:p w14:paraId="77E6C9F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规格：1200×700×1200</w:t>
            </w:r>
          </w:p>
        </w:tc>
        <w:tc>
          <w:tcPr>
            <w:tcW w:w="929" w:type="dxa"/>
            <w:tcBorders>
              <w:left w:val="single" w:color="auto" w:sz="4" w:space="0"/>
              <w:right w:val="single" w:color="auto" w:sz="4" w:space="0"/>
            </w:tcBorders>
            <w:noWrap w:val="0"/>
            <w:vAlign w:val="center"/>
          </w:tcPr>
          <w:p w14:paraId="57E8B69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252B733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inline distT="0" distB="0" distL="114300" distR="114300">
                  <wp:extent cx="737870" cy="737870"/>
                  <wp:effectExtent l="0" t="0" r="24130" b="24130"/>
                  <wp:docPr id="17" name="图片 17" descr="168844882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8448821819"/>
                          <pic:cNvPicPr>
                            <a:picLocks noChangeAspect="1"/>
                          </pic:cNvPicPr>
                        </pic:nvPicPr>
                        <pic:blipFill>
                          <a:blip r:embed="rId38"/>
                          <a:stretch>
                            <a:fillRect/>
                          </a:stretch>
                        </pic:blipFill>
                        <pic:spPr>
                          <a:xfrm>
                            <a:off x="0" y="0"/>
                            <a:ext cx="737870" cy="737870"/>
                          </a:xfrm>
                          <a:prstGeom prst="rect">
                            <a:avLst/>
                          </a:prstGeom>
                        </pic:spPr>
                      </pic:pic>
                    </a:graphicData>
                  </a:graphic>
                </wp:inline>
              </w:drawing>
            </w:r>
          </w:p>
        </w:tc>
      </w:tr>
      <w:tr w14:paraId="11BBF2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BAA493A">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1FE8785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双层工作台</w:t>
            </w:r>
          </w:p>
          <w:p w14:paraId="58EBEF0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说明：选用SUS304-2B优质不锈钢板制作，台面δ≥1.1mm，格栅采用δ≥0.8mm方管。加强筋δ≥0.9mm，横档25×38方管（配有可调子弹脚）。</w:t>
            </w:r>
          </w:p>
          <w:p w14:paraId="54ACFD7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规格：1500×800×800</w:t>
            </w:r>
          </w:p>
        </w:tc>
        <w:tc>
          <w:tcPr>
            <w:tcW w:w="929" w:type="dxa"/>
            <w:tcBorders>
              <w:left w:val="single" w:color="auto" w:sz="4" w:space="0"/>
              <w:right w:val="single" w:color="auto" w:sz="4" w:space="0"/>
            </w:tcBorders>
            <w:noWrap w:val="0"/>
            <w:vAlign w:val="center"/>
          </w:tcPr>
          <w:p w14:paraId="44C23F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2E3A73E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76275" cy="431800"/>
                  <wp:effectExtent l="0" t="0" r="9525"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39"/>
                          <a:stretch>
                            <a:fillRect/>
                          </a:stretch>
                        </pic:blipFill>
                        <pic:spPr>
                          <a:xfrm>
                            <a:off x="0" y="0"/>
                            <a:ext cx="676275" cy="431800"/>
                          </a:xfrm>
                          <a:prstGeom prst="rect">
                            <a:avLst/>
                          </a:prstGeom>
                          <a:noFill/>
                          <a:ln>
                            <a:noFill/>
                          </a:ln>
                        </pic:spPr>
                      </pic:pic>
                    </a:graphicData>
                  </a:graphic>
                </wp:inline>
              </w:drawing>
            </w:r>
          </w:p>
        </w:tc>
      </w:tr>
      <w:tr w14:paraId="7639B3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2C6FBBC1">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shd w:val="clear" w:color="auto" w:fill="auto"/>
            <w:noWrap w:val="0"/>
            <w:vAlign w:val="center"/>
          </w:tcPr>
          <w:p w14:paraId="42C8089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全自动电热连座台</w:t>
            </w:r>
          </w:p>
          <w:p w14:paraId="7768341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容量：≥120L</w:t>
            </w:r>
          </w:p>
          <w:p w14:paraId="71D4BEA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电量：15KW/3PH/380V。</w:t>
            </w:r>
          </w:p>
          <w:p w14:paraId="7EFD907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水箱规格：630×450×1170</w:t>
            </w:r>
          </w:p>
          <w:p w14:paraId="0F26404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底座规格：600×610×620</w:t>
            </w:r>
          </w:p>
        </w:tc>
        <w:tc>
          <w:tcPr>
            <w:tcW w:w="929" w:type="dxa"/>
            <w:tcBorders>
              <w:left w:val="single" w:color="auto" w:sz="4" w:space="0"/>
              <w:right w:val="single" w:color="auto" w:sz="4" w:space="0"/>
            </w:tcBorders>
            <w:shd w:val="clear" w:color="auto" w:fill="auto"/>
            <w:noWrap w:val="0"/>
            <w:vAlign w:val="center"/>
          </w:tcPr>
          <w:p w14:paraId="4CDC60B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2台</w:t>
            </w:r>
          </w:p>
        </w:tc>
        <w:tc>
          <w:tcPr>
            <w:tcW w:w="1810" w:type="dxa"/>
            <w:tcBorders>
              <w:left w:val="single" w:color="auto" w:sz="4" w:space="0"/>
              <w:right w:val="single" w:color="auto" w:sz="4" w:space="0"/>
            </w:tcBorders>
            <w:shd w:val="clear" w:color="auto" w:fill="auto"/>
            <w:noWrap w:val="0"/>
            <w:vAlign w:val="center"/>
          </w:tcPr>
          <w:p w14:paraId="0CFB3A1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324485" cy="685165"/>
                  <wp:effectExtent l="0" t="0" r="5715" b="635"/>
                  <wp:docPr id="9" name="图片 51"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1" descr="开水器连座架"/>
                          <pic:cNvPicPr>
                            <a:picLocks noChangeAspect="1"/>
                          </pic:cNvPicPr>
                        </pic:nvPicPr>
                        <pic:blipFill>
                          <a:blip r:embed="rId40"/>
                          <a:stretch>
                            <a:fillRect/>
                          </a:stretch>
                        </pic:blipFill>
                        <pic:spPr>
                          <a:xfrm>
                            <a:off x="0" y="0"/>
                            <a:ext cx="324485" cy="685165"/>
                          </a:xfrm>
                          <a:prstGeom prst="rect">
                            <a:avLst/>
                          </a:prstGeom>
                          <a:noFill/>
                          <a:ln w="9525">
                            <a:noFill/>
                          </a:ln>
                        </pic:spPr>
                      </pic:pic>
                    </a:graphicData>
                  </a:graphic>
                </wp:inline>
              </w:drawing>
            </w:r>
          </w:p>
        </w:tc>
      </w:tr>
      <w:tr w14:paraId="67B0236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1447EBD6">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rPr>
            </w:pPr>
          </w:p>
        </w:tc>
        <w:tc>
          <w:tcPr>
            <w:tcW w:w="4174" w:type="dxa"/>
            <w:tcBorders>
              <w:left w:val="single" w:color="auto" w:sz="4" w:space="0"/>
              <w:right w:val="single" w:color="auto" w:sz="4" w:space="0"/>
            </w:tcBorders>
            <w:shd w:val="clear" w:color="auto" w:fill="auto"/>
            <w:noWrap w:val="0"/>
            <w:vAlign w:val="center"/>
          </w:tcPr>
          <w:p w14:paraId="1FB01AA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单星剖鱼盆台</w:t>
            </w:r>
          </w:p>
          <w:p w14:paraId="4C9E58E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说明：采用SUS304-2B优质发纹贴塑不锈钢板制作，台面一次成型，台面δ=1.2mm，星盆斗δ=1.2mm，加强筋δ1.0mm；配置Φ38mm不锈钢可调节重力子弹脚，配优质不锈钢落水器、拦渣斗。</w:t>
            </w:r>
          </w:p>
          <w:p w14:paraId="6DEC6BD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 xml:space="preserve">规格：1500×700×(800+150)          </w:t>
            </w:r>
          </w:p>
        </w:tc>
        <w:tc>
          <w:tcPr>
            <w:tcW w:w="929" w:type="dxa"/>
            <w:tcBorders>
              <w:left w:val="single" w:color="auto" w:sz="4" w:space="0"/>
              <w:right w:val="single" w:color="auto" w:sz="4" w:space="0"/>
            </w:tcBorders>
            <w:shd w:val="clear" w:color="auto" w:fill="auto"/>
            <w:noWrap w:val="0"/>
            <w:vAlign w:val="center"/>
          </w:tcPr>
          <w:p w14:paraId="445257A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4F30AE4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color w:val="auto"/>
                <w:sz w:val="21"/>
                <w:szCs w:val="21"/>
              </w:rPr>
              <w:drawing>
                <wp:inline distT="0" distB="0" distL="114300" distR="114300">
                  <wp:extent cx="650875" cy="625475"/>
                  <wp:effectExtent l="0" t="0" r="9525" b="9525"/>
                  <wp:docPr id="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pic:cNvPicPr>
                            <a:picLocks noChangeAspect="1"/>
                          </pic:cNvPicPr>
                        </pic:nvPicPr>
                        <pic:blipFill>
                          <a:blip r:embed="rId41"/>
                          <a:stretch>
                            <a:fillRect/>
                          </a:stretch>
                        </pic:blipFill>
                        <pic:spPr>
                          <a:xfrm>
                            <a:off x="0" y="0"/>
                            <a:ext cx="650875" cy="625475"/>
                          </a:xfrm>
                          <a:prstGeom prst="rect">
                            <a:avLst/>
                          </a:prstGeom>
                          <a:noFill/>
                          <a:ln>
                            <a:noFill/>
                          </a:ln>
                        </pic:spPr>
                      </pic:pic>
                    </a:graphicData>
                  </a:graphic>
                </wp:inline>
              </w:drawing>
            </w:r>
          </w:p>
        </w:tc>
      </w:tr>
      <w:tr w14:paraId="08FFC7B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44C02B35">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rPr>
            </w:pPr>
          </w:p>
        </w:tc>
        <w:tc>
          <w:tcPr>
            <w:tcW w:w="4174" w:type="dxa"/>
            <w:tcBorders>
              <w:left w:val="single" w:color="auto" w:sz="4" w:space="0"/>
              <w:right w:val="single" w:color="auto" w:sz="4" w:space="0"/>
            </w:tcBorders>
            <w:shd w:val="clear" w:color="auto" w:fill="auto"/>
            <w:noWrap w:val="0"/>
            <w:vAlign w:val="center"/>
          </w:tcPr>
          <w:p w14:paraId="2026AE5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双星连盆台</w:t>
            </w:r>
          </w:p>
          <w:p w14:paraId="008A25C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说明：采用SUS304-2B优质发纹贴塑不锈钢板制作，台面δ=1.2mm，星盆斗δ=1.2mm，配置Φ38mm不锈钢可调节重力子弹脚，配优质不锈钢落水器、拦渣斗。</w:t>
            </w:r>
          </w:p>
          <w:p w14:paraId="492C451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 xml:space="preserve">规格：1500×700×（800+150） </w:t>
            </w:r>
          </w:p>
        </w:tc>
        <w:tc>
          <w:tcPr>
            <w:tcW w:w="929" w:type="dxa"/>
            <w:tcBorders>
              <w:left w:val="single" w:color="auto" w:sz="4" w:space="0"/>
              <w:right w:val="single" w:color="auto" w:sz="4" w:space="0"/>
            </w:tcBorders>
            <w:shd w:val="clear" w:color="auto" w:fill="auto"/>
            <w:noWrap w:val="0"/>
            <w:vAlign w:val="center"/>
          </w:tcPr>
          <w:p w14:paraId="1E38827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40FCECC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drawing>
                <wp:anchor distT="0" distB="0" distL="114300" distR="114300" simplePos="0" relativeHeight="251665408" behindDoc="0" locked="0" layoutInCell="1" allowOverlap="1">
                  <wp:simplePos x="0" y="0"/>
                  <wp:positionH relativeFrom="column">
                    <wp:posOffset>140335</wp:posOffset>
                  </wp:positionH>
                  <wp:positionV relativeFrom="paragraph">
                    <wp:posOffset>179705</wp:posOffset>
                  </wp:positionV>
                  <wp:extent cx="692150" cy="510540"/>
                  <wp:effectExtent l="0" t="0" r="6350" b="10160"/>
                  <wp:wrapNone/>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42"/>
                          <a:stretch>
                            <a:fillRect/>
                          </a:stretch>
                        </pic:blipFill>
                        <pic:spPr>
                          <a:xfrm>
                            <a:off x="0" y="0"/>
                            <a:ext cx="692150" cy="510540"/>
                          </a:xfrm>
                          <a:prstGeom prst="rect">
                            <a:avLst/>
                          </a:prstGeom>
                          <a:noFill/>
                          <a:ln>
                            <a:noFill/>
                          </a:ln>
                        </pic:spPr>
                      </pic:pic>
                    </a:graphicData>
                  </a:graphic>
                </wp:anchor>
              </w:drawing>
            </w:r>
            <w:r>
              <w:rPr>
                <w:rFonts w:hint="eastAsia" w:ascii="宋体" w:hAnsi="宋体" w:eastAsia="宋体" w:cs="宋体"/>
                <w:color w:val="auto"/>
                <w:sz w:val="21"/>
                <w:szCs w:val="21"/>
                <w:lang w:val="en-US" w:eastAsia="zh-CN"/>
              </w:rPr>
              <w:t xml:space="preserve">  </w:t>
            </w:r>
          </w:p>
        </w:tc>
      </w:tr>
      <w:tr w14:paraId="107CC1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B50BD8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54BDF68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四层格栅架</w:t>
            </w:r>
          </w:p>
          <w:p w14:paraId="5E1AD68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说明：采用SUS304-2B优质发纹贴塑不锈钢板制作，骨架δ≥1.1mm，￠38圆管，栅板δ≥0.8mm复边成条状，（配有可调子弹脚）。</w:t>
            </w:r>
          </w:p>
          <w:p w14:paraId="656EFF7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规格：1150×500×1550</w:t>
            </w:r>
          </w:p>
        </w:tc>
        <w:tc>
          <w:tcPr>
            <w:tcW w:w="929" w:type="dxa"/>
            <w:tcBorders>
              <w:left w:val="single" w:color="auto" w:sz="4" w:space="0"/>
              <w:right w:val="single" w:color="auto" w:sz="4" w:space="0"/>
            </w:tcBorders>
            <w:noWrap w:val="0"/>
            <w:vAlign w:val="center"/>
          </w:tcPr>
          <w:p w14:paraId="6D57DB5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1ECD4300">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51510" cy="579120"/>
                  <wp:effectExtent l="0" t="0" r="8890" b="5080"/>
                  <wp:docPr id="6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4"/>
                          <pic:cNvPicPr>
                            <a:picLocks noChangeAspect="1"/>
                          </pic:cNvPicPr>
                        </pic:nvPicPr>
                        <pic:blipFill>
                          <a:blip r:embed="rId43"/>
                          <a:stretch>
                            <a:fillRect/>
                          </a:stretch>
                        </pic:blipFill>
                        <pic:spPr>
                          <a:xfrm>
                            <a:off x="0" y="0"/>
                            <a:ext cx="651510" cy="579120"/>
                          </a:xfrm>
                          <a:prstGeom prst="rect">
                            <a:avLst/>
                          </a:prstGeom>
                          <a:noFill/>
                          <a:ln>
                            <a:noFill/>
                          </a:ln>
                        </pic:spPr>
                      </pic:pic>
                    </a:graphicData>
                  </a:graphic>
                </wp:inline>
              </w:drawing>
            </w:r>
          </w:p>
        </w:tc>
      </w:tr>
      <w:tr w14:paraId="5271A0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11A8A857">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0E6EABB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烹饪间</w:t>
            </w:r>
          </w:p>
        </w:tc>
        <w:tc>
          <w:tcPr>
            <w:tcW w:w="929" w:type="dxa"/>
            <w:tcBorders>
              <w:left w:val="single" w:color="auto" w:sz="4" w:space="0"/>
              <w:right w:val="single" w:color="auto" w:sz="4" w:space="0"/>
            </w:tcBorders>
            <w:noWrap w:val="0"/>
            <w:vAlign w:val="center"/>
          </w:tcPr>
          <w:p w14:paraId="78C551A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28C786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7AD216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6059281">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12FEE9C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电磁800双头大锅灶</w:t>
            </w:r>
          </w:p>
          <w:p w14:paraId="1B47A12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1.加热面积大、加热均匀。</w:t>
            </w:r>
          </w:p>
          <w:p w14:paraId="51D755C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2.大功率加热，火力强劲，满足大份量爆炒、焖煮的烹饪需求，显著提升出品效率。</w:t>
            </w:r>
          </w:p>
          <w:p w14:paraId="3DAF21A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3.材质：全 SUS304 不锈钢框架式结构机身，耐腐蚀，经久耐用。面板采用一体成型优质304#不锈钢板，实厚≥1.35mm，侧板厚≥1.0mm</w:t>
            </w:r>
          </w:p>
          <w:p w14:paraId="0054EB5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4.水龙头：配备 SUS304 不锈钢摇摆水龙头，可以180度旋转，安全防漏。</w:t>
            </w:r>
          </w:p>
          <w:p w14:paraId="2FB8FA7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5.把手：9 档火力调节（注：600大锅为5档），人机工效学设计 (Ergonomics)，合金材质火力调节把手搭配硅胶防滑垫，档位清晰控感好，适应厨师使用习惯，可直接用膝盖控制。</w:t>
            </w:r>
          </w:p>
          <w:p w14:paraId="1382007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6.显示屏：LED 彩色数码显示屏，能实时显示功率和当前火力档位，火力调控更加直观。</w:t>
            </w:r>
          </w:p>
          <w:p w14:paraId="521BD80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7.防水：IPX4 标准防水设计，清洁时可直接冲洗，台面无死角，不会藏污纳垢。</w:t>
            </w:r>
          </w:p>
          <w:p w14:paraId="65F95C0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8.立体三防结构设计，防水、防油烟、防虫。</w:t>
            </w:r>
          </w:p>
          <w:p w14:paraId="6E1FCB5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9.ADD（自适应数字判断）磁电引擎，数字驱动、多级防护，机芯稳定性高，适用各种厨房环境，确保设备安全可靠。</w:t>
            </w:r>
          </w:p>
          <w:p w14:paraId="7419524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11.高效后吸式散热，大风量，散热速度快，减少散热风机故障。</w:t>
            </w:r>
          </w:p>
          <w:p w14:paraId="4981388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u w:val="single"/>
                <w:lang w:val="en-US" w:eastAsia="zh-CN" w:bidi="ar"/>
              </w:rPr>
            </w:pPr>
            <w:r>
              <w:rPr>
                <w:rFonts w:hint="eastAsia" w:ascii="宋体" w:hAnsi="宋体" w:eastAsia="宋体" w:cs="宋体"/>
                <w:b w:val="0"/>
                <w:bCs w:val="0"/>
                <w:color w:val="auto"/>
                <w:kern w:val="2"/>
                <w:sz w:val="22"/>
                <w:szCs w:val="22"/>
                <w:u w:val="single"/>
                <w:lang w:val="en-US" w:eastAsia="zh-CN" w:bidi="ar"/>
              </w:rPr>
              <w:t>★12、所投电磁双头大炒灶整机提供带CNAS或CMA标识的检测报告，产品满足GB/T 4208-2017标准检测，①灰尘无法进入产品内部，直径1mm的金属试验线无法进入壳内合格；②水深：2米、时间：30分钟状态下水无法进入产品内部合格；提供防护等级≥IP67检测报告扫描件，不提供或不满足视为负偏离。</w:t>
            </w:r>
          </w:p>
          <w:p w14:paraId="44BD61F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u w:val="single"/>
                <w:lang w:val="en-US" w:eastAsia="zh-CN" w:bidi="ar"/>
              </w:rPr>
            </w:pPr>
            <w:r>
              <w:rPr>
                <w:rFonts w:hint="eastAsia" w:ascii="宋体" w:hAnsi="宋体" w:eastAsia="宋体" w:cs="宋体"/>
                <w:b w:val="0"/>
                <w:bCs w:val="0"/>
                <w:color w:val="auto"/>
                <w:kern w:val="2"/>
                <w:sz w:val="22"/>
                <w:szCs w:val="22"/>
                <w:u w:val="single"/>
                <w:lang w:val="en-US" w:eastAsia="zh-CN" w:bidi="ar"/>
              </w:rPr>
              <w:t>★13、提供电磁双头大炒灶整机带CNAS或SMA标识的检测报告，满足GB4343.1-2018标准，辐射骚扰检测合格且整机具有离人感应安全保护功能，可以设定监测距离和报警时间。人员在离开设定距离时并且达到报警时间，设备就会发出警报声音并立即停止加热。当人员回到设定距离以内会立即自动恢复加热。</w:t>
            </w:r>
          </w:p>
          <w:p w14:paraId="3A8D8C0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u w:val="single"/>
                <w:lang w:val="en-US" w:eastAsia="zh-CN" w:bidi="ar"/>
              </w:rPr>
            </w:pPr>
            <w:r>
              <w:rPr>
                <w:rFonts w:hint="eastAsia" w:ascii="宋体" w:hAnsi="宋体" w:eastAsia="宋体" w:cs="宋体"/>
                <w:b w:val="0"/>
                <w:bCs w:val="0"/>
                <w:color w:val="auto"/>
                <w:kern w:val="2"/>
                <w:sz w:val="22"/>
                <w:szCs w:val="22"/>
                <w:u w:val="single"/>
                <w:lang w:val="en-US" w:eastAsia="zh-CN" w:bidi="ar"/>
              </w:rPr>
              <w:t>★14、所投电磁双头大炒灶整机提供带CNAS、CMA、Ilac-MRA标识的检测报告，产品满足GB40876-2021标准，热效率≥94%。</w:t>
            </w:r>
          </w:p>
          <w:p w14:paraId="28B007F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u w:val="single"/>
                <w:lang w:val="en-US" w:eastAsia="zh-CN" w:bidi="ar-SA"/>
              </w:rPr>
            </w:pPr>
            <w:r>
              <w:rPr>
                <w:rFonts w:hint="eastAsia" w:ascii="宋体" w:hAnsi="宋体" w:eastAsia="宋体" w:cs="宋体"/>
                <w:b w:val="0"/>
                <w:bCs w:val="0"/>
                <w:color w:val="auto"/>
                <w:kern w:val="2"/>
                <w:sz w:val="22"/>
                <w:szCs w:val="22"/>
                <w:u w:val="single"/>
                <w:lang w:val="en-US" w:eastAsia="zh-CN" w:bidi="ar"/>
              </w:rPr>
              <w:t>★15、提供电磁双头大炒灶符合GB 4806.1-2016;GB 4806.9-2023；GB4806.7-2023； GB 4806.11-2016标准的食品接触产品安全认证证书及食品接触产品卫生认证证书。</w:t>
            </w:r>
            <w:r>
              <w:rPr>
                <w:rFonts w:hint="eastAsia" w:ascii="宋体" w:hAnsi="宋体" w:eastAsia="宋体" w:cs="宋体"/>
                <w:b w:val="0"/>
                <w:bCs w:val="0"/>
                <w:color w:val="auto"/>
                <w:kern w:val="2"/>
                <w:sz w:val="22"/>
                <w:szCs w:val="22"/>
                <w:u w:val="single"/>
                <w:lang w:val="en-US" w:eastAsia="zh-CN" w:bidi="ar"/>
              </w:rPr>
              <w:br w:type="textWrapping"/>
            </w:r>
            <w:r>
              <w:rPr>
                <w:rFonts w:hint="eastAsia" w:ascii="宋体" w:hAnsi="宋体" w:eastAsia="宋体" w:cs="宋体"/>
                <w:b w:val="0"/>
                <w:bCs w:val="0"/>
                <w:color w:val="auto"/>
                <w:kern w:val="2"/>
                <w:sz w:val="22"/>
                <w:szCs w:val="22"/>
                <w:u w:val="single"/>
                <w:lang w:val="en-US" w:eastAsia="zh-CN" w:bidi="ar"/>
              </w:rPr>
              <w:t>★16、</w:t>
            </w:r>
            <w:r>
              <w:rPr>
                <w:rFonts w:hint="eastAsia"/>
                <w:u w:val="single"/>
                <w:lang w:val="en-US" w:eastAsia="zh-CN"/>
              </w:rPr>
              <w:t>提供商用电磁炉防辐射产品认证证书。</w:t>
            </w:r>
          </w:p>
          <w:p w14:paraId="12BDDD2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电量：20kw+20kw/380v</w:t>
            </w:r>
          </w:p>
          <w:p w14:paraId="636F453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规格：</w:t>
            </w:r>
            <w:r>
              <w:rPr>
                <w:rFonts w:hint="eastAsia" w:ascii="宋体" w:hAnsi="宋体" w:eastAsia="宋体" w:cs="宋体"/>
                <w:b w:val="0"/>
                <w:bCs w:val="0"/>
                <w:color w:val="auto"/>
                <w:kern w:val="2"/>
                <w:sz w:val="22"/>
                <w:szCs w:val="22"/>
                <w:lang w:val="en-US" w:eastAsia="zh-CN" w:bidi="ar"/>
              </w:rPr>
              <w:t>1900×1100×(800+400)</w:t>
            </w:r>
          </w:p>
        </w:tc>
        <w:tc>
          <w:tcPr>
            <w:tcW w:w="929" w:type="dxa"/>
            <w:tcBorders>
              <w:left w:val="single" w:color="auto" w:sz="4" w:space="0"/>
              <w:right w:val="single" w:color="auto" w:sz="4" w:space="0"/>
            </w:tcBorders>
            <w:noWrap w:val="0"/>
            <w:vAlign w:val="center"/>
          </w:tcPr>
          <w:p w14:paraId="2E24C23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3F1361C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highlight w:val="none"/>
              </w:rPr>
              <w:drawing>
                <wp:inline distT="0" distB="0" distL="114300" distR="114300">
                  <wp:extent cx="681355" cy="685800"/>
                  <wp:effectExtent l="0" t="0" r="4445" b="0"/>
                  <wp:docPr id="27" name="图片 18" descr="双800大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双800大炒"/>
                          <pic:cNvPicPr>
                            <a:picLocks noChangeAspect="1"/>
                          </pic:cNvPicPr>
                        </pic:nvPicPr>
                        <pic:blipFill>
                          <a:blip r:embed="rId44"/>
                          <a:stretch>
                            <a:fillRect/>
                          </a:stretch>
                        </pic:blipFill>
                        <pic:spPr>
                          <a:xfrm>
                            <a:off x="0" y="0"/>
                            <a:ext cx="681355" cy="685800"/>
                          </a:xfrm>
                          <a:prstGeom prst="rect">
                            <a:avLst/>
                          </a:prstGeom>
                          <a:noFill/>
                          <a:ln w="9525">
                            <a:noFill/>
                          </a:ln>
                        </pic:spPr>
                      </pic:pic>
                    </a:graphicData>
                  </a:graphic>
                </wp:inline>
              </w:drawing>
            </w:r>
          </w:p>
        </w:tc>
      </w:tr>
      <w:tr w14:paraId="474309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F05EAAC">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rPr>
            </w:pPr>
          </w:p>
        </w:tc>
        <w:tc>
          <w:tcPr>
            <w:tcW w:w="4174" w:type="dxa"/>
            <w:tcBorders>
              <w:left w:val="single" w:color="auto" w:sz="4" w:space="0"/>
              <w:right w:val="single" w:color="auto" w:sz="4" w:space="0"/>
            </w:tcBorders>
            <w:noWrap w:val="0"/>
            <w:vAlign w:val="center"/>
          </w:tcPr>
          <w:p w14:paraId="30E4BA8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四门双温柜</w:t>
            </w:r>
          </w:p>
          <w:p w14:paraId="31F6F7F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冷藏温度：+4～-5℃</w:t>
            </w:r>
          </w:p>
          <w:p w14:paraId="50D4186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冷冻温度：-3～-18℃</w:t>
            </w:r>
          </w:p>
          <w:p w14:paraId="1C9B122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说明：采用优质压缩机、温控器，所有电器元件均采用公司直供，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p w14:paraId="530D60E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电量：370W/220V；</w:t>
            </w:r>
          </w:p>
          <w:p w14:paraId="4567DA5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规格：1200×705×1950</w:t>
            </w:r>
          </w:p>
        </w:tc>
        <w:tc>
          <w:tcPr>
            <w:tcW w:w="929" w:type="dxa"/>
            <w:tcBorders>
              <w:left w:val="single" w:color="auto" w:sz="4" w:space="0"/>
              <w:right w:val="single" w:color="auto" w:sz="4" w:space="0"/>
            </w:tcBorders>
            <w:noWrap w:val="0"/>
            <w:vAlign w:val="center"/>
          </w:tcPr>
          <w:p w14:paraId="4F666F5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noWrap w:val="0"/>
            <w:vAlign w:val="center"/>
          </w:tcPr>
          <w:p w14:paraId="7820A97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rPr>
              <w:drawing>
                <wp:inline distT="0" distB="0" distL="114300" distR="114300">
                  <wp:extent cx="576580" cy="801370"/>
                  <wp:effectExtent l="0" t="0" r="7620" b="11430"/>
                  <wp:docPr id="16" name="图片 2" descr="1587486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587486766(1)"/>
                          <pic:cNvPicPr>
                            <a:picLocks noChangeAspect="1"/>
                          </pic:cNvPicPr>
                        </pic:nvPicPr>
                        <pic:blipFill>
                          <a:blip r:embed="rId45" cstate="print"/>
                          <a:stretch>
                            <a:fillRect/>
                          </a:stretch>
                        </pic:blipFill>
                        <pic:spPr>
                          <a:xfrm>
                            <a:off x="0" y="0"/>
                            <a:ext cx="576580" cy="801370"/>
                          </a:xfrm>
                          <a:prstGeom prst="rect">
                            <a:avLst/>
                          </a:prstGeom>
                          <a:noFill/>
                          <a:ln w="9525">
                            <a:noFill/>
                          </a:ln>
                        </pic:spPr>
                      </pic:pic>
                    </a:graphicData>
                  </a:graphic>
                </wp:inline>
              </w:drawing>
            </w:r>
          </w:p>
        </w:tc>
      </w:tr>
      <w:tr w14:paraId="3DB2C64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A618DE9">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7FC672D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调料平台</w:t>
            </w:r>
            <w:r>
              <w:rPr>
                <w:rFonts w:hint="eastAsia" w:ascii="宋体" w:hAnsi="宋体" w:eastAsia="宋体" w:cs="宋体"/>
                <w:bCs/>
                <w:color w:val="auto"/>
                <w:kern w:val="2"/>
                <w:sz w:val="21"/>
                <w:szCs w:val="21"/>
                <w:highlight w:val="none"/>
                <w:lang w:val="en-US" w:eastAsia="zh-CN" w:bidi="ar-SA"/>
              </w:rPr>
              <w:tab/>
            </w:r>
            <w:r>
              <w:rPr>
                <w:rFonts w:hint="eastAsia" w:ascii="宋体" w:hAnsi="宋体" w:eastAsia="宋体" w:cs="宋体"/>
                <w:bCs/>
                <w:color w:val="auto"/>
                <w:kern w:val="2"/>
                <w:sz w:val="21"/>
                <w:szCs w:val="21"/>
                <w:highlight w:val="none"/>
                <w:lang w:val="en-US" w:eastAsia="zh-CN" w:bidi="ar-SA"/>
              </w:rPr>
              <w:tab/>
            </w:r>
          </w:p>
          <w:p w14:paraId="79C4EAE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说明：采用SUS304-2B优质发纹贴塑不锈钢板制作，台面δ≥1.1mm（下衬≥0.8mmmm防潮板减噪）。加强筋δ≥0.9mm（配有可调子弹脚）</w:t>
            </w:r>
          </w:p>
          <w:p w14:paraId="4AB4ED2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规格：500×1100×(800+400)</w:t>
            </w:r>
          </w:p>
        </w:tc>
        <w:tc>
          <w:tcPr>
            <w:tcW w:w="929" w:type="dxa"/>
            <w:tcBorders>
              <w:left w:val="single" w:color="auto" w:sz="4" w:space="0"/>
              <w:right w:val="single" w:color="auto" w:sz="4" w:space="0"/>
            </w:tcBorders>
            <w:noWrap w:val="0"/>
            <w:vAlign w:val="center"/>
          </w:tcPr>
          <w:p w14:paraId="58781F8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4F26DAB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drawing>
                <wp:inline distT="0" distB="0" distL="114300" distR="114300">
                  <wp:extent cx="706755" cy="739775"/>
                  <wp:effectExtent l="0" t="0" r="4445" b="22225"/>
                  <wp:docPr id="21" name="图片 26"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调料台01"/>
                          <pic:cNvPicPr>
                            <a:picLocks noChangeAspect="1"/>
                          </pic:cNvPicPr>
                        </pic:nvPicPr>
                        <pic:blipFill>
                          <a:blip r:embed="rId46"/>
                          <a:stretch>
                            <a:fillRect/>
                          </a:stretch>
                        </pic:blipFill>
                        <pic:spPr>
                          <a:xfrm>
                            <a:off x="0" y="0"/>
                            <a:ext cx="706755" cy="739775"/>
                          </a:xfrm>
                          <a:prstGeom prst="rect">
                            <a:avLst/>
                          </a:prstGeom>
                          <a:noFill/>
                          <a:ln>
                            <a:noFill/>
                          </a:ln>
                        </pic:spPr>
                      </pic:pic>
                    </a:graphicData>
                  </a:graphic>
                </wp:inline>
              </w:drawing>
            </w:r>
          </w:p>
        </w:tc>
      </w:tr>
      <w:tr w14:paraId="666FA83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7CB26DF">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shd w:val="clear" w:color="auto" w:fill="auto"/>
            <w:noWrap w:val="0"/>
            <w:vAlign w:val="center"/>
          </w:tcPr>
          <w:p w14:paraId="1D3DD4C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双通工作台</w:t>
            </w:r>
          </w:p>
          <w:p w14:paraId="7F91881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说明：选用SUS304-2B优质不锈钢板制作，台面δ=1.2mm（下衬12mm防潮板减噪）。其他采用δ=0.8mm不锈钢板，加强筋采用δ=1.0mm不锈钢板,单侧单移门，内分两层，重力脚φ50×150×1.2mm。</w:t>
            </w:r>
          </w:p>
          <w:p w14:paraId="24A81D3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规格：1800×800×800</w:t>
            </w:r>
          </w:p>
        </w:tc>
        <w:tc>
          <w:tcPr>
            <w:tcW w:w="929" w:type="dxa"/>
            <w:tcBorders>
              <w:left w:val="single" w:color="auto" w:sz="4" w:space="0"/>
              <w:right w:val="single" w:color="auto" w:sz="4" w:space="0"/>
            </w:tcBorders>
            <w:shd w:val="clear" w:color="auto" w:fill="auto"/>
            <w:noWrap w:val="0"/>
            <w:vAlign w:val="center"/>
          </w:tcPr>
          <w:p w14:paraId="291883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0DDC939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drawing>
                <wp:inline distT="0" distB="0" distL="114300" distR="114300">
                  <wp:extent cx="669925" cy="419735"/>
                  <wp:effectExtent l="0" t="0" r="15875" b="1206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7"/>
                          <a:stretch>
                            <a:fillRect/>
                          </a:stretch>
                        </pic:blipFill>
                        <pic:spPr>
                          <a:xfrm>
                            <a:off x="0" y="0"/>
                            <a:ext cx="669925" cy="419735"/>
                          </a:xfrm>
                          <a:prstGeom prst="rect">
                            <a:avLst/>
                          </a:prstGeom>
                          <a:noFill/>
                          <a:ln w="9525">
                            <a:noFill/>
                          </a:ln>
                        </pic:spPr>
                      </pic:pic>
                    </a:graphicData>
                  </a:graphic>
                </wp:inline>
              </w:drawing>
            </w:r>
          </w:p>
        </w:tc>
      </w:tr>
      <w:tr w14:paraId="160330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5BAAAA0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480AC3C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大单星盆台</w:t>
            </w:r>
          </w:p>
          <w:p w14:paraId="5AC6047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说明：采用SUS304-2B优质发纹贴塑不锈钢板制作，台面δ≥1.1mm，星盆斗δ≥1.1mm，加强筋δ≥0.9mm；配置Φ38mm不锈钢可调节重力子弹脚，配优质不锈钢落水器、拦渣斗。</w:t>
            </w:r>
          </w:p>
          <w:p w14:paraId="5579923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规格：800×800×800</w:t>
            </w:r>
          </w:p>
        </w:tc>
        <w:tc>
          <w:tcPr>
            <w:tcW w:w="929" w:type="dxa"/>
            <w:tcBorders>
              <w:left w:val="single" w:color="auto" w:sz="4" w:space="0"/>
              <w:right w:val="single" w:color="auto" w:sz="4" w:space="0"/>
            </w:tcBorders>
            <w:noWrap w:val="0"/>
            <w:vAlign w:val="center"/>
          </w:tcPr>
          <w:p w14:paraId="759232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2A51C59E">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2540" b="5715"/>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37"/>
                          <a:stretch>
                            <a:fillRect/>
                          </a:stretch>
                        </pic:blipFill>
                        <pic:spPr>
                          <a:xfrm>
                            <a:off x="0" y="0"/>
                            <a:ext cx="632460" cy="578485"/>
                          </a:xfrm>
                          <a:prstGeom prst="rect">
                            <a:avLst/>
                          </a:prstGeom>
                          <a:noFill/>
                          <a:ln>
                            <a:noFill/>
                          </a:ln>
                        </pic:spPr>
                      </pic:pic>
                    </a:graphicData>
                  </a:graphic>
                </wp:inline>
              </w:drawing>
            </w:r>
          </w:p>
        </w:tc>
      </w:tr>
      <w:tr w14:paraId="2D2EB4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59959E02">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0001EFD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四层格栅架</w:t>
            </w:r>
          </w:p>
          <w:p w14:paraId="53AEADC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说明：采用SUS304-2B优质发纹贴塑不锈钢板制作，骨架δ≥1.1mm，￠38圆管，栅板δ≥0.8mm复边成条状，（配有可调子弹脚）。</w:t>
            </w:r>
          </w:p>
          <w:p w14:paraId="08A8D5C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规格：1150×500×1550</w:t>
            </w:r>
          </w:p>
        </w:tc>
        <w:tc>
          <w:tcPr>
            <w:tcW w:w="929" w:type="dxa"/>
            <w:tcBorders>
              <w:left w:val="single" w:color="auto" w:sz="4" w:space="0"/>
              <w:right w:val="single" w:color="auto" w:sz="4" w:space="0"/>
            </w:tcBorders>
            <w:noWrap w:val="0"/>
            <w:vAlign w:val="center"/>
          </w:tcPr>
          <w:p w14:paraId="78ADF53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4E67B16F">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51510" cy="579120"/>
                  <wp:effectExtent l="0" t="0" r="8890" b="508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43"/>
                          <a:stretch>
                            <a:fillRect/>
                          </a:stretch>
                        </pic:blipFill>
                        <pic:spPr>
                          <a:xfrm>
                            <a:off x="0" y="0"/>
                            <a:ext cx="651510" cy="579120"/>
                          </a:xfrm>
                          <a:prstGeom prst="rect">
                            <a:avLst/>
                          </a:prstGeom>
                          <a:noFill/>
                          <a:ln>
                            <a:noFill/>
                          </a:ln>
                        </pic:spPr>
                      </pic:pic>
                    </a:graphicData>
                  </a:graphic>
                </wp:inline>
              </w:drawing>
            </w:r>
          </w:p>
        </w:tc>
      </w:tr>
      <w:tr w14:paraId="5C3175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2C899190">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1C211C7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油烟一体机(单位：ｍ)</w:t>
            </w:r>
          </w:p>
          <w:p w14:paraId="4C758732">
            <w:pPr>
              <w:keepNext w:val="0"/>
              <w:keepLines w:val="0"/>
              <w:pageBreakBefore w:val="0"/>
              <w:widowControl w:val="0"/>
              <w:numPr>
                <w:ilvl w:val="0"/>
                <w:numId w:val="0"/>
              </w:numPr>
              <w:kinsoku/>
              <w:wordWrap/>
              <w:overflowPunct/>
              <w:topLinePunct w:val="0"/>
              <w:autoSpaceDE/>
              <w:autoSpaceDN/>
              <w:bidi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说明：</w:t>
            </w:r>
            <w:r>
              <w:rPr>
                <w:rFonts w:hint="eastAsia" w:ascii="宋体" w:hAnsi="宋体" w:eastAsia="宋体" w:cs="宋体"/>
                <w:color w:val="auto"/>
                <w:sz w:val="21"/>
                <w:szCs w:val="21"/>
                <w:highlight w:val="none"/>
                <w:lang w:val="en-US" w:eastAsia="zh-CN"/>
              </w:rPr>
              <w:t>设备为全不锈钢材质，内置静电油烟净化单元、UV灯除味杀菌单元以及自带抽风动力，带LED防爆照明灯，可前/后/上三向出风，灵活安装；</w:t>
            </w:r>
          </w:p>
          <w:p w14:paraId="1B800F89">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eastAsia="zh-CN"/>
              </w:rPr>
            </w:pPr>
            <w:r>
              <w:rPr>
                <w:rFonts w:hint="eastAsia" w:ascii="宋体" w:hAnsi="宋体" w:eastAsia="宋体" w:cs="宋体"/>
                <w:b w:val="0"/>
                <w:bCs/>
                <w:color w:val="auto"/>
                <w:spacing w:val="0"/>
                <w:sz w:val="21"/>
                <w:szCs w:val="21"/>
                <w:highlight w:val="none"/>
                <w:lang w:eastAsia="zh-CN"/>
              </w:rPr>
              <w:t>电场主体为</w:t>
            </w:r>
            <w:r>
              <w:rPr>
                <w:rFonts w:hint="eastAsia" w:ascii="宋体" w:hAnsi="宋体" w:eastAsia="宋体" w:cs="宋体"/>
                <w:b w:val="0"/>
                <w:bCs/>
                <w:color w:val="auto"/>
                <w:spacing w:val="0"/>
                <w:sz w:val="21"/>
                <w:szCs w:val="21"/>
                <w:highlight w:val="none"/>
                <w:lang w:val="en-US" w:eastAsia="zh-CN"/>
              </w:rPr>
              <w:t>全</w:t>
            </w:r>
            <w:r>
              <w:rPr>
                <w:rFonts w:hint="eastAsia" w:ascii="宋体" w:hAnsi="宋体" w:eastAsia="宋体" w:cs="宋体"/>
                <w:b w:val="0"/>
                <w:bCs/>
                <w:color w:val="auto"/>
                <w:spacing w:val="0"/>
                <w:sz w:val="21"/>
                <w:szCs w:val="21"/>
                <w:highlight w:val="none"/>
                <w:lang w:eastAsia="zh-CN"/>
              </w:rPr>
              <w:t>不锈钢蜂</w:t>
            </w:r>
            <w:r>
              <w:rPr>
                <w:rFonts w:hint="eastAsia" w:ascii="宋体" w:hAnsi="宋体" w:eastAsia="宋体" w:cs="宋体"/>
                <w:b w:val="0"/>
                <w:bCs/>
                <w:color w:val="auto"/>
                <w:spacing w:val="0"/>
                <w:sz w:val="21"/>
                <w:szCs w:val="21"/>
                <w:highlight w:val="none"/>
                <w:lang w:val="en-US" w:eastAsia="zh-CN"/>
              </w:rPr>
              <w:t>巢圆筒</w:t>
            </w:r>
            <w:r>
              <w:rPr>
                <w:rFonts w:hint="eastAsia" w:ascii="宋体" w:hAnsi="宋体" w:eastAsia="宋体" w:cs="宋体"/>
                <w:b w:val="0"/>
                <w:bCs/>
                <w:color w:val="auto"/>
                <w:spacing w:val="0"/>
                <w:sz w:val="21"/>
                <w:szCs w:val="21"/>
                <w:highlight w:val="none"/>
                <w:lang w:eastAsia="zh-CN"/>
              </w:rPr>
              <w:t>结构，同时满足可单独拆卸，方便设备清洗维护</w:t>
            </w:r>
            <w:r>
              <w:rPr>
                <w:rFonts w:hint="eastAsia" w:ascii="宋体" w:hAnsi="宋体" w:eastAsia="宋体" w:cs="宋体"/>
                <w:b w:val="0"/>
                <w:bCs/>
                <w:color w:val="auto"/>
                <w:spacing w:val="0"/>
                <w:sz w:val="21"/>
                <w:szCs w:val="21"/>
                <w:highlight w:val="none"/>
                <w:lang w:val="en-US" w:eastAsia="zh-CN"/>
              </w:rPr>
              <w:t>保养；</w:t>
            </w:r>
          </w:p>
          <w:p w14:paraId="2E867B31">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电场主体绝缘子采用陶瓷绝缘子，设备高压电源输出绝缘子采用陶瓷绝缘子；</w:t>
            </w:r>
          </w:p>
          <w:p w14:paraId="42E949A6">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eastAsia="zh-CN"/>
              </w:rPr>
            </w:pPr>
            <w:r>
              <w:rPr>
                <w:rFonts w:hint="eastAsia" w:ascii="宋体" w:hAnsi="宋体" w:eastAsia="宋体" w:cs="宋体"/>
                <w:b w:val="0"/>
                <w:bCs/>
                <w:color w:val="auto"/>
                <w:spacing w:val="0"/>
                <w:sz w:val="21"/>
                <w:szCs w:val="21"/>
                <w:highlight w:val="none"/>
                <w:lang w:eastAsia="zh-CN"/>
              </w:rPr>
              <w:t>设备电源为智能数字高频高压电源，内置微电脑芯片，可选择高效、延长清洗周期、安全等工作模式，高压数字电源发生器需配置有电流调节功能，并带有多项保护功能，包括软启动、电场短路保护，放电跳停保护、电源过载保护和变压器过温保护等多重保护功能，确保设备安全；</w:t>
            </w:r>
          </w:p>
          <w:p w14:paraId="69329182">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为有效收集油烟粒子和去除气味，每个高压电源至少能给电场主体提供14 -16 KV的电压。恒流装置可把电流保持在40MA左右以确保设备的净化效率保持高效；</w:t>
            </w:r>
          </w:p>
          <w:p w14:paraId="0CBB87CD">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高压电源与电场主体采用不锈钢顶针方式连接，</w:t>
            </w:r>
            <w:r>
              <w:rPr>
                <w:rFonts w:hint="eastAsia" w:ascii="宋体" w:hAnsi="宋体" w:eastAsia="宋体" w:cs="宋体"/>
                <w:b w:val="0"/>
                <w:bCs/>
                <w:color w:val="auto"/>
                <w:spacing w:val="0"/>
                <w:sz w:val="21"/>
                <w:szCs w:val="21"/>
                <w:highlight w:val="none"/>
                <w:lang w:val="en-US" w:eastAsia="zh-CN"/>
              </w:rPr>
              <w:t>更加安全牢固；</w:t>
            </w:r>
          </w:p>
          <w:p w14:paraId="2390B84F">
            <w:pPr>
              <w:keepNext w:val="0"/>
              <w:keepLines w:val="0"/>
              <w:pageBreakBefore w:val="0"/>
              <w:widowControl w:val="0"/>
              <w:numPr>
                <w:ilvl w:val="0"/>
                <w:numId w:val="6"/>
              </w:numPr>
              <w:kinsoku/>
              <w:wordWrap/>
              <w:overflowPunct/>
              <w:topLinePunct w:val="0"/>
              <w:autoSpaceDE/>
              <w:autoSpaceDN/>
              <w:bidi w:val="0"/>
              <w:snapToGrid/>
              <w:spacing w:line="240" w:lineRule="auto"/>
              <w:jc w:val="left"/>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eastAsia="zh-CN"/>
              </w:rPr>
              <w:t>设备每个净化单元装有数字显示面板及工作指示灯，能数字显示工作电流，故障代码等。</w:t>
            </w:r>
          </w:p>
          <w:p w14:paraId="72013FA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w:t>
            </w:r>
            <w:r>
              <w:rPr>
                <w:rFonts w:hint="eastAsia" w:ascii="宋体" w:hAnsi="宋体" w:cs="宋体"/>
                <w:b w:val="0"/>
                <w:bCs w:val="0"/>
                <w:color w:val="auto"/>
                <w:kern w:val="2"/>
                <w:sz w:val="22"/>
                <w:szCs w:val="22"/>
                <w:highlight w:val="none"/>
                <w:u w:val="single"/>
                <w:lang w:val="en-US" w:eastAsia="zh-CN" w:bidi="ar-SA"/>
              </w:rPr>
              <w:t>7</w:t>
            </w:r>
            <w:r>
              <w:rPr>
                <w:rFonts w:hint="eastAsia" w:ascii="宋体" w:hAnsi="宋体" w:eastAsia="宋体" w:cs="宋体"/>
                <w:b w:val="0"/>
                <w:bCs w:val="0"/>
                <w:color w:val="auto"/>
                <w:kern w:val="2"/>
                <w:sz w:val="22"/>
                <w:szCs w:val="22"/>
                <w:highlight w:val="none"/>
                <w:u w:val="single"/>
                <w:lang w:val="en-US" w:eastAsia="zh-CN" w:bidi="ar-SA"/>
              </w:rPr>
              <w:t>、提供油烟净化一体机整机设备带CNAS</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CMA</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Ilac-MRA</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SQII标识的检测报告，产品满足GB 4706.1-2005 GB 4706.95-2008标准进行26项目检测，①电击防护判定为Ⅰ类；②防水等级合格；③接地连续性的部件防腐蚀合格，④整机不具有辐射以及毒性和类似危险。⑤设备标有IP代码的第一特征数字，应满足GB4208的有关要求。同时符合上述指标要求的检测报告。</w:t>
            </w:r>
          </w:p>
          <w:p w14:paraId="6623479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w:t>
            </w:r>
            <w:r>
              <w:rPr>
                <w:rFonts w:hint="eastAsia" w:ascii="宋体" w:hAnsi="宋体" w:cs="宋体"/>
                <w:b w:val="0"/>
                <w:bCs w:val="0"/>
                <w:color w:val="auto"/>
                <w:kern w:val="2"/>
                <w:sz w:val="22"/>
                <w:szCs w:val="22"/>
                <w:highlight w:val="none"/>
                <w:u w:val="single"/>
                <w:lang w:val="en-US" w:eastAsia="zh-CN" w:bidi="ar-SA"/>
              </w:rPr>
              <w:t>8</w:t>
            </w:r>
            <w:r>
              <w:rPr>
                <w:rFonts w:hint="eastAsia" w:ascii="宋体" w:hAnsi="宋体" w:eastAsia="宋体" w:cs="宋体"/>
                <w:b w:val="0"/>
                <w:bCs w:val="0"/>
                <w:color w:val="auto"/>
                <w:kern w:val="2"/>
                <w:sz w:val="22"/>
                <w:szCs w:val="22"/>
                <w:highlight w:val="none"/>
                <w:u w:val="single"/>
                <w:lang w:val="en-US" w:eastAsia="zh-CN" w:bidi="ar-SA"/>
              </w:rPr>
              <w:t>、提供油烟净化一体机整机设备带CNAS</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CMA、Ilac-MRA</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STU标识的检测报告，产品满足GB 4806.1-2016 GB 4806.9-2016标准检测并附上有效认证证书，金属材质以及食品接触面的金属镀层和焊接不应对人体造成危害符合；接触食品面应无气孔、裂缝、毛刺等符合；使用浸泡液时不应有异味臭符合。同时符合上述指标要求的检测报告。</w:t>
            </w:r>
          </w:p>
          <w:p w14:paraId="69B6EF3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spacing w:val="0"/>
                <w:sz w:val="22"/>
                <w:szCs w:val="22"/>
                <w:u w:val="single"/>
                <w:lang w:val="en-US" w:eastAsia="zh-CN"/>
              </w:rPr>
            </w:pPr>
            <w:r>
              <w:rPr>
                <w:rFonts w:hint="eastAsia" w:ascii="宋体" w:hAnsi="宋体" w:eastAsia="宋体" w:cs="宋体"/>
                <w:b w:val="0"/>
                <w:bCs w:val="0"/>
                <w:color w:val="auto"/>
                <w:kern w:val="2"/>
                <w:sz w:val="22"/>
                <w:szCs w:val="22"/>
                <w:highlight w:val="none"/>
                <w:u w:val="single"/>
                <w:lang w:val="en-US" w:eastAsia="zh-CN" w:bidi="ar-SA"/>
              </w:rPr>
              <w:t>★</w:t>
            </w:r>
            <w:r>
              <w:rPr>
                <w:rFonts w:hint="eastAsia" w:ascii="宋体" w:hAnsi="宋体" w:cs="宋体"/>
                <w:b w:val="0"/>
                <w:bCs w:val="0"/>
                <w:color w:val="auto"/>
                <w:kern w:val="2"/>
                <w:sz w:val="22"/>
                <w:szCs w:val="22"/>
                <w:highlight w:val="none"/>
                <w:u w:val="single"/>
                <w:lang w:val="en-US" w:eastAsia="zh-CN" w:bidi="ar-SA"/>
              </w:rPr>
              <w:t>9</w:t>
            </w:r>
            <w:r>
              <w:rPr>
                <w:rFonts w:hint="eastAsia" w:ascii="宋体" w:hAnsi="宋体" w:eastAsia="宋体" w:cs="宋体"/>
                <w:b w:val="0"/>
                <w:bCs w:val="0"/>
                <w:color w:val="auto"/>
                <w:kern w:val="2"/>
                <w:sz w:val="22"/>
                <w:szCs w:val="22"/>
                <w:highlight w:val="none"/>
                <w:u w:val="single"/>
                <w:lang w:val="en-US" w:eastAsia="zh-CN" w:bidi="ar-SA"/>
              </w:rPr>
              <w:t>、提供油烟净化一体机整机设备带CNAS</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CMA</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Ilac-MRA</w:t>
            </w:r>
            <w:r>
              <w:rPr>
                <w:rFonts w:hint="eastAsia" w:ascii="宋体" w:hAnsi="宋体" w:cs="宋体"/>
                <w:b w:val="0"/>
                <w:bCs w:val="0"/>
                <w:color w:val="auto"/>
                <w:kern w:val="2"/>
                <w:sz w:val="22"/>
                <w:szCs w:val="22"/>
                <w:highlight w:val="none"/>
                <w:u w:val="single"/>
                <w:lang w:val="en-US" w:eastAsia="zh-CN" w:bidi="ar-SA"/>
              </w:rPr>
              <w:t>或</w:t>
            </w:r>
            <w:r>
              <w:rPr>
                <w:rFonts w:hint="eastAsia" w:ascii="宋体" w:hAnsi="宋体" w:eastAsia="宋体" w:cs="宋体"/>
                <w:b w:val="0"/>
                <w:bCs w:val="0"/>
                <w:color w:val="auto"/>
                <w:kern w:val="2"/>
                <w:sz w:val="22"/>
                <w:szCs w:val="22"/>
                <w:highlight w:val="none"/>
                <w:u w:val="single"/>
                <w:lang w:val="en-US" w:eastAsia="zh-CN" w:bidi="ar-SA"/>
              </w:rPr>
              <w:t>SQII标识的检测报告，产品满足GB/T 2423.10-2019标准检测，整机电器部分在振动频率范围10-50Hz,振动幅度0.35mm，分别在水平/垂直方向进行≥2.5小时振动后设备功能仍然可正常使用。同时符合上述指标要求的检测报告。</w:t>
            </w:r>
          </w:p>
          <w:p w14:paraId="7BAF045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w:t>
            </w:r>
            <w:r>
              <w:rPr>
                <w:rFonts w:hint="eastAsia" w:ascii="宋体" w:hAnsi="宋体" w:cs="宋体"/>
                <w:bCs/>
                <w:color w:val="auto"/>
                <w:kern w:val="2"/>
                <w:sz w:val="21"/>
                <w:szCs w:val="21"/>
                <w:highlight w:val="none"/>
                <w:lang w:val="en-US" w:eastAsia="zh-CN" w:bidi="ar-SA"/>
              </w:rPr>
              <w:t>80</w:t>
            </w:r>
            <w:r>
              <w:rPr>
                <w:rFonts w:hint="eastAsia" w:ascii="宋体" w:hAnsi="宋体" w:eastAsia="宋体" w:cs="宋体"/>
                <w:bCs/>
                <w:color w:val="auto"/>
                <w:kern w:val="2"/>
                <w:sz w:val="21"/>
                <w:szCs w:val="21"/>
                <w:highlight w:val="none"/>
                <w:lang w:val="en-US" w:eastAsia="zh-CN" w:bidi="ar-SA"/>
              </w:rPr>
              <w:t>00×1300×963</w:t>
            </w:r>
          </w:p>
        </w:tc>
        <w:tc>
          <w:tcPr>
            <w:tcW w:w="929" w:type="dxa"/>
            <w:tcBorders>
              <w:left w:val="single" w:color="auto" w:sz="4" w:space="0"/>
              <w:right w:val="single" w:color="auto" w:sz="4" w:space="0"/>
            </w:tcBorders>
            <w:noWrap w:val="0"/>
            <w:vAlign w:val="center"/>
          </w:tcPr>
          <w:p w14:paraId="5868109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10.4</w:t>
            </w:r>
            <w:r>
              <w:rPr>
                <w:rFonts w:hint="eastAsia" w:ascii="宋体" w:hAnsi="宋体" w:eastAsia="宋体" w:cs="宋体"/>
                <w:bCs/>
                <w:color w:val="auto"/>
                <w:kern w:val="2"/>
                <w:sz w:val="21"/>
                <w:szCs w:val="21"/>
                <w:highlight w:val="none"/>
                <w:lang w:val="en-US" w:eastAsia="zh-CN" w:bidi="ar-SA"/>
              </w:rPr>
              <w:t>㎡</w:t>
            </w:r>
          </w:p>
        </w:tc>
        <w:tc>
          <w:tcPr>
            <w:tcW w:w="1810" w:type="dxa"/>
            <w:tcBorders>
              <w:left w:val="single" w:color="auto" w:sz="4" w:space="0"/>
              <w:right w:val="single" w:color="auto" w:sz="4" w:space="0"/>
            </w:tcBorders>
            <w:noWrap w:val="0"/>
            <w:vAlign w:val="center"/>
          </w:tcPr>
          <w:p w14:paraId="22A4AC81">
            <w:pPr>
              <w:keepNext w:val="0"/>
              <w:keepLines w:val="0"/>
              <w:pageBreakBefore w:val="0"/>
              <w:tabs>
                <w:tab w:val="left" w:pos="851"/>
                <w:tab w:val="center" w:pos="5812"/>
                <w:tab w:val="decimal" w:pos="7229"/>
                <w:tab w:val="decimal" w:pos="8789"/>
              </w:tabs>
              <w:kinsoku/>
              <w:wordWrap/>
              <w:overflowPunct/>
              <w:topLinePunct w:val="0"/>
              <w:autoSpaceDE/>
              <w:autoSpaceDN/>
              <w:bidi w:val="0"/>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drawing>
                <wp:inline distT="0" distB="0" distL="114300" distR="114300">
                  <wp:extent cx="806450" cy="601980"/>
                  <wp:effectExtent l="0" t="0" r="6350" b="7620"/>
                  <wp:docPr id="20" name="图片 20"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11"/>
                          <pic:cNvPicPr>
                            <a:picLocks noChangeAspect="1"/>
                          </pic:cNvPicPr>
                        </pic:nvPicPr>
                        <pic:blipFill>
                          <a:blip r:embed="rId48"/>
                          <a:stretch>
                            <a:fillRect/>
                          </a:stretch>
                        </pic:blipFill>
                        <pic:spPr>
                          <a:xfrm>
                            <a:off x="0" y="0"/>
                            <a:ext cx="806450" cy="601980"/>
                          </a:xfrm>
                          <a:prstGeom prst="rect">
                            <a:avLst/>
                          </a:prstGeom>
                        </pic:spPr>
                      </pic:pic>
                    </a:graphicData>
                  </a:graphic>
                </wp:inline>
              </w:drawing>
            </w:r>
          </w:p>
        </w:tc>
      </w:tr>
      <w:tr w14:paraId="04809A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23F1551D">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7505E60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双门蒸饭柜(电热）</w:t>
            </w:r>
          </w:p>
          <w:p w14:paraId="50812E4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加厚加厚不锈钢板材，不锈钢把手，整体高密度发泡，加厚保温层，保温效果好，发泡设备及环保发泡剂，内胆一次拉伸成型，易于清洗，箱体内部加装加厚钢条，防止变形，自动进水装置，蒸车装有温控和时控装置自带保温功能，电源开关控制，配成型拉伸磁盘，可电和蒸汽两用，自动进水装置，缺水断电保护，防止干烧电热管，门体佩带嵌入式温度表，可探测箱体内实际温度，箱体内自带溢水阀，防止烫伤，电热管为不锈钢材质。</w:t>
            </w:r>
          </w:p>
          <w:p w14:paraId="274F748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电量：12KW×2/380V；</w:t>
            </w:r>
          </w:p>
          <w:p w14:paraId="1CE4CE5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规格：1430×700×1690</w:t>
            </w:r>
          </w:p>
        </w:tc>
        <w:tc>
          <w:tcPr>
            <w:tcW w:w="929" w:type="dxa"/>
            <w:tcBorders>
              <w:left w:val="single" w:color="auto" w:sz="4" w:space="0"/>
              <w:right w:val="single" w:color="auto" w:sz="4" w:space="0"/>
            </w:tcBorders>
            <w:noWrap w:val="0"/>
            <w:vAlign w:val="center"/>
          </w:tcPr>
          <w:p w14:paraId="046A2E1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76FA797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560705" cy="737235"/>
                  <wp:effectExtent l="0" t="0" r="23495" b="24765"/>
                  <wp:docPr id="7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0"/>
                          <pic:cNvPicPr>
                            <a:picLocks noChangeAspect="1"/>
                          </pic:cNvPicPr>
                        </pic:nvPicPr>
                        <pic:blipFill>
                          <a:blip r:embed="rId49"/>
                          <a:stretch>
                            <a:fillRect/>
                          </a:stretch>
                        </pic:blipFill>
                        <pic:spPr>
                          <a:xfrm>
                            <a:off x="0" y="0"/>
                            <a:ext cx="560705" cy="737235"/>
                          </a:xfrm>
                          <a:prstGeom prst="rect">
                            <a:avLst/>
                          </a:prstGeom>
                          <a:noFill/>
                          <a:ln>
                            <a:noFill/>
                          </a:ln>
                        </pic:spPr>
                      </pic:pic>
                    </a:graphicData>
                  </a:graphic>
                </wp:inline>
              </w:drawing>
            </w:r>
          </w:p>
        </w:tc>
      </w:tr>
      <w:tr w14:paraId="16D1875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51658A36">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3AB0484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集汽罩</w:t>
            </w:r>
          </w:p>
          <w:p w14:paraId="57CCCD1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说明：选用SUS304-2B优质不锈钢板制作，δ≥1.1mm。</w:t>
            </w:r>
          </w:p>
          <w:p w14:paraId="35831F1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500×1300×500</w:t>
            </w:r>
          </w:p>
        </w:tc>
        <w:tc>
          <w:tcPr>
            <w:tcW w:w="929" w:type="dxa"/>
            <w:tcBorders>
              <w:left w:val="single" w:color="auto" w:sz="4" w:space="0"/>
              <w:right w:val="single" w:color="auto" w:sz="4" w:space="0"/>
            </w:tcBorders>
            <w:noWrap w:val="0"/>
            <w:vAlign w:val="center"/>
          </w:tcPr>
          <w:p w14:paraId="5C6B7E8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5.85</w:t>
            </w:r>
            <w:r>
              <w:rPr>
                <w:rFonts w:hint="eastAsia" w:ascii="宋体" w:hAnsi="宋体" w:eastAsia="宋体" w:cs="宋体"/>
                <w:bCs/>
                <w:color w:val="auto"/>
                <w:kern w:val="2"/>
                <w:sz w:val="21"/>
                <w:szCs w:val="21"/>
                <w:highlight w:val="none"/>
                <w:lang w:val="en-US" w:eastAsia="zh-CN" w:bidi="ar-SA"/>
              </w:rPr>
              <w:t>㎡</w:t>
            </w:r>
          </w:p>
        </w:tc>
        <w:tc>
          <w:tcPr>
            <w:tcW w:w="1810" w:type="dxa"/>
            <w:tcBorders>
              <w:left w:val="single" w:color="auto" w:sz="4" w:space="0"/>
              <w:right w:val="single" w:color="auto" w:sz="4" w:space="0"/>
            </w:tcBorders>
            <w:noWrap w:val="0"/>
            <w:vAlign w:val="center"/>
          </w:tcPr>
          <w:p w14:paraId="31FAF66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drawing>
                <wp:inline distT="0" distB="0" distL="114300" distR="114300">
                  <wp:extent cx="689610" cy="323215"/>
                  <wp:effectExtent l="0" t="0" r="21590" b="6985"/>
                  <wp:docPr id="87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21"/>
                          <pic:cNvPicPr>
                            <a:picLocks noChangeAspect="1"/>
                          </pic:cNvPicPr>
                        </pic:nvPicPr>
                        <pic:blipFill>
                          <a:blip r:embed="rId50"/>
                          <a:stretch>
                            <a:fillRect/>
                          </a:stretch>
                        </pic:blipFill>
                        <pic:spPr>
                          <a:xfrm>
                            <a:off x="0" y="0"/>
                            <a:ext cx="689610" cy="323215"/>
                          </a:xfrm>
                          <a:prstGeom prst="rect">
                            <a:avLst/>
                          </a:prstGeom>
                          <a:noFill/>
                          <a:ln>
                            <a:noFill/>
                          </a:ln>
                        </pic:spPr>
                      </pic:pic>
                    </a:graphicData>
                  </a:graphic>
                </wp:inline>
              </w:drawing>
            </w:r>
          </w:p>
        </w:tc>
      </w:tr>
      <w:tr w14:paraId="26E91F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3997829">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DE95DA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二次更衣</w:t>
            </w:r>
          </w:p>
        </w:tc>
        <w:tc>
          <w:tcPr>
            <w:tcW w:w="929" w:type="dxa"/>
            <w:tcBorders>
              <w:left w:val="single" w:color="auto" w:sz="4" w:space="0"/>
              <w:right w:val="single" w:color="auto" w:sz="4" w:space="0"/>
            </w:tcBorders>
            <w:noWrap w:val="0"/>
            <w:vAlign w:val="center"/>
          </w:tcPr>
          <w:p w14:paraId="5118B56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210FA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4CF960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28B9D19">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7847BB2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挂式洗手星盆</w:t>
            </w:r>
          </w:p>
          <w:p w14:paraId="0D5266A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说明：采用SUS304-2B优质发纹贴塑不锈钢板制作，台面δ≥1.1mm，星盆斗δ≥1.1mm，配优质不锈钢落水器、拦渣斗。</w:t>
            </w:r>
          </w:p>
          <w:p w14:paraId="326D9D2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规格：400×440×（200+150）</w:t>
            </w:r>
          </w:p>
        </w:tc>
        <w:tc>
          <w:tcPr>
            <w:tcW w:w="929" w:type="dxa"/>
            <w:tcBorders>
              <w:left w:val="single" w:color="auto" w:sz="4" w:space="0"/>
              <w:right w:val="single" w:color="auto" w:sz="4" w:space="0"/>
            </w:tcBorders>
            <w:noWrap w:val="0"/>
            <w:vAlign w:val="center"/>
          </w:tcPr>
          <w:p w14:paraId="7D8DB2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53F76E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685800" cy="408940"/>
                  <wp:effectExtent l="0" t="0" r="0" b="2286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31"/>
                          <a:stretch>
                            <a:fillRect/>
                          </a:stretch>
                        </pic:blipFill>
                        <pic:spPr>
                          <a:xfrm>
                            <a:off x="0" y="0"/>
                            <a:ext cx="685800" cy="408940"/>
                          </a:xfrm>
                          <a:prstGeom prst="rect">
                            <a:avLst/>
                          </a:prstGeom>
                          <a:noFill/>
                          <a:ln w="9525">
                            <a:noFill/>
                          </a:ln>
                        </pic:spPr>
                      </pic:pic>
                    </a:graphicData>
                  </a:graphic>
                </wp:inline>
              </w:drawing>
            </w:r>
          </w:p>
        </w:tc>
      </w:tr>
      <w:tr w14:paraId="0B83300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6B1338E">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33B9A39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单冷龙头连脚踏龙头</w:t>
            </w:r>
          </w:p>
          <w:p w14:paraId="6915892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说明：单孔台面鹅颈龙头，配G1/2′进水接头，出水管中心距130mm，4′对中镀铬镍黄铜本体。</w:t>
            </w:r>
          </w:p>
        </w:tc>
        <w:tc>
          <w:tcPr>
            <w:tcW w:w="929" w:type="dxa"/>
            <w:tcBorders>
              <w:left w:val="single" w:color="auto" w:sz="4" w:space="0"/>
              <w:right w:val="single" w:color="auto" w:sz="4" w:space="0"/>
            </w:tcBorders>
            <w:noWrap w:val="0"/>
            <w:vAlign w:val="center"/>
          </w:tcPr>
          <w:p w14:paraId="6B06308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1个</w:t>
            </w:r>
          </w:p>
        </w:tc>
        <w:tc>
          <w:tcPr>
            <w:tcW w:w="1810" w:type="dxa"/>
            <w:tcBorders>
              <w:left w:val="single" w:color="auto" w:sz="4" w:space="0"/>
              <w:right w:val="single" w:color="auto" w:sz="4" w:space="0"/>
            </w:tcBorders>
            <w:noWrap w:val="0"/>
            <w:vAlign w:val="center"/>
          </w:tcPr>
          <w:p w14:paraId="5E561A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94970" cy="539115"/>
                  <wp:effectExtent l="0" t="0" r="11430" b="1968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32"/>
                          <a:stretch>
                            <a:fillRect/>
                          </a:stretch>
                        </pic:blipFill>
                        <pic:spPr>
                          <a:xfrm>
                            <a:off x="0" y="0"/>
                            <a:ext cx="394970" cy="539115"/>
                          </a:xfrm>
                          <a:prstGeom prst="rect">
                            <a:avLst/>
                          </a:prstGeom>
                          <a:noFill/>
                          <a:ln>
                            <a:noFill/>
                          </a:ln>
                        </pic:spPr>
                      </pic:pic>
                    </a:graphicData>
                  </a:graphic>
                </wp:inline>
              </w:drawing>
            </w:r>
          </w:p>
        </w:tc>
      </w:tr>
      <w:tr w14:paraId="342B5F4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C9077D4">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03EF22D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干手器</w:t>
            </w:r>
          </w:p>
          <w:p w14:paraId="347572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说明：智能全自动感应，涡轮增压风箱，强劲风力，安全保护，为洁净双手保驾护航。</w:t>
            </w:r>
          </w:p>
          <w:p w14:paraId="7364178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
              </w:rPr>
              <w:t>功率：2000W/220V</w:t>
            </w:r>
          </w:p>
        </w:tc>
        <w:tc>
          <w:tcPr>
            <w:tcW w:w="929" w:type="dxa"/>
            <w:tcBorders>
              <w:left w:val="single" w:color="auto" w:sz="4" w:space="0"/>
              <w:right w:val="single" w:color="auto" w:sz="4" w:space="0"/>
            </w:tcBorders>
            <w:noWrap w:val="0"/>
            <w:vAlign w:val="center"/>
          </w:tcPr>
          <w:p w14:paraId="182DBB7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72B66A3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anchor distT="0" distB="0" distL="114300" distR="114300" simplePos="0" relativeHeight="251666432" behindDoc="0" locked="0" layoutInCell="1" allowOverlap="1">
                  <wp:simplePos x="0" y="0"/>
                  <wp:positionH relativeFrom="column">
                    <wp:posOffset>102870</wp:posOffset>
                  </wp:positionH>
                  <wp:positionV relativeFrom="paragraph">
                    <wp:posOffset>326390</wp:posOffset>
                  </wp:positionV>
                  <wp:extent cx="636905" cy="636905"/>
                  <wp:effectExtent l="0" t="0" r="10795" b="10795"/>
                  <wp:wrapSquare wrapText="bothSides"/>
                  <wp:docPr id="32" name="图片 32"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timg (1)"/>
                          <pic:cNvPicPr>
                            <a:picLocks noChangeAspect="1"/>
                          </pic:cNvPicPr>
                        </pic:nvPicPr>
                        <pic:blipFill>
                          <a:blip r:embed="rId33"/>
                          <a:stretch>
                            <a:fillRect/>
                          </a:stretch>
                        </pic:blipFill>
                        <pic:spPr>
                          <a:xfrm>
                            <a:off x="0" y="0"/>
                            <a:ext cx="636905" cy="636905"/>
                          </a:xfrm>
                          <a:prstGeom prst="rect">
                            <a:avLst/>
                          </a:prstGeom>
                        </pic:spPr>
                      </pic:pic>
                    </a:graphicData>
                  </a:graphic>
                </wp:anchor>
              </w:drawing>
            </w:r>
          </w:p>
        </w:tc>
      </w:tr>
      <w:tr w14:paraId="78B983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6" w:hRule="atLeast"/>
          <w:jc w:val="center"/>
        </w:trPr>
        <w:tc>
          <w:tcPr>
            <w:tcW w:w="718" w:type="dxa"/>
            <w:tcBorders>
              <w:left w:val="single" w:color="auto" w:sz="4" w:space="0"/>
              <w:right w:val="single" w:color="auto" w:sz="4" w:space="0"/>
            </w:tcBorders>
            <w:noWrap w:val="0"/>
            <w:vAlign w:val="center"/>
          </w:tcPr>
          <w:p w14:paraId="7E0F4C2C">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D8ABFF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备餐间</w:t>
            </w:r>
          </w:p>
        </w:tc>
        <w:tc>
          <w:tcPr>
            <w:tcW w:w="929" w:type="dxa"/>
            <w:tcBorders>
              <w:left w:val="single" w:color="auto" w:sz="4" w:space="0"/>
              <w:right w:val="single" w:color="auto" w:sz="4" w:space="0"/>
            </w:tcBorders>
            <w:noWrap w:val="0"/>
            <w:vAlign w:val="center"/>
          </w:tcPr>
          <w:p w14:paraId="17FD448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195148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5BBEFB4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D715250">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shd w:val="clear" w:color="auto" w:fill="auto"/>
            <w:noWrap w:val="0"/>
            <w:vAlign w:val="center"/>
          </w:tcPr>
          <w:p w14:paraId="4A08A05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双层平板工作台</w:t>
            </w:r>
          </w:p>
          <w:p w14:paraId="5E4AA01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highlight w:val="none"/>
                <w:lang w:val="en-US" w:eastAsia="zh-CN" w:bidi="ar-SA"/>
              </w:rPr>
              <w:t>说明：选用SUS304-2B优质不锈钢板制作，台面δ≥1.1mm（下衬≥0.8mm高密度板减噪）。下层板采用δ≥0.9mm不锈钢板复边成型。加强筋δ≥0.9mm（配有可调子弹脚）。</w:t>
            </w:r>
          </w:p>
          <w:p w14:paraId="3DBC9FE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规格：1200×500×800</w:t>
            </w:r>
          </w:p>
        </w:tc>
        <w:tc>
          <w:tcPr>
            <w:tcW w:w="929" w:type="dxa"/>
            <w:tcBorders>
              <w:left w:val="single" w:color="auto" w:sz="4" w:space="0"/>
              <w:right w:val="single" w:color="auto" w:sz="4" w:space="0"/>
            </w:tcBorders>
            <w:shd w:val="clear" w:color="auto" w:fill="auto"/>
            <w:noWrap w:val="0"/>
            <w:vAlign w:val="center"/>
          </w:tcPr>
          <w:p w14:paraId="245B57E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22C4E3A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drawing>
                <wp:inline distT="0" distB="0" distL="114300" distR="114300">
                  <wp:extent cx="535305" cy="365125"/>
                  <wp:effectExtent l="0" t="0" r="23495" b="15875"/>
                  <wp:docPr id="58" name="图片 23"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descr="双层工作台"/>
                          <pic:cNvPicPr>
                            <a:picLocks noChangeAspect="1"/>
                          </pic:cNvPicPr>
                        </pic:nvPicPr>
                        <pic:blipFill>
                          <a:blip r:embed="rId51"/>
                          <a:stretch>
                            <a:fillRect/>
                          </a:stretch>
                        </pic:blipFill>
                        <pic:spPr>
                          <a:xfrm>
                            <a:off x="0" y="0"/>
                            <a:ext cx="535305" cy="365125"/>
                          </a:xfrm>
                          <a:prstGeom prst="rect">
                            <a:avLst/>
                          </a:prstGeom>
                          <a:noFill/>
                          <a:ln w="9525">
                            <a:noFill/>
                          </a:ln>
                        </pic:spPr>
                      </pic:pic>
                    </a:graphicData>
                  </a:graphic>
                </wp:inline>
              </w:drawing>
            </w:r>
          </w:p>
        </w:tc>
      </w:tr>
      <w:tr w14:paraId="7436AEA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1C7BADE3">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42A1FCB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玻璃门留样冰箱</w:t>
            </w:r>
          </w:p>
          <w:p w14:paraId="7113E9F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冷藏温度：</w:t>
            </w:r>
            <w:r>
              <w:rPr>
                <w:rFonts w:hint="eastAsia" w:ascii="宋体" w:hAnsi="宋体" w:eastAsia="宋体" w:cs="宋体"/>
                <w:bCs/>
                <w:color w:val="auto"/>
                <w:sz w:val="21"/>
                <w:szCs w:val="21"/>
                <w:highlight w:val="none"/>
              </w:rPr>
              <w:t>+8～0℃</w:t>
            </w:r>
          </w:p>
          <w:p w14:paraId="60C0D26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压缩机、温控器，所有电器元件均采用公司直供，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p w14:paraId="77CDA6F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电量：211W/220V；</w:t>
            </w:r>
          </w:p>
          <w:p w14:paraId="253E55C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规格：600×705×1950</w:t>
            </w:r>
          </w:p>
        </w:tc>
        <w:tc>
          <w:tcPr>
            <w:tcW w:w="929" w:type="dxa"/>
            <w:tcBorders>
              <w:left w:val="single" w:color="auto" w:sz="4" w:space="0"/>
              <w:right w:val="single" w:color="auto" w:sz="4" w:space="0"/>
            </w:tcBorders>
            <w:noWrap w:val="0"/>
            <w:vAlign w:val="center"/>
          </w:tcPr>
          <w:p w14:paraId="7709B95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4CA2FD6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70840" cy="782955"/>
                  <wp:effectExtent l="0" t="0" r="10160" b="4445"/>
                  <wp:docPr id="26218" name="图片 7" descr="1587486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8" name="图片 7" descr="1587486945(1)"/>
                          <pic:cNvPicPr>
                            <a:picLocks noChangeAspect="1"/>
                          </pic:cNvPicPr>
                        </pic:nvPicPr>
                        <pic:blipFill>
                          <a:blip r:embed="rId52" cstate="print"/>
                          <a:stretch>
                            <a:fillRect/>
                          </a:stretch>
                        </pic:blipFill>
                        <pic:spPr>
                          <a:xfrm>
                            <a:off x="0" y="0"/>
                            <a:ext cx="370840" cy="782955"/>
                          </a:xfrm>
                          <a:prstGeom prst="rect">
                            <a:avLst/>
                          </a:prstGeom>
                          <a:noFill/>
                          <a:ln w="9525">
                            <a:noFill/>
                          </a:ln>
                        </pic:spPr>
                      </pic:pic>
                    </a:graphicData>
                  </a:graphic>
                </wp:inline>
              </w:drawing>
            </w:r>
          </w:p>
        </w:tc>
      </w:tr>
      <w:tr w14:paraId="3DECD1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F8E332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52ABFC0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大单星盆台</w:t>
            </w:r>
          </w:p>
          <w:p w14:paraId="19E2D35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说明：采用SUS304-2B优质发纹贴塑不锈钢板制作，台面δ≥1.1mm，星盆斗δ≥1.1mm，加强筋δ≥0.9mm；配置Φ38mm不锈钢可调节重力子弹脚，配优质不锈钢落水器、拦渣斗。</w:t>
            </w:r>
          </w:p>
          <w:p w14:paraId="2331917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规格：700×700×(800+150)</w:t>
            </w:r>
          </w:p>
        </w:tc>
        <w:tc>
          <w:tcPr>
            <w:tcW w:w="929" w:type="dxa"/>
            <w:tcBorders>
              <w:left w:val="single" w:color="auto" w:sz="4" w:space="0"/>
              <w:right w:val="single" w:color="auto" w:sz="4" w:space="0"/>
            </w:tcBorders>
            <w:noWrap w:val="0"/>
            <w:vAlign w:val="center"/>
          </w:tcPr>
          <w:p w14:paraId="08CB00C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6F713A7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2540" b="5715"/>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37"/>
                          <a:stretch>
                            <a:fillRect/>
                          </a:stretch>
                        </pic:blipFill>
                        <pic:spPr>
                          <a:xfrm>
                            <a:off x="0" y="0"/>
                            <a:ext cx="632460" cy="578485"/>
                          </a:xfrm>
                          <a:prstGeom prst="rect">
                            <a:avLst/>
                          </a:prstGeom>
                          <a:noFill/>
                          <a:ln>
                            <a:noFill/>
                          </a:ln>
                        </pic:spPr>
                      </pic:pic>
                    </a:graphicData>
                  </a:graphic>
                </wp:inline>
              </w:drawing>
            </w:r>
          </w:p>
        </w:tc>
      </w:tr>
      <w:tr w14:paraId="5412A3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1AA3257B">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7D32755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保温售菜台</w:t>
            </w:r>
          </w:p>
          <w:p w14:paraId="4A3DB09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说明：选用SUS304-2B优质不锈钢板制作，台面δ≥1.1mm。加强筋δ≥0.9mm（配有可调子弹脚</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w:t>
            </w:r>
          </w:p>
          <w:p w14:paraId="0BC270E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规格：1800×1200×800</w:t>
            </w:r>
          </w:p>
        </w:tc>
        <w:tc>
          <w:tcPr>
            <w:tcW w:w="929" w:type="dxa"/>
            <w:tcBorders>
              <w:left w:val="single" w:color="auto" w:sz="4" w:space="0"/>
              <w:right w:val="single" w:color="auto" w:sz="4" w:space="0"/>
            </w:tcBorders>
            <w:noWrap w:val="0"/>
            <w:vAlign w:val="center"/>
          </w:tcPr>
          <w:p w14:paraId="19A50E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0C6446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45795" cy="774700"/>
                  <wp:effectExtent l="0" t="0" r="14605" b="12700"/>
                  <wp:docPr id="794" name="图片 2" descr="十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2" descr="十斗保温台"/>
                          <pic:cNvPicPr>
                            <a:picLocks noChangeAspect="1"/>
                          </pic:cNvPicPr>
                        </pic:nvPicPr>
                        <pic:blipFill>
                          <a:blip r:embed="rId53"/>
                          <a:stretch>
                            <a:fillRect/>
                          </a:stretch>
                        </pic:blipFill>
                        <pic:spPr>
                          <a:xfrm>
                            <a:off x="0" y="0"/>
                            <a:ext cx="645795" cy="774700"/>
                          </a:xfrm>
                          <a:prstGeom prst="rect">
                            <a:avLst/>
                          </a:prstGeom>
                          <a:noFill/>
                          <a:ln>
                            <a:noFill/>
                          </a:ln>
                        </pic:spPr>
                      </pic:pic>
                    </a:graphicData>
                  </a:graphic>
                </wp:inline>
              </w:drawing>
            </w:r>
          </w:p>
        </w:tc>
      </w:tr>
      <w:tr w14:paraId="3C78C4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66F10F0B">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73D15F5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加重平板车           </w:t>
            </w:r>
          </w:p>
          <w:p w14:paraId="60B27000">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说明：采用SUS304-2B优质发纹贴塑不锈钢板制作，δ≥1.1mm。加重型；配承重静音脚轮，其中两只带刹车掣。</w:t>
            </w:r>
          </w:p>
          <w:p w14:paraId="2409ABC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规格：900×500×900</w:t>
            </w:r>
          </w:p>
        </w:tc>
        <w:tc>
          <w:tcPr>
            <w:tcW w:w="929" w:type="dxa"/>
            <w:tcBorders>
              <w:left w:val="single" w:color="auto" w:sz="4" w:space="0"/>
              <w:right w:val="single" w:color="auto" w:sz="4" w:space="0"/>
            </w:tcBorders>
            <w:noWrap w:val="0"/>
            <w:vAlign w:val="center"/>
          </w:tcPr>
          <w:p w14:paraId="68E6C42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8</w:t>
            </w:r>
            <w:r>
              <w:rPr>
                <w:rFonts w:hint="eastAsia" w:ascii="宋体" w:hAnsi="宋体" w:eastAsia="宋体" w:cs="宋体"/>
                <w:bCs/>
                <w:color w:val="auto"/>
                <w:kern w:val="2"/>
                <w:sz w:val="21"/>
                <w:szCs w:val="21"/>
                <w:highlight w:val="none"/>
                <w:lang w:val="en-US" w:eastAsia="zh-CN" w:bidi="ar-SA"/>
              </w:rPr>
              <w:t>辆</w:t>
            </w:r>
          </w:p>
        </w:tc>
        <w:tc>
          <w:tcPr>
            <w:tcW w:w="1810" w:type="dxa"/>
            <w:tcBorders>
              <w:left w:val="single" w:color="auto" w:sz="4" w:space="0"/>
              <w:right w:val="single" w:color="auto" w:sz="4" w:space="0"/>
            </w:tcBorders>
            <w:noWrap w:val="0"/>
            <w:vAlign w:val="center"/>
          </w:tcPr>
          <w:p w14:paraId="70FC98D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rPr>
              <w:drawing>
                <wp:inline distT="0" distB="0" distL="114300" distR="114300">
                  <wp:extent cx="609600" cy="609600"/>
                  <wp:effectExtent l="0" t="0" r="0" b="0"/>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54"/>
                          <a:stretch>
                            <a:fillRect/>
                          </a:stretch>
                        </pic:blipFill>
                        <pic:spPr>
                          <a:xfrm>
                            <a:off x="0" y="0"/>
                            <a:ext cx="609600" cy="609600"/>
                          </a:xfrm>
                          <a:prstGeom prst="rect">
                            <a:avLst/>
                          </a:prstGeom>
                          <a:noFill/>
                          <a:ln>
                            <a:noFill/>
                          </a:ln>
                        </pic:spPr>
                      </pic:pic>
                    </a:graphicData>
                  </a:graphic>
                </wp:inline>
              </w:drawing>
            </w:r>
          </w:p>
        </w:tc>
      </w:tr>
      <w:tr w14:paraId="6A0E737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6" w:hRule="atLeast"/>
          <w:jc w:val="center"/>
        </w:trPr>
        <w:tc>
          <w:tcPr>
            <w:tcW w:w="718" w:type="dxa"/>
            <w:tcBorders>
              <w:left w:val="single" w:color="auto" w:sz="4" w:space="0"/>
              <w:right w:val="single" w:color="auto" w:sz="4" w:space="0"/>
            </w:tcBorders>
            <w:noWrap w:val="0"/>
            <w:vAlign w:val="center"/>
          </w:tcPr>
          <w:p w14:paraId="0F859A6E">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bCs/>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5BE73E3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洗消间</w:t>
            </w:r>
          </w:p>
        </w:tc>
        <w:tc>
          <w:tcPr>
            <w:tcW w:w="929" w:type="dxa"/>
            <w:tcBorders>
              <w:left w:val="single" w:color="auto" w:sz="4" w:space="0"/>
              <w:right w:val="single" w:color="auto" w:sz="4" w:space="0"/>
            </w:tcBorders>
            <w:noWrap w:val="0"/>
            <w:vAlign w:val="center"/>
          </w:tcPr>
          <w:p w14:paraId="77D0E2A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639983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2"/>
                <w:sz w:val="21"/>
                <w:szCs w:val="21"/>
                <w:highlight w:val="none"/>
                <w:lang w:val="en-US" w:eastAsia="zh-CN" w:bidi="ar-SA"/>
              </w:rPr>
            </w:pPr>
          </w:p>
        </w:tc>
      </w:tr>
      <w:tr w14:paraId="75CC5D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160F29F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5E8B7BB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大单星盆台</w:t>
            </w:r>
          </w:p>
          <w:p w14:paraId="48865D5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说明：采用SUS304-2B优质发纹贴塑不锈钢板制作，台面δ≥1.1mm，星盆斗δ≥1.1mm，加强筋δ≥0.9mm；配置Φ38mm不锈钢可调节重力子弹脚，配优质不锈钢落水器、拦渣斗。</w:t>
            </w:r>
          </w:p>
          <w:p w14:paraId="33212F2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规格：1000×700×(800+150)</w:t>
            </w:r>
          </w:p>
        </w:tc>
        <w:tc>
          <w:tcPr>
            <w:tcW w:w="929" w:type="dxa"/>
            <w:tcBorders>
              <w:left w:val="single" w:color="auto" w:sz="4" w:space="0"/>
              <w:right w:val="single" w:color="auto" w:sz="4" w:space="0"/>
            </w:tcBorders>
            <w:noWrap w:val="0"/>
            <w:vAlign w:val="center"/>
          </w:tcPr>
          <w:p w14:paraId="080B438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330A6FA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2540" b="5715"/>
                  <wp:docPr id="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pic:cNvPicPr>
                            <a:picLocks noChangeAspect="1"/>
                          </pic:cNvPicPr>
                        </pic:nvPicPr>
                        <pic:blipFill>
                          <a:blip r:embed="rId37"/>
                          <a:stretch>
                            <a:fillRect/>
                          </a:stretch>
                        </pic:blipFill>
                        <pic:spPr>
                          <a:xfrm>
                            <a:off x="0" y="0"/>
                            <a:ext cx="632460" cy="578485"/>
                          </a:xfrm>
                          <a:prstGeom prst="rect">
                            <a:avLst/>
                          </a:prstGeom>
                          <a:noFill/>
                          <a:ln>
                            <a:noFill/>
                          </a:ln>
                        </pic:spPr>
                      </pic:pic>
                    </a:graphicData>
                  </a:graphic>
                </wp:inline>
              </w:drawing>
            </w:r>
          </w:p>
        </w:tc>
      </w:tr>
      <w:tr w14:paraId="7E34A5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538F096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090352C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双门热风循环消毒柜</w:t>
            </w:r>
          </w:p>
          <w:p w14:paraId="75E673A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说明：采用优质不锈钢制，玻璃纤维隔热材料，双温度控制器，定时开关、继电器；采用热风循环消毒。内分四层，共配八个消毒筐。</w:t>
            </w:r>
          </w:p>
          <w:p w14:paraId="3BA8F37C">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电量：4.4KW/1PH/220V；</w:t>
            </w:r>
          </w:p>
          <w:p w14:paraId="425EF17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规格：1310×650×1980</w:t>
            </w:r>
          </w:p>
        </w:tc>
        <w:tc>
          <w:tcPr>
            <w:tcW w:w="929" w:type="dxa"/>
            <w:tcBorders>
              <w:left w:val="single" w:color="auto" w:sz="4" w:space="0"/>
              <w:right w:val="single" w:color="auto" w:sz="4" w:space="0"/>
            </w:tcBorders>
            <w:noWrap w:val="0"/>
            <w:vAlign w:val="center"/>
          </w:tcPr>
          <w:p w14:paraId="1BACCB8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46994B3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highlight w:val="none"/>
              </w:rPr>
              <w:drawing>
                <wp:inline distT="0" distB="0" distL="114300" distR="114300">
                  <wp:extent cx="641350" cy="641350"/>
                  <wp:effectExtent l="0" t="0" r="19050" b="19050"/>
                  <wp:docPr id="30" name="图片 10" descr="u=1031363538,138555830&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u=1031363538,138555830&amp;fm=27&amp;gp=0"/>
                          <pic:cNvPicPr>
                            <a:picLocks noChangeAspect="1"/>
                          </pic:cNvPicPr>
                        </pic:nvPicPr>
                        <pic:blipFill>
                          <a:blip r:embed="rId55" cstate="print"/>
                          <a:stretch>
                            <a:fillRect/>
                          </a:stretch>
                        </pic:blipFill>
                        <pic:spPr>
                          <a:xfrm>
                            <a:off x="0" y="0"/>
                            <a:ext cx="641350" cy="641350"/>
                          </a:xfrm>
                          <a:prstGeom prst="rect">
                            <a:avLst/>
                          </a:prstGeom>
                          <a:noFill/>
                          <a:ln w="9525">
                            <a:noFill/>
                          </a:ln>
                        </pic:spPr>
                      </pic:pic>
                    </a:graphicData>
                  </a:graphic>
                </wp:inline>
              </w:drawing>
            </w:r>
          </w:p>
        </w:tc>
      </w:tr>
      <w:tr w14:paraId="06BFB9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5" w:hRule="atLeast"/>
          <w:jc w:val="center"/>
        </w:trPr>
        <w:tc>
          <w:tcPr>
            <w:tcW w:w="718" w:type="dxa"/>
            <w:tcBorders>
              <w:left w:val="single" w:color="auto" w:sz="4" w:space="0"/>
              <w:right w:val="single" w:color="auto" w:sz="4" w:space="0"/>
            </w:tcBorders>
            <w:noWrap w:val="0"/>
            <w:vAlign w:val="center"/>
          </w:tcPr>
          <w:p w14:paraId="24C2EBEA">
            <w:pPr>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09F2223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小件设备</w:t>
            </w:r>
          </w:p>
        </w:tc>
        <w:tc>
          <w:tcPr>
            <w:tcW w:w="929" w:type="dxa"/>
            <w:tcBorders>
              <w:left w:val="single" w:color="auto" w:sz="4" w:space="0"/>
              <w:right w:val="single" w:color="auto" w:sz="4" w:space="0"/>
            </w:tcBorders>
            <w:noWrap w:val="0"/>
            <w:vAlign w:val="center"/>
          </w:tcPr>
          <w:p w14:paraId="6A12640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27FD81F1">
            <w:pPr>
              <w:keepNext w:val="0"/>
              <w:keepLines w:val="0"/>
              <w:pageBreakBefore w:val="0"/>
              <w:tabs>
                <w:tab w:val="left" w:pos="851"/>
                <w:tab w:val="center" w:pos="5812"/>
                <w:tab w:val="decimal" w:pos="7229"/>
                <w:tab w:val="decimal" w:pos="8789"/>
              </w:tabs>
              <w:kinsoku/>
              <w:wordWrap/>
              <w:overflowPunct/>
              <w:topLinePunct w:val="0"/>
              <w:autoSpaceDE/>
              <w:autoSpaceDN/>
              <w:bidi w:val="0"/>
              <w:spacing w:line="240" w:lineRule="auto"/>
              <w:ind w:right="-4" w:rightChars="0"/>
              <w:jc w:val="center"/>
              <w:rPr>
                <w:rFonts w:hint="eastAsia" w:ascii="宋体" w:hAnsi="宋体" w:eastAsia="宋体" w:cs="宋体"/>
                <w:color w:val="auto"/>
                <w:kern w:val="2"/>
                <w:sz w:val="21"/>
                <w:szCs w:val="21"/>
                <w:highlight w:val="none"/>
                <w:lang w:val="en-US" w:eastAsia="zh-CN" w:bidi="ar-SA"/>
              </w:rPr>
            </w:pPr>
          </w:p>
        </w:tc>
      </w:tr>
      <w:tr w14:paraId="462B90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35" w:hRule="atLeast"/>
          <w:jc w:val="center"/>
        </w:trPr>
        <w:tc>
          <w:tcPr>
            <w:tcW w:w="718" w:type="dxa"/>
            <w:tcBorders>
              <w:left w:val="single" w:color="auto" w:sz="4" w:space="0"/>
              <w:right w:val="single" w:color="auto" w:sz="4" w:space="0"/>
            </w:tcBorders>
            <w:noWrap w:val="0"/>
            <w:vAlign w:val="center"/>
          </w:tcPr>
          <w:p w14:paraId="7CBCE0B1">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shd w:val="clear" w:color="auto" w:fill="auto"/>
            <w:noWrap w:val="0"/>
            <w:vAlign w:val="center"/>
          </w:tcPr>
          <w:p w14:paraId="0999456F">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风幕机</w:t>
            </w:r>
          </w:p>
          <w:p w14:paraId="25669F1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说明：离心式风幕机产生高速的气流，将室内外分成两个独立的温度区域，坚持室内空调及净化空气的效果，节省电能的同时并令空气循环，有效隔离灰尘、烟气、臭气、和昆虫等微生物。</w:t>
            </w:r>
          </w:p>
          <w:p w14:paraId="249AE2E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功率：180W/220V</w:t>
            </w:r>
          </w:p>
          <w:p w14:paraId="4261E4B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highlight w:val="none"/>
                <w:lang w:val="en-US" w:eastAsia="zh-CN" w:bidi="ar-SA"/>
              </w:rPr>
              <w:t>尺寸：L=1200</w:t>
            </w:r>
          </w:p>
        </w:tc>
        <w:tc>
          <w:tcPr>
            <w:tcW w:w="929" w:type="dxa"/>
            <w:tcBorders>
              <w:left w:val="single" w:color="auto" w:sz="4" w:space="0"/>
              <w:right w:val="single" w:color="auto" w:sz="4" w:space="0"/>
            </w:tcBorders>
            <w:shd w:val="clear" w:color="auto" w:fill="auto"/>
            <w:noWrap w:val="0"/>
            <w:vAlign w:val="center"/>
          </w:tcPr>
          <w:p w14:paraId="7E9E271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台</w:t>
            </w:r>
          </w:p>
        </w:tc>
        <w:tc>
          <w:tcPr>
            <w:tcW w:w="1810" w:type="dxa"/>
            <w:tcBorders>
              <w:left w:val="single" w:color="auto" w:sz="4" w:space="0"/>
              <w:right w:val="single" w:color="auto" w:sz="4" w:space="0"/>
            </w:tcBorders>
            <w:shd w:val="clear" w:color="auto" w:fill="auto"/>
            <w:noWrap w:val="0"/>
            <w:vAlign w:val="center"/>
          </w:tcPr>
          <w:p w14:paraId="6DF5DD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eastAsia="zh-CN"/>
              </w:rPr>
              <w:drawing>
                <wp:inline distT="0" distB="0" distL="114935" distR="114935">
                  <wp:extent cx="558800" cy="285750"/>
                  <wp:effectExtent l="0" t="0" r="0" b="19050"/>
                  <wp:docPr id="31" name="图片 31" descr="timg (6)"/>
                  <wp:cNvGraphicFramePr/>
                  <a:graphic xmlns:a="http://schemas.openxmlformats.org/drawingml/2006/main">
                    <a:graphicData uri="http://schemas.openxmlformats.org/drawingml/2006/picture">
                      <pic:pic xmlns:pic="http://schemas.openxmlformats.org/drawingml/2006/picture">
                        <pic:nvPicPr>
                          <pic:cNvPr id="31" name="图片 31" descr="timg (6)"/>
                          <pic:cNvPicPr/>
                        </pic:nvPicPr>
                        <pic:blipFill>
                          <a:blip r:embed="rId56"/>
                          <a:stretch>
                            <a:fillRect/>
                          </a:stretch>
                        </pic:blipFill>
                        <pic:spPr>
                          <a:xfrm>
                            <a:off x="0" y="0"/>
                            <a:ext cx="558800" cy="285750"/>
                          </a:xfrm>
                          <a:prstGeom prst="rect">
                            <a:avLst/>
                          </a:prstGeom>
                        </pic:spPr>
                      </pic:pic>
                    </a:graphicData>
                  </a:graphic>
                </wp:inline>
              </w:drawing>
            </w:r>
          </w:p>
        </w:tc>
      </w:tr>
      <w:tr w14:paraId="4E99A5D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718" w:type="dxa"/>
            <w:tcBorders>
              <w:left w:val="single" w:color="auto" w:sz="4" w:space="0"/>
              <w:right w:val="single" w:color="auto" w:sz="4" w:space="0"/>
            </w:tcBorders>
            <w:noWrap w:val="0"/>
            <w:vAlign w:val="center"/>
          </w:tcPr>
          <w:p w14:paraId="6F0B1A9E">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2D0BD30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锅盖</w:t>
            </w:r>
          </w:p>
          <w:p w14:paraId="7EEFE06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说明：采用优质不锈钢制作。</w:t>
            </w:r>
          </w:p>
          <w:p w14:paraId="5C5585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规格：φ78</w:t>
            </w:r>
          </w:p>
        </w:tc>
        <w:tc>
          <w:tcPr>
            <w:tcW w:w="929" w:type="dxa"/>
            <w:tcBorders>
              <w:left w:val="single" w:color="auto" w:sz="4" w:space="0"/>
              <w:right w:val="single" w:color="auto" w:sz="4" w:space="0"/>
            </w:tcBorders>
            <w:noWrap w:val="0"/>
            <w:vAlign w:val="center"/>
          </w:tcPr>
          <w:p w14:paraId="40EEF38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个</w:t>
            </w:r>
          </w:p>
        </w:tc>
        <w:tc>
          <w:tcPr>
            <w:tcW w:w="1810" w:type="dxa"/>
            <w:tcBorders>
              <w:left w:val="single" w:color="auto" w:sz="4" w:space="0"/>
              <w:right w:val="single" w:color="auto" w:sz="4" w:space="0"/>
            </w:tcBorders>
            <w:noWrap w:val="0"/>
            <w:vAlign w:val="center"/>
          </w:tcPr>
          <w:p w14:paraId="43233FC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r>
      <w:tr w14:paraId="0EFFB9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606" w:hRule="atLeast"/>
          <w:jc w:val="center"/>
        </w:trPr>
        <w:tc>
          <w:tcPr>
            <w:tcW w:w="718" w:type="dxa"/>
            <w:tcBorders>
              <w:left w:val="single" w:color="auto" w:sz="4" w:space="0"/>
              <w:right w:val="single" w:color="auto" w:sz="4" w:space="0"/>
            </w:tcBorders>
            <w:noWrap w:val="0"/>
            <w:vAlign w:val="center"/>
          </w:tcPr>
          <w:p w14:paraId="26B867AD">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rPr>
            </w:pPr>
          </w:p>
        </w:tc>
        <w:tc>
          <w:tcPr>
            <w:tcW w:w="4174" w:type="dxa"/>
            <w:tcBorders>
              <w:left w:val="single" w:color="auto" w:sz="4" w:space="0"/>
              <w:right w:val="single" w:color="auto" w:sz="4" w:space="0"/>
            </w:tcBorders>
            <w:noWrap w:val="0"/>
            <w:vAlign w:val="center"/>
          </w:tcPr>
          <w:p w14:paraId="5A44F6B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粘捕式灭蝇灯</w:t>
            </w:r>
          </w:p>
          <w:p w14:paraId="664297D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说明：1、功率：8W/220V</w:t>
            </w:r>
          </w:p>
          <w:p w14:paraId="306EC37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2、灯管：单8W紫外线灯管</w:t>
            </w:r>
          </w:p>
          <w:p w14:paraId="0D878DD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3、覆盖面积：25㎡-40㎡</w:t>
            </w:r>
          </w:p>
          <w:p w14:paraId="111AA5D6">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规格：390×200×165</w:t>
            </w:r>
          </w:p>
        </w:tc>
        <w:tc>
          <w:tcPr>
            <w:tcW w:w="929" w:type="dxa"/>
            <w:tcBorders>
              <w:left w:val="single" w:color="auto" w:sz="4" w:space="0"/>
              <w:right w:val="single" w:color="auto" w:sz="4" w:space="0"/>
            </w:tcBorders>
            <w:noWrap w:val="0"/>
            <w:vAlign w:val="center"/>
          </w:tcPr>
          <w:p w14:paraId="6F3285A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7盏</w:t>
            </w:r>
          </w:p>
        </w:tc>
        <w:tc>
          <w:tcPr>
            <w:tcW w:w="1810" w:type="dxa"/>
            <w:tcBorders>
              <w:left w:val="single" w:color="auto" w:sz="4" w:space="0"/>
              <w:right w:val="single" w:color="auto" w:sz="4" w:space="0"/>
            </w:tcBorders>
            <w:noWrap w:val="0"/>
            <w:vAlign w:val="center"/>
          </w:tcPr>
          <w:p w14:paraId="673E06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rPr>
              <w:drawing>
                <wp:anchor distT="0" distB="0" distL="114300" distR="114300" simplePos="0" relativeHeight="251667456" behindDoc="0" locked="0" layoutInCell="1" allowOverlap="1">
                  <wp:simplePos x="0" y="0"/>
                  <wp:positionH relativeFrom="column">
                    <wp:posOffset>161925</wp:posOffset>
                  </wp:positionH>
                  <wp:positionV relativeFrom="paragraph">
                    <wp:posOffset>233680</wp:posOffset>
                  </wp:positionV>
                  <wp:extent cx="698500" cy="642620"/>
                  <wp:effectExtent l="0" t="0" r="0" b="5080"/>
                  <wp:wrapSquare wrapText="bothSides"/>
                  <wp:docPr id="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pic:cNvPicPr>
                            <a:picLocks noChangeAspect="1"/>
                          </pic:cNvPicPr>
                        </pic:nvPicPr>
                        <pic:blipFill>
                          <a:blip r:embed="rId57"/>
                          <a:stretch>
                            <a:fillRect/>
                          </a:stretch>
                        </pic:blipFill>
                        <pic:spPr>
                          <a:xfrm>
                            <a:off x="0" y="0"/>
                            <a:ext cx="698500" cy="642620"/>
                          </a:xfrm>
                          <a:prstGeom prst="rect">
                            <a:avLst/>
                          </a:prstGeom>
                          <a:noFill/>
                          <a:ln>
                            <a:noFill/>
                          </a:ln>
                        </pic:spPr>
                      </pic:pic>
                    </a:graphicData>
                  </a:graphic>
                </wp:anchor>
              </w:drawing>
            </w:r>
          </w:p>
        </w:tc>
      </w:tr>
      <w:tr w14:paraId="7C0D8E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0E7E85F">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1A0A327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台式混水厨房龙头</w:t>
            </w:r>
          </w:p>
          <w:p w14:paraId="3EBC433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说明：双孔双把装台面鹅颈龙头，配G1/2′进水接头，出水管中心距145mm，4′对中镀铬镍黄铜本体。</w:t>
            </w:r>
          </w:p>
        </w:tc>
        <w:tc>
          <w:tcPr>
            <w:tcW w:w="929" w:type="dxa"/>
            <w:tcBorders>
              <w:left w:val="single" w:color="auto" w:sz="4" w:space="0"/>
              <w:right w:val="single" w:color="auto" w:sz="4" w:space="0"/>
            </w:tcBorders>
            <w:noWrap w:val="0"/>
            <w:vAlign w:val="center"/>
          </w:tcPr>
          <w:p w14:paraId="709AD74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13</w:t>
            </w:r>
            <w:r>
              <w:rPr>
                <w:rFonts w:hint="eastAsia" w:ascii="宋体" w:hAnsi="宋体" w:eastAsia="宋体" w:cs="宋体"/>
                <w:bCs/>
                <w:color w:val="auto"/>
                <w:kern w:val="2"/>
                <w:sz w:val="21"/>
                <w:szCs w:val="21"/>
                <w:highlight w:val="none"/>
                <w:lang w:val="en-US" w:eastAsia="zh-CN" w:bidi="ar-SA"/>
              </w:rPr>
              <w:t>个</w:t>
            </w:r>
          </w:p>
        </w:tc>
        <w:tc>
          <w:tcPr>
            <w:tcW w:w="1810" w:type="dxa"/>
            <w:tcBorders>
              <w:left w:val="single" w:color="auto" w:sz="4" w:space="0"/>
              <w:right w:val="single" w:color="auto" w:sz="4" w:space="0"/>
            </w:tcBorders>
            <w:noWrap w:val="0"/>
            <w:vAlign w:val="center"/>
          </w:tcPr>
          <w:p w14:paraId="08EB8E1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34035" cy="572135"/>
                  <wp:effectExtent l="0" t="0" r="24765" b="12065"/>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58"/>
                          <a:stretch>
                            <a:fillRect/>
                          </a:stretch>
                        </pic:blipFill>
                        <pic:spPr>
                          <a:xfrm>
                            <a:off x="0" y="0"/>
                            <a:ext cx="534035" cy="572135"/>
                          </a:xfrm>
                          <a:prstGeom prst="rect">
                            <a:avLst/>
                          </a:prstGeom>
                          <a:noFill/>
                          <a:ln w="9525">
                            <a:noFill/>
                          </a:ln>
                        </pic:spPr>
                      </pic:pic>
                    </a:graphicData>
                  </a:graphic>
                </wp:inline>
              </w:drawing>
            </w:r>
          </w:p>
        </w:tc>
      </w:tr>
      <w:tr w14:paraId="028E9D6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2EF5B469">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12A2385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三角阀</w:t>
            </w:r>
          </w:p>
        </w:tc>
        <w:tc>
          <w:tcPr>
            <w:tcW w:w="929" w:type="dxa"/>
            <w:tcBorders>
              <w:left w:val="single" w:color="auto" w:sz="4" w:space="0"/>
              <w:right w:val="single" w:color="auto" w:sz="4" w:space="0"/>
            </w:tcBorders>
            <w:noWrap w:val="0"/>
            <w:vAlign w:val="center"/>
          </w:tcPr>
          <w:p w14:paraId="0275C3A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41</w:t>
            </w:r>
            <w:r>
              <w:rPr>
                <w:rFonts w:hint="eastAsia" w:ascii="宋体" w:hAnsi="宋体" w:eastAsia="宋体" w:cs="宋体"/>
                <w:bCs/>
                <w:color w:val="auto"/>
                <w:kern w:val="2"/>
                <w:sz w:val="21"/>
                <w:szCs w:val="21"/>
                <w:highlight w:val="none"/>
                <w:lang w:val="en-US" w:eastAsia="zh-CN" w:bidi="ar-SA"/>
              </w:rPr>
              <w:t>只</w:t>
            </w:r>
          </w:p>
        </w:tc>
        <w:tc>
          <w:tcPr>
            <w:tcW w:w="1810" w:type="dxa"/>
            <w:tcBorders>
              <w:left w:val="single" w:color="auto" w:sz="4" w:space="0"/>
              <w:right w:val="single" w:color="auto" w:sz="4" w:space="0"/>
            </w:tcBorders>
            <w:noWrap w:val="0"/>
            <w:vAlign w:val="center"/>
          </w:tcPr>
          <w:p w14:paraId="69CAED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35280" cy="455295"/>
                  <wp:effectExtent l="0" t="0" r="20320" b="1905"/>
                  <wp:docPr id="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
                          <pic:cNvPicPr>
                            <a:picLocks noChangeAspect="1"/>
                          </pic:cNvPicPr>
                        </pic:nvPicPr>
                        <pic:blipFill>
                          <a:blip r:embed="rId59"/>
                          <a:stretch>
                            <a:fillRect/>
                          </a:stretch>
                        </pic:blipFill>
                        <pic:spPr>
                          <a:xfrm>
                            <a:off x="0" y="0"/>
                            <a:ext cx="335280" cy="455295"/>
                          </a:xfrm>
                          <a:prstGeom prst="rect">
                            <a:avLst/>
                          </a:prstGeom>
                          <a:noFill/>
                          <a:ln>
                            <a:noFill/>
                          </a:ln>
                        </pic:spPr>
                      </pic:pic>
                    </a:graphicData>
                  </a:graphic>
                </wp:inline>
              </w:drawing>
            </w:r>
          </w:p>
        </w:tc>
      </w:tr>
      <w:tr w14:paraId="3EED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1648C8DE">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noWrap w:val="0"/>
            <w:vAlign w:val="center"/>
          </w:tcPr>
          <w:p w14:paraId="41F7BBB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编织金属进水管</w:t>
            </w:r>
          </w:p>
        </w:tc>
        <w:tc>
          <w:tcPr>
            <w:tcW w:w="929" w:type="dxa"/>
            <w:noWrap w:val="0"/>
            <w:vAlign w:val="center"/>
          </w:tcPr>
          <w:p w14:paraId="50F4AC5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41</w:t>
            </w:r>
            <w:r>
              <w:rPr>
                <w:rFonts w:hint="eastAsia" w:ascii="宋体" w:hAnsi="宋体" w:eastAsia="宋体" w:cs="宋体"/>
                <w:bCs/>
                <w:color w:val="auto"/>
                <w:kern w:val="2"/>
                <w:sz w:val="21"/>
                <w:szCs w:val="21"/>
                <w:highlight w:val="none"/>
                <w:lang w:val="en-US" w:eastAsia="zh-CN" w:bidi="ar-SA"/>
              </w:rPr>
              <w:t>只</w:t>
            </w:r>
          </w:p>
        </w:tc>
        <w:tc>
          <w:tcPr>
            <w:tcW w:w="1810" w:type="dxa"/>
            <w:noWrap w:val="0"/>
            <w:vAlign w:val="center"/>
          </w:tcPr>
          <w:p w14:paraId="1CA88E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drawing>
                <wp:inline distT="0" distB="0" distL="114300" distR="114300">
                  <wp:extent cx="485775" cy="323850"/>
                  <wp:effectExtent l="0" t="0" r="22225" b="6350"/>
                  <wp:docPr id="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pic:cNvPicPr>
                            <a:picLocks noChangeAspect="1"/>
                          </pic:cNvPicPr>
                        </pic:nvPicPr>
                        <pic:blipFill>
                          <a:blip r:embed="rId60"/>
                          <a:stretch>
                            <a:fillRect/>
                          </a:stretch>
                        </pic:blipFill>
                        <pic:spPr>
                          <a:xfrm>
                            <a:off x="0" y="0"/>
                            <a:ext cx="485775" cy="323850"/>
                          </a:xfrm>
                          <a:prstGeom prst="rect">
                            <a:avLst/>
                          </a:prstGeom>
                          <a:noFill/>
                          <a:ln>
                            <a:noFill/>
                          </a:ln>
                        </pic:spPr>
                      </pic:pic>
                    </a:graphicData>
                  </a:graphic>
                </wp:inline>
              </w:drawing>
            </w:r>
          </w:p>
        </w:tc>
      </w:tr>
      <w:tr w14:paraId="53A6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0C3B6E3C">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shd w:val="clear" w:color="auto" w:fill="auto"/>
            <w:noWrap w:val="0"/>
            <w:vAlign w:val="center"/>
          </w:tcPr>
          <w:p w14:paraId="2F314E4C">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6" w:rightChars="0" w:firstLine="0"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1/1份数盆</w:t>
            </w:r>
          </w:p>
          <w:p w14:paraId="1C161DE1">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说明：</w:t>
            </w:r>
            <w:r>
              <w:rPr>
                <w:rFonts w:hint="eastAsia" w:ascii="宋体" w:hAnsi="宋体" w:eastAsia="宋体" w:cs="宋体"/>
                <w:b w:val="0"/>
                <w:bCs w:val="0"/>
                <w:color w:val="auto"/>
                <w:sz w:val="21"/>
                <w:szCs w:val="21"/>
                <w:highlight w:val="none"/>
                <w:lang w:eastAsia="zh-CN"/>
              </w:rPr>
              <w:t>采用</w:t>
            </w:r>
            <w:r>
              <w:rPr>
                <w:rFonts w:hint="eastAsia" w:ascii="宋体" w:hAnsi="宋体" w:eastAsia="宋体" w:cs="宋体"/>
                <w:b w:val="0"/>
                <w:bCs w:val="0"/>
                <w:color w:val="auto"/>
                <w:sz w:val="21"/>
                <w:szCs w:val="21"/>
                <w:highlight w:val="none"/>
              </w:rPr>
              <w:t>食用级304不锈钢</w:t>
            </w:r>
            <w:r>
              <w:rPr>
                <w:rFonts w:hint="eastAsia" w:ascii="宋体" w:hAnsi="宋体" w:eastAsia="宋体" w:cs="宋体"/>
                <w:b w:val="0"/>
                <w:bCs w:val="0"/>
                <w:color w:val="auto"/>
                <w:sz w:val="21"/>
                <w:szCs w:val="21"/>
                <w:highlight w:val="none"/>
                <w:lang w:eastAsia="zh-CN"/>
              </w:rPr>
              <w:t>制作。</w:t>
            </w:r>
          </w:p>
        </w:tc>
        <w:tc>
          <w:tcPr>
            <w:tcW w:w="929" w:type="dxa"/>
            <w:shd w:val="clear" w:color="auto" w:fill="auto"/>
            <w:noWrap w:val="0"/>
            <w:vAlign w:val="center"/>
          </w:tcPr>
          <w:p w14:paraId="34901F8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个</w:t>
            </w:r>
          </w:p>
        </w:tc>
        <w:tc>
          <w:tcPr>
            <w:tcW w:w="1810" w:type="dxa"/>
            <w:shd w:val="clear" w:color="auto" w:fill="auto"/>
            <w:noWrap w:val="0"/>
            <w:vAlign w:val="center"/>
          </w:tcPr>
          <w:p w14:paraId="7F7CBBB9">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6"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506095" cy="506095"/>
                  <wp:effectExtent l="0" t="0" r="1905" b="190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1"/>
                          <a:stretch>
                            <a:fillRect/>
                          </a:stretch>
                        </pic:blipFill>
                        <pic:spPr>
                          <a:xfrm>
                            <a:off x="0" y="0"/>
                            <a:ext cx="506095" cy="506095"/>
                          </a:xfrm>
                          <a:prstGeom prst="rect">
                            <a:avLst/>
                          </a:prstGeom>
                          <a:noFill/>
                          <a:ln>
                            <a:noFill/>
                          </a:ln>
                        </pic:spPr>
                      </pic:pic>
                    </a:graphicData>
                  </a:graphic>
                </wp:inline>
              </w:drawing>
            </w:r>
          </w:p>
        </w:tc>
      </w:tr>
      <w:tr w14:paraId="18F8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0C2EDA1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shd w:val="clear" w:color="auto" w:fill="auto"/>
            <w:noWrap w:val="0"/>
            <w:vAlign w:val="center"/>
          </w:tcPr>
          <w:p w14:paraId="2383C568">
            <w:pPr>
              <w:pStyle w:val="68"/>
              <w:keepNext w:val="0"/>
              <w:keepLines w:val="0"/>
              <w:pageBreakBefore w:val="0"/>
              <w:widowControl/>
              <w:tabs>
                <w:tab w:val="left" w:pos="630"/>
                <w:tab w:val="left" w:pos="5674"/>
                <w:tab w:val="left" w:pos="8100"/>
                <w:tab w:val="clear" w:pos="4153"/>
                <w:tab w:val="clear" w:pos="8306"/>
              </w:tabs>
              <w:kinsoku/>
              <w:wordWrap/>
              <w:overflowPunct/>
              <w:topLinePunct w:val="0"/>
              <w:autoSpaceDE/>
              <w:autoSpaceDN/>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蒸饭盘</w:t>
            </w:r>
          </w:p>
          <w:p w14:paraId="796C02E9">
            <w:pPr>
              <w:pStyle w:val="68"/>
              <w:keepNext w:val="0"/>
              <w:keepLines w:val="0"/>
              <w:pageBreakBefore w:val="0"/>
              <w:widowControl/>
              <w:tabs>
                <w:tab w:val="left" w:pos="630"/>
                <w:tab w:val="left" w:pos="5674"/>
                <w:tab w:val="left" w:pos="8100"/>
                <w:tab w:val="clear" w:pos="4153"/>
                <w:tab w:val="clear" w:pos="8306"/>
              </w:tabs>
              <w:kinsoku/>
              <w:wordWrap/>
              <w:overflowPunct/>
              <w:topLinePunct w:val="0"/>
              <w:autoSpaceDE/>
              <w:autoSpaceDN/>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说明：采用食用级304不锈钢制作。</w:t>
            </w:r>
          </w:p>
          <w:p w14:paraId="4F7B2D54">
            <w:pPr>
              <w:pStyle w:val="68"/>
              <w:keepNext w:val="0"/>
              <w:keepLines w:val="0"/>
              <w:pageBreakBefore w:val="0"/>
              <w:widowControl/>
              <w:tabs>
                <w:tab w:val="left" w:pos="630"/>
                <w:tab w:val="left" w:pos="5674"/>
                <w:tab w:val="left" w:pos="8100"/>
                <w:tab w:val="clear" w:pos="4153"/>
                <w:tab w:val="clear" w:pos="8306"/>
              </w:tabs>
              <w:kinsoku/>
              <w:wordWrap/>
              <w:overflowPunct/>
              <w:topLinePunct w:val="0"/>
              <w:autoSpaceDE/>
              <w:autoSpaceDN/>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规格：60×40cm</w:t>
            </w:r>
          </w:p>
        </w:tc>
        <w:tc>
          <w:tcPr>
            <w:tcW w:w="929" w:type="dxa"/>
            <w:shd w:val="clear" w:color="auto" w:fill="auto"/>
            <w:noWrap w:val="0"/>
            <w:vAlign w:val="center"/>
          </w:tcPr>
          <w:p w14:paraId="2FA9505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72</w:t>
            </w:r>
            <w:r>
              <w:rPr>
                <w:rFonts w:hint="eastAsia" w:ascii="宋体" w:hAnsi="宋体" w:eastAsia="宋体" w:cs="宋体"/>
                <w:b w:val="0"/>
                <w:bCs w:val="0"/>
                <w:color w:val="auto"/>
                <w:kern w:val="2"/>
                <w:sz w:val="21"/>
                <w:szCs w:val="21"/>
                <w:highlight w:val="none"/>
                <w:lang w:val="en-US" w:eastAsia="zh-CN" w:bidi="ar-SA"/>
              </w:rPr>
              <w:t xml:space="preserve">个 </w:t>
            </w:r>
          </w:p>
        </w:tc>
        <w:tc>
          <w:tcPr>
            <w:tcW w:w="1810" w:type="dxa"/>
            <w:shd w:val="clear" w:color="auto" w:fill="auto"/>
            <w:noWrap w:val="0"/>
            <w:vAlign w:val="center"/>
          </w:tcPr>
          <w:p w14:paraId="5E834E62">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6"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66725" cy="466725"/>
                  <wp:effectExtent l="0" t="0" r="15875" b="15875"/>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62"/>
                          <a:stretch>
                            <a:fillRect/>
                          </a:stretch>
                        </pic:blipFill>
                        <pic:spPr>
                          <a:xfrm>
                            <a:off x="0" y="0"/>
                            <a:ext cx="466725" cy="466725"/>
                          </a:xfrm>
                          <a:prstGeom prst="rect">
                            <a:avLst/>
                          </a:prstGeom>
                          <a:noFill/>
                          <a:ln>
                            <a:noFill/>
                          </a:ln>
                        </pic:spPr>
                      </pic:pic>
                    </a:graphicData>
                  </a:graphic>
                </wp:inline>
              </w:drawing>
            </w:r>
          </w:p>
        </w:tc>
      </w:tr>
      <w:tr w14:paraId="6644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0"/>
            <w:vAlign w:val="center"/>
          </w:tcPr>
          <w:p w14:paraId="4D7E65EC">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shd w:val="clear" w:color="auto" w:fill="auto"/>
            <w:noWrap w:val="0"/>
            <w:vAlign w:val="center"/>
          </w:tcPr>
          <w:p w14:paraId="37B6A62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高压洗地龙头</w:t>
            </w:r>
          </w:p>
          <w:p w14:paraId="3386BB2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说明：1. 碳钢墨绿色环氧树脂喷涂，固定支架钢板厚5mm(±5%），可左右70度角度摆动，胶管拉伸有止回定位功能。                                                 </w:t>
            </w:r>
          </w:p>
          <w:p w14:paraId="7AD1BA3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 10.7(±5%）米黑色重工无痕三层液压钢丝管，耐温85度(±5%）极限耐压18mpa，0.1mpa测试水枪每分钟4.9L水流量，射程3-4米。</w:t>
            </w:r>
          </w:p>
          <w:p w14:paraId="41BB76D7">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 铸造枪式喷头、前置扳机、配有橡胶防热保护套，按压扳机出水状为渐变式，配置有挂钩水枪可挂置墙体。</w:t>
            </w:r>
          </w:p>
          <w:p w14:paraId="3728754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 进水接口正对产品左边，304材料的G1/2外螺纹。</w:t>
            </w:r>
          </w:p>
        </w:tc>
        <w:tc>
          <w:tcPr>
            <w:tcW w:w="929" w:type="dxa"/>
            <w:shd w:val="clear" w:color="auto" w:fill="auto"/>
            <w:noWrap w:val="0"/>
            <w:vAlign w:val="center"/>
          </w:tcPr>
          <w:p w14:paraId="72F1D99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台</w:t>
            </w:r>
          </w:p>
        </w:tc>
        <w:tc>
          <w:tcPr>
            <w:tcW w:w="1810" w:type="dxa"/>
            <w:shd w:val="clear" w:color="auto" w:fill="auto"/>
            <w:noWrap w:val="0"/>
            <w:vAlign w:val="center"/>
          </w:tcPr>
          <w:p w14:paraId="66D8242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color w:val="auto"/>
                <w:sz w:val="21"/>
                <w:szCs w:val="21"/>
                <w:highlight w:val="none"/>
              </w:rPr>
              <w:drawing>
                <wp:inline distT="0" distB="0" distL="114300" distR="114300">
                  <wp:extent cx="410210" cy="408305"/>
                  <wp:effectExtent l="0" t="0" r="21590" b="2349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63" cstate="print"/>
                          <a:stretch>
                            <a:fillRect/>
                          </a:stretch>
                        </pic:blipFill>
                        <pic:spPr>
                          <a:xfrm>
                            <a:off x="0" y="0"/>
                            <a:ext cx="410210" cy="408305"/>
                          </a:xfrm>
                          <a:prstGeom prst="rect">
                            <a:avLst/>
                          </a:prstGeom>
                          <a:noFill/>
                          <a:ln w="9525">
                            <a:noFill/>
                          </a:ln>
                        </pic:spPr>
                      </pic:pic>
                    </a:graphicData>
                  </a:graphic>
                </wp:inline>
              </w:drawing>
            </w:r>
          </w:p>
        </w:tc>
      </w:tr>
      <w:tr w14:paraId="51C8E1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02F4EB9B">
            <w:pPr>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334B116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0000FF"/>
                <w:kern w:val="2"/>
                <w:sz w:val="21"/>
                <w:szCs w:val="21"/>
                <w:highlight w:val="none"/>
                <w:lang w:val="en-US" w:eastAsia="zh-CN" w:bidi="ar-SA"/>
              </w:rPr>
              <w:t>排烟系统</w:t>
            </w:r>
          </w:p>
        </w:tc>
        <w:tc>
          <w:tcPr>
            <w:tcW w:w="929" w:type="dxa"/>
            <w:tcBorders>
              <w:left w:val="single" w:color="auto" w:sz="4" w:space="0"/>
              <w:right w:val="single" w:color="auto" w:sz="4" w:space="0"/>
            </w:tcBorders>
            <w:noWrap w:val="0"/>
            <w:vAlign w:val="center"/>
          </w:tcPr>
          <w:p w14:paraId="325C633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810" w:type="dxa"/>
            <w:tcBorders>
              <w:left w:val="single" w:color="auto" w:sz="4" w:space="0"/>
              <w:right w:val="single" w:color="auto" w:sz="4" w:space="0"/>
            </w:tcBorders>
            <w:noWrap w:val="0"/>
            <w:vAlign w:val="center"/>
          </w:tcPr>
          <w:p w14:paraId="3C9232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r>
      <w:tr w14:paraId="390D9F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7C06CE70">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4F3AE31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不锈钢排烟管(单位：㎡)</w:t>
            </w:r>
          </w:p>
          <w:p w14:paraId="5156E7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说明：采用优质不锈钢板制作，实际厚度≥0.9mm。配A3钢法兰，变径、大小口按展开面积1：2计算。(按实际面积计算)。</w:t>
            </w:r>
          </w:p>
        </w:tc>
        <w:tc>
          <w:tcPr>
            <w:tcW w:w="929" w:type="dxa"/>
            <w:tcBorders>
              <w:left w:val="single" w:color="auto" w:sz="4" w:space="0"/>
              <w:right w:val="single" w:color="auto" w:sz="4" w:space="0"/>
            </w:tcBorders>
            <w:noWrap w:val="0"/>
            <w:vAlign w:val="center"/>
          </w:tcPr>
          <w:p w14:paraId="7A2E802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97</w:t>
            </w:r>
            <w:r>
              <w:rPr>
                <w:rFonts w:hint="eastAsia" w:ascii="宋体" w:hAnsi="宋体" w:eastAsia="宋体" w:cs="宋体"/>
                <w:bCs/>
                <w:color w:val="auto"/>
                <w:kern w:val="2"/>
                <w:sz w:val="21"/>
                <w:szCs w:val="21"/>
                <w:highlight w:val="none"/>
                <w:lang w:val="en-US" w:eastAsia="zh-CN" w:bidi="ar-SA"/>
              </w:rPr>
              <w:t>㎡</w:t>
            </w:r>
          </w:p>
        </w:tc>
        <w:tc>
          <w:tcPr>
            <w:tcW w:w="1810" w:type="dxa"/>
            <w:tcBorders>
              <w:left w:val="single" w:color="auto" w:sz="4" w:space="0"/>
              <w:right w:val="single" w:color="auto" w:sz="4" w:space="0"/>
            </w:tcBorders>
            <w:noWrap w:val="0"/>
            <w:vAlign w:val="center"/>
          </w:tcPr>
          <w:p w14:paraId="7F12599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61340" cy="492125"/>
                  <wp:effectExtent l="0" t="0" r="22860" b="15875"/>
                  <wp:docPr id="883" name="图片 883"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3" descr="风管"/>
                          <pic:cNvPicPr>
                            <a:picLocks noChangeAspect="1"/>
                          </pic:cNvPicPr>
                        </pic:nvPicPr>
                        <pic:blipFill>
                          <a:blip r:embed="rId64"/>
                          <a:stretch>
                            <a:fillRect/>
                          </a:stretch>
                        </pic:blipFill>
                        <pic:spPr>
                          <a:xfrm>
                            <a:off x="0" y="0"/>
                            <a:ext cx="561340" cy="492125"/>
                          </a:xfrm>
                          <a:prstGeom prst="rect">
                            <a:avLst/>
                          </a:prstGeom>
                          <a:noFill/>
                          <a:ln w="9525">
                            <a:noFill/>
                          </a:ln>
                        </pic:spPr>
                      </pic:pic>
                    </a:graphicData>
                  </a:graphic>
                </wp:inline>
              </w:drawing>
            </w:r>
          </w:p>
        </w:tc>
      </w:tr>
      <w:tr w14:paraId="02B29F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014B46F5">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BFC0F0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双隔音风柜</w:t>
            </w:r>
          </w:p>
          <w:p w14:paraId="3338DD9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说明：采用优质镀锌板烤漆折边成型为可拆装结构。电源线从厨房内控制箱接至设备（抽烟风柜）处预留3米，须由水电施工方完成，控制箱由业主另行采购；具体详见配电施工图纸。</w:t>
            </w:r>
          </w:p>
          <w:p w14:paraId="7AE772F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风量：20500-28500m³/h</w:t>
            </w:r>
          </w:p>
          <w:p w14:paraId="32ACE06A">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功率：7.5KW/380V</w:t>
            </w:r>
          </w:p>
          <w:p w14:paraId="4980C4D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规格：1160×1550×1215</w:t>
            </w:r>
          </w:p>
        </w:tc>
        <w:tc>
          <w:tcPr>
            <w:tcW w:w="929" w:type="dxa"/>
            <w:tcBorders>
              <w:left w:val="single" w:color="auto" w:sz="4" w:space="0"/>
              <w:right w:val="single" w:color="auto" w:sz="4" w:space="0"/>
            </w:tcBorders>
            <w:noWrap w:val="0"/>
            <w:vAlign w:val="center"/>
          </w:tcPr>
          <w:p w14:paraId="308751C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378F181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466090" cy="477520"/>
                  <wp:effectExtent l="0" t="0" r="16510" b="5080"/>
                  <wp:docPr id="35" name="图片 4"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descr="风柜"/>
                          <pic:cNvPicPr>
                            <a:picLocks noChangeAspect="1"/>
                          </pic:cNvPicPr>
                        </pic:nvPicPr>
                        <pic:blipFill>
                          <a:blip r:embed="rId65"/>
                          <a:stretch>
                            <a:fillRect/>
                          </a:stretch>
                        </pic:blipFill>
                        <pic:spPr>
                          <a:xfrm>
                            <a:off x="0" y="0"/>
                            <a:ext cx="466090" cy="477520"/>
                          </a:xfrm>
                          <a:prstGeom prst="rect">
                            <a:avLst/>
                          </a:prstGeom>
                          <a:noFill/>
                          <a:ln w="9525">
                            <a:noFill/>
                          </a:ln>
                        </pic:spPr>
                      </pic:pic>
                    </a:graphicData>
                  </a:graphic>
                </wp:inline>
              </w:drawing>
            </w:r>
          </w:p>
        </w:tc>
      </w:tr>
      <w:tr w14:paraId="7ADB4C7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5301A52C">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11764D4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风柜支架</w:t>
            </w:r>
          </w:p>
          <w:p w14:paraId="5BC189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说明：采用优质镀锌型钢焊接成型，防锈处理8#槽钢</w:t>
            </w:r>
          </w:p>
        </w:tc>
        <w:tc>
          <w:tcPr>
            <w:tcW w:w="929" w:type="dxa"/>
            <w:tcBorders>
              <w:left w:val="single" w:color="auto" w:sz="4" w:space="0"/>
              <w:right w:val="single" w:color="auto" w:sz="4" w:space="0"/>
            </w:tcBorders>
            <w:noWrap w:val="0"/>
            <w:vAlign w:val="center"/>
          </w:tcPr>
          <w:p w14:paraId="0F5B3AD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台</w:t>
            </w:r>
          </w:p>
        </w:tc>
        <w:tc>
          <w:tcPr>
            <w:tcW w:w="1810" w:type="dxa"/>
            <w:tcBorders>
              <w:left w:val="single" w:color="auto" w:sz="4" w:space="0"/>
              <w:right w:val="single" w:color="auto" w:sz="4" w:space="0"/>
            </w:tcBorders>
            <w:noWrap w:val="0"/>
            <w:vAlign w:val="center"/>
          </w:tcPr>
          <w:p w14:paraId="363A34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66750" cy="514350"/>
                  <wp:effectExtent l="0" t="0" r="19050" b="19050"/>
                  <wp:docPr id="11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4"/>
                          <pic:cNvPicPr>
                            <a:picLocks noChangeAspect="1"/>
                          </pic:cNvPicPr>
                        </pic:nvPicPr>
                        <pic:blipFill>
                          <a:blip r:embed="rId66"/>
                          <a:stretch>
                            <a:fillRect/>
                          </a:stretch>
                        </pic:blipFill>
                        <pic:spPr>
                          <a:xfrm>
                            <a:off x="0" y="0"/>
                            <a:ext cx="666750" cy="514350"/>
                          </a:xfrm>
                          <a:prstGeom prst="rect">
                            <a:avLst/>
                          </a:prstGeom>
                          <a:noFill/>
                          <a:ln>
                            <a:noFill/>
                          </a:ln>
                        </pic:spPr>
                      </pic:pic>
                    </a:graphicData>
                  </a:graphic>
                </wp:inline>
              </w:drawing>
            </w:r>
          </w:p>
        </w:tc>
      </w:tr>
      <w:tr w14:paraId="019F1B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04A3ABCE">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6F2BD03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消声器</w:t>
            </w:r>
          </w:p>
          <w:p w14:paraId="6B60812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说明：采用优质不锈钢厚度≥1.2mm</w:t>
            </w:r>
          </w:p>
          <w:p w14:paraId="316EEC9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规格：根据风管尺寸</w:t>
            </w:r>
          </w:p>
        </w:tc>
        <w:tc>
          <w:tcPr>
            <w:tcW w:w="929" w:type="dxa"/>
            <w:tcBorders>
              <w:left w:val="single" w:color="auto" w:sz="4" w:space="0"/>
              <w:right w:val="single" w:color="auto" w:sz="4" w:space="0"/>
            </w:tcBorders>
            <w:noWrap w:val="0"/>
            <w:vAlign w:val="center"/>
          </w:tcPr>
          <w:p w14:paraId="07607B1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537AFE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rPr>
              <w:drawing>
                <wp:inline distT="0" distB="0" distL="114300" distR="114300">
                  <wp:extent cx="771525" cy="494030"/>
                  <wp:effectExtent l="0" t="0" r="15875" b="13970"/>
                  <wp:docPr id="896" name="图片 6" descr="1528421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6" descr="1528421406(1)"/>
                          <pic:cNvPicPr>
                            <a:picLocks noChangeAspect="1"/>
                          </pic:cNvPicPr>
                        </pic:nvPicPr>
                        <pic:blipFill>
                          <a:blip r:embed="rId67"/>
                          <a:stretch>
                            <a:fillRect/>
                          </a:stretch>
                        </pic:blipFill>
                        <pic:spPr>
                          <a:xfrm>
                            <a:off x="0" y="0"/>
                            <a:ext cx="771525" cy="494030"/>
                          </a:xfrm>
                          <a:prstGeom prst="rect">
                            <a:avLst/>
                          </a:prstGeom>
                          <a:noFill/>
                          <a:ln w="9525">
                            <a:noFill/>
                          </a:ln>
                        </pic:spPr>
                      </pic:pic>
                    </a:graphicData>
                  </a:graphic>
                </wp:inline>
              </w:drawing>
            </w:r>
          </w:p>
        </w:tc>
      </w:tr>
      <w:tr w14:paraId="4075C6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326484C7">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2688330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防火阀</w:t>
            </w:r>
          </w:p>
          <w:p w14:paraId="3909327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说明：熔断器动作温度150℃；</w:t>
            </w:r>
          </w:p>
          <w:p w14:paraId="3B390F07">
            <w:pPr>
              <w:keepNext w:val="0"/>
              <w:keepLines w:val="0"/>
              <w:pageBreakBefore w:val="0"/>
              <w:numPr>
                <w:ilvl w:val="0"/>
                <w:numId w:val="0"/>
              </w:numPr>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采用一体成型工艺，法兰边无需焊接更耐用，密封弹片，采用密封片处理，漏风量低，气密性好。</w:t>
            </w:r>
          </w:p>
          <w:p w14:paraId="12F6305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规格：根据现场定制</w:t>
            </w:r>
          </w:p>
        </w:tc>
        <w:tc>
          <w:tcPr>
            <w:tcW w:w="929" w:type="dxa"/>
            <w:tcBorders>
              <w:left w:val="single" w:color="auto" w:sz="4" w:space="0"/>
              <w:right w:val="single" w:color="auto" w:sz="4" w:space="0"/>
            </w:tcBorders>
            <w:noWrap w:val="0"/>
            <w:vAlign w:val="center"/>
          </w:tcPr>
          <w:p w14:paraId="6E6556A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686584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23570" cy="622300"/>
                  <wp:effectExtent l="0" t="0" r="11430" b="12700"/>
                  <wp:docPr id="897" name="图片 7"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7" descr="防火阀"/>
                          <pic:cNvPicPr>
                            <a:picLocks noChangeAspect="1"/>
                          </pic:cNvPicPr>
                        </pic:nvPicPr>
                        <pic:blipFill>
                          <a:blip r:embed="rId68"/>
                          <a:stretch>
                            <a:fillRect/>
                          </a:stretch>
                        </pic:blipFill>
                        <pic:spPr>
                          <a:xfrm>
                            <a:off x="0" y="0"/>
                            <a:ext cx="623570" cy="622300"/>
                          </a:xfrm>
                          <a:prstGeom prst="rect">
                            <a:avLst/>
                          </a:prstGeom>
                          <a:noFill/>
                          <a:ln w="9525">
                            <a:noFill/>
                          </a:ln>
                        </pic:spPr>
                      </pic:pic>
                    </a:graphicData>
                  </a:graphic>
                </wp:inline>
              </w:drawing>
            </w:r>
          </w:p>
        </w:tc>
      </w:tr>
      <w:tr w14:paraId="386D101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718" w:type="dxa"/>
            <w:tcBorders>
              <w:left w:val="single" w:color="auto" w:sz="4" w:space="0"/>
              <w:right w:val="single" w:color="auto" w:sz="4" w:space="0"/>
            </w:tcBorders>
            <w:noWrap w:val="0"/>
            <w:vAlign w:val="center"/>
          </w:tcPr>
          <w:p w14:paraId="4D5E60D6">
            <w:pPr>
              <w:keepNext w:val="0"/>
              <w:keepLines w:val="0"/>
              <w:pageBreakBefore w:val="0"/>
              <w:numPr>
                <w:ilvl w:val="0"/>
                <w:numId w:val="5"/>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lang w:val="en-US" w:eastAsia="zh-CN"/>
              </w:rPr>
            </w:pPr>
          </w:p>
        </w:tc>
        <w:tc>
          <w:tcPr>
            <w:tcW w:w="4174" w:type="dxa"/>
            <w:tcBorders>
              <w:left w:val="single" w:color="auto" w:sz="4" w:space="0"/>
              <w:right w:val="single" w:color="auto" w:sz="4" w:space="0"/>
            </w:tcBorders>
            <w:noWrap w:val="0"/>
            <w:vAlign w:val="center"/>
          </w:tcPr>
          <w:p w14:paraId="1B606D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变频器</w:t>
            </w:r>
          </w:p>
          <w:p w14:paraId="3C570A8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说明：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                                              </w:t>
            </w:r>
          </w:p>
          <w:p w14:paraId="277484D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功率：7.5KW/380V；</w:t>
            </w:r>
          </w:p>
          <w:p w14:paraId="53A1B5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规格：配套风柜</w:t>
            </w:r>
          </w:p>
        </w:tc>
        <w:tc>
          <w:tcPr>
            <w:tcW w:w="929" w:type="dxa"/>
            <w:tcBorders>
              <w:left w:val="single" w:color="auto" w:sz="4" w:space="0"/>
              <w:right w:val="single" w:color="auto" w:sz="4" w:space="0"/>
            </w:tcBorders>
            <w:noWrap w:val="0"/>
            <w:vAlign w:val="center"/>
          </w:tcPr>
          <w:p w14:paraId="60B8D66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1台</w:t>
            </w:r>
          </w:p>
        </w:tc>
        <w:tc>
          <w:tcPr>
            <w:tcW w:w="1810" w:type="dxa"/>
            <w:tcBorders>
              <w:left w:val="single" w:color="auto" w:sz="4" w:space="0"/>
              <w:right w:val="single" w:color="auto" w:sz="4" w:space="0"/>
            </w:tcBorders>
            <w:noWrap w:val="0"/>
            <w:vAlign w:val="center"/>
          </w:tcPr>
          <w:p w14:paraId="44F28F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95325" cy="876300"/>
                  <wp:effectExtent l="0" t="0" r="15875" b="1270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69"/>
                          <a:srcRect l="12912" t="35918" r="13676" b="3123"/>
                          <a:stretch>
                            <a:fillRect/>
                          </a:stretch>
                        </pic:blipFill>
                        <pic:spPr>
                          <a:xfrm>
                            <a:off x="0" y="0"/>
                            <a:ext cx="695325" cy="876300"/>
                          </a:xfrm>
                          <a:prstGeom prst="rect">
                            <a:avLst/>
                          </a:prstGeom>
                          <a:noFill/>
                          <a:ln>
                            <a:noFill/>
                          </a:ln>
                        </pic:spPr>
                      </pic:pic>
                    </a:graphicData>
                  </a:graphic>
                </wp:inline>
              </w:drawing>
            </w:r>
          </w:p>
        </w:tc>
      </w:tr>
    </w:tbl>
    <w:p w14:paraId="64C9073F">
      <w:pPr>
        <w:widowControl/>
        <w:autoSpaceDE w:val="0"/>
        <w:autoSpaceDN w:val="0"/>
        <w:adjustRightInd w:val="0"/>
        <w:spacing w:line="460" w:lineRule="atLeast"/>
        <w:textAlignment w:val="bottom"/>
        <w:rPr>
          <w:rFonts w:hint="eastAsia" w:ascii="宋体" w:eastAsia="宋体"/>
          <w:b/>
          <w:bCs/>
          <w:color w:val="auto"/>
          <w:sz w:val="22"/>
          <w:highlight w:val="none"/>
          <w:lang w:val="en-US" w:eastAsia="zh-CN"/>
        </w:rPr>
      </w:pPr>
    </w:p>
    <w:p w14:paraId="05B70168">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lang w:val="en-US" w:eastAsia="zh-CN"/>
        </w:rPr>
      </w:pPr>
      <w:bookmarkStart w:id="29" w:name="_Toc2599"/>
      <w:r>
        <w:rPr>
          <w:rFonts w:hint="eastAsia" w:ascii="宋体" w:hAnsi="宋体" w:eastAsia="宋体" w:cs="宋体"/>
          <w:b/>
          <w:bCs/>
          <w:color w:val="auto"/>
          <w:sz w:val="22"/>
          <w:szCs w:val="22"/>
          <w:highlight w:val="none"/>
          <w:lang w:val="en-US" w:eastAsia="zh-CN"/>
        </w:rPr>
        <w:t>三、商务条款</w:t>
      </w:r>
      <w:bookmarkEnd w:id="23"/>
      <w:bookmarkEnd w:id="29"/>
    </w:p>
    <w:bookmarkEnd w:id="24"/>
    <w:bookmarkEnd w:id="25"/>
    <w:p w14:paraId="0A80A8D1">
      <w:pPr>
        <w:snapToGrid w:val="0"/>
        <w:spacing w:line="460" w:lineRule="atLeast"/>
        <w:ind w:firstLine="440" w:firstLineChars="200"/>
        <w:rPr>
          <w:rFonts w:hint="eastAsia" w:ascii="宋体" w:eastAsia="宋体" w:cs="Times New Roman"/>
          <w:bCs w:val="0"/>
          <w:color w:val="auto"/>
          <w:sz w:val="22"/>
          <w:szCs w:val="22"/>
          <w:highlight w:val="none"/>
        </w:rPr>
      </w:pPr>
      <w:bookmarkStart w:id="30" w:name="_Toc14080391"/>
      <w:r>
        <w:rPr>
          <w:rFonts w:hint="eastAsia" w:ascii="宋体" w:eastAsia="宋体" w:cs="Times New Roman"/>
          <w:bCs w:val="0"/>
          <w:color w:val="auto"/>
          <w:sz w:val="22"/>
          <w:szCs w:val="22"/>
          <w:highlight w:val="none"/>
        </w:rPr>
        <w:t>1、保质期</w:t>
      </w:r>
    </w:p>
    <w:p w14:paraId="0E78EC71">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1.1.质量保证期为自货物得到有关部门验收合格之日起3年。在产品质量保证期之内，因产品设计、工艺、材料、配套件的缺陷等本身缺陷（非人为因素）而造成的任何产品质量问题或故障应由供应商免费技术服务和维修。</w:t>
      </w:r>
    </w:p>
    <w:p w14:paraId="517653B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1.2.供应商在投标文件中说明保质期内提供的服务计划。</w:t>
      </w:r>
    </w:p>
    <w:p w14:paraId="00B21A83">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1.3.质量保修期内，要求供应商7×24小时电话响应技术咨询；除非采购文件另有规定，供应商须在接到采购人维修要求电话后，4小时内派技术人员到现场维修。</w:t>
      </w:r>
    </w:p>
    <w:p w14:paraId="1EB74985">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 xml:space="preserve">2、付款方式： </w:t>
      </w:r>
    </w:p>
    <w:p w14:paraId="7F13E6BB">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15个工作日内付60%，履约保证金在质保期结束后无质量与售后服务问题15个工作日内无息退还（或保函自动失效）。</w:t>
      </w:r>
    </w:p>
    <w:p w14:paraId="386E96B5">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因财政国库库款能力不足等情势变更情况导致无法执行相关文件要求的支付比例，采购人与中标供应商应根据实际情况另行协商约定。</w:t>
      </w:r>
    </w:p>
    <w:bookmarkEnd w:id="30"/>
    <w:p w14:paraId="4F748341">
      <w:pPr>
        <w:snapToGrid w:val="0"/>
        <w:spacing w:line="460" w:lineRule="atLeast"/>
        <w:ind w:firstLine="440"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3、安装调试</w:t>
      </w:r>
    </w:p>
    <w:p w14:paraId="630B49E2">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3.1.安装地点：按采购人要求。</w:t>
      </w:r>
    </w:p>
    <w:p w14:paraId="110A1468">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3.2.质量标准：符合我国国家有关技术规范要求和技术标准。</w:t>
      </w:r>
    </w:p>
    <w:p w14:paraId="7960CCC0">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3.3.送货、安装过程中发生的费用由中标供应商负责。</w:t>
      </w:r>
    </w:p>
    <w:p w14:paraId="0170A93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3.4.投标供应商应在投标文件中提出其安装调试过程中使用单位需配合的内容。</w:t>
      </w:r>
    </w:p>
    <w:p w14:paraId="07F105A3">
      <w:pPr>
        <w:snapToGrid w:val="0"/>
        <w:spacing w:line="460" w:lineRule="atLeast"/>
        <w:ind w:firstLine="440"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4．验收：</w:t>
      </w:r>
    </w:p>
    <w:p w14:paraId="267B81A1">
      <w:pPr>
        <w:snapToGrid w:val="0"/>
        <w:spacing w:line="460" w:lineRule="atLeast"/>
        <w:ind w:firstLine="440" w:firstLineChars="200"/>
        <w:rPr>
          <w:rFonts w:hint="eastAsia" w:ascii="宋体" w:eastAsia="宋体" w:cs="Times New Roman"/>
          <w:bCs w:val="0"/>
          <w:color w:val="auto"/>
          <w:sz w:val="22"/>
          <w:szCs w:val="22"/>
          <w:highlight w:val="none"/>
          <w:u w:val="single"/>
        </w:rPr>
      </w:pPr>
      <w:r>
        <w:rPr>
          <w:rFonts w:hint="eastAsia" w:ascii="宋体" w:eastAsia="宋体" w:cs="Times New Roman"/>
          <w:b w:val="0"/>
          <w:bCs w:val="0"/>
          <w:color w:val="auto"/>
          <w:sz w:val="22"/>
          <w:szCs w:val="22"/>
          <w:highlight w:val="none"/>
        </w:rPr>
        <w:t>4.1 中标</w:t>
      </w:r>
      <w:r>
        <w:rPr>
          <w:rFonts w:ascii="宋体" w:eastAsia="宋体" w:cs="Times New Roman"/>
          <w:b w:val="0"/>
          <w:bCs w:val="0"/>
          <w:color w:val="auto"/>
          <w:sz w:val="22"/>
          <w:szCs w:val="22"/>
          <w:highlight w:val="none"/>
        </w:rPr>
        <w:t>供应商已按合同规定提供了符合</w:t>
      </w:r>
      <w:r>
        <w:rPr>
          <w:rFonts w:hint="eastAsia" w:ascii="宋体" w:eastAsia="宋体" w:cs="Times New Roman"/>
          <w:b w:val="0"/>
          <w:bCs w:val="0"/>
          <w:color w:val="auto"/>
          <w:sz w:val="22"/>
          <w:szCs w:val="22"/>
          <w:highlight w:val="none"/>
        </w:rPr>
        <w:t>招标</w:t>
      </w:r>
      <w:r>
        <w:rPr>
          <w:rFonts w:ascii="宋体" w:eastAsia="宋体" w:cs="Times New Roman"/>
          <w:b w:val="0"/>
          <w:bCs w:val="0"/>
          <w:color w:val="auto"/>
          <w:sz w:val="22"/>
          <w:szCs w:val="22"/>
          <w:highlight w:val="none"/>
        </w:rPr>
        <w:t>文件规定的要求的货物，并经</w:t>
      </w:r>
      <w:r>
        <w:rPr>
          <w:rFonts w:hint="eastAsia" w:ascii="宋体" w:eastAsia="宋体" w:cs="Times New Roman"/>
          <w:b w:val="0"/>
          <w:bCs w:val="0"/>
          <w:color w:val="auto"/>
          <w:sz w:val="22"/>
          <w:szCs w:val="22"/>
          <w:highlight w:val="none"/>
        </w:rPr>
        <w:t>使用单位</w:t>
      </w:r>
      <w:r>
        <w:rPr>
          <w:rFonts w:ascii="宋体" w:eastAsia="宋体" w:cs="Times New Roman"/>
          <w:b w:val="0"/>
          <w:bCs w:val="0"/>
          <w:color w:val="auto"/>
          <w:sz w:val="22"/>
          <w:szCs w:val="22"/>
          <w:highlight w:val="none"/>
        </w:rPr>
        <w:t>检验合格，所有的技术资料和清单已向</w:t>
      </w:r>
      <w:r>
        <w:rPr>
          <w:rFonts w:hint="eastAsia" w:ascii="宋体" w:eastAsia="宋体" w:cs="Times New Roman"/>
          <w:b w:val="0"/>
          <w:bCs w:val="0"/>
          <w:color w:val="auto"/>
          <w:sz w:val="22"/>
          <w:szCs w:val="22"/>
          <w:highlight w:val="none"/>
        </w:rPr>
        <w:t>采购人</w:t>
      </w:r>
      <w:r>
        <w:rPr>
          <w:rFonts w:ascii="宋体" w:eastAsia="宋体" w:cs="Times New Roman"/>
          <w:b w:val="0"/>
          <w:bCs w:val="0"/>
          <w:color w:val="auto"/>
          <w:sz w:val="22"/>
          <w:szCs w:val="22"/>
          <w:highlight w:val="none"/>
        </w:rPr>
        <w:t>提交并被接受，验收视为合格</w:t>
      </w:r>
      <w:r>
        <w:rPr>
          <w:rFonts w:hint="eastAsia" w:ascii="宋体" w:eastAsia="宋体" w:cs="Times New Roman"/>
          <w:b w:val="0"/>
          <w:bCs w:val="0"/>
          <w:color w:val="auto"/>
          <w:sz w:val="22"/>
          <w:szCs w:val="22"/>
          <w:highlight w:val="none"/>
        </w:rPr>
        <w:t>，采购人可以委托浙江省或温州市产品质量监督单位按投标承诺的材质核对鉴定。如有不符者给予退货，并对中标供应商处以合同总金额30%的违约金罚款。</w:t>
      </w:r>
    </w:p>
    <w:p w14:paraId="72234FC0">
      <w:pPr>
        <w:widowControl/>
        <w:tabs>
          <w:tab w:val="left" w:pos="785"/>
        </w:tabs>
        <w:autoSpaceDE w:val="0"/>
        <w:autoSpaceDN w:val="0"/>
        <w:adjustRightInd w:val="0"/>
        <w:snapToGrid w:val="0"/>
        <w:spacing w:line="440" w:lineRule="atLeast"/>
        <w:ind w:firstLine="440" w:firstLineChars="200"/>
        <w:textAlignment w:val="bottom"/>
        <w:rPr>
          <w:rFonts w:hint="eastAsia" w:ascii="宋体" w:eastAsia="宋体"/>
          <w:color w:val="auto"/>
          <w:sz w:val="22"/>
          <w:szCs w:val="22"/>
          <w:highlight w:val="none"/>
        </w:rPr>
      </w:pPr>
      <w:bookmarkStart w:id="31" w:name="_Toc32231"/>
      <w:r>
        <w:rPr>
          <w:rFonts w:hint="eastAsia" w:ascii="宋体" w:eastAsia="宋体"/>
          <w:color w:val="auto"/>
          <w:sz w:val="22"/>
          <w:szCs w:val="22"/>
          <w:highlight w:val="none"/>
          <w:lang w:val="en-US" w:eastAsia="zh-CN"/>
        </w:rPr>
        <w:t>5</w:t>
      </w:r>
      <w:r>
        <w:rPr>
          <w:rFonts w:hint="eastAsia" w:ascii="宋体" w:eastAsia="宋体"/>
          <w:color w:val="auto"/>
          <w:sz w:val="22"/>
          <w:szCs w:val="22"/>
          <w:highlight w:val="none"/>
          <w:lang w:eastAsia="zh-CN"/>
        </w:rPr>
        <w:t>.</w:t>
      </w:r>
      <w:r>
        <w:rPr>
          <w:rFonts w:hint="eastAsia" w:ascii="宋体" w:hAnsi="宋体" w:eastAsia="宋体" w:cs="宋体"/>
          <w:b/>
          <w:bCs/>
          <w:color w:val="auto"/>
          <w:sz w:val="22"/>
          <w:highlight w:val="none"/>
          <w:u w:val="none"/>
          <w:lang w:eastAsia="zh-CN"/>
        </w:rPr>
        <w:t>★</w:t>
      </w:r>
      <w:r>
        <w:rPr>
          <w:rFonts w:hint="eastAsia" w:ascii="宋体" w:eastAsia="宋体"/>
          <w:color w:val="auto"/>
          <w:sz w:val="22"/>
          <w:szCs w:val="22"/>
          <w:highlight w:val="none"/>
        </w:rPr>
        <w:t>交货时间：</w:t>
      </w:r>
      <w:r>
        <w:rPr>
          <w:rFonts w:hint="eastAsia" w:ascii="宋体" w:eastAsia="宋体"/>
          <w:color w:val="auto"/>
          <w:sz w:val="22"/>
          <w:szCs w:val="22"/>
          <w:highlight w:val="none"/>
          <w:lang w:val="en-US" w:eastAsia="zh-CN"/>
        </w:rPr>
        <w:t>2025年9月1日前</w:t>
      </w:r>
      <w:r>
        <w:rPr>
          <w:rFonts w:hint="eastAsia" w:ascii="宋体" w:eastAsia="宋体"/>
          <w:color w:val="auto"/>
          <w:sz w:val="22"/>
          <w:szCs w:val="22"/>
          <w:highlight w:val="none"/>
        </w:rPr>
        <w:t>提交全部货物</w:t>
      </w:r>
      <w:r>
        <w:rPr>
          <w:rFonts w:hint="eastAsia" w:ascii="宋体" w:eastAsia="宋体"/>
          <w:color w:val="auto"/>
          <w:sz w:val="22"/>
          <w:szCs w:val="22"/>
          <w:highlight w:val="none"/>
          <w:lang w:val="en-US" w:eastAsia="zh-CN"/>
        </w:rPr>
        <w:t>并安装完成</w:t>
      </w:r>
      <w:r>
        <w:rPr>
          <w:rFonts w:hint="eastAsia" w:ascii="宋体" w:eastAsia="宋体"/>
          <w:color w:val="auto"/>
          <w:sz w:val="22"/>
          <w:szCs w:val="22"/>
          <w:highlight w:val="none"/>
        </w:rPr>
        <w:t>，逾期将扣除全部履约保证金。</w:t>
      </w:r>
    </w:p>
    <w:p w14:paraId="61B66171">
      <w:pPr>
        <w:widowControl/>
        <w:tabs>
          <w:tab w:val="left" w:pos="785"/>
        </w:tabs>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6.其他要求</w:t>
      </w:r>
    </w:p>
    <w:p w14:paraId="01275EBA">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采购人可以根据实际需要，调整采购数量，如有数量调整，按实际数量与中标单价调整合同</w:t>
      </w:r>
      <w:r>
        <w:rPr>
          <w:rFonts w:hint="eastAsia" w:ascii="宋体" w:hAnsi="宋体" w:eastAsia="宋体" w:cs="Times New Roman"/>
          <w:b w:val="0"/>
          <w:bCs w:val="0"/>
          <w:color w:val="auto"/>
          <w:sz w:val="22"/>
          <w:szCs w:val="22"/>
          <w:highlight w:val="none"/>
        </w:rPr>
        <w:t>金额。</w:t>
      </w:r>
    </w:p>
    <w:p w14:paraId="7F592445">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Times New Roman"/>
          <w:b w:val="0"/>
          <w:bCs w:val="0"/>
          <w:color w:val="auto"/>
          <w:sz w:val="22"/>
          <w:szCs w:val="22"/>
          <w:highlight w:val="none"/>
        </w:rPr>
        <w:t>交货后采购人可以委托浙江省或温州市产品质量监督单位按投标承诺的材质核对鉴定及环保鉴定。如有不符者给予退货，中标供应商按违约处理。</w:t>
      </w:r>
    </w:p>
    <w:p w14:paraId="5711AB36">
      <w:pPr>
        <w:snapToGrid w:val="0"/>
        <w:spacing w:line="460" w:lineRule="atLeast"/>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lang w:val="en-US" w:eastAsia="zh-CN"/>
        </w:rPr>
        <w:t>四</w:t>
      </w:r>
      <w:r>
        <w:rPr>
          <w:rFonts w:hint="eastAsia" w:ascii="宋体" w:eastAsia="宋体" w:cs="Times New Roman"/>
          <w:bCs w:val="0"/>
          <w:color w:val="auto"/>
          <w:sz w:val="22"/>
          <w:szCs w:val="22"/>
          <w:highlight w:val="none"/>
        </w:rPr>
        <w:t>、工作范围</w:t>
      </w:r>
      <w:bookmarkEnd w:id="31"/>
    </w:p>
    <w:p w14:paraId="25B9B6E4">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根据招标文件，各供应商须按国家有关标准及规范完成下列工作：</w:t>
      </w:r>
    </w:p>
    <w:p w14:paraId="2E095A21">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1.提供完整成套的货物</w:t>
      </w:r>
    </w:p>
    <w:p w14:paraId="514C8AFF">
      <w:pPr>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7B101F8D">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3.完成各项安装、调试、检验、测试等工作，并在采购人的配合下通过的验收；提供各种数据资料；直至通过验收。</w:t>
      </w:r>
    </w:p>
    <w:p w14:paraId="21367502">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6A3B9466">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5.质保期内维保及维修及质保期后终身维修；</w:t>
      </w:r>
    </w:p>
    <w:p w14:paraId="07B9608F">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201FB5D9">
      <w:pPr>
        <w:widowControl/>
        <w:autoSpaceDE w:val="0"/>
        <w:autoSpaceDN w:val="0"/>
        <w:adjustRightInd w:val="0"/>
        <w:spacing w:line="460" w:lineRule="atLeast"/>
        <w:ind w:firstLine="440" w:firstLineChars="200"/>
        <w:textAlignment w:val="bottom"/>
        <w:rPr>
          <w:rFonts w:ascii="宋体"/>
          <w:color w:val="auto"/>
          <w:highlight w:val="none"/>
        </w:rPr>
      </w:pPr>
      <w:r>
        <w:rPr>
          <w:rFonts w:hint="eastAsia" w:ascii="宋体" w:eastAsia="宋体"/>
          <w:b w:val="0"/>
          <w:color w:val="auto"/>
          <w:sz w:val="22"/>
          <w:szCs w:val="22"/>
          <w:highlight w:val="none"/>
          <w:u w:val="single"/>
        </w:rPr>
        <w:t>以上工作内容的费用均包含在报价总价中。</w:t>
      </w:r>
    </w:p>
    <w:p w14:paraId="0339993E">
      <w:pPr>
        <w:numPr>
          <w:ilvl w:val="0"/>
          <w:numId w:val="0"/>
        </w:numPr>
        <w:spacing w:line="440" w:lineRule="exact"/>
        <w:rPr>
          <w:rFonts w:hint="default" w:ascii="宋体" w:hAnsi="宋体" w:eastAsia="宋体"/>
          <w:color w:val="auto"/>
          <w:sz w:val="20"/>
          <w:szCs w:val="20"/>
          <w:highlight w:val="none"/>
          <w:lang w:val="en-US" w:eastAsia="zh-CN"/>
        </w:rPr>
      </w:pPr>
    </w:p>
    <w:p w14:paraId="611C3CB8">
      <w:pP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38522E41">
      <w:pP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32" w:name="_Toc184314470"/>
      <w:bookmarkEnd w:id="32"/>
      <w:bookmarkStart w:id="33" w:name="_Toc184314429"/>
      <w:bookmarkEnd w:id="33"/>
      <w:bookmarkStart w:id="34" w:name="_Toc184314423"/>
      <w:bookmarkEnd w:id="34"/>
      <w:bookmarkStart w:id="35" w:name="_Toc184313290"/>
      <w:bookmarkEnd w:id="35"/>
      <w:bookmarkStart w:id="36" w:name="_Toc184308072"/>
      <w:bookmarkEnd w:id="36"/>
      <w:bookmarkStart w:id="37" w:name="_Toc184314478"/>
      <w:bookmarkEnd w:id="37"/>
      <w:bookmarkStart w:id="38" w:name="_Toc184308079"/>
      <w:bookmarkEnd w:id="38"/>
      <w:bookmarkStart w:id="39" w:name="_Toc184314414"/>
      <w:bookmarkEnd w:id="39"/>
      <w:bookmarkStart w:id="40" w:name="_Toc184314430"/>
      <w:bookmarkEnd w:id="40"/>
      <w:bookmarkStart w:id="41" w:name="_Toc184310321"/>
      <w:bookmarkEnd w:id="41"/>
      <w:bookmarkStart w:id="42" w:name="_Toc184312102"/>
      <w:bookmarkEnd w:id="42"/>
      <w:bookmarkStart w:id="43" w:name="_Toc184313274"/>
      <w:bookmarkEnd w:id="43"/>
      <w:bookmarkStart w:id="44" w:name="_Toc184308036"/>
      <w:bookmarkEnd w:id="44"/>
      <w:bookmarkStart w:id="45" w:name="_Toc184312075"/>
      <w:bookmarkEnd w:id="45"/>
      <w:bookmarkStart w:id="46" w:name="_Toc184312135"/>
      <w:bookmarkEnd w:id="46"/>
      <w:bookmarkStart w:id="47" w:name="_Toc184308105"/>
      <w:bookmarkEnd w:id="47"/>
      <w:bookmarkStart w:id="48" w:name="_Toc184314454"/>
      <w:bookmarkEnd w:id="48"/>
      <w:bookmarkStart w:id="49" w:name="_Toc184313246"/>
      <w:bookmarkEnd w:id="49"/>
      <w:bookmarkStart w:id="50" w:name="_Toc184313301"/>
      <w:bookmarkEnd w:id="50"/>
      <w:bookmarkStart w:id="51" w:name="_Toc184314457"/>
      <w:bookmarkEnd w:id="51"/>
      <w:bookmarkStart w:id="52" w:name="_Toc184310320"/>
      <w:bookmarkEnd w:id="52"/>
      <w:bookmarkStart w:id="53" w:name="_Toc184313285"/>
      <w:bookmarkEnd w:id="53"/>
      <w:bookmarkStart w:id="54" w:name="_Toc184312122"/>
      <w:bookmarkEnd w:id="54"/>
      <w:bookmarkStart w:id="55" w:name="_Toc184314479"/>
      <w:bookmarkEnd w:id="55"/>
      <w:bookmarkStart w:id="56" w:name="_Toc184310341"/>
      <w:bookmarkEnd w:id="56"/>
      <w:bookmarkStart w:id="57" w:name="_Toc184314469"/>
      <w:bookmarkEnd w:id="57"/>
      <w:bookmarkStart w:id="58" w:name="_Toc184312080"/>
      <w:bookmarkEnd w:id="58"/>
      <w:bookmarkStart w:id="59" w:name="_Toc184314442"/>
      <w:bookmarkEnd w:id="59"/>
      <w:bookmarkStart w:id="60" w:name="_Toc184312105"/>
      <w:bookmarkEnd w:id="60"/>
      <w:bookmarkStart w:id="61" w:name="_Toc184313263"/>
      <w:bookmarkEnd w:id="61"/>
      <w:bookmarkStart w:id="62" w:name="_Toc184313302"/>
      <w:bookmarkEnd w:id="62"/>
      <w:bookmarkStart w:id="63" w:name="_Toc184314440"/>
      <w:bookmarkEnd w:id="63"/>
      <w:bookmarkStart w:id="64" w:name="_Toc184308050"/>
      <w:bookmarkEnd w:id="64"/>
      <w:bookmarkStart w:id="65" w:name="_Toc184310304"/>
      <w:bookmarkEnd w:id="65"/>
      <w:bookmarkStart w:id="66" w:name="_Toc184308100"/>
      <w:bookmarkEnd w:id="66"/>
      <w:bookmarkStart w:id="67" w:name="_Toc184308057"/>
      <w:bookmarkEnd w:id="67"/>
      <w:bookmarkStart w:id="68" w:name="_Toc184310328"/>
      <w:bookmarkEnd w:id="68"/>
      <w:bookmarkStart w:id="69" w:name="_Toc184312084"/>
      <w:bookmarkEnd w:id="69"/>
      <w:bookmarkStart w:id="70" w:name="_Toc184310281"/>
      <w:bookmarkEnd w:id="70"/>
      <w:bookmarkStart w:id="71" w:name="_Toc184310313"/>
      <w:bookmarkEnd w:id="71"/>
      <w:bookmarkStart w:id="72" w:name="_Toc184313310"/>
      <w:bookmarkEnd w:id="72"/>
      <w:bookmarkStart w:id="73" w:name="_Toc184314424"/>
      <w:bookmarkEnd w:id="73"/>
      <w:bookmarkStart w:id="74" w:name="_Toc184308074"/>
      <w:bookmarkEnd w:id="74"/>
      <w:bookmarkStart w:id="75" w:name="_Toc184312115"/>
      <w:bookmarkEnd w:id="75"/>
      <w:bookmarkStart w:id="76" w:name="_Toc184308096"/>
      <w:bookmarkEnd w:id="76"/>
      <w:bookmarkStart w:id="77" w:name="_Toc184310342"/>
      <w:bookmarkEnd w:id="77"/>
      <w:bookmarkStart w:id="78" w:name="_Toc184312118"/>
      <w:bookmarkEnd w:id="78"/>
      <w:bookmarkStart w:id="79" w:name="_Toc184308043"/>
      <w:bookmarkEnd w:id="79"/>
      <w:bookmarkStart w:id="80" w:name="_Toc184308080"/>
      <w:bookmarkEnd w:id="80"/>
      <w:bookmarkStart w:id="81" w:name="_Toc184312132"/>
      <w:bookmarkEnd w:id="81"/>
      <w:bookmarkStart w:id="82" w:name="_Toc184313300"/>
      <w:bookmarkEnd w:id="82"/>
      <w:bookmarkStart w:id="83" w:name="_Toc184312125"/>
      <w:bookmarkEnd w:id="83"/>
      <w:bookmarkStart w:id="84" w:name="_Toc184310291"/>
      <w:bookmarkEnd w:id="84"/>
      <w:bookmarkStart w:id="85" w:name="_Toc184312111"/>
      <w:bookmarkEnd w:id="85"/>
      <w:bookmarkStart w:id="86" w:name="_Toc184310303"/>
      <w:bookmarkEnd w:id="86"/>
      <w:bookmarkStart w:id="87" w:name="_Toc184308061"/>
      <w:bookmarkEnd w:id="87"/>
      <w:bookmarkStart w:id="88" w:name="_Toc184308056"/>
      <w:bookmarkEnd w:id="88"/>
      <w:bookmarkStart w:id="89" w:name="_Toc184313306"/>
      <w:bookmarkEnd w:id="89"/>
      <w:bookmarkStart w:id="90" w:name="_Toc184313308"/>
      <w:bookmarkEnd w:id="90"/>
      <w:bookmarkStart w:id="91" w:name="_Toc184314416"/>
      <w:bookmarkEnd w:id="91"/>
      <w:bookmarkStart w:id="92" w:name="_Toc184310336"/>
      <w:bookmarkEnd w:id="92"/>
      <w:bookmarkStart w:id="93" w:name="_Toc184310338"/>
      <w:bookmarkEnd w:id="93"/>
      <w:bookmarkStart w:id="94" w:name="_Toc184313275"/>
      <w:bookmarkEnd w:id="94"/>
      <w:bookmarkStart w:id="95" w:name="_Toc184308063"/>
      <w:bookmarkEnd w:id="95"/>
      <w:bookmarkStart w:id="96" w:name="_Toc184310277"/>
      <w:bookmarkEnd w:id="96"/>
      <w:bookmarkStart w:id="97" w:name="_Toc184313252"/>
      <w:bookmarkEnd w:id="97"/>
      <w:bookmarkStart w:id="98" w:name="_Toc184313241"/>
      <w:bookmarkEnd w:id="98"/>
      <w:bookmarkStart w:id="99" w:name="_Toc184308044"/>
      <w:bookmarkEnd w:id="99"/>
      <w:bookmarkStart w:id="100" w:name="_Toc184310275"/>
      <w:bookmarkEnd w:id="100"/>
      <w:bookmarkStart w:id="101" w:name="_Toc184312077"/>
      <w:bookmarkEnd w:id="101"/>
      <w:bookmarkStart w:id="102" w:name="_Toc184314443"/>
      <w:bookmarkEnd w:id="102"/>
      <w:bookmarkStart w:id="103" w:name="_Toc184314419"/>
      <w:bookmarkEnd w:id="103"/>
      <w:bookmarkStart w:id="104" w:name="_Toc184314421"/>
      <w:bookmarkEnd w:id="104"/>
      <w:bookmarkStart w:id="105" w:name="_Toc184314467"/>
      <w:bookmarkEnd w:id="105"/>
      <w:bookmarkStart w:id="106" w:name="_Toc184308086"/>
      <w:bookmarkEnd w:id="106"/>
      <w:bookmarkStart w:id="107" w:name="_Toc184313293"/>
      <w:bookmarkEnd w:id="107"/>
      <w:bookmarkStart w:id="108" w:name="_Toc184314433"/>
      <w:bookmarkEnd w:id="108"/>
      <w:bookmarkStart w:id="109" w:name="_Toc184308082"/>
      <w:bookmarkEnd w:id="109"/>
      <w:bookmarkStart w:id="110" w:name="_Toc184313255"/>
      <w:bookmarkEnd w:id="110"/>
      <w:bookmarkStart w:id="111" w:name="_Toc184314435"/>
      <w:bookmarkEnd w:id="111"/>
      <w:bookmarkStart w:id="112" w:name="_Toc184313304"/>
      <w:bookmarkEnd w:id="112"/>
      <w:bookmarkStart w:id="113" w:name="_Toc184313256"/>
      <w:bookmarkEnd w:id="113"/>
      <w:bookmarkStart w:id="114" w:name="_Toc184308055"/>
      <w:bookmarkEnd w:id="114"/>
      <w:bookmarkStart w:id="115" w:name="_Toc184313239"/>
      <w:bookmarkEnd w:id="115"/>
      <w:bookmarkStart w:id="116" w:name="_Toc184313266"/>
      <w:bookmarkEnd w:id="116"/>
      <w:bookmarkStart w:id="117" w:name="_Toc184308103"/>
      <w:bookmarkEnd w:id="117"/>
      <w:bookmarkStart w:id="118" w:name="_Toc184308089"/>
      <w:bookmarkEnd w:id="118"/>
      <w:bookmarkStart w:id="119" w:name="_Toc184313283"/>
      <w:bookmarkEnd w:id="119"/>
      <w:bookmarkStart w:id="120" w:name="_Toc184310307"/>
      <w:bookmarkEnd w:id="120"/>
      <w:bookmarkStart w:id="121" w:name="_Toc184308060"/>
      <w:bookmarkEnd w:id="121"/>
      <w:bookmarkStart w:id="122" w:name="_Toc184310290"/>
      <w:bookmarkEnd w:id="122"/>
      <w:bookmarkStart w:id="123" w:name="_Toc184310324"/>
      <w:bookmarkEnd w:id="123"/>
      <w:bookmarkStart w:id="124" w:name="_Toc184308090"/>
      <w:bookmarkEnd w:id="124"/>
      <w:bookmarkStart w:id="125" w:name="_Toc184313248"/>
      <w:bookmarkEnd w:id="125"/>
      <w:bookmarkStart w:id="126" w:name="_Toc184308038"/>
      <w:bookmarkEnd w:id="126"/>
      <w:bookmarkStart w:id="127" w:name="_Toc184308039"/>
      <w:bookmarkEnd w:id="127"/>
      <w:bookmarkStart w:id="128" w:name="_Toc184313240"/>
      <w:bookmarkEnd w:id="128"/>
      <w:bookmarkStart w:id="129" w:name="_Toc184310285"/>
      <w:bookmarkEnd w:id="129"/>
      <w:bookmarkStart w:id="130" w:name="_Toc184308070"/>
      <w:bookmarkEnd w:id="130"/>
      <w:bookmarkStart w:id="131" w:name="_Toc184313303"/>
      <w:bookmarkEnd w:id="131"/>
      <w:bookmarkStart w:id="132" w:name="_Toc184313299"/>
      <w:bookmarkEnd w:id="132"/>
      <w:bookmarkStart w:id="133" w:name="_Toc184310335"/>
      <w:bookmarkEnd w:id="133"/>
      <w:bookmarkStart w:id="134" w:name="_Toc184314446"/>
      <w:bookmarkEnd w:id="134"/>
      <w:bookmarkStart w:id="135" w:name="_Toc184314412"/>
      <w:bookmarkEnd w:id="135"/>
      <w:bookmarkStart w:id="136" w:name="_Toc184313244"/>
      <w:bookmarkEnd w:id="136"/>
      <w:bookmarkStart w:id="137" w:name="_Toc184310287"/>
      <w:bookmarkEnd w:id="137"/>
      <w:bookmarkStart w:id="138" w:name="_Toc184310305"/>
      <w:bookmarkEnd w:id="138"/>
      <w:bookmarkStart w:id="139" w:name="_Toc184312117"/>
      <w:bookmarkEnd w:id="139"/>
      <w:bookmarkStart w:id="140" w:name="_Toc184313298"/>
      <w:bookmarkEnd w:id="140"/>
      <w:bookmarkStart w:id="141" w:name="_Toc184308049"/>
      <w:bookmarkEnd w:id="141"/>
      <w:bookmarkStart w:id="142" w:name="_Toc184314452"/>
      <w:bookmarkEnd w:id="142"/>
      <w:bookmarkStart w:id="143" w:name="_Toc184310323"/>
      <w:bookmarkEnd w:id="143"/>
      <w:bookmarkStart w:id="144" w:name="_Toc184310273"/>
      <w:bookmarkEnd w:id="144"/>
      <w:bookmarkStart w:id="145" w:name="_Toc184313258"/>
      <w:bookmarkEnd w:id="145"/>
      <w:bookmarkStart w:id="146" w:name="_Toc184314453"/>
      <w:bookmarkEnd w:id="146"/>
      <w:bookmarkStart w:id="147" w:name="_Toc184312089"/>
      <w:bookmarkEnd w:id="147"/>
      <w:bookmarkStart w:id="148" w:name="_Toc184312082"/>
      <w:bookmarkEnd w:id="148"/>
      <w:bookmarkStart w:id="149" w:name="_Toc184310343"/>
      <w:bookmarkEnd w:id="149"/>
      <w:bookmarkStart w:id="150" w:name="_Toc184312073"/>
      <w:bookmarkEnd w:id="150"/>
      <w:bookmarkStart w:id="151" w:name="_Toc184312130"/>
      <w:bookmarkEnd w:id="151"/>
      <w:bookmarkStart w:id="152" w:name="_Toc184313291"/>
      <w:bookmarkEnd w:id="152"/>
      <w:bookmarkStart w:id="153" w:name="_Toc184312095"/>
      <w:bookmarkEnd w:id="153"/>
      <w:bookmarkStart w:id="154" w:name="_Toc184312078"/>
      <w:bookmarkEnd w:id="154"/>
      <w:bookmarkStart w:id="155" w:name="_Toc184310327"/>
      <w:bookmarkEnd w:id="155"/>
      <w:bookmarkStart w:id="156" w:name="_Toc184310317"/>
      <w:bookmarkEnd w:id="156"/>
      <w:bookmarkStart w:id="157" w:name="_Toc184310276"/>
      <w:bookmarkEnd w:id="157"/>
      <w:bookmarkStart w:id="158" w:name="_Toc184308077"/>
      <w:bookmarkEnd w:id="158"/>
      <w:bookmarkStart w:id="159" w:name="_Toc184312110"/>
      <w:bookmarkEnd w:id="159"/>
      <w:bookmarkStart w:id="160" w:name="_Toc184312072"/>
      <w:bookmarkEnd w:id="160"/>
      <w:bookmarkStart w:id="161" w:name="_Toc184310274"/>
      <w:bookmarkEnd w:id="161"/>
      <w:bookmarkStart w:id="162" w:name="_Toc184314447"/>
      <w:bookmarkEnd w:id="162"/>
      <w:bookmarkStart w:id="163" w:name="_Toc184314460"/>
      <w:bookmarkEnd w:id="163"/>
      <w:bookmarkStart w:id="164" w:name="_Toc184314475"/>
      <w:bookmarkEnd w:id="164"/>
      <w:bookmarkStart w:id="165" w:name="_Toc184310337"/>
      <w:bookmarkEnd w:id="165"/>
      <w:bookmarkStart w:id="166" w:name="_Toc184308048"/>
      <w:bookmarkEnd w:id="166"/>
      <w:bookmarkStart w:id="167" w:name="_Toc184314463"/>
      <w:bookmarkEnd w:id="167"/>
      <w:bookmarkStart w:id="168" w:name="_Toc184312093"/>
      <w:bookmarkEnd w:id="168"/>
      <w:bookmarkStart w:id="169" w:name="_Toc184308108"/>
      <w:bookmarkEnd w:id="169"/>
      <w:bookmarkStart w:id="170" w:name="_Toc184312091"/>
      <w:bookmarkEnd w:id="170"/>
      <w:bookmarkStart w:id="171" w:name="_Toc184310318"/>
      <w:bookmarkEnd w:id="171"/>
      <w:bookmarkStart w:id="172" w:name="_Toc184312126"/>
      <w:bookmarkEnd w:id="172"/>
      <w:bookmarkStart w:id="173" w:name="_Toc184313278"/>
      <w:bookmarkEnd w:id="173"/>
      <w:bookmarkStart w:id="174" w:name="_Toc184312085"/>
      <w:bookmarkEnd w:id="174"/>
      <w:bookmarkStart w:id="175" w:name="_Toc184308047"/>
      <w:bookmarkEnd w:id="175"/>
      <w:bookmarkStart w:id="176" w:name="_Toc184314461"/>
      <w:bookmarkEnd w:id="176"/>
      <w:bookmarkStart w:id="177" w:name="_Toc184314471"/>
      <w:bookmarkEnd w:id="177"/>
      <w:bookmarkStart w:id="178" w:name="_Toc184314458"/>
      <w:bookmarkEnd w:id="178"/>
      <w:bookmarkStart w:id="179" w:name="_Toc184310315"/>
      <w:bookmarkEnd w:id="179"/>
      <w:bookmarkStart w:id="180" w:name="_Toc184312114"/>
      <w:bookmarkEnd w:id="180"/>
      <w:bookmarkStart w:id="181" w:name="_Toc184308068"/>
      <w:bookmarkEnd w:id="181"/>
      <w:bookmarkStart w:id="182" w:name="_Toc184310297"/>
      <w:bookmarkEnd w:id="182"/>
      <w:bookmarkStart w:id="183" w:name="_Toc184312127"/>
      <w:bookmarkEnd w:id="183"/>
      <w:bookmarkStart w:id="184" w:name="_Toc184312070"/>
      <w:bookmarkEnd w:id="184"/>
      <w:bookmarkStart w:id="185" w:name="_Toc184313261"/>
      <w:bookmarkEnd w:id="185"/>
      <w:bookmarkStart w:id="186" w:name="_Toc184310294"/>
      <w:bookmarkEnd w:id="186"/>
      <w:bookmarkStart w:id="187" w:name="_Toc184308083"/>
      <w:bookmarkEnd w:id="187"/>
      <w:bookmarkStart w:id="188" w:name="_Toc184310339"/>
      <w:bookmarkEnd w:id="188"/>
      <w:bookmarkStart w:id="189" w:name="_Toc184314426"/>
      <w:bookmarkEnd w:id="189"/>
      <w:bookmarkStart w:id="190" w:name="_Toc184314450"/>
      <w:bookmarkEnd w:id="190"/>
      <w:bookmarkStart w:id="191" w:name="_Toc184312071"/>
      <w:bookmarkEnd w:id="191"/>
      <w:bookmarkStart w:id="192" w:name="_Toc184312088"/>
      <w:bookmarkEnd w:id="192"/>
      <w:bookmarkStart w:id="193" w:name="_Toc184308092"/>
      <w:bookmarkEnd w:id="193"/>
      <w:bookmarkStart w:id="194" w:name="_Toc184313272"/>
      <w:bookmarkEnd w:id="194"/>
      <w:bookmarkStart w:id="195" w:name="_Toc184313270"/>
      <w:bookmarkEnd w:id="195"/>
      <w:bookmarkStart w:id="196" w:name="_Toc184312076"/>
      <w:bookmarkEnd w:id="196"/>
      <w:bookmarkStart w:id="197" w:name="_Toc184314438"/>
      <w:bookmarkEnd w:id="197"/>
      <w:bookmarkStart w:id="198" w:name="_Toc184313286"/>
      <w:bookmarkEnd w:id="198"/>
      <w:bookmarkStart w:id="199" w:name="_Toc184310344"/>
      <w:bookmarkEnd w:id="199"/>
      <w:bookmarkStart w:id="200" w:name="_Toc184314481"/>
      <w:bookmarkEnd w:id="200"/>
      <w:bookmarkStart w:id="201" w:name="_Toc184313282"/>
      <w:bookmarkEnd w:id="201"/>
      <w:bookmarkStart w:id="202" w:name="_Toc184310300"/>
      <w:bookmarkEnd w:id="202"/>
      <w:bookmarkStart w:id="203" w:name="_Toc184310280"/>
      <w:bookmarkEnd w:id="203"/>
      <w:bookmarkStart w:id="204" w:name="_Toc184308045"/>
      <w:bookmarkEnd w:id="204"/>
      <w:bookmarkStart w:id="205" w:name="_Toc184310332"/>
      <w:bookmarkEnd w:id="205"/>
      <w:bookmarkStart w:id="206" w:name="_Toc184313257"/>
      <w:bookmarkEnd w:id="206"/>
      <w:bookmarkStart w:id="207" w:name="_Toc184308097"/>
      <w:bookmarkEnd w:id="207"/>
      <w:bookmarkStart w:id="208" w:name="_Toc184310288"/>
      <w:bookmarkEnd w:id="208"/>
      <w:bookmarkStart w:id="209" w:name="_Toc184310278"/>
      <w:bookmarkEnd w:id="209"/>
      <w:bookmarkStart w:id="210" w:name="_Toc184312069"/>
      <w:bookmarkEnd w:id="210"/>
      <w:bookmarkStart w:id="211" w:name="_Toc184308104"/>
      <w:bookmarkEnd w:id="211"/>
      <w:bookmarkStart w:id="212" w:name="_Toc184312119"/>
      <w:bookmarkEnd w:id="212"/>
      <w:bookmarkStart w:id="213" w:name="_Toc184308093"/>
      <w:bookmarkEnd w:id="213"/>
      <w:bookmarkStart w:id="214" w:name="_Toc184310299"/>
      <w:bookmarkEnd w:id="214"/>
      <w:bookmarkStart w:id="215" w:name="_Toc184314464"/>
      <w:bookmarkEnd w:id="215"/>
      <w:bookmarkStart w:id="216" w:name="_Toc184313247"/>
      <w:bookmarkEnd w:id="216"/>
      <w:bookmarkStart w:id="217" w:name="_Toc184310334"/>
      <w:bookmarkEnd w:id="217"/>
      <w:bookmarkStart w:id="218" w:name="_Toc184312124"/>
      <w:bookmarkEnd w:id="218"/>
      <w:bookmarkStart w:id="219" w:name="_Toc184310272"/>
      <w:bookmarkEnd w:id="219"/>
      <w:bookmarkStart w:id="220" w:name="_Toc184314474"/>
      <w:bookmarkEnd w:id="220"/>
      <w:bookmarkStart w:id="221" w:name="_Toc184310279"/>
      <w:bookmarkEnd w:id="221"/>
      <w:bookmarkStart w:id="222" w:name="_Toc184313281"/>
      <w:bookmarkEnd w:id="222"/>
      <w:bookmarkStart w:id="223" w:name="_Toc184308069"/>
      <w:bookmarkEnd w:id="223"/>
      <w:bookmarkStart w:id="224" w:name="_Toc184308073"/>
      <w:bookmarkEnd w:id="224"/>
      <w:bookmarkStart w:id="225" w:name="_Toc184314466"/>
      <w:bookmarkEnd w:id="225"/>
      <w:bookmarkStart w:id="226" w:name="_Toc184310306"/>
      <w:bookmarkEnd w:id="226"/>
      <w:bookmarkStart w:id="227" w:name="_Toc184310283"/>
      <w:bookmarkEnd w:id="227"/>
      <w:bookmarkStart w:id="228" w:name="_Toc184312086"/>
      <w:bookmarkEnd w:id="228"/>
      <w:bookmarkStart w:id="229" w:name="_Toc184308046"/>
      <w:bookmarkEnd w:id="229"/>
      <w:bookmarkStart w:id="230" w:name="_Toc184312136"/>
      <w:bookmarkEnd w:id="230"/>
      <w:bookmarkStart w:id="231" w:name="_Toc184312094"/>
      <w:bookmarkEnd w:id="231"/>
      <w:bookmarkStart w:id="232" w:name="_Toc184310311"/>
      <w:bookmarkEnd w:id="232"/>
      <w:bookmarkStart w:id="233" w:name="_Toc184308084"/>
      <w:bookmarkEnd w:id="233"/>
      <w:bookmarkStart w:id="234" w:name="_Toc184312121"/>
      <w:bookmarkEnd w:id="234"/>
      <w:bookmarkStart w:id="235" w:name="_Toc184313259"/>
      <w:bookmarkEnd w:id="235"/>
      <w:bookmarkStart w:id="236" w:name="_Toc184314425"/>
      <w:bookmarkEnd w:id="236"/>
      <w:bookmarkStart w:id="237" w:name="_Toc184314420"/>
      <w:bookmarkEnd w:id="237"/>
      <w:bookmarkStart w:id="238" w:name="_Toc184312138"/>
      <w:bookmarkEnd w:id="238"/>
      <w:bookmarkStart w:id="239" w:name="_Toc184312090"/>
      <w:bookmarkEnd w:id="239"/>
      <w:bookmarkStart w:id="240" w:name="_Toc184310333"/>
      <w:bookmarkEnd w:id="240"/>
      <w:bookmarkStart w:id="241" w:name="_Toc184310340"/>
      <w:bookmarkEnd w:id="241"/>
      <w:bookmarkStart w:id="242" w:name="_Toc184308078"/>
      <w:bookmarkEnd w:id="242"/>
      <w:bookmarkStart w:id="243" w:name="_Toc184308059"/>
      <w:bookmarkEnd w:id="243"/>
      <w:bookmarkStart w:id="244" w:name="_Toc184308101"/>
      <w:bookmarkEnd w:id="244"/>
      <w:bookmarkStart w:id="245" w:name="_Toc184314468"/>
      <w:bookmarkEnd w:id="245"/>
      <w:bookmarkStart w:id="246" w:name="_Toc184312139"/>
      <w:bookmarkEnd w:id="246"/>
      <w:bookmarkStart w:id="247" w:name="_Toc184308065"/>
      <w:bookmarkEnd w:id="247"/>
      <w:bookmarkStart w:id="248" w:name="_Toc184314417"/>
      <w:bookmarkEnd w:id="248"/>
      <w:bookmarkStart w:id="249" w:name="_Toc184313238"/>
      <w:bookmarkEnd w:id="249"/>
      <w:bookmarkStart w:id="250" w:name="_Toc184310322"/>
      <w:bookmarkEnd w:id="250"/>
      <w:bookmarkStart w:id="251" w:name="_Toc184312134"/>
      <w:bookmarkEnd w:id="251"/>
      <w:bookmarkStart w:id="252" w:name="_Toc184312079"/>
      <w:bookmarkEnd w:id="252"/>
      <w:bookmarkStart w:id="253" w:name="_Toc184313260"/>
      <w:bookmarkEnd w:id="253"/>
      <w:bookmarkStart w:id="254" w:name="_Toc184312129"/>
      <w:bookmarkEnd w:id="254"/>
      <w:bookmarkStart w:id="255" w:name="_Toc184313243"/>
      <w:bookmarkEnd w:id="255"/>
      <w:bookmarkStart w:id="256" w:name="_Toc184312116"/>
      <w:bookmarkEnd w:id="256"/>
      <w:bookmarkStart w:id="257" w:name="_Toc184314444"/>
      <w:bookmarkEnd w:id="257"/>
      <w:bookmarkStart w:id="258" w:name="_Toc184312083"/>
      <w:bookmarkEnd w:id="258"/>
      <w:bookmarkStart w:id="259" w:name="_Toc184310309"/>
      <w:bookmarkEnd w:id="259"/>
      <w:bookmarkStart w:id="260" w:name="_Toc184314459"/>
      <w:bookmarkEnd w:id="260"/>
      <w:bookmarkStart w:id="261" w:name="_Toc184314434"/>
      <w:bookmarkEnd w:id="261"/>
      <w:bookmarkStart w:id="262" w:name="_Toc184308107"/>
      <w:bookmarkEnd w:id="262"/>
      <w:bookmarkStart w:id="263" w:name="_Toc184312109"/>
      <w:bookmarkEnd w:id="263"/>
      <w:bookmarkStart w:id="264" w:name="_Toc184313267"/>
      <w:bookmarkEnd w:id="264"/>
      <w:bookmarkStart w:id="265" w:name="_Toc184308088"/>
      <w:bookmarkEnd w:id="265"/>
      <w:bookmarkStart w:id="266" w:name="_Toc184308091"/>
      <w:bookmarkEnd w:id="266"/>
      <w:bookmarkStart w:id="267" w:name="_Toc184312074"/>
      <w:bookmarkEnd w:id="267"/>
      <w:bookmarkStart w:id="268" w:name="_Toc184312112"/>
      <w:bookmarkEnd w:id="268"/>
      <w:bookmarkStart w:id="269" w:name="_Toc184308095"/>
      <w:bookmarkEnd w:id="269"/>
      <w:bookmarkStart w:id="270" w:name="_Toc184313309"/>
      <w:bookmarkEnd w:id="270"/>
      <w:bookmarkStart w:id="271" w:name="_Toc184308087"/>
      <w:bookmarkEnd w:id="271"/>
      <w:bookmarkStart w:id="272" w:name="_Toc184313268"/>
      <w:bookmarkEnd w:id="272"/>
      <w:bookmarkStart w:id="273" w:name="_Toc184314427"/>
      <w:bookmarkEnd w:id="273"/>
      <w:bookmarkStart w:id="274" w:name="_Toc184312120"/>
      <w:bookmarkEnd w:id="274"/>
      <w:bookmarkStart w:id="275" w:name="_Toc184308040"/>
      <w:bookmarkEnd w:id="275"/>
      <w:bookmarkStart w:id="276" w:name="_Toc184310312"/>
      <w:bookmarkEnd w:id="276"/>
      <w:bookmarkStart w:id="277" w:name="_Toc184314455"/>
      <w:bookmarkEnd w:id="277"/>
      <w:bookmarkStart w:id="278" w:name="_Toc184308054"/>
      <w:bookmarkEnd w:id="278"/>
      <w:bookmarkStart w:id="279" w:name="_Toc184310292"/>
      <w:bookmarkEnd w:id="279"/>
      <w:bookmarkStart w:id="280" w:name="_Toc184314465"/>
      <w:bookmarkEnd w:id="280"/>
      <w:bookmarkStart w:id="281" w:name="_Toc184312137"/>
      <w:bookmarkEnd w:id="281"/>
      <w:bookmarkStart w:id="282" w:name="_Toc184314431"/>
      <w:bookmarkEnd w:id="282"/>
      <w:bookmarkStart w:id="283" w:name="_Toc184308081"/>
      <w:bookmarkEnd w:id="283"/>
      <w:bookmarkStart w:id="284" w:name="_Toc184313265"/>
      <w:bookmarkEnd w:id="284"/>
      <w:bookmarkStart w:id="285" w:name="_Toc184312067"/>
      <w:bookmarkEnd w:id="285"/>
      <w:bookmarkStart w:id="286" w:name="_Toc184308037"/>
      <w:bookmarkEnd w:id="286"/>
      <w:bookmarkStart w:id="287" w:name="_Toc184310293"/>
      <w:bookmarkEnd w:id="287"/>
      <w:bookmarkStart w:id="288" w:name="_Toc184313289"/>
      <w:bookmarkEnd w:id="288"/>
      <w:bookmarkStart w:id="289" w:name="_Toc184313249"/>
      <w:bookmarkEnd w:id="289"/>
      <w:bookmarkStart w:id="290" w:name="_Toc184314448"/>
      <w:bookmarkEnd w:id="290"/>
      <w:bookmarkStart w:id="291" w:name="_Toc184312092"/>
      <w:bookmarkEnd w:id="291"/>
      <w:bookmarkStart w:id="292" w:name="_Toc184313242"/>
      <w:bookmarkEnd w:id="292"/>
      <w:bookmarkStart w:id="293" w:name="_Toc184308099"/>
      <w:bookmarkEnd w:id="293"/>
      <w:bookmarkStart w:id="294" w:name="_Toc184313245"/>
      <w:bookmarkEnd w:id="294"/>
      <w:bookmarkStart w:id="295" w:name="_Toc184314413"/>
      <w:bookmarkEnd w:id="295"/>
      <w:bookmarkStart w:id="296" w:name="_Toc184308041"/>
      <w:bookmarkEnd w:id="296"/>
      <w:bookmarkStart w:id="297" w:name="_Toc184310286"/>
      <w:bookmarkEnd w:id="297"/>
      <w:bookmarkStart w:id="298" w:name="_Toc184312133"/>
      <w:bookmarkEnd w:id="298"/>
      <w:bookmarkStart w:id="299" w:name="_Toc184310310"/>
      <w:bookmarkEnd w:id="299"/>
      <w:bookmarkStart w:id="300" w:name="_Toc184313294"/>
      <w:bookmarkEnd w:id="300"/>
      <w:bookmarkStart w:id="301" w:name="_Toc184312104"/>
      <w:bookmarkEnd w:id="301"/>
      <w:bookmarkStart w:id="302" w:name="_Toc184313277"/>
      <w:bookmarkEnd w:id="302"/>
      <w:bookmarkStart w:id="303" w:name="_Toc184308102"/>
      <w:bookmarkEnd w:id="303"/>
      <w:bookmarkStart w:id="304" w:name="_Toc184310331"/>
      <w:bookmarkEnd w:id="304"/>
      <w:bookmarkStart w:id="305" w:name="_Toc184314418"/>
      <w:bookmarkEnd w:id="305"/>
      <w:bookmarkStart w:id="306" w:name="_Toc184310316"/>
      <w:bookmarkEnd w:id="306"/>
      <w:bookmarkStart w:id="307" w:name="_Toc184308106"/>
      <w:bookmarkEnd w:id="307"/>
      <w:bookmarkStart w:id="308" w:name="_Toc184313296"/>
      <w:bookmarkEnd w:id="308"/>
      <w:bookmarkStart w:id="309" w:name="_Toc184310319"/>
      <w:bookmarkEnd w:id="309"/>
      <w:bookmarkStart w:id="310" w:name="_Toc184313287"/>
      <w:bookmarkEnd w:id="310"/>
      <w:bookmarkStart w:id="311" w:name="_Toc184314437"/>
      <w:bookmarkEnd w:id="311"/>
      <w:bookmarkStart w:id="312" w:name="_Toc184314482"/>
      <w:bookmarkEnd w:id="312"/>
      <w:bookmarkStart w:id="313" w:name="_Toc184308051"/>
      <w:bookmarkEnd w:id="313"/>
      <w:bookmarkStart w:id="314" w:name="_Toc184313297"/>
      <w:bookmarkEnd w:id="314"/>
      <w:bookmarkStart w:id="315" w:name="_Toc184308076"/>
      <w:bookmarkEnd w:id="315"/>
      <w:bookmarkStart w:id="316" w:name="_Toc184314411"/>
      <w:bookmarkEnd w:id="316"/>
      <w:bookmarkStart w:id="317" w:name="_Toc184314480"/>
      <w:bookmarkEnd w:id="317"/>
      <w:bookmarkStart w:id="318" w:name="_Toc184308075"/>
      <w:bookmarkEnd w:id="318"/>
      <w:bookmarkStart w:id="319" w:name="_Toc184314422"/>
      <w:bookmarkEnd w:id="319"/>
      <w:bookmarkStart w:id="320" w:name="_Toc184313254"/>
      <w:bookmarkEnd w:id="320"/>
      <w:bookmarkStart w:id="321" w:name="_Toc184313276"/>
      <w:bookmarkEnd w:id="321"/>
      <w:bookmarkStart w:id="322" w:name="_Toc184312100"/>
      <w:bookmarkEnd w:id="322"/>
      <w:bookmarkStart w:id="323" w:name="_Toc184312123"/>
      <w:bookmarkEnd w:id="323"/>
      <w:bookmarkStart w:id="324" w:name="_Toc184314456"/>
      <w:bookmarkEnd w:id="324"/>
      <w:bookmarkStart w:id="325" w:name="_Toc184312081"/>
      <w:bookmarkEnd w:id="325"/>
      <w:bookmarkStart w:id="326" w:name="_Toc184314439"/>
      <w:bookmarkEnd w:id="326"/>
      <w:bookmarkStart w:id="327" w:name="_Toc184308085"/>
      <w:bookmarkEnd w:id="327"/>
      <w:bookmarkStart w:id="328" w:name="_Toc184313305"/>
      <w:bookmarkEnd w:id="328"/>
      <w:bookmarkStart w:id="329" w:name="_Toc184313264"/>
      <w:bookmarkEnd w:id="329"/>
      <w:bookmarkStart w:id="330" w:name="_Toc184310330"/>
      <w:bookmarkEnd w:id="330"/>
      <w:bookmarkStart w:id="331" w:name="_Toc184313292"/>
      <w:bookmarkEnd w:id="331"/>
      <w:bookmarkStart w:id="332" w:name="_Toc184312131"/>
      <w:bookmarkEnd w:id="332"/>
      <w:bookmarkStart w:id="333" w:name="_Toc184308066"/>
      <w:bookmarkEnd w:id="333"/>
      <w:bookmarkStart w:id="334" w:name="_Toc184312096"/>
      <w:bookmarkEnd w:id="334"/>
      <w:bookmarkStart w:id="335" w:name="_Toc184308098"/>
      <w:bookmarkEnd w:id="335"/>
      <w:bookmarkStart w:id="336" w:name="_Toc184308053"/>
      <w:bookmarkEnd w:id="336"/>
      <w:bookmarkStart w:id="337" w:name="_Toc184310284"/>
      <w:bookmarkEnd w:id="337"/>
      <w:bookmarkStart w:id="338" w:name="_Toc184312107"/>
      <w:bookmarkEnd w:id="338"/>
      <w:bookmarkStart w:id="339" w:name="_Toc184313279"/>
      <w:bookmarkEnd w:id="339"/>
      <w:bookmarkStart w:id="340" w:name="_Toc184314451"/>
      <w:bookmarkEnd w:id="340"/>
      <w:bookmarkStart w:id="341" w:name="_Toc184310329"/>
      <w:bookmarkEnd w:id="341"/>
      <w:bookmarkStart w:id="342" w:name="_Toc184312106"/>
      <w:bookmarkEnd w:id="342"/>
      <w:bookmarkStart w:id="343" w:name="_Toc184308058"/>
      <w:bookmarkEnd w:id="343"/>
      <w:bookmarkStart w:id="344" w:name="_Toc184314476"/>
      <w:bookmarkEnd w:id="344"/>
      <w:bookmarkStart w:id="345" w:name="_Toc184312098"/>
      <w:bookmarkEnd w:id="345"/>
      <w:bookmarkStart w:id="346" w:name="_Toc184313273"/>
      <w:bookmarkEnd w:id="346"/>
      <w:bookmarkStart w:id="347" w:name="_Toc184312099"/>
      <w:bookmarkEnd w:id="347"/>
      <w:bookmarkStart w:id="348" w:name="_Toc184310282"/>
      <w:bookmarkEnd w:id="348"/>
      <w:bookmarkStart w:id="349" w:name="_Toc184313280"/>
      <w:bookmarkEnd w:id="349"/>
      <w:bookmarkStart w:id="350" w:name="_Toc184314473"/>
      <w:bookmarkEnd w:id="350"/>
      <w:bookmarkStart w:id="351" w:name="_Toc184313295"/>
      <w:bookmarkEnd w:id="351"/>
      <w:bookmarkStart w:id="352" w:name="_Toc184308094"/>
      <w:bookmarkEnd w:id="352"/>
      <w:bookmarkStart w:id="353" w:name="_Toc184313253"/>
      <w:bookmarkEnd w:id="353"/>
      <w:bookmarkStart w:id="354" w:name="_Toc184310302"/>
      <w:bookmarkEnd w:id="354"/>
      <w:bookmarkStart w:id="355" w:name="_Toc184314410"/>
      <w:bookmarkEnd w:id="355"/>
      <w:bookmarkStart w:id="356" w:name="_Toc184310296"/>
      <w:bookmarkEnd w:id="356"/>
      <w:bookmarkStart w:id="357" w:name="_Toc184313288"/>
      <w:bookmarkEnd w:id="357"/>
      <w:bookmarkStart w:id="358" w:name="_Toc184313271"/>
      <w:bookmarkEnd w:id="358"/>
      <w:bookmarkStart w:id="359" w:name="_Toc184312108"/>
      <w:bookmarkEnd w:id="359"/>
      <w:bookmarkStart w:id="360" w:name="_Toc184308062"/>
      <w:bookmarkEnd w:id="360"/>
      <w:bookmarkStart w:id="361" w:name="_Toc184310326"/>
      <w:bookmarkEnd w:id="361"/>
      <w:bookmarkStart w:id="362" w:name="_Toc184313251"/>
      <w:bookmarkEnd w:id="362"/>
      <w:bookmarkStart w:id="363" w:name="_Toc184312103"/>
      <w:bookmarkEnd w:id="363"/>
      <w:bookmarkStart w:id="364" w:name="_Toc184308042"/>
      <w:bookmarkEnd w:id="364"/>
      <w:bookmarkStart w:id="365" w:name="_Toc184314477"/>
      <w:bookmarkEnd w:id="365"/>
      <w:bookmarkStart w:id="366" w:name="_Toc184310289"/>
      <w:bookmarkEnd w:id="366"/>
      <w:bookmarkStart w:id="367" w:name="_Toc184308067"/>
      <w:bookmarkEnd w:id="367"/>
      <w:bookmarkStart w:id="368" w:name="_Toc184312113"/>
      <w:bookmarkEnd w:id="368"/>
      <w:bookmarkStart w:id="369" w:name="_Toc184308052"/>
      <w:bookmarkEnd w:id="369"/>
      <w:bookmarkStart w:id="370" w:name="_Toc184313307"/>
      <w:bookmarkEnd w:id="370"/>
      <w:bookmarkStart w:id="371" w:name="_Toc184313250"/>
      <w:bookmarkEnd w:id="371"/>
      <w:bookmarkStart w:id="372" w:name="_Toc184314415"/>
      <w:bookmarkEnd w:id="372"/>
      <w:bookmarkStart w:id="373" w:name="_Toc184314462"/>
      <w:bookmarkEnd w:id="373"/>
      <w:bookmarkStart w:id="374" w:name="_Toc184314432"/>
      <w:bookmarkEnd w:id="374"/>
      <w:bookmarkStart w:id="375" w:name="_Toc184313262"/>
      <w:bookmarkEnd w:id="375"/>
      <w:bookmarkStart w:id="376" w:name="_Toc184312087"/>
      <w:bookmarkEnd w:id="376"/>
      <w:bookmarkStart w:id="377" w:name="_Toc184310298"/>
      <w:bookmarkEnd w:id="377"/>
      <w:bookmarkStart w:id="378" w:name="_Toc184310295"/>
      <w:bookmarkEnd w:id="378"/>
      <w:bookmarkStart w:id="379" w:name="_Toc184312128"/>
      <w:bookmarkEnd w:id="379"/>
      <w:bookmarkStart w:id="380" w:name="_Toc184314441"/>
      <w:bookmarkEnd w:id="380"/>
      <w:bookmarkStart w:id="381" w:name="_Toc184312101"/>
      <w:bookmarkEnd w:id="381"/>
      <w:bookmarkStart w:id="382" w:name="_Toc184312097"/>
      <w:bookmarkEnd w:id="382"/>
      <w:bookmarkStart w:id="383" w:name="_Toc184313284"/>
      <w:bookmarkEnd w:id="383"/>
      <w:bookmarkStart w:id="384" w:name="_Toc184313269"/>
      <w:bookmarkEnd w:id="384"/>
      <w:bookmarkStart w:id="385" w:name="_Toc184314436"/>
      <w:bookmarkEnd w:id="385"/>
      <w:bookmarkStart w:id="386" w:name="_Toc184314428"/>
      <w:bookmarkEnd w:id="386"/>
      <w:bookmarkStart w:id="387" w:name="_Toc184308071"/>
      <w:bookmarkEnd w:id="387"/>
      <w:bookmarkStart w:id="388" w:name="_Toc184308064"/>
      <w:bookmarkEnd w:id="388"/>
      <w:bookmarkStart w:id="389" w:name="_Toc184314445"/>
      <w:bookmarkEnd w:id="389"/>
      <w:bookmarkStart w:id="390" w:name="_Toc184312068"/>
      <w:bookmarkEnd w:id="390"/>
      <w:bookmarkStart w:id="391" w:name="_Toc184314472"/>
      <w:bookmarkEnd w:id="391"/>
      <w:bookmarkStart w:id="392" w:name="_Toc184310308"/>
      <w:bookmarkEnd w:id="392"/>
      <w:bookmarkStart w:id="393" w:name="_Toc184310314"/>
      <w:bookmarkEnd w:id="393"/>
      <w:bookmarkStart w:id="394" w:name="_Toc184310325"/>
      <w:bookmarkEnd w:id="394"/>
      <w:bookmarkStart w:id="395" w:name="_Toc184310301"/>
      <w:bookmarkEnd w:id="395"/>
      <w:bookmarkStart w:id="396" w:name="_Toc184314449"/>
      <w:bookmarkEnd w:id="396"/>
      <w:r>
        <w:rPr>
          <w:rFonts w:hint="eastAsia" w:cs="仿宋" w:asciiTheme="minorEastAsia" w:hAnsiTheme="minorEastAsia"/>
          <w:b/>
          <w:color w:val="auto"/>
          <w:sz w:val="36"/>
          <w:szCs w:val="36"/>
          <w:highlight w:val="none"/>
        </w:rPr>
        <w:t>评审方法</w:t>
      </w:r>
    </w:p>
    <w:p w14:paraId="0D26FD9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根据《中华人民共和国政府采购法》《中华人民共和国政府采购法实施条例》、《政府采购非招标采购方式管理办法》《浙江省政府采购活动现场组织管理办法》等有关规定，结合本项目的实际情况，制定本评审办法。</w:t>
      </w:r>
    </w:p>
    <w:p w14:paraId="46ECE9B4">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一、总则</w:t>
      </w:r>
    </w:p>
    <w:p w14:paraId="30ABA1E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06D965E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询价小组成员对需要共同认定的事项存在争议的，应当按照少数服从多数的原则作出结论。持不同意见的询价小组成员应当在评审报告上签署不同意见及理由，否则视为同意评审报告。</w:t>
      </w:r>
    </w:p>
    <w:p w14:paraId="4B9D3855">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二、评审组织</w:t>
      </w:r>
    </w:p>
    <w:p w14:paraId="4059B7D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询价小组由采购人代表和评审专家共3人及以上单数组成，其中评审专家人数不得少于询价小组成员总数的2/3。达到公开招标数额标准的项目，询价小组成员应当由5人（含）以上单数组成。</w:t>
      </w:r>
    </w:p>
    <w:p w14:paraId="46E25F7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评审工作由采购单位依法组建的询价小组负责。询价小组负责审标、询标、评审等工作，并向采购人提出评审意见和评审报告。</w:t>
      </w:r>
    </w:p>
    <w:p w14:paraId="1E50434E">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三、评审纪律</w:t>
      </w:r>
    </w:p>
    <w:p w14:paraId="4949966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1.评审是采购工作的重要环节，评审工作在询价小组内独立进行。询价小组将按照评审原则的要求，公正、平等地对待所有供应商。</w:t>
      </w:r>
    </w:p>
    <w:p w14:paraId="604ED351">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2.所有询价小组应忠于职守、廉洁自律、秉公办事、不徇私情。</w:t>
      </w:r>
    </w:p>
    <w:p w14:paraId="0B90D22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3.询价小组不得接受或参加供应商或与其有关的单位、组织或个人的有碍公务的宴请、娱乐活动等，不得以任何形式弄虚作假。</w:t>
      </w:r>
    </w:p>
    <w:p w14:paraId="28084EF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4.评审期间，询价小组成员不得随意出入评审地点、与外界通讯、会客等。</w:t>
      </w:r>
    </w:p>
    <w:p w14:paraId="266EFD2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5.在询价响应文件的审查、澄清、评价和比较以及授予合同的过程中，供应商对采购人、采购代理机构人员及询价小组成员施加影响的任何行为，都将导致被取消询价响应资格。</w:t>
      </w:r>
    </w:p>
    <w:p w14:paraId="6878895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6.为保证评审的公正性，在评审过程中，询价小组成员不得与供应商或与成交结果有利害关系的人进行私下接触。在评审工作结束后，凡与询价情况有接触的任何人，不得将询价情况扩散出询价小组以外。</w:t>
      </w:r>
    </w:p>
    <w:p w14:paraId="6ED3A79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7.询价过程中，询价小组成员对供应商的优劣情况，以及认为差异较大的情况等，应以书面意见作出真实、专业、诚恳负责的表述，不得违背客观、公正的原则。</w:t>
      </w:r>
    </w:p>
    <w:p w14:paraId="4210950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8.评审结束后，询价小组成员应将全部资料整理上交采购人，严禁将询价过程中的任何资料带出询价现场向供应商或其他单位提供。</w:t>
      </w:r>
    </w:p>
    <w:p w14:paraId="5387871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9.在成交结果公布前应对询价小组成员名单予以保密。</w:t>
      </w:r>
    </w:p>
    <w:p w14:paraId="53BCEC4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10.询价小组对各供应商的商业秘密予以保密。</w:t>
      </w:r>
    </w:p>
    <w:p w14:paraId="1D372DA7">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11.询价小组成员应当客观、公正地履行职责，遵守职业道德，对所提出的评审意见承担个人责任。</w:t>
      </w:r>
    </w:p>
    <w:p w14:paraId="46D335A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12.在整个询价过程中，供应商企图影响采购结果的任何活动，可能导致其询价响应失败。如有违法行为，将依法追究其法律责任。</w:t>
      </w:r>
    </w:p>
    <w:p w14:paraId="3C371EDA">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四、询价程序</w:t>
      </w:r>
    </w:p>
    <w:p w14:paraId="6712629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1.熟悉采购文件和评审办法。</w:t>
      </w:r>
    </w:p>
    <w:p w14:paraId="0DA27E8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2.采购组织机构按照采购文件规定的时间、地点及程序组织评审。评审程序如下：</w:t>
      </w:r>
    </w:p>
    <w:p w14:paraId="317A0FD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1）开启评审场地的录音录像采集设备，并确保其正常运行。</w:t>
      </w:r>
    </w:p>
    <w:p w14:paraId="75AE98C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2）核验出席评审活动现场的询价小组各成员和相关监督人员身份，并要求其分别登记、签到，按规定统一收缴、保存其通讯工具，无关人员一律拒绝其进入评审现场。</w:t>
      </w:r>
    </w:p>
    <w:p w14:paraId="78BFF12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3）介绍评审现场的人员情况，宣布评审工作纪律，告知询价小组应当回避情形；组织推选询价小组组长。</w:t>
      </w:r>
    </w:p>
    <w:p w14:paraId="2A82281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4）通报报名参加本项目采购的供应商名单及资格预审情况（如有），宣读最终提交采购响应文件的供应商名单，组织询价小组各位成员签订《政府采购评审人员廉洁自律承诺书》。</w:t>
      </w:r>
    </w:p>
    <w:p w14:paraId="3ECED8C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5）根据需要简要介绍采购文件（含补充文件）制定及质疑答复情况、按书面陈述项目基本情况及评审工作需注意事项等。</w:t>
      </w:r>
    </w:p>
    <w:p w14:paraId="070F828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6）询价小组组长组织询价小组独立评审。询价小组对拟认定为采购响应文件无效的，应组织相关供应商代表进行陈述、澄清或申辩。</w:t>
      </w:r>
    </w:p>
    <w:p w14:paraId="2647938B">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有下列情形之一的，响应无效：</w:t>
      </w:r>
    </w:p>
    <w:p w14:paraId="45C6D09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A.供应商不具备询价文件中规定的资格要求的（供应商未提供有效的资格文件的，视为供应商不具备询价文件中规定的资格要求）；</w:t>
      </w:r>
    </w:p>
    <w:p w14:paraId="33E7138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B.响应文件未按照询价文件要求签署、盖章的；</w:t>
      </w:r>
    </w:p>
    <w:p w14:paraId="1C7FD76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C.采购人拟采购的产品属于政府强制采购的节能产品品目清单范围的，供应商响应产品未获得国家确定的认证机构出具的、处于有效期之内的节能产品认证证书的；</w:t>
      </w:r>
    </w:p>
    <w:p w14:paraId="03E989C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D.响应文件含有采购人不能接受的附加条件的；</w:t>
      </w:r>
    </w:p>
    <w:p w14:paraId="5ED19A17">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E.响应文件中承诺的响应有效期少于询价文件中载明的投标有效期的；</w:t>
      </w:r>
    </w:p>
    <w:p w14:paraId="0DC53AA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响应文件出现不是唯一的、有选择性响应报价的;</w:t>
      </w:r>
    </w:p>
    <w:p w14:paraId="7664915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F.响应报价超过询价文件中规定的预算金额或者最高限价的;</w:t>
      </w:r>
    </w:p>
    <w:p w14:paraId="4E33D46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G.报价明显低于其他通过符合性审查供应商的报价，有可能影响产品质量或者不能诚信履约的，未能按要求提供书面说明或者提交相关证明材料，不能证明其报价合理性的;</w:t>
      </w:r>
    </w:p>
    <w:p w14:paraId="5FC37F0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H.供应商对根据修正原则修正后的报价不确认的；</w:t>
      </w:r>
    </w:p>
    <w:p w14:paraId="4D77EE6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I.供应商提供虚假材料成交的；</w:t>
      </w:r>
    </w:p>
    <w:p w14:paraId="70D3C64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J.供应商有恶意串通、妨碍其他供应商的竞争行为、损害采购人或者其他供应商的合法权益情形的；</w:t>
      </w:r>
    </w:p>
    <w:p w14:paraId="5DC8828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 xml:space="preserve">K.供应商仅提交备份响应文件，未在电子交易平台传输递交响应文件的，响应无效； </w:t>
      </w:r>
    </w:p>
    <w:p w14:paraId="635B10FB">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L.响应文件不满足询价文件的其它实质性要求的；</w:t>
      </w:r>
    </w:p>
    <w:p w14:paraId="3AA4EB72">
      <w:pPr>
        <w:spacing w:line="460" w:lineRule="atLeast"/>
        <w:ind w:firstLine="440"/>
        <w:rPr>
          <w:rFonts w:hint="default"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M.</w:t>
      </w:r>
      <w:r>
        <w:rPr>
          <w:rFonts w:hint="eastAsia" w:ascii="宋体" w:hAnsi="宋体" w:eastAsia="宋体" w:cs="宋体"/>
          <w:b/>
          <w:bCs/>
          <w:color w:val="auto"/>
          <w:kern w:val="0"/>
          <w:sz w:val="22"/>
          <w:szCs w:val="22"/>
          <w:highlight w:val="none"/>
          <w:lang w:val="en-US" w:eastAsia="zh-CN"/>
        </w:rPr>
        <w:t>不同供应商的电子投标（响应）文件上传的IP地址相同且无法合理解释的</w:t>
      </w:r>
      <w:r>
        <w:rPr>
          <w:rFonts w:hint="eastAsia" w:ascii="宋体" w:hAnsi="宋体" w:eastAsia="宋体"/>
          <w:b/>
          <w:bCs/>
          <w:color w:val="auto"/>
          <w:sz w:val="22"/>
          <w:szCs w:val="22"/>
          <w:highlight w:val="none"/>
          <w:lang w:val="en-US" w:eastAsia="zh-CN"/>
        </w:rPr>
        <w:t>；</w:t>
      </w:r>
    </w:p>
    <w:p w14:paraId="7AF19DB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N.法律、法规、规章（适用本市的）及省级以上规范性文件（适用本市的）规定的其他无效情形。</w:t>
      </w:r>
    </w:p>
    <w:p w14:paraId="33B27EE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授权代表对澄清、说明或者补正内容未签字确认的，将自行承担由此可能导致的对其不利的评审结果，询价小组按少数服从多数原则对相关内容进行评判。</w:t>
      </w:r>
    </w:p>
    <w:p w14:paraId="779E1AFC">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有下列情形之一的，视为投标供应商相互串通投标：</w:t>
      </w:r>
    </w:p>
    <w:p w14:paraId="3B9DE96E">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A.</w:t>
      </w:r>
      <w:r>
        <w:rPr>
          <w:rFonts w:hint="eastAsia" w:ascii="宋体" w:hAnsi="宋体" w:eastAsia="宋体" w:cs="宋体"/>
          <w:b/>
          <w:color w:val="auto"/>
          <w:sz w:val="22"/>
          <w:szCs w:val="22"/>
          <w:highlight w:val="none"/>
        </w:rPr>
        <w:t>不同供应商的投标文件由同一单位或者个人编制；</w:t>
      </w:r>
    </w:p>
    <w:p w14:paraId="5FD4F22D">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B.</w:t>
      </w:r>
      <w:r>
        <w:rPr>
          <w:rFonts w:hint="eastAsia" w:ascii="宋体" w:hAnsi="宋体" w:eastAsia="宋体" w:cs="宋体"/>
          <w:b/>
          <w:color w:val="auto"/>
          <w:sz w:val="22"/>
          <w:szCs w:val="22"/>
          <w:highlight w:val="none"/>
        </w:rPr>
        <w:t>不同供应商委托同一单位或者个人办理投标事宜；</w:t>
      </w:r>
    </w:p>
    <w:p w14:paraId="74EE0D93">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C.</w:t>
      </w:r>
      <w:r>
        <w:rPr>
          <w:rFonts w:hint="eastAsia" w:ascii="宋体" w:hAnsi="宋体" w:eastAsia="宋体" w:cs="宋体"/>
          <w:b/>
          <w:color w:val="auto"/>
          <w:sz w:val="22"/>
          <w:szCs w:val="22"/>
          <w:highlight w:val="none"/>
        </w:rPr>
        <w:t>不同供应商的</w:t>
      </w:r>
      <w:r>
        <w:rPr>
          <w:rFonts w:hint="eastAsia" w:ascii="宋体" w:hAnsi="宋体" w:eastAsia="宋体" w:cs="宋体"/>
          <w:b/>
          <w:color w:val="auto"/>
          <w:sz w:val="22"/>
          <w:szCs w:val="22"/>
          <w:highlight w:val="none"/>
          <w:lang w:val="en-US" w:eastAsia="zh-CN"/>
        </w:rPr>
        <w:t>报价</w:t>
      </w:r>
      <w:r>
        <w:rPr>
          <w:rFonts w:hint="eastAsia" w:ascii="宋体" w:hAnsi="宋体" w:eastAsia="宋体" w:cs="宋体"/>
          <w:b/>
          <w:color w:val="auto"/>
          <w:sz w:val="22"/>
          <w:szCs w:val="22"/>
          <w:highlight w:val="none"/>
        </w:rPr>
        <w:t>文件载明的项目管理成员为同一人；</w:t>
      </w:r>
    </w:p>
    <w:p w14:paraId="1091187F">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D.</w:t>
      </w:r>
      <w:r>
        <w:rPr>
          <w:rFonts w:hint="eastAsia" w:ascii="宋体" w:hAnsi="宋体" w:eastAsia="宋体" w:cs="宋体"/>
          <w:b/>
          <w:color w:val="auto"/>
          <w:sz w:val="22"/>
          <w:szCs w:val="22"/>
          <w:highlight w:val="none"/>
        </w:rPr>
        <w:t>不同供应商的</w:t>
      </w:r>
      <w:r>
        <w:rPr>
          <w:rFonts w:hint="eastAsia" w:ascii="宋体" w:hAnsi="宋体" w:eastAsia="宋体" w:cs="宋体"/>
          <w:b/>
          <w:color w:val="auto"/>
          <w:sz w:val="22"/>
          <w:szCs w:val="22"/>
          <w:highlight w:val="none"/>
          <w:lang w:val="en-US" w:eastAsia="zh-CN"/>
        </w:rPr>
        <w:t>报价</w:t>
      </w:r>
      <w:r>
        <w:rPr>
          <w:rFonts w:hint="eastAsia" w:ascii="宋体" w:hAnsi="宋体" w:eastAsia="宋体" w:cs="宋体"/>
          <w:b/>
          <w:color w:val="auto"/>
          <w:sz w:val="22"/>
          <w:szCs w:val="22"/>
          <w:highlight w:val="none"/>
        </w:rPr>
        <w:t>文件异常一致或者投标报价呈规律性差异；</w:t>
      </w:r>
    </w:p>
    <w:p w14:paraId="779AA137">
      <w:pPr>
        <w:spacing w:line="460" w:lineRule="atLeast"/>
        <w:ind w:firstLine="44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E.</w:t>
      </w:r>
      <w:r>
        <w:rPr>
          <w:rFonts w:hint="eastAsia" w:ascii="宋体" w:hAnsi="宋体" w:eastAsia="宋体" w:cs="宋体"/>
          <w:b/>
          <w:color w:val="auto"/>
          <w:sz w:val="22"/>
          <w:szCs w:val="22"/>
          <w:highlight w:val="none"/>
        </w:rPr>
        <w:t>不同供应商的</w:t>
      </w:r>
      <w:r>
        <w:rPr>
          <w:rFonts w:hint="eastAsia" w:ascii="宋体" w:hAnsi="宋体" w:eastAsia="宋体" w:cs="宋体"/>
          <w:b/>
          <w:color w:val="auto"/>
          <w:sz w:val="22"/>
          <w:szCs w:val="22"/>
          <w:highlight w:val="none"/>
          <w:lang w:val="en-US" w:eastAsia="zh-CN"/>
        </w:rPr>
        <w:t>报价</w:t>
      </w:r>
      <w:r>
        <w:rPr>
          <w:rFonts w:hint="eastAsia" w:ascii="宋体" w:hAnsi="宋体" w:eastAsia="宋体" w:cs="宋体"/>
          <w:b/>
          <w:color w:val="auto"/>
          <w:sz w:val="22"/>
          <w:szCs w:val="22"/>
          <w:highlight w:val="none"/>
        </w:rPr>
        <w:t>文件相互混装</w:t>
      </w:r>
      <w:r>
        <w:rPr>
          <w:rFonts w:hint="eastAsia" w:ascii="宋体" w:hAnsi="宋体" w:eastAsia="宋体" w:cs="宋体"/>
          <w:b/>
          <w:color w:val="auto"/>
          <w:sz w:val="22"/>
          <w:szCs w:val="22"/>
          <w:highlight w:val="none"/>
          <w:lang w:eastAsia="zh-CN"/>
        </w:rPr>
        <w:t>。</w:t>
      </w:r>
    </w:p>
    <w:p w14:paraId="1F0CBB92">
      <w:pPr>
        <w:spacing w:line="460" w:lineRule="atLeast"/>
        <w:ind w:firstLine="440"/>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F.</w:t>
      </w:r>
      <w:r>
        <w:rPr>
          <w:rFonts w:hint="eastAsia" w:ascii="宋体" w:hAnsi="宋体" w:eastAsia="宋体"/>
          <w:b/>
          <w:bCs/>
          <w:color w:val="auto"/>
          <w:sz w:val="22"/>
          <w:szCs w:val="22"/>
          <w:highlight w:val="none"/>
          <w:lang w:val="en-US" w:eastAsia="zh-CN"/>
        </w:rPr>
        <w:t>参与同一个采购包（标段）的供应商存在下列情形之一且无法合理解释的，其投标（响应）文件无效：</w:t>
      </w:r>
      <w:r>
        <w:rPr>
          <w:rFonts w:hint="eastAsia" w:ascii="宋体" w:hAnsi="宋体" w:eastAsia="宋体"/>
          <w:b/>
          <w:bCs/>
          <w:color w:val="auto"/>
          <w:sz w:val="22"/>
          <w:szCs w:val="22"/>
          <w:highlight w:val="none"/>
          <w:lang w:val="en-US" w:eastAsia="zh"/>
        </w:rPr>
        <w:t>1.</w:t>
      </w:r>
      <w:r>
        <w:rPr>
          <w:rFonts w:hint="eastAsia" w:ascii="宋体" w:hAnsi="宋体" w:eastAsia="宋体"/>
          <w:b/>
          <w:bCs/>
          <w:color w:val="auto"/>
          <w:sz w:val="22"/>
          <w:szCs w:val="22"/>
          <w:highlight w:val="none"/>
          <w:lang w:val="en-US" w:eastAsia="zh-CN"/>
        </w:rPr>
        <w:t>不同供应商的电子投标（响应）文件上传计算机的网卡MAC地址或硬盘序列号等硬件信息相同的；</w:t>
      </w:r>
      <w:r>
        <w:rPr>
          <w:rFonts w:hint="eastAsia" w:ascii="宋体" w:hAnsi="宋体" w:eastAsia="宋体"/>
          <w:b/>
          <w:bCs/>
          <w:color w:val="auto"/>
          <w:sz w:val="22"/>
          <w:szCs w:val="22"/>
          <w:highlight w:val="none"/>
          <w:lang w:val="en-US" w:eastAsia="zh"/>
        </w:rPr>
        <w:t>2.</w:t>
      </w:r>
      <w:r>
        <w:rPr>
          <w:rFonts w:hint="eastAsia" w:ascii="宋体" w:hAnsi="宋体" w:eastAsia="宋体"/>
          <w:b/>
          <w:bCs/>
          <w:color w:val="auto"/>
          <w:sz w:val="22"/>
          <w:szCs w:val="22"/>
          <w:highlight w:val="none"/>
          <w:lang w:val="en-US" w:eastAsia="zh-CN"/>
        </w:rPr>
        <w:t>上传的电子投标（响应）文件若出现使用本项目其他投标（响应）供应商的数字证书加密的，或者加盖本项目其他投标（响应）供应商的电子印章的；</w:t>
      </w:r>
      <w:r>
        <w:rPr>
          <w:rFonts w:hint="eastAsia" w:ascii="宋体" w:hAnsi="宋体" w:eastAsia="宋体"/>
          <w:b/>
          <w:bCs/>
          <w:color w:val="auto"/>
          <w:sz w:val="22"/>
          <w:szCs w:val="22"/>
          <w:highlight w:val="none"/>
          <w:lang w:val="en-US" w:eastAsia="zh"/>
        </w:rPr>
        <w:t>3.</w:t>
      </w:r>
      <w:r>
        <w:rPr>
          <w:rFonts w:hint="eastAsia" w:ascii="宋体" w:hAnsi="宋体" w:eastAsia="宋体"/>
          <w:b/>
          <w:bCs/>
          <w:color w:val="auto"/>
          <w:sz w:val="22"/>
          <w:szCs w:val="22"/>
          <w:highlight w:val="none"/>
          <w:lang w:val="en-US" w:eastAsia="zh-CN"/>
        </w:rPr>
        <w:t>不同供应商的投标（响应）文件的内容存在</w:t>
      </w:r>
      <w:r>
        <w:rPr>
          <w:rFonts w:hint="eastAsia" w:ascii="宋体" w:hAnsi="宋体" w:eastAsia="宋体"/>
          <w:b/>
          <w:bCs/>
          <w:color w:val="auto"/>
          <w:sz w:val="22"/>
          <w:szCs w:val="22"/>
          <w:highlight w:val="none"/>
          <w:lang w:val="en-US" w:eastAsia="zh"/>
        </w:rPr>
        <w:t>3</w:t>
      </w:r>
      <w:r>
        <w:rPr>
          <w:rFonts w:hint="eastAsia" w:ascii="宋体" w:hAnsi="宋体" w:eastAsia="宋体"/>
          <w:b/>
          <w:bCs/>
          <w:color w:val="auto"/>
          <w:sz w:val="22"/>
          <w:szCs w:val="22"/>
          <w:highlight w:val="none"/>
          <w:lang w:val="en-US" w:eastAsia="zh-CN"/>
        </w:rPr>
        <w:t>处（含）以上错误一致的；4</w:t>
      </w:r>
      <w:r>
        <w:rPr>
          <w:rFonts w:hint="eastAsia" w:ascii="宋体" w:hAnsi="宋体" w:eastAsia="宋体"/>
          <w:b/>
          <w:bCs/>
          <w:color w:val="auto"/>
          <w:sz w:val="22"/>
          <w:szCs w:val="22"/>
          <w:highlight w:val="none"/>
          <w:lang w:val="en-US" w:eastAsia="zh"/>
        </w:rPr>
        <w:t>.</w:t>
      </w:r>
      <w:r>
        <w:rPr>
          <w:rFonts w:hint="eastAsia" w:ascii="宋体" w:hAnsi="宋体" w:eastAsia="宋体"/>
          <w:b/>
          <w:bCs/>
          <w:color w:val="auto"/>
          <w:sz w:val="22"/>
          <w:szCs w:val="22"/>
          <w:highlight w:val="none"/>
          <w:lang w:val="en-US" w:eastAsia="zh-CN"/>
        </w:rPr>
        <w:t>不同供应商联系人为同一人或不同联系人的联系电话一致的。</w:t>
      </w:r>
    </w:p>
    <w:p w14:paraId="18A17A38">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7）询价小组根据询价细则，推荐成交候选人。</w:t>
      </w:r>
    </w:p>
    <w:p w14:paraId="17439AB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3.起草评审报告，所有询价小组须在评审报告上签字确认。</w:t>
      </w:r>
    </w:p>
    <w:p w14:paraId="5C2BDA2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11DE66FC">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评审报告是根据询价小组签字的原始评审记录和评审结果编写的报告，其主要内容包括：</w:t>
      </w:r>
    </w:p>
    <w:p w14:paraId="2423811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采购项目基本情况：采购组织机构，项目名称，项目编号，采购内容，预算执行确认书编号，采购预算金额，采购方式，发布公告时间；公告发布网站，采购响应截止时间，购买采购文件单位情况，采购响应单位情况等；</w:t>
      </w:r>
    </w:p>
    <w:p w14:paraId="7223013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2）评审小组组成；</w:t>
      </w:r>
    </w:p>
    <w:p w14:paraId="43187C4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3）评审方法和标准；</w:t>
      </w:r>
    </w:p>
    <w:p w14:paraId="2EE702C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4）评审情况及说明；</w:t>
      </w:r>
    </w:p>
    <w:p w14:paraId="395385E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5）评审结果和成交候选人排序；</w:t>
      </w:r>
    </w:p>
    <w:p w14:paraId="373A8CE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6）询价小组的授标建议。</w:t>
      </w:r>
    </w:p>
    <w:p w14:paraId="100E1BF4">
      <w:pPr>
        <w:widowControl/>
        <w:spacing w:line="460" w:lineRule="atLeast"/>
        <w:ind w:firstLine="442" w:firstLineChars="200"/>
        <w:jc w:val="left"/>
        <w:rPr>
          <w:rFonts w:hint="eastAsia" w:ascii="宋体" w:hAnsi="宋体" w:eastAsia="宋体" w:cs="宋体"/>
          <w:b/>
          <w:bCs w:val="0"/>
          <w:color w:val="auto"/>
          <w:kern w:val="0"/>
          <w:sz w:val="22"/>
          <w:szCs w:val="21"/>
          <w:highlight w:val="none"/>
          <w:lang w:val="en-US" w:eastAsia="zh-CN"/>
        </w:rPr>
      </w:pPr>
      <w:r>
        <w:rPr>
          <w:rFonts w:hint="eastAsia" w:ascii="宋体" w:hAnsi="宋体" w:eastAsia="宋体" w:cs="宋体"/>
          <w:b/>
          <w:bCs w:val="0"/>
          <w:color w:val="auto"/>
          <w:kern w:val="0"/>
          <w:sz w:val="22"/>
          <w:szCs w:val="21"/>
          <w:highlight w:val="none"/>
          <w:lang w:val="en-US" w:eastAsia="zh-CN"/>
        </w:rPr>
        <w:t>五、询价细则</w:t>
      </w:r>
    </w:p>
    <w:p w14:paraId="5C28013E">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1.评审办法：询价小组应当从质量和服务均能满足采购文件实质性响应要求的供应商中，按照报价由低到高的顺序提出成交候选人，并编写评审报告。</w:t>
      </w:r>
      <w:r>
        <w:rPr>
          <w:rFonts w:hint="eastAsia" w:ascii="宋体" w:hAnsi="宋体" w:eastAsia="宋体" w:cs="宋体"/>
          <w:b/>
          <w:bCs w:val="0"/>
          <w:color w:val="auto"/>
          <w:sz w:val="22"/>
          <w:szCs w:val="22"/>
          <w:highlight w:val="none"/>
          <w:u w:val="single"/>
        </w:rPr>
        <w:t>本项目专门面向中小微企业（监狱企业、残疾人企业等同中小微企业），不再执行价格评审优惠政策</w:t>
      </w:r>
      <w:r>
        <w:rPr>
          <w:rFonts w:hint="eastAsia" w:ascii="宋体" w:hAnsi="宋体" w:eastAsia="宋体" w:cs="宋体"/>
          <w:b/>
          <w:bCs w:val="0"/>
          <w:color w:val="auto"/>
          <w:kern w:val="0"/>
          <w:sz w:val="22"/>
          <w:szCs w:val="21"/>
          <w:highlight w:val="none"/>
          <w:u w:val="single"/>
          <w:lang w:val="en-US" w:eastAsia="zh-CN"/>
        </w:rPr>
        <w:t>。</w:t>
      </w:r>
    </w:p>
    <w:p w14:paraId="5DA5673B">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1F9FD8E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3.出现下列情形之一的，采购人或者采购代理机构应当终止询价采购活动，发布项目终止公告并说明原因，重新开展采购活动：</w:t>
      </w:r>
    </w:p>
    <w:p w14:paraId="7D200876">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3.1因情况变化，不再符合规定的询价采购方式适用情形的；</w:t>
      </w:r>
    </w:p>
    <w:p w14:paraId="6CB40AD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3.2出现影响采购公正的违法、违规行为的；</w:t>
      </w:r>
    </w:p>
    <w:p w14:paraId="6262C1C3">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3.3在采购过程中符合竞争要求的供应商或者报价未超过采购预算的供应商不足3家的。</w:t>
      </w:r>
    </w:p>
    <w:p w14:paraId="1AE78A84">
      <w:pPr>
        <w:pStyle w:val="3"/>
        <w:rPr>
          <w:color w:val="auto"/>
          <w:highlight w:val="none"/>
        </w:rPr>
      </w:pPr>
    </w:p>
    <w:p w14:paraId="3653CC1D">
      <w:pPr>
        <w:widowControl/>
        <w:snapToGrid w:val="0"/>
        <w:spacing w:line="460" w:lineRule="exact"/>
        <w:ind w:firstLine="480" w:firstLineChars="200"/>
        <w:rPr>
          <w:rFonts w:cs="仿宋" w:asciiTheme="minorEastAsia" w:hAnsiTheme="minorEastAsia"/>
          <w:color w:val="auto"/>
          <w:kern w:val="0"/>
          <w:sz w:val="24"/>
          <w:highlight w:val="none"/>
        </w:rPr>
        <w:sectPr>
          <w:headerReference r:id="rId12" w:type="default"/>
          <w:footerReference r:id="rId1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2677A141">
      <w:pP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第五部分 拟签订的合同文本</w:t>
      </w:r>
    </w:p>
    <w:p w14:paraId="107754A0">
      <w:pPr>
        <w:rPr>
          <w:rFonts w:hint="eastAsia" w:ascii="宋体" w:hAnsi="宋体" w:cs="宋体"/>
          <w:color w:val="auto"/>
          <w:sz w:val="24"/>
          <w:highlight w:val="none"/>
        </w:rPr>
      </w:pPr>
    </w:p>
    <w:p w14:paraId="1A550BA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A1490B1">
      <w:pPr>
        <w:spacing w:line="480" w:lineRule="auto"/>
        <w:rPr>
          <w:rFonts w:ascii="宋体" w:hAnsi="宋体" w:cs="宋体"/>
          <w:b/>
          <w:color w:val="auto"/>
          <w:sz w:val="24"/>
          <w:highlight w:val="none"/>
        </w:rPr>
      </w:pPr>
    </w:p>
    <w:p w14:paraId="0C1B4D2F">
      <w:pPr>
        <w:pStyle w:val="3"/>
        <w:rPr>
          <w:rFonts w:ascii="宋体" w:hAnsi="宋体" w:cs="宋体"/>
          <w:color w:val="auto"/>
          <w:sz w:val="24"/>
          <w:highlight w:val="none"/>
        </w:rPr>
      </w:pPr>
    </w:p>
    <w:p w14:paraId="4F40E44F">
      <w:pPr>
        <w:rPr>
          <w:color w:val="auto"/>
          <w:highlight w:val="none"/>
        </w:rPr>
      </w:pPr>
    </w:p>
    <w:p w14:paraId="3ECC7D9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D52A6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33A7CAE">
      <w:pPr>
        <w:pStyle w:val="42"/>
        <w:rPr>
          <w:rFonts w:ascii="宋体" w:hAnsi="宋体" w:cs="宋体"/>
          <w:color w:val="auto"/>
          <w:szCs w:val="24"/>
          <w:highlight w:val="none"/>
        </w:rPr>
      </w:pPr>
    </w:p>
    <w:p w14:paraId="595D7241">
      <w:pPr>
        <w:pStyle w:val="42"/>
        <w:rPr>
          <w:rFonts w:ascii="宋体" w:hAnsi="宋体" w:cs="宋体"/>
          <w:color w:val="auto"/>
          <w:szCs w:val="24"/>
          <w:highlight w:val="none"/>
        </w:rPr>
      </w:pPr>
    </w:p>
    <w:p w14:paraId="04F12A73">
      <w:pPr>
        <w:pStyle w:val="42"/>
        <w:jc w:val="center"/>
        <w:rPr>
          <w:rFonts w:ascii="宋体" w:hAnsi="宋体" w:cs="宋体"/>
          <w:color w:val="auto"/>
          <w:szCs w:val="24"/>
          <w:highlight w:val="none"/>
        </w:rPr>
      </w:pPr>
    </w:p>
    <w:p w14:paraId="2D0A2C4A">
      <w:pPr>
        <w:pStyle w:val="4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9461406">
      <w:pPr>
        <w:pStyle w:val="42"/>
        <w:rPr>
          <w:rFonts w:ascii="宋体" w:hAnsi="宋体" w:cs="宋体"/>
          <w:color w:val="auto"/>
          <w:szCs w:val="24"/>
          <w:highlight w:val="none"/>
        </w:rPr>
      </w:pPr>
    </w:p>
    <w:p w14:paraId="084DE6A6">
      <w:pPr>
        <w:spacing w:before="120" w:line="22" w:lineRule="atLeast"/>
        <w:rPr>
          <w:rFonts w:ascii="宋体" w:hAnsi="宋体" w:cs="宋体"/>
          <w:color w:val="auto"/>
          <w:sz w:val="24"/>
          <w:highlight w:val="none"/>
        </w:rPr>
      </w:pPr>
    </w:p>
    <w:p w14:paraId="7B15D42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EDCD3EF">
      <w:pPr>
        <w:pStyle w:val="43"/>
        <w:spacing w:before="120" w:line="22" w:lineRule="atLeast"/>
        <w:rPr>
          <w:rFonts w:ascii="宋体" w:hAnsi="宋体" w:eastAsia="宋体" w:cs="宋体"/>
          <w:color w:val="auto"/>
          <w:szCs w:val="24"/>
          <w:highlight w:val="none"/>
        </w:rPr>
      </w:pPr>
    </w:p>
    <w:p w14:paraId="06F7B9CE">
      <w:pPr>
        <w:pStyle w:val="43"/>
        <w:spacing w:before="120" w:line="22" w:lineRule="atLeast"/>
        <w:rPr>
          <w:rFonts w:ascii="宋体" w:hAnsi="宋体" w:eastAsia="宋体" w:cs="宋体"/>
          <w:color w:val="auto"/>
          <w:szCs w:val="24"/>
          <w:highlight w:val="none"/>
        </w:rPr>
      </w:pPr>
    </w:p>
    <w:p w14:paraId="6166FC76">
      <w:pPr>
        <w:rPr>
          <w:rFonts w:ascii="宋体" w:hAnsi="宋体" w:cs="宋体"/>
          <w:color w:val="auto"/>
          <w:sz w:val="24"/>
          <w:highlight w:val="none"/>
        </w:rPr>
      </w:pPr>
    </w:p>
    <w:p w14:paraId="0147DE4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63F753">
      <w:pPr>
        <w:spacing w:before="120" w:line="22" w:lineRule="atLeast"/>
        <w:rPr>
          <w:rFonts w:ascii="宋体" w:hAnsi="宋体" w:cs="宋体"/>
          <w:color w:val="auto"/>
          <w:sz w:val="24"/>
          <w:highlight w:val="none"/>
        </w:rPr>
      </w:pPr>
    </w:p>
    <w:p w14:paraId="4B6B391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77CAFA8">
      <w:pPr>
        <w:spacing w:before="120" w:line="22" w:lineRule="atLeast"/>
        <w:rPr>
          <w:rFonts w:ascii="宋体" w:hAnsi="宋体" w:cs="宋体"/>
          <w:color w:val="auto"/>
          <w:sz w:val="24"/>
          <w:highlight w:val="none"/>
        </w:rPr>
      </w:pPr>
    </w:p>
    <w:p w14:paraId="28F3F89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82C2CAF">
      <w:pPr>
        <w:spacing w:before="120" w:line="22" w:lineRule="atLeast"/>
        <w:rPr>
          <w:rFonts w:ascii="宋体" w:hAnsi="宋体" w:cs="宋体"/>
          <w:color w:val="auto"/>
          <w:sz w:val="24"/>
          <w:highlight w:val="none"/>
        </w:rPr>
      </w:pPr>
    </w:p>
    <w:p w14:paraId="6BD894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3D76A02">
      <w:pPr>
        <w:widowControl/>
        <w:jc w:val="left"/>
        <w:rPr>
          <w:rFonts w:ascii="宋体" w:hAnsi="宋体" w:cs="宋体"/>
          <w:color w:val="auto"/>
          <w:kern w:val="0"/>
          <w:sz w:val="24"/>
          <w:highlight w:val="none"/>
        </w:rPr>
        <w:sectPr>
          <w:pgSz w:w="11907" w:h="16840"/>
          <w:pgMar w:top="1440" w:right="1440" w:bottom="1440" w:left="1440" w:header="851" w:footer="851" w:gutter="0"/>
          <w:pgBorders>
            <w:top w:val="none" w:sz="0" w:space="0"/>
            <w:left w:val="none" w:sz="0" w:space="0"/>
            <w:bottom w:val="none" w:sz="0" w:space="0"/>
            <w:right w:val="none" w:sz="0" w:space="0"/>
          </w:pgBorders>
          <w:cols w:space="720" w:num="1"/>
        </w:sectPr>
      </w:pPr>
    </w:p>
    <w:p w14:paraId="3C39C527">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（采购人）   </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rPr>
        <w:t xml:space="preserve">   （政府采购方式）  </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项目</w:t>
      </w:r>
      <w:r>
        <w:rPr>
          <w:rFonts w:hint="eastAsia" w:ascii="宋体" w:hAnsi="宋体" w:eastAsia="宋体" w:cs="宋体"/>
          <w:color w:val="auto"/>
          <w:sz w:val="22"/>
          <w:szCs w:val="22"/>
          <w:highlight w:val="none"/>
          <w:u w:val="single"/>
          <w:lang w:val="en-US" w:eastAsia="zh-CN"/>
        </w:rPr>
        <w:t>名称</w:t>
      </w:r>
      <w:r>
        <w:rPr>
          <w:rFonts w:hint="eastAsia" w:ascii="宋体" w:hAnsi="宋体" w:eastAsia="宋体" w:cs="宋体"/>
          <w:color w:val="auto"/>
          <w:sz w:val="22"/>
          <w:szCs w:val="22"/>
          <w:highlight w:val="none"/>
          <w:u w:val="single"/>
        </w:rPr>
        <w:t xml:space="preserve">、编号）   </w:t>
      </w:r>
      <w:r>
        <w:rPr>
          <w:rFonts w:hint="eastAsia" w:ascii="宋体" w:hAnsi="宋体" w:eastAsia="宋体" w:cs="宋体"/>
          <w:color w:val="auto"/>
          <w:sz w:val="22"/>
          <w:szCs w:val="22"/>
          <w:highlight w:val="none"/>
        </w:rPr>
        <w:t>项目进行了采购。经</w:t>
      </w:r>
      <w:r>
        <w:rPr>
          <w:rFonts w:hint="eastAsia" w:ascii="宋体" w:hAnsi="宋体" w:eastAsia="宋体" w:cs="宋体"/>
          <w:color w:val="auto"/>
          <w:sz w:val="22"/>
          <w:szCs w:val="22"/>
          <w:highlight w:val="none"/>
          <w:u w:val="single"/>
        </w:rPr>
        <w:t xml:space="preserve">   （相关评定主体名称）   </w:t>
      </w:r>
      <w:r>
        <w:rPr>
          <w:rFonts w:hint="eastAsia" w:ascii="宋体" w:hAnsi="宋体" w:eastAsia="宋体" w:cs="宋体"/>
          <w:color w:val="auto"/>
          <w:sz w:val="22"/>
          <w:szCs w:val="22"/>
          <w:highlight w:val="none"/>
        </w:rPr>
        <w:t>评定，</w:t>
      </w:r>
      <w:r>
        <w:rPr>
          <w:rFonts w:hint="eastAsia" w:ascii="宋体" w:hAnsi="宋体" w:eastAsia="宋体" w:cs="宋体"/>
          <w:color w:val="auto"/>
          <w:sz w:val="22"/>
          <w:szCs w:val="22"/>
          <w:highlight w:val="none"/>
          <w:u w:val="single"/>
        </w:rPr>
        <w:t xml:space="preserve">   （中标或者成交供应商名称）</w:t>
      </w:r>
      <w:r>
        <w:rPr>
          <w:rFonts w:hint="eastAsia" w:ascii="宋体" w:hAnsi="宋体" w:eastAsia="宋体" w:cs="宋体"/>
          <w:color w:val="auto"/>
          <w:sz w:val="22"/>
          <w:szCs w:val="22"/>
          <w:highlight w:val="none"/>
        </w:rPr>
        <w:t>为该项目中标或者成交供应商。现于中标或者成交通知书发出之日起</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日内，按照采购文件等确定的事项签订本合同。</w:t>
      </w:r>
    </w:p>
    <w:p w14:paraId="127E3214">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2"/>
          <w:szCs w:val="22"/>
          <w:highlight w:val="none"/>
          <w:u w:val="single"/>
        </w:rPr>
        <w:t xml:space="preserve">   （采购人）   </w:t>
      </w:r>
      <w:r>
        <w:rPr>
          <w:rFonts w:hint="eastAsia" w:ascii="宋体" w:hAnsi="宋体" w:eastAsia="宋体" w:cs="宋体"/>
          <w:color w:val="auto"/>
          <w:sz w:val="22"/>
          <w:szCs w:val="22"/>
          <w:highlight w:val="none"/>
          <w:lang w:val="zh-CN"/>
        </w:rPr>
        <w:t>(以下简称：甲方)和</w:t>
      </w:r>
      <w:r>
        <w:rPr>
          <w:rFonts w:hint="eastAsia" w:ascii="宋体" w:hAnsi="宋体" w:eastAsia="宋体" w:cs="宋体"/>
          <w:color w:val="auto"/>
          <w:sz w:val="22"/>
          <w:szCs w:val="22"/>
          <w:highlight w:val="none"/>
          <w:u w:val="single"/>
        </w:rPr>
        <w:t xml:space="preserve">   （中标或者成交供应商名称）   </w:t>
      </w:r>
      <w:r>
        <w:rPr>
          <w:rFonts w:hint="eastAsia" w:ascii="宋体" w:hAnsi="宋体" w:eastAsia="宋体" w:cs="宋体"/>
          <w:color w:val="auto"/>
          <w:sz w:val="22"/>
          <w:szCs w:val="22"/>
          <w:highlight w:val="none"/>
          <w:lang w:val="zh-CN"/>
        </w:rPr>
        <w:t>(以下简称：乙方)协商一致，约定以下合同</w:t>
      </w:r>
      <w:r>
        <w:rPr>
          <w:rFonts w:hint="eastAsia" w:ascii="宋体" w:hAnsi="宋体" w:eastAsia="宋体" w:cs="宋体"/>
          <w:color w:val="auto"/>
          <w:sz w:val="22"/>
          <w:szCs w:val="22"/>
          <w:highlight w:val="none"/>
        </w:rPr>
        <w:t>条款，以兹共同遵守、全面履行。</w:t>
      </w:r>
    </w:p>
    <w:p w14:paraId="7073D7B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397" w:name="_Toc2232"/>
      <w:bookmarkStart w:id="398" w:name="_Toc24059"/>
      <w:bookmarkStart w:id="399" w:name="_Toc3029"/>
      <w:r>
        <w:rPr>
          <w:rFonts w:hint="eastAsia" w:ascii="宋体" w:hAnsi="宋体" w:eastAsia="宋体" w:cs="宋体"/>
          <w:b/>
          <w:color w:val="auto"/>
          <w:sz w:val="22"/>
          <w:szCs w:val="22"/>
          <w:highlight w:val="none"/>
        </w:rPr>
        <w:t>1.1 合同组成部分</w:t>
      </w:r>
      <w:bookmarkEnd w:id="397"/>
      <w:bookmarkEnd w:id="398"/>
      <w:bookmarkEnd w:id="399"/>
    </w:p>
    <w:p w14:paraId="3CC5125A">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AFA944">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本合同及其补充合同、变更协议；</w:t>
      </w:r>
    </w:p>
    <w:p w14:paraId="532DE2C1">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中标或者成交通知书；</w:t>
      </w:r>
    </w:p>
    <w:p w14:paraId="6DEA01B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投标或者响应文件（含澄清或者说明文件）；</w:t>
      </w:r>
    </w:p>
    <w:p w14:paraId="73DF71AD">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采购文件（含澄清或者修改文件）；</w:t>
      </w:r>
    </w:p>
    <w:p w14:paraId="72D1194E">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其他相关采购文件。</w:t>
      </w:r>
    </w:p>
    <w:p w14:paraId="0A030CC3">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00" w:name="_Toc24300"/>
      <w:bookmarkStart w:id="401" w:name="_Toc21295"/>
      <w:bookmarkStart w:id="402" w:name="_Toc27126"/>
      <w:r>
        <w:rPr>
          <w:rFonts w:hint="eastAsia" w:ascii="宋体" w:hAnsi="宋体" w:eastAsia="宋体" w:cs="宋体"/>
          <w:b/>
          <w:color w:val="auto"/>
          <w:sz w:val="22"/>
          <w:szCs w:val="22"/>
          <w:highlight w:val="none"/>
        </w:rPr>
        <w:t>1.2 货物</w:t>
      </w:r>
      <w:bookmarkEnd w:id="400"/>
      <w:bookmarkEnd w:id="401"/>
      <w:bookmarkEnd w:id="402"/>
    </w:p>
    <w:p w14:paraId="6E505F3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1.2.1 货物名称、品牌、规格型号、花色：</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65F061D">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1.2.2 货物数量：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85E6D02">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1.2.3 货物质量：</w:t>
      </w:r>
      <w:r>
        <w:rPr>
          <w:rFonts w:hint="eastAsia" w:ascii="宋体" w:hAnsi="宋体" w:eastAsia="宋体" w:cs="宋体"/>
          <w:color w:val="auto"/>
          <w:sz w:val="22"/>
          <w:szCs w:val="22"/>
          <w:highlight w:val="none"/>
          <w:u w:val="single"/>
        </w:rPr>
        <w:t>　　　　　　　　　                      　      ；</w:t>
      </w:r>
    </w:p>
    <w:p w14:paraId="5A5BD314">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03" w:name="_Toc21631"/>
      <w:bookmarkStart w:id="404" w:name="_Toc21551"/>
      <w:bookmarkStart w:id="405" w:name="_Toc23292"/>
      <w:r>
        <w:rPr>
          <w:rFonts w:hint="eastAsia" w:ascii="宋体" w:hAnsi="宋体" w:eastAsia="宋体" w:cs="宋体"/>
          <w:b/>
          <w:color w:val="auto"/>
          <w:sz w:val="22"/>
          <w:szCs w:val="22"/>
          <w:highlight w:val="none"/>
        </w:rPr>
        <w:t>1.3 价款</w:t>
      </w:r>
      <w:bookmarkEnd w:id="403"/>
      <w:bookmarkEnd w:id="404"/>
      <w:bookmarkEnd w:id="405"/>
    </w:p>
    <w:p w14:paraId="204548C0">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本合同总价（含税）为：￥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6327B128">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4355"/>
        <w:gridCol w:w="3266"/>
      </w:tblGrid>
      <w:tr w14:paraId="67C2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7" w:type="dxa"/>
            <w:tcBorders>
              <w:top w:val="single" w:color="auto" w:sz="4" w:space="0"/>
              <w:left w:val="single" w:color="auto" w:sz="4" w:space="0"/>
              <w:bottom w:val="single" w:color="auto" w:sz="4" w:space="0"/>
              <w:right w:val="single" w:color="auto" w:sz="4" w:space="0"/>
            </w:tcBorders>
            <w:vAlign w:val="center"/>
          </w:tcPr>
          <w:p w14:paraId="53880ADA">
            <w:pPr>
              <w:pStyle w:val="49"/>
              <w:pageBreakBefore w:val="0"/>
              <w:kinsoku/>
              <w:wordWrap/>
              <w:overflowPunct/>
              <w:topLinePunct w:val="0"/>
              <w:bidi w:val="0"/>
              <w:spacing w:line="46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355" w:type="dxa"/>
            <w:tcBorders>
              <w:top w:val="single" w:color="auto" w:sz="4" w:space="0"/>
              <w:left w:val="single" w:color="auto" w:sz="4" w:space="0"/>
              <w:bottom w:val="single" w:color="auto" w:sz="4" w:space="0"/>
              <w:right w:val="single" w:color="auto" w:sz="4" w:space="0"/>
            </w:tcBorders>
            <w:vAlign w:val="center"/>
          </w:tcPr>
          <w:p w14:paraId="737F3907">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分项名称</w:t>
            </w:r>
          </w:p>
        </w:tc>
        <w:tc>
          <w:tcPr>
            <w:tcW w:w="3266" w:type="dxa"/>
            <w:tcBorders>
              <w:top w:val="single" w:color="auto" w:sz="4" w:space="0"/>
              <w:left w:val="single" w:color="auto" w:sz="4" w:space="0"/>
              <w:bottom w:val="single" w:color="auto" w:sz="4" w:space="0"/>
              <w:right w:val="single" w:color="auto" w:sz="4" w:space="0"/>
            </w:tcBorders>
            <w:vAlign w:val="center"/>
          </w:tcPr>
          <w:p w14:paraId="4D311462">
            <w:pPr>
              <w:pStyle w:val="49"/>
              <w:pageBreakBefore w:val="0"/>
              <w:kinsoku/>
              <w:wordWrap/>
              <w:overflowPunct/>
              <w:topLinePunct w:val="0"/>
              <w:bidi w:val="0"/>
              <w:spacing w:line="46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分项价格</w:t>
            </w:r>
          </w:p>
        </w:tc>
      </w:tr>
      <w:tr w14:paraId="6F26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7" w:type="dxa"/>
            <w:tcBorders>
              <w:top w:val="single" w:color="auto" w:sz="4" w:space="0"/>
              <w:left w:val="single" w:color="auto" w:sz="4" w:space="0"/>
              <w:bottom w:val="single" w:color="auto" w:sz="4" w:space="0"/>
              <w:right w:val="single" w:color="auto" w:sz="4" w:space="0"/>
            </w:tcBorders>
            <w:vAlign w:val="center"/>
          </w:tcPr>
          <w:p w14:paraId="3C393C11">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4355" w:type="dxa"/>
            <w:tcBorders>
              <w:top w:val="single" w:color="auto" w:sz="4" w:space="0"/>
              <w:left w:val="single" w:color="auto" w:sz="4" w:space="0"/>
              <w:bottom w:val="single" w:color="auto" w:sz="4" w:space="0"/>
              <w:right w:val="single" w:color="auto" w:sz="4" w:space="0"/>
            </w:tcBorders>
            <w:vAlign w:val="center"/>
          </w:tcPr>
          <w:p w14:paraId="396321DB">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3266" w:type="dxa"/>
            <w:tcBorders>
              <w:top w:val="single" w:color="auto" w:sz="4" w:space="0"/>
              <w:left w:val="single" w:color="auto" w:sz="4" w:space="0"/>
              <w:bottom w:val="single" w:color="auto" w:sz="4" w:space="0"/>
              <w:right w:val="single" w:color="auto" w:sz="4" w:space="0"/>
            </w:tcBorders>
            <w:vAlign w:val="center"/>
          </w:tcPr>
          <w:p w14:paraId="72D20ED2">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r>
      <w:tr w14:paraId="4560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7" w:type="dxa"/>
            <w:tcBorders>
              <w:top w:val="single" w:color="auto" w:sz="4" w:space="0"/>
              <w:left w:val="single" w:color="auto" w:sz="4" w:space="0"/>
              <w:bottom w:val="single" w:color="auto" w:sz="4" w:space="0"/>
              <w:right w:val="single" w:color="auto" w:sz="4" w:space="0"/>
            </w:tcBorders>
            <w:vAlign w:val="center"/>
          </w:tcPr>
          <w:p w14:paraId="00863642">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4355" w:type="dxa"/>
            <w:tcBorders>
              <w:top w:val="single" w:color="auto" w:sz="4" w:space="0"/>
              <w:left w:val="single" w:color="auto" w:sz="4" w:space="0"/>
              <w:bottom w:val="single" w:color="auto" w:sz="4" w:space="0"/>
              <w:right w:val="single" w:color="auto" w:sz="4" w:space="0"/>
            </w:tcBorders>
            <w:vAlign w:val="center"/>
          </w:tcPr>
          <w:p w14:paraId="2D04BEDE">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3266" w:type="dxa"/>
            <w:tcBorders>
              <w:top w:val="single" w:color="auto" w:sz="4" w:space="0"/>
              <w:left w:val="single" w:color="auto" w:sz="4" w:space="0"/>
              <w:bottom w:val="single" w:color="auto" w:sz="4" w:space="0"/>
              <w:right w:val="single" w:color="auto" w:sz="4" w:space="0"/>
            </w:tcBorders>
            <w:vAlign w:val="center"/>
          </w:tcPr>
          <w:p w14:paraId="0C883074">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r>
      <w:tr w14:paraId="4CA8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7" w:type="dxa"/>
            <w:tcBorders>
              <w:top w:val="single" w:color="auto" w:sz="4" w:space="0"/>
              <w:left w:val="single" w:color="auto" w:sz="4" w:space="0"/>
              <w:bottom w:val="single" w:color="auto" w:sz="4" w:space="0"/>
              <w:right w:val="single" w:color="auto" w:sz="4" w:space="0"/>
            </w:tcBorders>
            <w:vAlign w:val="center"/>
          </w:tcPr>
          <w:p w14:paraId="10133920">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4355" w:type="dxa"/>
            <w:tcBorders>
              <w:top w:val="single" w:color="auto" w:sz="4" w:space="0"/>
              <w:left w:val="single" w:color="auto" w:sz="4" w:space="0"/>
              <w:bottom w:val="single" w:color="auto" w:sz="4" w:space="0"/>
              <w:right w:val="single" w:color="auto" w:sz="4" w:space="0"/>
            </w:tcBorders>
            <w:vAlign w:val="center"/>
          </w:tcPr>
          <w:p w14:paraId="37BC8581">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3266" w:type="dxa"/>
            <w:tcBorders>
              <w:top w:val="single" w:color="auto" w:sz="4" w:space="0"/>
              <w:left w:val="single" w:color="auto" w:sz="4" w:space="0"/>
              <w:bottom w:val="single" w:color="auto" w:sz="4" w:space="0"/>
              <w:right w:val="single" w:color="auto" w:sz="4" w:space="0"/>
            </w:tcBorders>
            <w:vAlign w:val="center"/>
          </w:tcPr>
          <w:p w14:paraId="7EFCA903">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r>
      <w:tr w14:paraId="7A7E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37" w:type="dxa"/>
            <w:tcBorders>
              <w:top w:val="single" w:color="auto" w:sz="4" w:space="0"/>
              <w:left w:val="single" w:color="auto" w:sz="4" w:space="0"/>
              <w:bottom w:val="single" w:color="auto" w:sz="4" w:space="0"/>
              <w:right w:val="single" w:color="auto" w:sz="4" w:space="0"/>
            </w:tcBorders>
            <w:vAlign w:val="center"/>
          </w:tcPr>
          <w:p w14:paraId="2E7FB20C">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4355" w:type="dxa"/>
            <w:tcBorders>
              <w:top w:val="single" w:color="auto" w:sz="4" w:space="0"/>
              <w:left w:val="single" w:color="auto" w:sz="4" w:space="0"/>
              <w:bottom w:val="single" w:color="auto" w:sz="4" w:space="0"/>
              <w:right w:val="single" w:color="auto" w:sz="4" w:space="0"/>
            </w:tcBorders>
            <w:vAlign w:val="center"/>
          </w:tcPr>
          <w:p w14:paraId="2AD66605">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c>
          <w:tcPr>
            <w:tcW w:w="3266" w:type="dxa"/>
            <w:tcBorders>
              <w:top w:val="single" w:color="auto" w:sz="4" w:space="0"/>
              <w:left w:val="single" w:color="auto" w:sz="4" w:space="0"/>
              <w:bottom w:val="single" w:color="auto" w:sz="4" w:space="0"/>
              <w:right w:val="single" w:color="auto" w:sz="4" w:space="0"/>
            </w:tcBorders>
            <w:vAlign w:val="center"/>
          </w:tcPr>
          <w:p w14:paraId="239E774C">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r>
      <w:tr w14:paraId="5A66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892" w:type="dxa"/>
            <w:gridSpan w:val="2"/>
            <w:tcBorders>
              <w:top w:val="single" w:color="auto" w:sz="4" w:space="0"/>
              <w:left w:val="single" w:color="auto" w:sz="4" w:space="0"/>
              <w:bottom w:val="single" w:color="auto" w:sz="4" w:space="0"/>
              <w:right w:val="single" w:color="auto" w:sz="4" w:space="0"/>
            </w:tcBorders>
            <w:vAlign w:val="center"/>
          </w:tcPr>
          <w:p w14:paraId="79E3C2D9">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c>
          <w:tcPr>
            <w:tcW w:w="3266" w:type="dxa"/>
            <w:tcBorders>
              <w:top w:val="single" w:color="auto" w:sz="4" w:space="0"/>
              <w:left w:val="single" w:color="auto" w:sz="4" w:space="0"/>
              <w:bottom w:val="single" w:color="auto" w:sz="4" w:space="0"/>
              <w:right w:val="single" w:color="auto" w:sz="4" w:space="0"/>
            </w:tcBorders>
            <w:vAlign w:val="center"/>
          </w:tcPr>
          <w:p w14:paraId="4D3364E3">
            <w:pPr>
              <w:pStyle w:val="49"/>
              <w:pageBreakBefore w:val="0"/>
              <w:kinsoku/>
              <w:wordWrap/>
              <w:overflowPunct/>
              <w:topLinePunct w:val="0"/>
              <w:bidi w:val="0"/>
              <w:spacing w:line="460" w:lineRule="atLeast"/>
              <w:ind w:firstLine="200"/>
              <w:jc w:val="center"/>
              <w:textAlignment w:val="auto"/>
              <w:rPr>
                <w:rFonts w:hint="eastAsia" w:ascii="宋体" w:hAnsi="宋体" w:eastAsia="宋体" w:cs="宋体"/>
                <w:color w:val="auto"/>
                <w:sz w:val="22"/>
                <w:szCs w:val="22"/>
                <w:highlight w:val="none"/>
              </w:rPr>
            </w:pPr>
          </w:p>
        </w:tc>
      </w:tr>
    </w:tbl>
    <w:p w14:paraId="16C02787">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b/>
          <w:color w:val="auto"/>
          <w:sz w:val="22"/>
          <w:szCs w:val="22"/>
          <w:highlight w:val="none"/>
        </w:rPr>
      </w:pPr>
      <w:bookmarkStart w:id="406" w:name="_Toc22618"/>
      <w:bookmarkStart w:id="407" w:name="_Toc1814"/>
      <w:bookmarkStart w:id="408" w:name="_Toc10340"/>
      <w:r>
        <w:rPr>
          <w:rFonts w:hint="eastAsia" w:ascii="宋体" w:hAnsi="宋体" w:eastAsia="宋体" w:cs="宋体"/>
          <w:b/>
          <w:color w:val="auto"/>
          <w:sz w:val="22"/>
          <w:szCs w:val="22"/>
          <w:highlight w:val="none"/>
        </w:rPr>
        <w:t>1.4履约保证金</w:t>
      </w:r>
    </w:p>
    <w:p w14:paraId="1CD3F6C8">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（是/否）需要支付履约保证金。若需要支付履约保证金的，则：</w:t>
      </w:r>
    </w:p>
    <w:p w14:paraId="4A06E60F">
      <w:pPr>
        <w:pageBreakBefore w:val="0"/>
        <w:kinsoku/>
        <w:wordWrap/>
        <w:overflowPunct/>
        <w:topLinePunct w:val="0"/>
        <w:bidi w:val="0"/>
        <w:spacing w:line="460" w:lineRule="atLeast"/>
        <w:ind w:firstLine="440" w:firstLineChars="200"/>
        <w:textAlignment w:val="auto"/>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1.4.1履约保证金的比例为合同金额的</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031BAFEB">
      <w:pPr>
        <w:pageBreakBefore w:val="0"/>
        <w:kinsoku/>
        <w:wordWrap/>
        <w:overflowPunct/>
        <w:topLinePunct w:val="0"/>
        <w:bidi w:val="0"/>
        <w:spacing w:line="460" w:lineRule="atLeast"/>
        <w:ind w:firstLine="440" w:firstLineChars="200"/>
        <w:textAlignment w:val="auto"/>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1.4.2履约保证金支付方式详见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48B574DC">
      <w:pPr>
        <w:pageBreakBefore w:val="0"/>
        <w:kinsoku/>
        <w:wordWrap/>
        <w:overflowPunct/>
        <w:topLinePunct w:val="0"/>
        <w:bidi w:val="0"/>
        <w:spacing w:line="460" w:lineRule="atLeas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7FB3509">
      <w:pPr>
        <w:pageBreakBefore w:val="0"/>
        <w:kinsoku/>
        <w:wordWrap/>
        <w:overflowPunct/>
        <w:topLinePunct w:val="0"/>
        <w:bidi w:val="0"/>
        <w:spacing w:line="460" w:lineRule="atLeas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1.4.4 甲方在项目验收结束后及时退还履约保证金。甲方在项目通过验收之日起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2"/>
          <w:szCs w:val="22"/>
          <w:highlight w:val="none"/>
          <w:u w:val="single"/>
        </w:rPr>
        <w:t xml:space="preserve">  0.05（可根据情况修改）  </w:t>
      </w:r>
      <w:r>
        <w:rPr>
          <w:rFonts w:hint="eastAsia" w:ascii="宋体" w:hAnsi="宋体" w:eastAsia="宋体" w:cs="宋体"/>
          <w:color w:val="auto"/>
          <w:kern w:val="0"/>
          <w:sz w:val="22"/>
          <w:szCs w:val="22"/>
          <w:highlight w:val="none"/>
        </w:rPr>
        <w:t>%计算，最高限额为本合同履约保证金的</w:t>
      </w:r>
      <w:r>
        <w:rPr>
          <w:rFonts w:hint="eastAsia" w:ascii="宋体" w:hAnsi="宋体" w:eastAsia="宋体" w:cs="宋体"/>
          <w:color w:val="auto"/>
          <w:kern w:val="0"/>
          <w:sz w:val="22"/>
          <w:szCs w:val="22"/>
          <w:highlight w:val="none"/>
          <w:u w:val="single"/>
        </w:rPr>
        <w:t xml:space="preserve">  20  </w:t>
      </w:r>
      <w:r>
        <w:rPr>
          <w:rFonts w:hint="eastAsia" w:ascii="宋体" w:hAnsi="宋体" w:eastAsia="宋体" w:cs="宋体"/>
          <w:color w:val="auto"/>
          <w:kern w:val="0"/>
          <w:sz w:val="22"/>
          <w:szCs w:val="22"/>
          <w:highlight w:val="none"/>
        </w:rPr>
        <w:t xml:space="preserve"> %。</w:t>
      </w:r>
    </w:p>
    <w:p w14:paraId="49569C8F">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w:t>
      </w:r>
      <w:bookmarkEnd w:id="406"/>
      <w:bookmarkEnd w:id="407"/>
      <w:bookmarkEnd w:id="408"/>
      <w:r>
        <w:rPr>
          <w:rFonts w:hint="eastAsia" w:ascii="宋体" w:hAnsi="宋体" w:eastAsia="宋体" w:cs="宋体"/>
          <w:b/>
          <w:color w:val="auto"/>
          <w:sz w:val="22"/>
          <w:szCs w:val="22"/>
          <w:highlight w:val="none"/>
        </w:rPr>
        <w:t>预付款</w:t>
      </w:r>
    </w:p>
    <w:p w14:paraId="529DE3B6">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（是/否）需要支付预付款。若需要支付预付款的，则：</w:t>
      </w:r>
    </w:p>
    <w:p w14:paraId="1AED2F92">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1.5.1预付款比例、支付方式、时间详见</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6787CF0A">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1.5.2预付款的扣回方式详见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DED782A">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1.5.3预付款的担保措施详见</w:t>
      </w:r>
      <w:r>
        <w:rPr>
          <w:rFonts w:hint="eastAsia" w:ascii="宋体" w:hAnsi="宋体" w:eastAsia="宋体" w:cs="宋体"/>
          <w:color w:val="auto"/>
          <w:sz w:val="22"/>
          <w:szCs w:val="22"/>
          <w:highlight w:val="none"/>
          <w:u w:val="single"/>
        </w:rPr>
        <w:t xml:space="preserve">    </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97C594A">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1.6资金支付</w:t>
      </w:r>
    </w:p>
    <w:p w14:paraId="4E6DD04C">
      <w:pPr>
        <w:pStyle w:val="80"/>
        <w:pageBreakBefore w:val="0"/>
        <w:kinsoku/>
        <w:wordWrap/>
        <w:overflowPunct/>
        <w:topLinePunct w:val="0"/>
        <w:bidi w:val="0"/>
        <w:spacing w:before="0" w:beforeAutospacing="0" w:after="0" w:afterAutospacing="0" w:line="460" w:lineRule="atLeas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1.6.1甲方应严格履行合同，及时组织验收，验收合格后及时将合同款支付完毕。对于满足合同约定支付条件的，甲方自收到发票后</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个工作日内将资金支付到合同约定的乙方账户，有条件的甲方可以即时支付。甲方不得以机构变动、人员更替、政策调整、单位放假等为由延迟付款。</w:t>
      </w:r>
    </w:p>
    <w:p w14:paraId="79CCE54A">
      <w:pPr>
        <w:pageBreakBefore w:val="0"/>
        <w:kinsoku/>
        <w:wordWrap/>
        <w:overflowPunct/>
        <w:topLinePunct w:val="0"/>
        <w:bidi w:val="0"/>
        <w:spacing w:line="460" w:lineRule="atLeast"/>
        <w:ind w:firstLine="440" w:firstLineChars="200"/>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1.6.2资金支付的方式、时间和条件详见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27FE10D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09" w:name="_Toc19304"/>
      <w:bookmarkStart w:id="410" w:name="_Toc2846"/>
      <w:bookmarkStart w:id="411" w:name="_Toc32071"/>
      <w:r>
        <w:rPr>
          <w:rFonts w:hint="eastAsia" w:ascii="宋体" w:hAnsi="宋体" w:eastAsia="宋体" w:cs="宋体"/>
          <w:b/>
          <w:color w:val="auto"/>
          <w:sz w:val="22"/>
          <w:szCs w:val="22"/>
          <w:highlight w:val="none"/>
        </w:rPr>
        <w:t>1.7货物交付期限、地点和方式</w:t>
      </w:r>
      <w:bookmarkEnd w:id="409"/>
      <w:bookmarkEnd w:id="410"/>
      <w:bookmarkEnd w:id="411"/>
    </w:p>
    <w:p w14:paraId="0AC95B10">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1.7.1 交付期限：详见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480D781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 交付地点：</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7F44F433">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 交付方式：</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58657A57">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12" w:name="_Toc19554"/>
      <w:bookmarkStart w:id="413" w:name="_Toc27250"/>
      <w:bookmarkStart w:id="414" w:name="_Toc21423"/>
      <w:r>
        <w:rPr>
          <w:rFonts w:hint="eastAsia" w:ascii="宋体" w:hAnsi="宋体" w:eastAsia="宋体" w:cs="宋体"/>
          <w:b/>
          <w:color w:val="auto"/>
          <w:sz w:val="22"/>
          <w:szCs w:val="22"/>
          <w:highlight w:val="none"/>
        </w:rPr>
        <w:t>1.8违约责任</w:t>
      </w:r>
      <w:bookmarkEnd w:id="412"/>
      <w:bookmarkEnd w:id="413"/>
      <w:bookmarkEnd w:id="414"/>
    </w:p>
    <w:p w14:paraId="1E96D384">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2"/>
          <w:szCs w:val="22"/>
          <w:highlight w:val="none"/>
          <w:u w:val="single"/>
        </w:rPr>
        <w:t xml:space="preserve">  0.05</w:t>
      </w:r>
      <w:r>
        <w:rPr>
          <w:rFonts w:hint="eastAsia" w:ascii="宋体" w:hAnsi="宋体" w:eastAsia="宋体" w:cs="宋体"/>
          <w:color w:val="auto"/>
          <w:kern w:val="0"/>
          <w:sz w:val="22"/>
          <w:szCs w:val="22"/>
          <w:highlight w:val="none"/>
          <w:u w:val="single"/>
        </w:rPr>
        <w:t>（可根据情况修改）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single"/>
        </w:rPr>
        <w:t xml:space="preserve"> 20   </w:t>
      </w:r>
      <w:r>
        <w:rPr>
          <w:rFonts w:hint="eastAsia" w:ascii="宋体" w:hAnsi="宋体" w:eastAsia="宋体" w:cs="宋体"/>
          <w:color w:val="auto"/>
          <w:sz w:val="22"/>
          <w:szCs w:val="22"/>
          <w:highlight w:val="none"/>
        </w:rPr>
        <w:t>%；迟延交付货物的违约金计算数额达到前述最高限额之日起，甲方有权在要求乙方支付违约金的同时，书面通知乙方解除本合同；</w:t>
      </w:r>
    </w:p>
    <w:p w14:paraId="2DCF846E">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2"/>
          <w:szCs w:val="22"/>
          <w:highlight w:val="none"/>
          <w:u w:val="single"/>
        </w:rPr>
        <w:t xml:space="preserve"> 0.05</w:t>
      </w:r>
      <w:r>
        <w:rPr>
          <w:rFonts w:hint="eastAsia" w:ascii="宋体" w:hAnsi="宋体" w:eastAsia="宋体" w:cs="宋体"/>
          <w:color w:val="auto"/>
          <w:kern w:val="0"/>
          <w:sz w:val="22"/>
          <w:szCs w:val="22"/>
          <w:highlight w:val="none"/>
          <w:u w:val="single"/>
        </w:rPr>
        <w:t>（可根据情况修改）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%计算，最高限额为本合同总价的</w:t>
      </w:r>
      <w:r>
        <w:rPr>
          <w:rFonts w:hint="eastAsia" w:ascii="宋体" w:hAnsi="宋体" w:eastAsia="宋体" w:cs="宋体"/>
          <w:color w:val="auto"/>
          <w:sz w:val="22"/>
          <w:szCs w:val="22"/>
          <w:highlight w:val="none"/>
          <w:u w:val="single"/>
        </w:rPr>
        <w:t xml:space="preserve">   20   </w:t>
      </w:r>
      <w:r>
        <w:rPr>
          <w:rFonts w:hint="eastAsia" w:ascii="宋体" w:hAnsi="宋体" w:eastAsia="宋体" w:cs="宋体"/>
          <w:color w:val="auto"/>
          <w:sz w:val="22"/>
          <w:szCs w:val="22"/>
          <w:highlight w:val="none"/>
        </w:rPr>
        <w:t>%；迟延付款的违约金计算数额达到前述最高限额之日起，乙方有权在要求甲方支付违约金的同时，书面通知甲方解除本合同；</w:t>
      </w:r>
    </w:p>
    <w:p w14:paraId="2563F32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149156">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6933C1">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4F80D69">
      <w:pPr>
        <w:pageBreakBefore w:val="0"/>
        <w:kinsoku/>
        <w:wordWrap/>
        <w:overflowPunct/>
        <w:topLinePunct w:val="0"/>
        <w:bidi w:val="0"/>
        <w:spacing w:line="460" w:lineRule="atLeast"/>
        <w:ind w:left="-420" w:leftChars="-200" w:right="-420" w:rightChars="-200" w:firstLine="880" w:firstLineChars="4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1.8.6违约责任</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另有约定的，从其约定。</w:t>
      </w:r>
    </w:p>
    <w:p w14:paraId="4EE0791C">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15" w:name="_Toc28375"/>
      <w:bookmarkStart w:id="416" w:name="_Toc16021"/>
      <w:bookmarkStart w:id="417" w:name="_Toc15583"/>
      <w:r>
        <w:rPr>
          <w:rFonts w:hint="eastAsia" w:ascii="宋体" w:hAnsi="宋体" w:eastAsia="宋体" w:cs="宋体"/>
          <w:b/>
          <w:color w:val="auto"/>
          <w:sz w:val="22"/>
          <w:szCs w:val="22"/>
          <w:highlight w:val="none"/>
        </w:rPr>
        <w:t>1.9合同争议的解决</w:t>
      </w:r>
      <w:bookmarkEnd w:id="415"/>
      <w:bookmarkEnd w:id="416"/>
      <w:bookmarkEnd w:id="417"/>
    </w:p>
    <w:p w14:paraId="7B19E810">
      <w:pPr>
        <w:pageBreakBefore w:val="0"/>
        <w:kinsoku/>
        <w:wordWrap/>
        <w:overflowPunct/>
        <w:topLinePunct w:val="0"/>
        <w:bidi w:val="0"/>
        <w:spacing w:line="460" w:lineRule="atLeast"/>
        <w:ind w:left="-61" w:leftChars="-29" w:right="-420" w:rightChars="-200"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2"/>
          <w:szCs w:val="22"/>
          <w:highlight w:val="none"/>
          <w:u w:val="single"/>
        </w:rPr>
        <w:t xml:space="preserve">      </w:t>
      </w:r>
      <w:r>
        <w:rPr>
          <w:rFonts w:hint="eastAsia" w:ascii="宋体" w:hAnsi="宋体" w:eastAsia="宋体" w:cs="宋体"/>
          <w:color w:val="auto"/>
          <w:sz w:val="22"/>
          <w:szCs w:val="22"/>
          <w:highlight w:val="none"/>
        </w:rPr>
        <w:t>条款规定的方式解决：</w:t>
      </w:r>
    </w:p>
    <w:p w14:paraId="042681F8">
      <w:pPr>
        <w:pageBreakBefore w:val="0"/>
        <w:kinsoku/>
        <w:wordWrap/>
        <w:overflowPunct/>
        <w:topLinePunct w:val="0"/>
        <w:bidi w:val="0"/>
        <w:spacing w:line="460" w:lineRule="atLeast"/>
        <w:ind w:left="-420" w:leftChars="-200" w:right="-420" w:rightChars="-200" w:firstLine="770" w:firstLineChars="3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 将争议提交</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仲裁委员会依申请仲裁时其现行有效的仲裁规则裁决；</w:t>
      </w:r>
    </w:p>
    <w:p w14:paraId="291F1761">
      <w:pPr>
        <w:pageBreakBefore w:val="0"/>
        <w:kinsoku/>
        <w:wordWrap/>
        <w:overflowPunct/>
        <w:topLinePunct w:val="0"/>
        <w:bidi w:val="0"/>
        <w:spacing w:line="460" w:lineRule="atLeast"/>
        <w:ind w:left="-420" w:leftChars="-200" w:right="-420" w:rightChars="-200" w:firstLine="770" w:firstLineChars="3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 向</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人民法院起诉。</w:t>
      </w:r>
    </w:p>
    <w:p w14:paraId="6B9434F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18" w:name="_Toc15322"/>
      <w:bookmarkStart w:id="419" w:name="_Toc7245"/>
      <w:bookmarkStart w:id="420" w:name="_Toc11173"/>
      <w:r>
        <w:rPr>
          <w:rFonts w:hint="eastAsia" w:ascii="宋体" w:hAnsi="宋体" w:eastAsia="宋体" w:cs="宋体"/>
          <w:b/>
          <w:color w:val="auto"/>
          <w:sz w:val="22"/>
          <w:szCs w:val="22"/>
          <w:highlight w:val="none"/>
        </w:rPr>
        <w:t>2.0 合同生效</w:t>
      </w:r>
      <w:bookmarkEnd w:id="418"/>
      <w:bookmarkEnd w:id="419"/>
      <w:bookmarkEnd w:id="420"/>
    </w:p>
    <w:p w14:paraId="4DF8A3F1">
      <w:pPr>
        <w:pageBreakBefore w:val="0"/>
        <w:kinsoku/>
        <w:wordWrap/>
        <w:overflowPunct/>
        <w:topLinePunct w:val="0"/>
        <w:bidi w:val="0"/>
        <w:spacing w:line="460" w:lineRule="atLeas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本合同自双方当事人盖章签字时生效。</w:t>
      </w:r>
    </w:p>
    <w:p w14:paraId="7EFC90B1">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p>
    <w:p w14:paraId="725F2254">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甲方</w:t>
      </w:r>
      <w:r>
        <w:rPr>
          <w:rFonts w:hint="eastAsia" w:ascii="宋体" w:hAnsi="宋体" w:eastAsia="宋体" w:cs="宋体"/>
          <w:color w:val="auto"/>
          <w:sz w:val="22"/>
          <w:szCs w:val="22"/>
          <w:highlight w:val="none"/>
          <w:lang w:val="zh-CN"/>
        </w:rPr>
        <w:t xml:space="preserve">：                             </w:t>
      </w:r>
      <w:r>
        <w:rPr>
          <w:rFonts w:hint="eastAsia" w:ascii="宋体" w:hAnsi="宋体" w:eastAsia="宋体" w:cs="宋体"/>
          <w:b/>
          <w:color w:val="auto"/>
          <w:sz w:val="22"/>
          <w:szCs w:val="22"/>
          <w:highlight w:val="none"/>
          <w:lang w:val="zh-CN"/>
        </w:rPr>
        <w:t xml:space="preserve">      乙方</w:t>
      </w:r>
      <w:r>
        <w:rPr>
          <w:rFonts w:hint="eastAsia" w:ascii="宋体" w:hAnsi="宋体" w:eastAsia="宋体" w:cs="宋体"/>
          <w:color w:val="auto"/>
          <w:sz w:val="22"/>
          <w:szCs w:val="22"/>
          <w:highlight w:val="none"/>
          <w:lang w:val="zh-CN"/>
        </w:rPr>
        <w:t>：</w:t>
      </w:r>
    </w:p>
    <w:p w14:paraId="57A2930C">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统一社会信用代码：                        统一社会信用代码或身份证号码：</w:t>
      </w:r>
    </w:p>
    <w:p w14:paraId="1A6B2514">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p>
    <w:p w14:paraId="7282286B">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住所：                                   住所：</w:t>
      </w:r>
    </w:p>
    <w:p w14:paraId="38A9AC55">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                             法定代表人</w:t>
      </w:r>
    </w:p>
    <w:p w14:paraId="4EC80580">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授权代表（签字）：                        或授权代表（签字）: </w:t>
      </w:r>
    </w:p>
    <w:p w14:paraId="7FD3C794">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联系人：                                 联系人：</w:t>
      </w:r>
    </w:p>
    <w:p w14:paraId="514A994D">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约定送达地址：                           约定送达地址：</w:t>
      </w:r>
    </w:p>
    <w:p w14:paraId="7BE335C1">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邮政编码：                               邮政编码：</w:t>
      </w:r>
    </w:p>
    <w:p w14:paraId="07958151">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电话:                                    电话: </w:t>
      </w:r>
    </w:p>
    <w:p w14:paraId="5E8E468F">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传真:                                    传真:</w:t>
      </w:r>
    </w:p>
    <w:p w14:paraId="4CE39972">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电子邮箱：                               电子邮箱：</w:t>
      </w:r>
    </w:p>
    <w:p w14:paraId="1ADCD30E">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开户银行： </w:t>
      </w:r>
    </w:p>
    <w:p w14:paraId="208F982C">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                               开户名称： </w:t>
      </w:r>
    </w:p>
    <w:p w14:paraId="65795DE1">
      <w:pPr>
        <w:pageBreakBefore w:val="0"/>
        <w:kinsoku/>
        <w:wordWrap/>
        <w:overflowPunct/>
        <w:topLinePunct w:val="0"/>
        <w:autoSpaceDE w:val="0"/>
        <w:autoSpaceDN w:val="0"/>
        <w:bidi w:val="0"/>
        <w:spacing w:line="460" w:lineRule="atLeas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开户账号：</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rPr>
        <w:t>开户账号：</w:t>
      </w:r>
    </w:p>
    <w:p w14:paraId="096F462A">
      <w:pPr>
        <w:pStyle w:val="3"/>
        <w:pageBreakBefore w:val="0"/>
        <w:tabs>
          <w:tab w:val="left" w:pos="432"/>
        </w:tabs>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6657FD90">
      <w:pPr>
        <w:pageBreakBefore w:val="0"/>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04616B8E">
      <w:pPr>
        <w:pStyle w:val="3"/>
        <w:pageBreakBefore w:val="0"/>
        <w:tabs>
          <w:tab w:val="left" w:pos="432"/>
        </w:tabs>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4B418870">
      <w:pPr>
        <w:pageBreakBefore w:val="0"/>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3B2F8434">
      <w:pPr>
        <w:pStyle w:val="3"/>
        <w:pageBreakBefore w:val="0"/>
        <w:tabs>
          <w:tab w:val="left" w:pos="432"/>
        </w:tabs>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624840F2">
      <w:pPr>
        <w:pageBreakBefore w:val="0"/>
        <w:kinsoku/>
        <w:wordWrap/>
        <w:overflowPunct/>
        <w:topLinePunct w:val="0"/>
        <w:bidi w:val="0"/>
        <w:spacing w:line="460" w:lineRule="atLeast"/>
        <w:textAlignment w:val="auto"/>
        <w:rPr>
          <w:rFonts w:hint="eastAsia" w:ascii="宋体" w:hAnsi="宋体" w:eastAsia="宋体" w:cs="宋体"/>
          <w:color w:val="auto"/>
          <w:sz w:val="22"/>
          <w:szCs w:val="22"/>
          <w:highlight w:val="none"/>
        </w:rPr>
      </w:pPr>
    </w:p>
    <w:p w14:paraId="389142CD">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470BA190">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55E0074E">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25A3512B">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0AEEDA19">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35B38B35">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0ECED3BA">
      <w:pPr>
        <w:pStyle w:val="42"/>
        <w:pageBreakBefore w:val="0"/>
        <w:kinsoku/>
        <w:wordWrap/>
        <w:overflowPunct/>
        <w:topLinePunct w:val="0"/>
        <w:bidi w:val="0"/>
        <w:spacing w:line="460" w:lineRule="atLeast"/>
        <w:ind w:firstLine="482"/>
        <w:jc w:val="center"/>
        <w:textAlignment w:val="auto"/>
        <w:rPr>
          <w:rFonts w:hint="eastAsia" w:ascii="宋体" w:hAnsi="宋体" w:eastAsia="宋体" w:cs="宋体"/>
          <w:b/>
          <w:color w:val="auto"/>
          <w:sz w:val="22"/>
          <w:szCs w:val="22"/>
          <w:highlight w:val="none"/>
        </w:rPr>
      </w:pPr>
    </w:p>
    <w:p w14:paraId="63A2E371">
      <w:pPr>
        <w:pStyle w:val="42"/>
        <w:pageBreakBefore w:val="0"/>
        <w:kinsoku/>
        <w:wordWrap/>
        <w:overflowPunct/>
        <w:topLinePunct w:val="0"/>
        <w:bidi w:val="0"/>
        <w:spacing w:line="460" w:lineRule="atLeast"/>
        <w:ind w:left="0" w:leftChars="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 合同一般条款</w:t>
      </w:r>
    </w:p>
    <w:p w14:paraId="06836797">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21" w:name="_Ref467379094"/>
      <w:bookmarkStart w:id="422" w:name="_Ref467379101"/>
      <w:bookmarkStart w:id="423" w:name="_Toc487900349"/>
      <w:bookmarkStart w:id="424" w:name="_Toc28763"/>
      <w:bookmarkStart w:id="425" w:name="_Toc259093669"/>
      <w:bookmarkStart w:id="426" w:name="_Ref467378463"/>
      <w:bookmarkStart w:id="427" w:name="_Toc279701240"/>
      <w:bookmarkStart w:id="428" w:name="_Ref467379195"/>
      <w:bookmarkStart w:id="429" w:name="_Ref467379205"/>
      <w:bookmarkStart w:id="430" w:name="_Ref467379109"/>
      <w:bookmarkStart w:id="431" w:name="_Toc19614"/>
      <w:bookmarkStart w:id="432" w:name="_Ref467378499"/>
      <w:bookmarkStart w:id="433" w:name="_Ref467379225"/>
      <w:bookmarkStart w:id="434" w:name="_Ref467378404"/>
      <w:bookmarkStart w:id="435" w:name="_Ref467379214"/>
      <w:bookmarkStart w:id="436" w:name="_Toc16917"/>
      <w:r>
        <w:rPr>
          <w:rFonts w:hint="eastAsia" w:ascii="宋体" w:hAnsi="宋体" w:eastAsia="宋体" w:cs="宋体"/>
          <w:b/>
          <w:color w:val="auto"/>
          <w:sz w:val="22"/>
          <w:szCs w:val="22"/>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F89CD83">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本合同中的下列词语应按以下内容进行解释：</w:t>
      </w:r>
    </w:p>
    <w:p w14:paraId="1D39A19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“合同”系指采购人和中标或成交供应商签订的载明双方当事人所达成的协议，并包括所有的附件、附录和构成合同的其他文件。</w:t>
      </w:r>
    </w:p>
    <w:p w14:paraId="024C5653">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“合同价”系指根据合同约定，中标或成交供应商在完全履行合同义务后，采购人应支付给中标或成交供应商的价格。</w:t>
      </w:r>
    </w:p>
    <w:p w14:paraId="6CEC9900">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“货物”系指中标或成交供应商根据合同约定应向采购人交付的一切各种形态和种类的物品，包括原材料、燃料、设备、机械、仪表、备件、计算机软件、产品等，并包括工具、手册等其他相关资料。</w:t>
      </w:r>
    </w:p>
    <w:p w14:paraId="4B8A21BD">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437" w:name="_Ref467378840"/>
      <w:r>
        <w:rPr>
          <w:rFonts w:hint="eastAsia" w:ascii="宋体" w:hAnsi="宋体" w:eastAsia="宋体" w:cs="宋体"/>
          <w:color w:val="auto"/>
          <w:sz w:val="22"/>
          <w:szCs w:val="22"/>
          <w:highlight w:val="none"/>
        </w:rPr>
        <w:t>2.1.4 “甲方”系指与中标或成交供应商签署合同的采购人</w:t>
      </w:r>
      <w:bookmarkEnd w:id="437"/>
      <w:r>
        <w:rPr>
          <w:rFonts w:hint="eastAsia" w:ascii="宋体" w:hAnsi="宋体" w:eastAsia="宋体" w:cs="宋体"/>
          <w:color w:val="auto"/>
          <w:sz w:val="22"/>
          <w:szCs w:val="22"/>
          <w:highlight w:val="none"/>
        </w:rPr>
        <w:t>；采购人委托采购代理机构代表其与乙方签订合同的，采购人的授权委托书作为合同附件。</w:t>
      </w:r>
    </w:p>
    <w:p w14:paraId="208AC72B">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438" w:name="_Ref467379400"/>
      <w:r>
        <w:rPr>
          <w:rFonts w:hint="eastAsia" w:ascii="宋体" w:hAnsi="宋体" w:eastAsia="宋体" w:cs="宋体"/>
          <w:color w:val="auto"/>
          <w:sz w:val="22"/>
          <w:szCs w:val="22"/>
          <w:highlight w:val="none"/>
        </w:rPr>
        <w:t>2.1.5 “乙方”系指根据合同约定交付货物的中标或成交供应商</w:t>
      </w:r>
      <w:bookmarkEnd w:id="438"/>
      <w:r>
        <w:rPr>
          <w:rFonts w:hint="eastAsia" w:ascii="宋体" w:hAnsi="宋体" w:eastAsia="宋体" w:cs="宋体"/>
          <w:color w:val="auto"/>
          <w:sz w:val="22"/>
          <w:szCs w:val="22"/>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BBA5D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439" w:name="_Ref467379436"/>
      <w:r>
        <w:rPr>
          <w:rFonts w:hint="eastAsia" w:ascii="宋体" w:hAnsi="宋体" w:eastAsia="宋体" w:cs="宋体"/>
          <w:color w:val="auto"/>
          <w:sz w:val="22"/>
          <w:szCs w:val="22"/>
          <w:highlight w:val="none"/>
        </w:rPr>
        <w:t>2.1.6 “现场”系指合同约定货物将要运至或者安装的地点。</w:t>
      </w:r>
      <w:bookmarkEnd w:id="439"/>
    </w:p>
    <w:p w14:paraId="2622A03A">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40" w:name="_Toc279701241"/>
      <w:bookmarkStart w:id="441" w:name="_Toc259093670"/>
      <w:bookmarkStart w:id="442" w:name="_Toc487900350"/>
      <w:bookmarkStart w:id="443" w:name="_Toc27635"/>
      <w:bookmarkStart w:id="444" w:name="_Toc32504"/>
      <w:bookmarkStart w:id="445" w:name="_Toc13336"/>
      <w:r>
        <w:rPr>
          <w:rFonts w:hint="eastAsia" w:ascii="宋体" w:hAnsi="宋体" w:eastAsia="宋体" w:cs="宋体"/>
          <w:b/>
          <w:color w:val="auto"/>
          <w:sz w:val="22"/>
          <w:szCs w:val="22"/>
          <w:highlight w:val="none"/>
        </w:rPr>
        <w:t>2.2 技术规范</w:t>
      </w:r>
      <w:bookmarkEnd w:id="440"/>
      <w:bookmarkEnd w:id="441"/>
      <w:bookmarkEnd w:id="442"/>
      <w:bookmarkEnd w:id="443"/>
      <w:bookmarkEnd w:id="444"/>
      <w:bookmarkEnd w:id="445"/>
    </w:p>
    <w:p w14:paraId="2091BF96">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7479D49">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46" w:name="_Toc259093671"/>
      <w:bookmarkStart w:id="447" w:name="_Toc487900351"/>
      <w:bookmarkStart w:id="448" w:name="_Toc9829"/>
      <w:bookmarkStart w:id="449" w:name="_Toc31634"/>
      <w:bookmarkStart w:id="450" w:name="_Toc27853"/>
      <w:bookmarkStart w:id="451" w:name="_Toc279701242"/>
      <w:r>
        <w:rPr>
          <w:rFonts w:hint="eastAsia" w:ascii="宋体" w:hAnsi="宋体" w:eastAsia="宋体" w:cs="宋体"/>
          <w:b/>
          <w:color w:val="auto"/>
          <w:sz w:val="22"/>
          <w:szCs w:val="22"/>
          <w:highlight w:val="none"/>
        </w:rPr>
        <w:t>2.3 知识产权</w:t>
      </w:r>
      <w:bookmarkEnd w:id="446"/>
      <w:bookmarkEnd w:id="447"/>
      <w:bookmarkEnd w:id="448"/>
      <w:bookmarkEnd w:id="449"/>
      <w:bookmarkEnd w:id="450"/>
      <w:bookmarkEnd w:id="451"/>
    </w:p>
    <w:p w14:paraId="3F042801">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6C1645">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2.3.2具有知识产权的计算机软件等货物的知识产权归属，详见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243C86AA">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52" w:name="_Toc11932"/>
      <w:bookmarkStart w:id="453" w:name="_Toc29149"/>
      <w:bookmarkStart w:id="454" w:name="_Toc4194"/>
      <w:r>
        <w:rPr>
          <w:rFonts w:hint="eastAsia" w:ascii="宋体" w:hAnsi="宋体" w:eastAsia="宋体" w:cs="宋体"/>
          <w:b/>
          <w:color w:val="auto"/>
          <w:sz w:val="22"/>
          <w:szCs w:val="22"/>
          <w:highlight w:val="none"/>
        </w:rPr>
        <w:t>2.4 包装和装运</w:t>
      </w:r>
      <w:bookmarkEnd w:id="452"/>
      <w:bookmarkEnd w:id="453"/>
      <w:bookmarkEnd w:id="454"/>
    </w:p>
    <w:p w14:paraId="0694BA34">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2.4.1除</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DD80533">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CBABDF2">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2.4.3 装运货物的要求和通知，详见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6CFFD4E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55" w:name="_Toc259093674"/>
      <w:bookmarkStart w:id="456" w:name="_Toc279701245"/>
      <w:bookmarkStart w:id="457" w:name="_Ref467379542"/>
      <w:bookmarkStart w:id="458" w:name="_Ref467378541"/>
      <w:bookmarkStart w:id="459" w:name="_Toc487900354"/>
      <w:bookmarkStart w:id="460" w:name="_Ref467378591"/>
      <w:bookmarkStart w:id="461" w:name="_Ref467379527"/>
      <w:bookmarkStart w:id="462" w:name="_Ref467379536"/>
      <w:bookmarkStart w:id="463" w:name="_Toc30272"/>
      <w:bookmarkStart w:id="464" w:name="_Toc26182"/>
      <w:bookmarkStart w:id="465" w:name="_Toc19074"/>
      <w:r>
        <w:rPr>
          <w:rFonts w:hint="eastAsia" w:ascii="宋体" w:hAnsi="宋体" w:eastAsia="宋体" w:cs="宋体"/>
          <w:b/>
          <w:color w:val="auto"/>
          <w:sz w:val="22"/>
          <w:szCs w:val="22"/>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2"/>
          <w:szCs w:val="22"/>
          <w:highlight w:val="none"/>
        </w:rPr>
        <w:t>5 履约检查和问题反馈</w:t>
      </w:r>
      <w:bookmarkEnd w:id="463"/>
      <w:bookmarkEnd w:id="464"/>
      <w:bookmarkEnd w:id="465"/>
    </w:p>
    <w:p w14:paraId="025A0ED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466" w:name="_Ref467379657"/>
      <w:r>
        <w:rPr>
          <w:rFonts w:hint="eastAsia" w:ascii="宋体" w:hAnsi="宋体" w:eastAsia="宋体" w:cs="宋体"/>
          <w:color w:val="auto"/>
          <w:sz w:val="22"/>
          <w:szCs w:val="22"/>
          <w:highlight w:val="none"/>
        </w:rPr>
        <w:t>2.5.1</w:t>
      </w:r>
      <w:bookmarkEnd w:id="466"/>
      <w:bookmarkStart w:id="467" w:name="_Toc186431854"/>
      <w:bookmarkStart w:id="468" w:name="_Ref467379807"/>
      <w:bookmarkStart w:id="469" w:name="_Toc259093676"/>
      <w:bookmarkStart w:id="470" w:name="_Toc279701247"/>
      <w:bookmarkStart w:id="471" w:name="_Ref467379793"/>
      <w:bookmarkStart w:id="472" w:name="_Toc487900357"/>
      <w:r>
        <w:rPr>
          <w:rFonts w:hint="eastAsia" w:ascii="宋体" w:hAnsi="宋体" w:eastAsia="宋体" w:cs="宋体"/>
          <w:color w:val="auto"/>
          <w:sz w:val="22"/>
          <w:szCs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661DCB">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color w:val="auto"/>
          <w:sz w:val="22"/>
          <w:szCs w:val="22"/>
          <w:highlight w:val="none"/>
        </w:rPr>
        <w:t>。</w:t>
      </w:r>
    </w:p>
    <w:bookmarkEnd w:id="468"/>
    <w:bookmarkEnd w:id="469"/>
    <w:bookmarkEnd w:id="470"/>
    <w:bookmarkEnd w:id="471"/>
    <w:bookmarkEnd w:id="472"/>
    <w:bookmarkEnd w:id="473"/>
    <w:p w14:paraId="45B7ECAA">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74" w:name="_Ref467379863"/>
      <w:bookmarkStart w:id="475" w:name="_Toc279701248"/>
      <w:bookmarkStart w:id="476" w:name="_Ref467379923"/>
      <w:bookmarkStart w:id="477" w:name="_Ref467379852"/>
      <w:bookmarkStart w:id="478" w:name="_Toc259093677"/>
      <w:bookmarkStart w:id="479" w:name="_Toc487900358"/>
      <w:bookmarkStart w:id="480" w:name="_Toc16110"/>
      <w:bookmarkStart w:id="481" w:name="_Toc3225"/>
      <w:bookmarkStart w:id="482" w:name="_Toc774"/>
      <w:r>
        <w:rPr>
          <w:rFonts w:hint="eastAsia" w:ascii="宋体" w:hAnsi="宋体" w:eastAsia="宋体" w:cs="宋体"/>
          <w:b/>
          <w:color w:val="auto"/>
          <w:sz w:val="22"/>
          <w:szCs w:val="22"/>
          <w:highlight w:val="none"/>
        </w:rPr>
        <w:t>2.6 技术资料</w:t>
      </w:r>
      <w:bookmarkEnd w:id="474"/>
      <w:bookmarkEnd w:id="475"/>
      <w:bookmarkEnd w:id="476"/>
      <w:bookmarkEnd w:id="477"/>
      <w:bookmarkEnd w:id="478"/>
      <w:bookmarkEnd w:id="479"/>
      <w:r>
        <w:rPr>
          <w:rFonts w:hint="eastAsia" w:ascii="宋体" w:hAnsi="宋体" w:eastAsia="宋体" w:cs="宋体"/>
          <w:b/>
          <w:color w:val="auto"/>
          <w:sz w:val="22"/>
          <w:szCs w:val="22"/>
          <w:highlight w:val="none"/>
        </w:rPr>
        <w:t>和保密义务</w:t>
      </w:r>
      <w:bookmarkEnd w:id="480"/>
      <w:bookmarkEnd w:id="481"/>
      <w:bookmarkEnd w:id="482"/>
    </w:p>
    <w:p w14:paraId="770259C7">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2.6.1 乙方有权依据合同约定和项目需要，向甲方了解有关情况，调阅有关资料等，甲方应予积极配合；</w:t>
      </w:r>
    </w:p>
    <w:p w14:paraId="0E48559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 乙方有义务妥善保管和保护由甲方提供的前款信息和资料等；</w:t>
      </w:r>
    </w:p>
    <w:p w14:paraId="751EA08A">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81F5B1D">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83" w:name="_Toc7860"/>
      <w:r>
        <w:rPr>
          <w:rFonts w:hint="eastAsia" w:ascii="宋体" w:hAnsi="宋体" w:eastAsia="宋体" w:cs="宋体"/>
          <w:b/>
          <w:color w:val="auto"/>
          <w:sz w:val="22"/>
          <w:szCs w:val="22"/>
          <w:highlight w:val="none"/>
        </w:rPr>
        <w:t>2.7 质量保证</w:t>
      </w:r>
      <w:bookmarkEnd w:id="483"/>
    </w:p>
    <w:p w14:paraId="4F46C4A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2.7.1 乙方应建立和完善履行合同的内部质量保证体系，并提供相关内部规章制度给甲方，以便甲方进行监督检查；</w:t>
      </w:r>
    </w:p>
    <w:p w14:paraId="3E6D6026">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2.7.2 乙方应保证履行合同的人员数量和素质、软件和硬件设备的配置、场地、环境和设施等满足全面履行合同的要求，并应接受甲方的监督检查。</w:t>
      </w:r>
    </w:p>
    <w:p w14:paraId="6C8A8AF4">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84" w:name="_Toc17244"/>
      <w:bookmarkStart w:id="485" w:name="_Toc279701252"/>
      <w:bookmarkStart w:id="486" w:name="_Toc487900362"/>
      <w:bookmarkStart w:id="487" w:name="_Toc259093681"/>
      <w:r>
        <w:rPr>
          <w:rFonts w:hint="eastAsia" w:ascii="宋体" w:hAnsi="宋体" w:eastAsia="宋体" w:cs="宋体"/>
          <w:b/>
          <w:color w:val="auto"/>
          <w:sz w:val="22"/>
          <w:szCs w:val="22"/>
          <w:highlight w:val="none"/>
        </w:rPr>
        <w:t>2.8 货物的风险负担</w:t>
      </w:r>
      <w:bookmarkEnd w:id="484"/>
    </w:p>
    <w:p w14:paraId="74EB6D3E">
      <w:pPr>
        <w:pageBreakBefore w:val="0"/>
        <w:kinsoku/>
        <w:wordWrap/>
        <w:overflowPunct/>
        <w:topLinePunct w:val="0"/>
        <w:bidi w:val="0"/>
        <w:spacing w:line="460" w:lineRule="atLeas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货物或者在途货物或者交付给第一承运人后的货物毁损、灭失的风险负担详见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w:t>
      </w:r>
    </w:p>
    <w:p w14:paraId="4C7219F2">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88" w:name="_Toc14055"/>
      <w:r>
        <w:rPr>
          <w:rFonts w:hint="eastAsia" w:ascii="宋体" w:hAnsi="宋体" w:eastAsia="宋体" w:cs="宋体"/>
          <w:b/>
          <w:color w:val="auto"/>
          <w:sz w:val="22"/>
          <w:szCs w:val="22"/>
          <w:highlight w:val="none"/>
        </w:rPr>
        <w:t>2.9 延迟交货</w:t>
      </w:r>
      <w:bookmarkEnd w:id="485"/>
      <w:bookmarkEnd w:id="486"/>
      <w:bookmarkEnd w:id="487"/>
      <w:bookmarkEnd w:id="488"/>
    </w:p>
    <w:p w14:paraId="455B9BE2">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4E0FB02">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89" w:name="_Toc7502"/>
      <w:bookmarkStart w:id="490" w:name="_Toc279701254"/>
      <w:bookmarkStart w:id="491" w:name="_Toc259093683"/>
      <w:bookmarkStart w:id="492" w:name="_Ref467378121"/>
      <w:bookmarkStart w:id="493" w:name="_Toc487900364"/>
      <w:r>
        <w:rPr>
          <w:rFonts w:hint="eastAsia" w:ascii="宋体" w:hAnsi="宋体" w:eastAsia="宋体" w:cs="宋体"/>
          <w:b/>
          <w:color w:val="auto"/>
          <w:sz w:val="22"/>
          <w:szCs w:val="22"/>
          <w:highlight w:val="none"/>
        </w:rPr>
        <w:t>2.10 合同变更</w:t>
      </w:r>
      <w:bookmarkEnd w:id="489"/>
    </w:p>
    <w:p w14:paraId="2EAB51CF">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487900369"/>
      <w:bookmarkStart w:id="496" w:name="_Toc259093688"/>
    </w:p>
    <w:p w14:paraId="76E005C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497" w:name="_Toc22955"/>
      <w:bookmarkStart w:id="498" w:name="_Toc15237"/>
      <w:bookmarkStart w:id="499" w:name="_Toc10366"/>
      <w:r>
        <w:rPr>
          <w:rFonts w:hint="eastAsia" w:ascii="宋体" w:hAnsi="宋体" w:eastAsia="宋体" w:cs="宋体"/>
          <w:b/>
          <w:color w:val="auto"/>
          <w:sz w:val="22"/>
          <w:szCs w:val="22"/>
          <w:highlight w:val="none"/>
        </w:rPr>
        <w:t>2.11 合同转让</w:t>
      </w:r>
      <w:bookmarkEnd w:id="494"/>
      <w:bookmarkEnd w:id="495"/>
      <w:bookmarkEnd w:id="496"/>
      <w:r>
        <w:rPr>
          <w:rFonts w:hint="eastAsia" w:ascii="宋体" w:hAnsi="宋体" w:eastAsia="宋体" w:cs="宋体"/>
          <w:b/>
          <w:color w:val="auto"/>
          <w:sz w:val="22"/>
          <w:szCs w:val="22"/>
          <w:highlight w:val="none"/>
        </w:rPr>
        <w:t>和分包</w:t>
      </w:r>
      <w:bookmarkEnd w:id="497"/>
      <w:bookmarkEnd w:id="498"/>
      <w:bookmarkEnd w:id="499"/>
    </w:p>
    <w:p w14:paraId="479F4D65">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CE2CCF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2.11.2乙方采取分包方式履行合同的，甲方可直接向分包供应商支付款项。</w:t>
      </w:r>
    </w:p>
    <w:p w14:paraId="271FE182">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00" w:name="_Toc14066"/>
      <w:bookmarkStart w:id="501" w:name="_Toc13566"/>
      <w:bookmarkStart w:id="502" w:name="_Toc16508"/>
      <w:r>
        <w:rPr>
          <w:rFonts w:hint="eastAsia" w:ascii="宋体" w:hAnsi="宋体" w:eastAsia="宋体" w:cs="宋体"/>
          <w:b/>
          <w:color w:val="auto"/>
          <w:sz w:val="22"/>
          <w:szCs w:val="22"/>
          <w:highlight w:val="none"/>
        </w:rPr>
        <w:t>2.12 不可抗力</w:t>
      </w:r>
      <w:bookmarkEnd w:id="500"/>
      <w:bookmarkEnd w:id="501"/>
      <w:bookmarkEnd w:id="502"/>
    </w:p>
    <w:p w14:paraId="0981BD6E">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2.12.1如果任何一方遭遇法律规定的不可抗力，致使合同履行受阻时，履行合同的期限应予延长，延长的期限应相当于不可抗力所影响的时间；</w:t>
      </w:r>
    </w:p>
    <w:p w14:paraId="75ABEA6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2.12.2 因不可抗力致使不能实现合同目的的，当事人可以解除合同；</w:t>
      </w:r>
    </w:p>
    <w:p w14:paraId="23EE1C34">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2.12.3 因不可抗力致使合同有变更必要的，双方当事人应在</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约定时间内以书面形式变更合同；</w:t>
      </w:r>
    </w:p>
    <w:p w14:paraId="260DD8B0">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2.12.4受不可抗力影响的一方在不可抗力发生后，应在</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约定时间内以书面形式通知对方当事人，并在</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约定时间内，将有关部门出具的证明文件送达对方当事人。</w:t>
      </w:r>
    </w:p>
    <w:p w14:paraId="2D92BFDE">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03" w:name="_Toc689"/>
      <w:bookmarkStart w:id="504" w:name="_Toc30676"/>
      <w:bookmarkStart w:id="505" w:name="_Toc279701255"/>
      <w:bookmarkStart w:id="506" w:name="_Toc259093684"/>
      <w:bookmarkStart w:id="507" w:name="_Toc487900365"/>
      <w:bookmarkStart w:id="508" w:name="_Toc6969"/>
      <w:r>
        <w:rPr>
          <w:rFonts w:hint="eastAsia" w:ascii="宋体" w:hAnsi="宋体" w:eastAsia="宋体" w:cs="宋体"/>
          <w:b/>
          <w:color w:val="auto"/>
          <w:sz w:val="22"/>
          <w:szCs w:val="22"/>
          <w:highlight w:val="none"/>
        </w:rPr>
        <w:t>2.13 税费</w:t>
      </w:r>
      <w:bookmarkEnd w:id="503"/>
      <w:bookmarkEnd w:id="504"/>
      <w:bookmarkEnd w:id="505"/>
      <w:bookmarkEnd w:id="506"/>
      <w:bookmarkEnd w:id="507"/>
      <w:bookmarkEnd w:id="508"/>
    </w:p>
    <w:p w14:paraId="3D9ED07D">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与合同有关的一切税费，均按照中华人民共和国法律的相关规定。</w:t>
      </w:r>
    </w:p>
    <w:p w14:paraId="7E40104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09" w:name="_Toc259093687"/>
      <w:bookmarkStart w:id="510" w:name="_Toc279701258"/>
      <w:bookmarkStart w:id="511" w:name="_Toc7102"/>
      <w:bookmarkStart w:id="512" w:name="_Toc16959"/>
      <w:bookmarkStart w:id="513" w:name="_Toc487900368"/>
      <w:bookmarkStart w:id="514" w:name="_Toc8298"/>
      <w:r>
        <w:rPr>
          <w:rFonts w:hint="eastAsia" w:ascii="宋体" w:hAnsi="宋体" w:eastAsia="宋体" w:cs="宋体"/>
          <w:b/>
          <w:color w:val="auto"/>
          <w:sz w:val="22"/>
          <w:szCs w:val="22"/>
          <w:highlight w:val="none"/>
        </w:rPr>
        <w:t>2.14乙方破产</w:t>
      </w:r>
      <w:bookmarkEnd w:id="509"/>
      <w:bookmarkEnd w:id="510"/>
      <w:bookmarkEnd w:id="511"/>
      <w:bookmarkEnd w:id="512"/>
      <w:bookmarkEnd w:id="513"/>
      <w:bookmarkEnd w:id="514"/>
    </w:p>
    <w:p w14:paraId="5888561C">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4DDFC8">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15" w:name="_Toc29333"/>
      <w:bookmarkStart w:id="516" w:name="_Toc15387"/>
      <w:bookmarkStart w:id="517" w:name="_Toc6134"/>
      <w:r>
        <w:rPr>
          <w:rFonts w:hint="eastAsia" w:ascii="宋体" w:hAnsi="宋体" w:eastAsia="宋体" w:cs="宋体"/>
          <w:b/>
          <w:color w:val="auto"/>
          <w:sz w:val="22"/>
          <w:szCs w:val="22"/>
          <w:highlight w:val="none"/>
        </w:rPr>
        <w:t>2.15 合同中止、终止</w:t>
      </w:r>
      <w:bookmarkEnd w:id="515"/>
      <w:bookmarkEnd w:id="516"/>
      <w:bookmarkEnd w:id="517"/>
    </w:p>
    <w:p w14:paraId="2050FAF3">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2.15.1 双方当事人不得擅自中止或者终止合同；</w:t>
      </w:r>
    </w:p>
    <w:p w14:paraId="2601627B">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2.15.2合同继续履行将损害国家利益和社会公共利益的，双方当事人应当中止或者终止合同。有过错的一方应当承担赔偿责任，双方当事人都有过错的，各自承担相应的责任。</w:t>
      </w:r>
    </w:p>
    <w:p w14:paraId="3961B432">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18" w:name="_Toc14563"/>
      <w:bookmarkStart w:id="519" w:name="_Toc1125"/>
      <w:bookmarkStart w:id="520" w:name="_Toc6596"/>
      <w:r>
        <w:rPr>
          <w:rFonts w:hint="eastAsia" w:ascii="宋体" w:hAnsi="宋体" w:eastAsia="宋体" w:cs="宋体"/>
          <w:b/>
          <w:color w:val="auto"/>
          <w:sz w:val="22"/>
          <w:szCs w:val="22"/>
          <w:highlight w:val="none"/>
        </w:rPr>
        <w:t>2.16检验和验收</w:t>
      </w:r>
      <w:bookmarkEnd w:id="518"/>
      <w:bookmarkEnd w:id="519"/>
      <w:bookmarkEnd w:id="520"/>
    </w:p>
    <w:p w14:paraId="09CF257B">
      <w:pPr>
        <w:pageBreakBefore w:val="0"/>
        <w:tabs>
          <w:tab w:val="left" w:pos="360"/>
          <w:tab w:val="left" w:pos="540"/>
          <w:tab w:val="left" w:pos="1080"/>
        </w:tabs>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约定时间内组织验收，并可依法邀请相关方参加，验收应出具验收书。</w:t>
      </w:r>
    </w:p>
    <w:p w14:paraId="3C704E12">
      <w:pPr>
        <w:pageBreakBefore w:val="0"/>
        <w:tabs>
          <w:tab w:val="left" w:pos="360"/>
          <w:tab w:val="left" w:pos="540"/>
          <w:tab w:val="left" w:pos="1080"/>
        </w:tabs>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D18E1">
      <w:pPr>
        <w:pageBreakBefore w:val="0"/>
        <w:tabs>
          <w:tab w:val="left" w:pos="360"/>
          <w:tab w:val="left" w:pos="540"/>
          <w:tab w:val="left" w:pos="1080"/>
        </w:tabs>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2.16.3 检验和验收标准、程序等具体内容以及前述验收书的效力详见</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i/>
          <w:color w:val="auto"/>
          <w:sz w:val="22"/>
          <w:szCs w:val="22"/>
          <w:highlight w:val="none"/>
        </w:rPr>
        <w:t>。</w:t>
      </w:r>
    </w:p>
    <w:bookmarkEnd w:id="490"/>
    <w:bookmarkEnd w:id="491"/>
    <w:bookmarkEnd w:id="492"/>
    <w:bookmarkEnd w:id="493"/>
    <w:p w14:paraId="5F62A19D">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21" w:name="_Toc487900371"/>
      <w:bookmarkStart w:id="522" w:name="_Toc279701261"/>
      <w:bookmarkStart w:id="523" w:name="_Toc259093690"/>
      <w:bookmarkStart w:id="524" w:name="_Toc25182"/>
      <w:bookmarkStart w:id="525" w:name="_Toc19604"/>
      <w:bookmarkStart w:id="526" w:name="_Toc11284"/>
      <w:r>
        <w:rPr>
          <w:rFonts w:hint="eastAsia" w:ascii="宋体" w:hAnsi="宋体" w:eastAsia="宋体" w:cs="宋体"/>
          <w:b/>
          <w:color w:val="auto"/>
          <w:sz w:val="22"/>
          <w:szCs w:val="22"/>
          <w:highlight w:val="none"/>
        </w:rPr>
        <w:t>2.17 通知</w:t>
      </w:r>
      <w:bookmarkEnd w:id="521"/>
      <w:bookmarkEnd w:id="522"/>
      <w:bookmarkEnd w:id="523"/>
      <w:r>
        <w:rPr>
          <w:rFonts w:hint="eastAsia" w:ascii="宋体" w:hAnsi="宋体" w:eastAsia="宋体" w:cs="宋体"/>
          <w:b/>
          <w:color w:val="auto"/>
          <w:sz w:val="22"/>
          <w:szCs w:val="22"/>
          <w:highlight w:val="none"/>
        </w:rPr>
        <w:t>和送达</w:t>
      </w:r>
      <w:bookmarkEnd w:id="524"/>
      <w:bookmarkEnd w:id="525"/>
      <w:bookmarkEnd w:id="526"/>
    </w:p>
    <w:p w14:paraId="3E4CD8BD">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527" w:name="_Toc3135"/>
      <w:bookmarkStart w:id="528" w:name="_Toc6698"/>
      <w:bookmarkStart w:id="529" w:name="_Toc487900372"/>
      <w:bookmarkStart w:id="530" w:name="_Toc259093691"/>
      <w:bookmarkStart w:id="531" w:name="_Toc279701262"/>
      <w:r>
        <w:rPr>
          <w:rFonts w:hint="eastAsia" w:ascii="宋体" w:hAnsi="宋体" w:eastAsia="宋体" w:cs="宋体"/>
          <w:color w:val="auto"/>
          <w:sz w:val="22"/>
          <w:szCs w:val="22"/>
          <w:highlight w:val="none"/>
        </w:rPr>
        <w:t xml:space="preserve">2.17.1任何一方因履行合同而以合同第一部分尾部所列明的传真或电子邮件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发出的所有通知、文件、材料，均视为已向对方当事人送达；任何一方变更上述送达方式或者地址的，应于</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highlight w:val="none"/>
        </w:rPr>
        <w:t>个工作日内书面通知对方当事人，在对方当事人收到有关变更通知之前，变更前的约定送达方式或者地址仍视为有效。</w:t>
      </w:r>
      <w:bookmarkEnd w:id="527"/>
      <w:bookmarkEnd w:id="528"/>
    </w:p>
    <w:p w14:paraId="10E36CCB">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bookmarkStart w:id="532" w:name="_Toc23128"/>
      <w:bookmarkStart w:id="533" w:name="_Toc23294"/>
      <w:r>
        <w:rPr>
          <w:rFonts w:hint="eastAsia" w:ascii="宋体" w:hAnsi="宋体" w:eastAsia="宋体" w:cs="宋体"/>
          <w:color w:val="auto"/>
          <w:sz w:val="22"/>
          <w:szCs w:val="22"/>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6CE2E4FB">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34" w:name="_Toc18540"/>
      <w:bookmarkStart w:id="535" w:name="_Toc4355"/>
      <w:bookmarkStart w:id="536" w:name="_Toc30599"/>
      <w:r>
        <w:rPr>
          <w:rFonts w:hint="eastAsia" w:ascii="宋体" w:hAnsi="宋体" w:eastAsia="宋体" w:cs="宋体"/>
          <w:b/>
          <w:color w:val="auto"/>
          <w:sz w:val="22"/>
          <w:szCs w:val="22"/>
          <w:highlight w:val="none"/>
        </w:rPr>
        <w:t>2.18 计量单位</w:t>
      </w:r>
      <w:bookmarkEnd w:id="529"/>
      <w:bookmarkEnd w:id="530"/>
      <w:bookmarkEnd w:id="531"/>
      <w:bookmarkEnd w:id="534"/>
      <w:bookmarkEnd w:id="535"/>
      <w:bookmarkEnd w:id="536"/>
    </w:p>
    <w:p w14:paraId="6866658F">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除技术规范中另有规定外,合同的计量单位均使用国家法定计量单位。</w:t>
      </w:r>
    </w:p>
    <w:p w14:paraId="64C96380">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37" w:name="_Toc279701263"/>
      <w:bookmarkStart w:id="538" w:name="_Toc18567"/>
      <w:bookmarkStart w:id="539" w:name="_Toc12773"/>
      <w:bookmarkStart w:id="540" w:name="_Toc487900373"/>
      <w:bookmarkStart w:id="541" w:name="_Toc259093692"/>
      <w:bookmarkStart w:id="542" w:name="_Toc10330"/>
      <w:r>
        <w:rPr>
          <w:rFonts w:hint="eastAsia" w:ascii="宋体" w:hAnsi="宋体" w:eastAsia="宋体" w:cs="宋体"/>
          <w:b/>
          <w:color w:val="auto"/>
          <w:sz w:val="22"/>
          <w:szCs w:val="22"/>
          <w:highlight w:val="none"/>
        </w:rPr>
        <w:t>2.19 合同使用的文字和适用的法律</w:t>
      </w:r>
      <w:bookmarkEnd w:id="537"/>
      <w:bookmarkEnd w:id="538"/>
      <w:bookmarkEnd w:id="539"/>
      <w:bookmarkEnd w:id="540"/>
      <w:bookmarkEnd w:id="541"/>
      <w:bookmarkEnd w:id="542"/>
    </w:p>
    <w:p w14:paraId="6DA389A8">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2.19.1 合同使用汉语书就、变更和解释；</w:t>
      </w:r>
    </w:p>
    <w:p w14:paraId="683A80C9">
      <w:pPr>
        <w:pageBreakBefore w:val="0"/>
        <w:kinsoku/>
        <w:wordWrap/>
        <w:overflowPunct/>
        <w:topLinePunct w:val="0"/>
        <w:bidi w:val="0"/>
        <w:spacing w:line="46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2.19.2 合同适用中华人民共和国法律。</w:t>
      </w:r>
    </w:p>
    <w:p w14:paraId="1F2FCB55">
      <w:pPr>
        <w:pageBreakBefore w:val="0"/>
        <w:kinsoku/>
        <w:wordWrap/>
        <w:overflowPunct/>
        <w:topLinePunct w:val="0"/>
        <w:bidi w:val="0"/>
        <w:spacing w:line="460" w:lineRule="atLeast"/>
        <w:ind w:firstLine="442" w:firstLineChars="200"/>
        <w:textAlignment w:val="auto"/>
        <w:outlineLvl w:val="0"/>
        <w:rPr>
          <w:rFonts w:hint="eastAsia" w:ascii="宋体" w:hAnsi="宋体" w:eastAsia="宋体" w:cs="宋体"/>
          <w:b/>
          <w:color w:val="auto"/>
          <w:sz w:val="22"/>
          <w:szCs w:val="22"/>
          <w:highlight w:val="none"/>
        </w:rPr>
      </w:pPr>
      <w:bookmarkStart w:id="543" w:name="_Toc19890"/>
      <w:bookmarkStart w:id="544" w:name="_Toc14001"/>
      <w:bookmarkStart w:id="545" w:name="_Toc6885"/>
      <w:r>
        <w:rPr>
          <w:rFonts w:hint="eastAsia" w:ascii="宋体" w:hAnsi="宋体" w:eastAsia="宋体" w:cs="宋体"/>
          <w:b/>
          <w:color w:val="auto"/>
          <w:sz w:val="22"/>
          <w:szCs w:val="22"/>
          <w:highlight w:val="none"/>
        </w:rPr>
        <w:t>2.20 合同份数</w:t>
      </w:r>
      <w:bookmarkEnd w:id="543"/>
      <w:bookmarkEnd w:id="544"/>
      <w:bookmarkEnd w:id="545"/>
    </w:p>
    <w:p w14:paraId="4131B892">
      <w:pPr>
        <w:pageBreakBefore w:val="0"/>
        <w:kinsoku/>
        <w:wordWrap/>
        <w:overflowPunct/>
        <w:topLinePunct w:val="0"/>
        <w:bidi w:val="0"/>
        <w:spacing w:line="460" w:lineRule="atLeast"/>
        <w:ind w:firstLine="440" w:firstLineChars="200"/>
        <w:textAlignment w:val="auto"/>
        <w:rPr>
          <w:rFonts w:ascii="宋体" w:hAnsi="宋体" w:cs="宋体"/>
          <w:color w:val="auto"/>
          <w:sz w:val="24"/>
          <w:highlight w:val="none"/>
        </w:rPr>
      </w:pPr>
      <w:r>
        <w:rPr>
          <w:rFonts w:hint="eastAsia" w:ascii="宋体" w:hAnsi="宋体" w:eastAsia="宋体" w:cs="宋体"/>
          <w:color w:val="auto"/>
          <w:sz w:val="22"/>
          <w:szCs w:val="22"/>
          <w:highlight w:val="none"/>
        </w:rPr>
        <w:t>合同份数按</w:t>
      </w:r>
      <w:r>
        <w:rPr>
          <w:rFonts w:hint="eastAsia" w:ascii="宋体" w:hAnsi="宋体" w:eastAsia="宋体" w:cs="宋体"/>
          <w:b/>
          <w:i/>
          <w:color w:val="auto"/>
          <w:sz w:val="22"/>
          <w:szCs w:val="22"/>
          <w:highlight w:val="none"/>
          <w:u w:val="single"/>
        </w:rPr>
        <w:t>合同专用条款</w:t>
      </w:r>
      <w:r>
        <w:rPr>
          <w:rFonts w:hint="eastAsia" w:ascii="宋体" w:hAnsi="宋体" w:eastAsia="宋体" w:cs="宋体"/>
          <w:color w:val="auto"/>
          <w:sz w:val="22"/>
          <w:szCs w:val="22"/>
          <w:highlight w:val="none"/>
        </w:rPr>
        <w:t>规定，每份均具有同等法律效力。</w:t>
      </w:r>
    </w:p>
    <w:p w14:paraId="4C5E1E15">
      <w:pPr>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6A1A0061">
      <w:pPr>
        <w:keepNext w:val="0"/>
        <w:keepLines w:val="0"/>
        <w:pageBreakBefore w:val="0"/>
        <w:widowControl w:val="0"/>
        <w:kinsoku/>
        <w:wordWrap/>
        <w:overflowPunct/>
        <w:topLinePunct w:val="0"/>
        <w:autoSpaceDE/>
        <w:autoSpaceDN/>
        <w:bidi w:val="0"/>
        <w:adjustRightInd/>
        <w:snapToGrid/>
        <w:spacing w:line="460" w:lineRule="atLeast"/>
        <w:ind w:left="-420" w:leftChars="-200" w:right="-420" w:rightChars="-20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3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2"/>
        <w:gridCol w:w="8919"/>
      </w:tblGrid>
      <w:tr w14:paraId="0AAC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31" w:type="pct"/>
            <w:tcBorders>
              <w:left w:val="single" w:color="auto" w:sz="4" w:space="0"/>
            </w:tcBorders>
            <w:vAlign w:val="center"/>
          </w:tcPr>
          <w:p w14:paraId="16BAA848">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4568" w:type="pct"/>
            <w:vAlign w:val="center"/>
          </w:tcPr>
          <w:p w14:paraId="11F5DC67">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约定内容</w:t>
            </w:r>
          </w:p>
        </w:tc>
      </w:tr>
      <w:tr w14:paraId="143B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1BCCB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4568" w:type="pct"/>
            <w:vAlign w:val="center"/>
          </w:tcPr>
          <w:p w14:paraId="4F9D09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合同签订后，卖方</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个工作日内支付合同金额的1%作为履约保证金（提交方式：转账、支票、汇票、本票或者金融机构、担保机构出具的保函等形式），合同期满后买方按程序在7个工作日内无息退还（保函有效期不少于合同期）。</w:t>
            </w:r>
          </w:p>
        </w:tc>
      </w:tr>
      <w:tr w14:paraId="18A23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5F2B8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1.5.1</w:t>
            </w:r>
          </w:p>
        </w:tc>
        <w:tc>
          <w:tcPr>
            <w:tcW w:w="4568" w:type="pct"/>
            <w:vAlign w:val="center"/>
          </w:tcPr>
          <w:p w14:paraId="051271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b/>
                <w:bCs/>
                <w:color w:val="auto"/>
                <w:sz w:val="22"/>
                <w:szCs w:val="22"/>
                <w:highlight w:val="none"/>
                <w:u w:val="single"/>
              </w:rPr>
            </w:pPr>
            <w:r>
              <w:rPr>
                <w:rFonts w:hint="eastAsia" w:ascii="宋体" w:eastAsia="宋体"/>
                <w:b/>
                <w:bCs/>
                <w:color w:val="auto"/>
                <w:sz w:val="22"/>
                <w:szCs w:val="22"/>
                <w:highlight w:val="none"/>
                <w:u w:val="single"/>
              </w:rPr>
              <w:t>采购人在收到供货书面清单后，支付40%预付款，在产品安装完毕最终验收合格后在财政款项拨付后15个工作日内付60%。</w:t>
            </w:r>
          </w:p>
          <w:p w14:paraId="6A6CE1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eastAsia="宋体"/>
                <w:b w:val="0"/>
                <w:bCs w:val="0"/>
                <w:color w:val="auto"/>
                <w:sz w:val="22"/>
                <w:szCs w:val="22"/>
                <w:highlight w:val="none"/>
              </w:rPr>
              <w:t>因财政国库库款能力不足等情势变更情况导致无法执行相关文件要求的支付比例，采购人与中标供应商应根据实际情况另行协商约定。</w:t>
            </w:r>
          </w:p>
        </w:tc>
      </w:tr>
      <w:tr w14:paraId="4AD9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5C31F2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1.5.2 </w:t>
            </w:r>
          </w:p>
        </w:tc>
        <w:tc>
          <w:tcPr>
            <w:tcW w:w="4568" w:type="pct"/>
            <w:vAlign w:val="center"/>
          </w:tcPr>
          <w:p w14:paraId="73553A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按合同约定扣款</w:t>
            </w:r>
          </w:p>
        </w:tc>
      </w:tr>
      <w:tr w14:paraId="56F8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248F9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w:t>
            </w:r>
          </w:p>
        </w:tc>
        <w:tc>
          <w:tcPr>
            <w:tcW w:w="4568" w:type="pct"/>
            <w:vAlign w:val="center"/>
          </w:tcPr>
          <w:p w14:paraId="5868EF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按合同约定扣款</w:t>
            </w:r>
          </w:p>
        </w:tc>
      </w:tr>
      <w:tr w14:paraId="7262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431" w:type="pct"/>
            <w:tcBorders>
              <w:left w:val="single" w:color="auto" w:sz="4" w:space="0"/>
            </w:tcBorders>
            <w:vAlign w:val="center"/>
          </w:tcPr>
          <w:p w14:paraId="4B8BE5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4568" w:type="pct"/>
            <w:vAlign w:val="center"/>
          </w:tcPr>
          <w:p w14:paraId="044712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eastAsia="宋体"/>
                <w:b/>
                <w:bCs/>
                <w:color w:val="auto"/>
                <w:sz w:val="22"/>
                <w:szCs w:val="22"/>
                <w:highlight w:val="none"/>
                <w:u w:val="single"/>
              </w:rPr>
              <w:t>采购人在收到供货书面清单后，支付40%预付款，在产品安装完毕最终验收合格后在财政款项拨付后15个工作日内付60%。</w:t>
            </w:r>
            <w:r>
              <w:rPr>
                <w:rFonts w:hint="eastAsia" w:ascii="宋体" w:hAnsi="宋体" w:eastAsia="宋体" w:cs="宋体"/>
                <w:color w:val="auto"/>
                <w:sz w:val="22"/>
                <w:szCs w:val="22"/>
                <w:highlight w:val="none"/>
                <w:lang w:val="en-US" w:eastAsia="zh-CN"/>
              </w:rPr>
              <w:t>并退还保函。</w:t>
            </w:r>
          </w:p>
        </w:tc>
      </w:tr>
      <w:tr w14:paraId="25BD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52AAB4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4568" w:type="pct"/>
            <w:vAlign w:val="center"/>
          </w:tcPr>
          <w:p w14:paraId="036ADB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2025年9月1日前完成所有设备的供货及安装调试，提交一份完整的设备安装验收单或验收报告，由甲方进行验收。</w:t>
            </w:r>
          </w:p>
        </w:tc>
      </w:tr>
      <w:tr w14:paraId="1EE0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2D2176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w:t>
            </w:r>
          </w:p>
        </w:tc>
        <w:tc>
          <w:tcPr>
            <w:tcW w:w="4568" w:type="pct"/>
            <w:vAlign w:val="center"/>
          </w:tcPr>
          <w:p w14:paraId="21B05D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甲方指定地点。</w:t>
            </w:r>
          </w:p>
        </w:tc>
      </w:tr>
      <w:tr w14:paraId="3A30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61CAD5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w:t>
            </w:r>
          </w:p>
        </w:tc>
        <w:tc>
          <w:tcPr>
            <w:tcW w:w="4568" w:type="pct"/>
            <w:vAlign w:val="center"/>
          </w:tcPr>
          <w:p w14:paraId="74E15E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（1）现场交货：乙方负责办理运输和保险，将货物运抵甲方指定的现场并落地就位。有关运输和保险的一切费用由乙方承担。所有货物运抵现场的日期为交货日期。 </w:t>
            </w:r>
          </w:p>
          <w:p w14:paraId="3839CA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（2）在现场交货条件下，乙方在货物发运前</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天，将要发运货物的合同号、货物名称、规格、数量、包装箱件数、重量、包装箱尺寸（长×宽×高）和货物的卸车，贮存的特殊要求以及运输工具名称以及启运日期。</w:t>
            </w:r>
          </w:p>
        </w:tc>
      </w:tr>
      <w:tr w14:paraId="6B68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7353B3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w:t>
            </w:r>
          </w:p>
        </w:tc>
        <w:tc>
          <w:tcPr>
            <w:tcW w:w="4568" w:type="pct"/>
            <w:vAlign w:val="center"/>
          </w:tcPr>
          <w:p w14:paraId="6E0579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1、甲方无正当理由拒收货物的，甲方向乙方偿付拒收货款</w:t>
            </w:r>
            <w:r>
              <w:rPr>
                <w:rFonts w:hint="eastAsia" w:ascii="宋体" w:eastAsia="宋体"/>
                <w:b w:val="0"/>
                <w:bCs w:val="0"/>
                <w:color w:val="auto"/>
                <w:sz w:val="22"/>
                <w:szCs w:val="22"/>
                <w:highlight w:val="none"/>
              </w:rPr>
              <w:t>总值</w:t>
            </w:r>
            <w:r>
              <w:rPr>
                <w:rFonts w:hint="eastAsia" w:ascii="宋体" w:hAnsi="宋体" w:eastAsia="宋体" w:cs="宋体"/>
                <w:color w:val="auto"/>
                <w:sz w:val="22"/>
                <w:szCs w:val="22"/>
                <w:highlight w:val="none"/>
              </w:rPr>
              <w:t xml:space="preserve">的百分之五违约金。 </w:t>
            </w:r>
          </w:p>
          <w:p w14:paraId="57E953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2、甲方无故逾期验收和办理货款支付手续的,甲方应按逾期付款总额每日万分之五向乙方</w:t>
            </w:r>
            <w:r>
              <w:rPr>
                <w:rFonts w:hint="eastAsia" w:ascii="宋体" w:eastAsia="宋体"/>
                <w:b w:val="0"/>
                <w:bCs w:val="0"/>
                <w:color w:val="auto"/>
                <w:sz w:val="22"/>
                <w:szCs w:val="22"/>
                <w:highlight w:val="none"/>
              </w:rPr>
              <w:t>支付</w:t>
            </w:r>
            <w:r>
              <w:rPr>
                <w:rFonts w:hint="eastAsia" w:ascii="宋体" w:hAnsi="宋体" w:eastAsia="宋体" w:cs="宋体"/>
                <w:color w:val="auto"/>
                <w:sz w:val="22"/>
                <w:szCs w:val="22"/>
                <w:highlight w:val="none"/>
              </w:rPr>
              <w:t xml:space="preserve">违约金。 </w:t>
            </w:r>
          </w:p>
          <w:p w14:paraId="6C7B22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3、乙方逾期交付货物的，乙方应按逾期交货总额每日千分之六向甲方支付违约金，由甲方从待付货款中扣除。逾期超过约定日期</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个工作日不能交货的，甲方可解除本合同。乙方因逾期交货或因其他违约行为导致甲方解除合同的，乙方应向甲方支付合同总值5%的违约金，如造成甲方损失超过违约金的，超出部分由乙方继续承担赔偿责任。</w:t>
            </w:r>
          </w:p>
          <w:p w14:paraId="4C3CDD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4、乙方所交的货物品种、型号、规格、技术参数、质量不符合合同规定及</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 xml:space="preserve">规定标准的，甲方有权拒收该货物，乙方愿意更换货物但逾期交货的，按乙方逾期交货处理。乙方拒绝更换货物的，甲方可单方面解除合同。 </w:t>
            </w:r>
          </w:p>
        </w:tc>
      </w:tr>
      <w:tr w14:paraId="3AEB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6440AD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lang w:val="en-US" w:eastAsia="zh-CN"/>
              </w:rPr>
              <w:t>.1</w:t>
            </w:r>
          </w:p>
        </w:tc>
        <w:tc>
          <w:tcPr>
            <w:tcW w:w="4568" w:type="pct"/>
            <w:vAlign w:val="center"/>
          </w:tcPr>
          <w:p w14:paraId="361501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合同签约地。</w:t>
            </w:r>
          </w:p>
        </w:tc>
      </w:tr>
      <w:tr w14:paraId="4F3E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5AEE42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w:t>
            </w:r>
          </w:p>
        </w:tc>
        <w:tc>
          <w:tcPr>
            <w:tcW w:w="4568" w:type="pct"/>
            <w:vAlign w:val="center"/>
          </w:tcPr>
          <w:p w14:paraId="357E3C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合同签约地。</w:t>
            </w:r>
          </w:p>
        </w:tc>
      </w:tr>
      <w:tr w14:paraId="4B22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51800B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4568" w:type="pct"/>
            <w:vAlign w:val="center"/>
          </w:tcPr>
          <w:p w14:paraId="063BD8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乙方应保证所提供的货物或其任何一部分均不会侵犯任何第三方的知识产权</w:t>
            </w:r>
            <w:r>
              <w:rPr>
                <w:rFonts w:hint="eastAsia" w:ascii="宋体" w:hAnsi="宋体" w:eastAsia="宋体" w:cs="宋体"/>
                <w:color w:val="auto"/>
                <w:sz w:val="22"/>
                <w:szCs w:val="22"/>
                <w:highlight w:val="none"/>
                <w:lang w:eastAsia="zh-CN"/>
              </w:rPr>
              <w:t>，若有则由乙方全权负责。</w:t>
            </w:r>
          </w:p>
        </w:tc>
      </w:tr>
      <w:tr w14:paraId="0B3F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3A3D6C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4568" w:type="pct"/>
            <w:vAlign w:val="center"/>
          </w:tcPr>
          <w:p w14:paraId="3DAB07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0DA3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31" w:type="pct"/>
            <w:tcBorders>
              <w:left w:val="single" w:color="auto" w:sz="4" w:space="0"/>
            </w:tcBorders>
            <w:vAlign w:val="center"/>
          </w:tcPr>
          <w:p w14:paraId="3A93C6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2.16.1</w:t>
            </w:r>
          </w:p>
        </w:tc>
        <w:tc>
          <w:tcPr>
            <w:tcW w:w="4568" w:type="pct"/>
            <w:vAlign w:val="center"/>
          </w:tcPr>
          <w:p w14:paraId="057B17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合同约定时间</w:t>
            </w:r>
          </w:p>
        </w:tc>
      </w:tr>
      <w:tr w14:paraId="4A03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31" w:type="pct"/>
            <w:tcBorders>
              <w:left w:val="single" w:color="auto" w:sz="4" w:space="0"/>
            </w:tcBorders>
            <w:vAlign w:val="center"/>
          </w:tcPr>
          <w:p w14:paraId="73B677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2.16.3</w:t>
            </w:r>
          </w:p>
        </w:tc>
        <w:tc>
          <w:tcPr>
            <w:tcW w:w="4568" w:type="pct"/>
            <w:vAlign w:val="center"/>
          </w:tcPr>
          <w:p w14:paraId="5710ED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5D2B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31" w:type="pct"/>
            <w:tcBorders>
              <w:left w:val="single" w:color="auto" w:sz="4" w:space="0"/>
            </w:tcBorders>
            <w:vAlign w:val="center"/>
          </w:tcPr>
          <w:p w14:paraId="2C3E79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eastAsia="宋体"/>
                <w:b w:val="0"/>
                <w:bCs w:val="0"/>
                <w:color w:val="auto"/>
                <w:sz w:val="22"/>
                <w:szCs w:val="22"/>
                <w:highlight w:val="none"/>
              </w:rPr>
              <w:t xml:space="preserve">20 </w:t>
            </w:r>
          </w:p>
        </w:tc>
        <w:tc>
          <w:tcPr>
            <w:tcW w:w="4568" w:type="pct"/>
            <w:vAlign w:val="center"/>
          </w:tcPr>
          <w:p w14:paraId="5B839E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本合同壹式</w:t>
            </w:r>
            <w:r>
              <w:rPr>
                <w:rFonts w:hint="eastAsia" w:ascii="宋体" w:hAnsi="宋体" w:eastAsia="宋体" w:cs="宋体"/>
                <w:color w:val="auto"/>
                <w:sz w:val="22"/>
                <w:szCs w:val="22"/>
                <w:highlight w:val="none"/>
                <w:lang w:eastAsia="zh-CN"/>
              </w:rPr>
              <w:t>陆</w:t>
            </w:r>
            <w:r>
              <w:rPr>
                <w:rFonts w:hint="eastAsia" w:ascii="宋体" w:hAnsi="宋体" w:eastAsia="宋体" w:cs="宋体"/>
                <w:color w:val="auto"/>
                <w:sz w:val="22"/>
                <w:szCs w:val="22"/>
                <w:highlight w:val="none"/>
              </w:rPr>
              <w:t>份，具有同等法律效力，</w:t>
            </w:r>
            <w:r>
              <w:rPr>
                <w:rFonts w:hint="eastAsia" w:ascii="宋体" w:hAnsi="宋体" w:eastAsia="宋体" w:cs="宋体"/>
                <w:color w:val="auto"/>
                <w:sz w:val="22"/>
                <w:szCs w:val="22"/>
                <w:highlight w:val="none"/>
                <w:lang w:val="en-US" w:eastAsia="zh-CN"/>
              </w:rPr>
              <w:t>甲方肆份，乙方贰份</w:t>
            </w:r>
            <w:r>
              <w:rPr>
                <w:rFonts w:hint="eastAsia" w:ascii="宋体" w:hAnsi="宋体" w:eastAsia="宋体" w:cs="宋体"/>
                <w:color w:val="auto"/>
                <w:sz w:val="22"/>
                <w:szCs w:val="22"/>
                <w:highlight w:val="none"/>
                <w:lang w:eastAsia="zh-CN"/>
              </w:rPr>
              <w:t>。</w:t>
            </w:r>
          </w:p>
        </w:tc>
      </w:tr>
    </w:tbl>
    <w:p w14:paraId="0E3C89D2">
      <w:pPr>
        <w:pStyle w:val="24"/>
        <w:spacing w:line="460" w:lineRule="exact"/>
        <w:ind w:firstLine="0"/>
        <w:rPr>
          <w:rFonts w:cs="仿宋" w:asciiTheme="minorEastAsia" w:hAnsiTheme="minorEastAsia"/>
          <w:color w:val="auto"/>
          <w:szCs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56F9E971">
      <w:pPr>
        <w:pStyle w:val="20"/>
        <w:rPr>
          <w:rFonts w:cs="仿宋" w:asciiTheme="minorEastAsia" w:hAnsiTheme="minorEastAsia"/>
          <w:color w:val="auto"/>
          <w:highlight w:val="none"/>
        </w:rPr>
      </w:pPr>
    </w:p>
    <w:p w14:paraId="16B3DF64">
      <w:pP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3E6695A3">
      <w:pPr>
        <w:spacing w:line="460" w:lineRule="exact"/>
        <w:jc w:val="center"/>
        <w:outlineLvl w:val="0"/>
        <w:rPr>
          <w:rFonts w:cs="仿宋" w:asciiTheme="minorEastAsia" w:hAnsiTheme="minorEastAsia"/>
          <w:b/>
          <w:color w:val="auto"/>
          <w:kern w:val="0"/>
          <w:sz w:val="24"/>
          <w:highlight w:val="none"/>
        </w:rPr>
      </w:pPr>
    </w:p>
    <w:p w14:paraId="72E18F66">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7CA0074E">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1C18D3C4">
      <w:pPr>
        <w:spacing w:line="360" w:lineRule="auto"/>
        <w:jc w:val="center"/>
        <w:outlineLvl w:val="0"/>
        <w:rPr>
          <w:rFonts w:cs="仿宋" w:asciiTheme="minorEastAsia" w:hAnsiTheme="minorEastAsia"/>
          <w:b/>
          <w:color w:val="auto"/>
          <w:kern w:val="0"/>
          <w:sz w:val="36"/>
          <w:szCs w:val="36"/>
          <w:highlight w:val="none"/>
        </w:rPr>
      </w:pPr>
    </w:p>
    <w:p w14:paraId="4F6CD086">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（1）符合参加政府采购活动应当具备的一般条件的承诺函……………（页码）</w:t>
      </w:r>
    </w:p>
    <w:p w14:paraId="7C27883D">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（2）联合协议（如果有）…………………………………………………（页码）</w:t>
      </w:r>
    </w:p>
    <w:p w14:paraId="235015FF">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（3）落实政府采购政策需满足的资格要求（如果有）…………………（页码）</w:t>
      </w:r>
    </w:p>
    <w:p w14:paraId="27FD2428">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（4）本项目的特定资格要求（如果有）…………………………………（页码）</w:t>
      </w:r>
    </w:p>
    <w:p w14:paraId="064439DD">
      <w:pPr>
        <w:snapToGrid w:val="0"/>
        <w:spacing w:line="360" w:lineRule="auto"/>
        <w:ind w:firstLine="480" w:firstLineChars="200"/>
        <w:rPr>
          <w:rFonts w:cs="仿宋" w:asciiTheme="minorEastAsia" w:hAnsiTheme="minorEastAsia"/>
          <w:color w:val="auto"/>
          <w:sz w:val="24"/>
          <w:highlight w:val="none"/>
        </w:rPr>
      </w:pPr>
    </w:p>
    <w:p w14:paraId="5E5C1E23">
      <w:pPr>
        <w:spacing w:line="360" w:lineRule="auto"/>
        <w:ind w:firstLine="480" w:firstLineChars="200"/>
        <w:rPr>
          <w:rFonts w:cs="仿宋" w:asciiTheme="minorEastAsia" w:hAnsiTheme="minorEastAsia"/>
          <w:color w:val="auto"/>
          <w:sz w:val="24"/>
          <w:highlight w:val="none"/>
        </w:rPr>
      </w:pPr>
    </w:p>
    <w:p w14:paraId="747A73A6">
      <w:pPr>
        <w:snapToGrid w:val="0"/>
        <w:spacing w:line="360" w:lineRule="auto"/>
        <w:ind w:right="480"/>
        <w:jc w:val="center"/>
        <w:rPr>
          <w:rFonts w:cs="仿宋" w:asciiTheme="minorEastAsia" w:hAnsiTheme="minorEastAsia"/>
          <w:color w:val="auto"/>
          <w:kern w:val="0"/>
          <w:sz w:val="24"/>
          <w:highlight w:val="none"/>
        </w:rPr>
        <w:sectPr>
          <w:headerReference r:id="rId15" w:type="first"/>
          <w:footerReference r:id="rId17" w:type="first"/>
          <w:headerReference r:id="rId14" w:type="default"/>
          <w:footerReference r:id="rId16"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0B5D5F7C">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一、 符合参加政府采购活动应当具备的一般条件的承诺函</w:t>
      </w:r>
    </w:p>
    <w:p w14:paraId="791D8FF7">
      <w:pPr>
        <w:widowControl/>
        <w:spacing w:line="460" w:lineRule="atLeast"/>
        <w:jc w:val="left"/>
        <w:rPr>
          <w:rFonts w:hint="eastAsia" w:ascii="宋体" w:hAnsi="宋体" w:eastAsia="宋体" w:cs="宋体"/>
          <w:b/>
          <w:bCs w:val="0"/>
          <w:color w:val="auto"/>
          <w:kern w:val="0"/>
          <w:sz w:val="22"/>
          <w:szCs w:val="21"/>
          <w:highlight w:val="none"/>
          <w:u w:val="single"/>
          <w:lang w:val="en-US" w:eastAsia="zh-CN"/>
        </w:rPr>
      </w:pPr>
      <w:r>
        <w:rPr>
          <w:rFonts w:hint="eastAsia" w:ascii="宋体" w:hAnsi="宋体" w:eastAsia="宋体" w:cs="宋体"/>
          <w:b/>
          <w:bCs w:val="0"/>
          <w:color w:val="auto"/>
          <w:kern w:val="0"/>
          <w:sz w:val="22"/>
          <w:szCs w:val="21"/>
          <w:highlight w:val="none"/>
          <w:u w:val="single"/>
          <w:lang w:val="en-US" w:eastAsia="zh-CN"/>
        </w:rPr>
        <w:t>（采购人）、（采购代理机构）：</w:t>
      </w:r>
    </w:p>
    <w:p w14:paraId="20A2B43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我方参与</w:t>
      </w:r>
      <w:r>
        <w:rPr>
          <w:rFonts w:hint="eastAsia" w:ascii="宋体" w:hAnsi="宋体" w:eastAsia="宋体" w:cs="宋体"/>
          <w:b/>
          <w:bCs w:val="0"/>
          <w:color w:val="auto"/>
          <w:kern w:val="0"/>
          <w:sz w:val="22"/>
          <w:szCs w:val="21"/>
          <w:highlight w:val="none"/>
          <w:u w:val="single"/>
          <w:lang w:val="en-US" w:eastAsia="zh-CN"/>
        </w:rPr>
        <w:t>永嘉县瓯北第二小学食堂设备采购</w:t>
      </w:r>
      <w:r>
        <w:rPr>
          <w:rFonts w:hint="eastAsia" w:ascii="宋体" w:hAnsi="宋体" w:eastAsia="宋体" w:cs="宋体"/>
          <w:b w:val="0"/>
          <w:bCs/>
          <w:color w:val="auto"/>
          <w:kern w:val="0"/>
          <w:sz w:val="22"/>
          <w:szCs w:val="21"/>
          <w:highlight w:val="none"/>
          <w:lang w:val="en-US" w:eastAsia="zh-CN"/>
        </w:rPr>
        <w:t>【</w:t>
      </w:r>
      <w:r>
        <w:rPr>
          <w:rFonts w:hint="eastAsia" w:ascii="宋体" w:hAnsi="宋体" w:eastAsia="宋体" w:cs="宋体"/>
          <w:b/>
          <w:bCs w:val="0"/>
          <w:color w:val="auto"/>
          <w:kern w:val="0"/>
          <w:sz w:val="22"/>
          <w:szCs w:val="21"/>
          <w:highlight w:val="none"/>
          <w:u w:val="single"/>
          <w:lang w:val="en-US" w:eastAsia="zh-CN"/>
        </w:rPr>
        <w:t>项目编号：</w:t>
      </w:r>
      <w:r>
        <w:rPr>
          <w:rFonts w:hint="eastAsia" w:ascii="宋体" w:hAnsi="宋体" w:eastAsia="宋体" w:cs="宋体"/>
          <w:b w:val="0"/>
          <w:bCs/>
          <w:color w:val="auto"/>
          <w:kern w:val="0"/>
          <w:sz w:val="22"/>
          <w:szCs w:val="21"/>
          <w:highlight w:val="none"/>
          <w:lang w:val="en-US" w:eastAsia="zh-CN"/>
        </w:rPr>
        <w:t>】政府采购活动，郑重承诺：</w:t>
      </w:r>
    </w:p>
    <w:p w14:paraId="65D900A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（一）具备《中华人民共和国政府采购法》第二十二条第一款规定的条件：</w:t>
      </w:r>
    </w:p>
    <w:p w14:paraId="3854C15B">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1、具有独立承担民事责任的能力；</w:t>
      </w:r>
    </w:p>
    <w:p w14:paraId="3400C192">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 xml:space="preserve">2、具有良好的商业信誉和健全的财务会计制度； </w:t>
      </w:r>
    </w:p>
    <w:p w14:paraId="7445DA0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3、具有履行合同所必需的设备和专业技术能力；</w:t>
      </w:r>
    </w:p>
    <w:p w14:paraId="088339D9">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4、有依法缴纳税收和社会保障资金的良好记录；</w:t>
      </w:r>
    </w:p>
    <w:p w14:paraId="6DEE123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5、参加政府采购活动前三年内，在经营活动中没有重大违法记录；</w:t>
      </w:r>
    </w:p>
    <w:p w14:paraId="28FB59C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6、具有法律、行政法规规定的其他条件。</w:t>
      </w:r>
    </w:p>
    <w:p w14:paraId="0276046F">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（二）符合《中华人民共和国政府采购法》第二十二条规定的供应商资格要求及项目特定资格要求（如有）</w:t>
      </w:r>
    </w:p>
    <w:p w14:paraId="27B76ACD">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（三）未被信用中国（www.creditchina.gov.cn)、中国政府采购网（www.ccgp.gov.cn）列入失信被执行人、重大税收违法案件当事人名单、政府采购严重违法失信行为记录名单。</w:t>
      </w:r>
    </w:p>
    <w:p w14:paraId="50384D04">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（四）不存在以下情况：</w:t>
      </w:r>
    </w:p>
    <w:p w14:paraId="3AFF2CF0">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1、单位负责人为同一人或者存在直接控股、管理关系的不同供应商参加同一合同项下的政府采购活动的；</w:t>
      </w:r>
    </w:p>
    <w:p w14:paraId="608D76D5">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en-US" w:eastAsia="zh-CN"/>
        </w:rPr>
        <w:t>2、为采购项目提供整体设计、规范编制或者项目管理、监理、检测等服务后再参加该采购项目的其他采购活动的。</w:t>
      </w:r>
    </w:p>
    <w:p w14:paraId="0B1F778A">
      <w:pPr>
        <w:widowControl/>
        <w:spacing w:line="460" w:lineRule="atLeast"/>
        <w:ind w:firstLine="440" w:firstLineChars="200"/>
        <w:jc w:val="left"/>
        <w:rPr>
          <w:rFonts w:hint="eastAsia" w:ascii="宋体" w:hAnsi="宋体" w:eastAsia="宋体" w:cs="宋体"/>
          <w:b w:val="0"/>
          <w:bCs/>
          <w:color w:val="auto"/>
          <w:kern w:val="0"/>
          <w:sz w:val="22"/>
          <w:szCs w:val="21"/>
          <w:highlight w:val="none"/>
          <w:lang w:val="zh-CN" w:eastAsia="zh-CN"/>
        </w:rPr>
      </w:pPr>
    </w:p>
    <w:p w14:paraId="04DCD5DA">
      <w:pPr>
        <w:widowControl/>
        <w:spacing w:line="460" w:lineRule="atLeast"/>
        <w:ind w:firstLine="5500" w:firstLineChars="25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zh-CN" w:eastAsia="zh-CN"/>
        </w:rPr>
        <w:t>供应商名称(电子签名)：</w:t>
      </w:r>
    </w:p>
    <w:p w14:paraId="216C2D3F">
      <w:pPr>
        <w:widowControl/>
        <w:spacing w:line="460" w:lineRule="atLeast"/>
        <w:ind w:firstLine="5500" w:firstLineChars="2500"/>
        <w:jc w:val="left"/>
        <w:rPr>
          <w:rFonts w:hint="eastAsia" w:ascii="宋体" w:hAnsi="宋体" w:eastAsia="宋体" w:cs="宋体"/>
          <w:b w:val="0"/>
          <w:bCs/>
          <w:color w:val="auto"/>
          <w:kern w:val="0"/>
          <w:sz w:val="22"/>
          <w:szCs w:val="21"/>
          <w:highlight w:val="none"/>
          <w:lang w:val="en-US" w:eastAsia="zh-CN"/>
        </w:rPr>
      </w:pPr>
      <w:r>
        <w:rPr>
          <w:rFonts w:hint="eastAsia" w:ascii="宋体" w:hAnsi="宋体" w:eastAsia="宋体" w:cs="宋体"/>
          <w:b w:val="0"/>
          <w:bCs/>
          <w:color w:val="auto"/>
          <w:kern w:val="0"/>
          <w:sz w:val="22"/>
          <w:szCs w:val="21"/>
          <w:highlight w:val="none"/>
          <w:lang w:val="zh-CN" w:eastAsia="zh-CN"/>
        </w:rPr>
        <w:t>日期</w:t>
      </w:r>
      <w:r>
        <w:rPr>
          <w:rFonts w:hint="eastAsia" w:ascii="宋体" w:hAnsi="宋体" w:eastAsia="宋体" w:cs="宋体"/>
          <w:b w:val="0"/>
          <w:bCs/>
          <w:color w:val="auto"/>
          <w:kern w:val="0"/>
          <w:sz w:val="22"/>
          <w:szCs w:val="21"/>
          <w:highlight w:val="none"/>
          <w:lang w:val="en-US" w:eastAsia="zh-CN"/>
        </w:rPr>
        <w:t xml:space="preserve">：2025年  </w:t>
      </w:r>
      <w:r>
        <w:rPr>
          <w:rFonts w:hint="eastAsia" w:ascii="宋体" w:hAnsi="宋体" w:eastAsia="宋体" w:cs="宋体"/>
          <w:b w:val="0"/>
          <w:bCs/>
          <w:color w:val="auto"/>
          <w:kern w:val="0"/>
          <w:sz w:val="22"/>
          <w:szCs w:val="21"/>
          <w:highlight w:val="none"/>
          <w:lang w:val="zh-CN" w:eastAsia="zh-CN"/>
        </w:rPr>
        <w:t>月</w:t>
      </w:r>
      <w:r>
        <w:rPr>
          <w:rFonts w:hint="eastAsia" w:ascii="宋体" w:hAnsi="宋体" w:eastAsia="宋体" w:cs="宋体"/>
          <w:b w:val="0"/>
          <w:bCs/>
          <w:color w:val="auto"/>
          <w:kern w:val="0"/>
          <w:sz w:val="22"/>
          <w:szCs w:val="21"/>
          <w:highlight w:val="none"/>
          <w:lang w:val="en-US" w:eastAsia="zh-CN"/>
        </w:rPr>
        <w:t xml:space="preserve">  </w:t>
      </w:r>
      <w:r>
        <w:rPr>
          <w:rFonts w:hint="eastAsia" w:ascii="宋体" w:hAnsi="宋体" w:eastAsia="宋体" w:cs="宋体"/>
          <w:b w:val="0"/>
          <w:bCs/>
          <w:color w:val="auto"/>
          <w:kern w:val="0"/>
          <w:sz w:val="22"/>
          <w:szCs w:val="21"/>
          <w:highlight w:val="none"/>
          <w:lang w:val="zh-CN" w:eastAsia="zh-CN"/>
        </w:rPr>
        <w:t>日</w:t>
      </w:r>
    </w:p>
    <w:p w14:paraId="6160A053">
      <w:pPr>
        <w:snapToGrid w:val="0"/>
        <w:spacing w:line="360" w:lineRule="auto"/>
        <w:ind w:right="480"/>
        <w:jc w:val="center"/>
        <w:rPr>
          <w:rFonts w:cs="仿宋" w:asciiTheme="minorEastAsia" w:hAnsiTheme="minorEastAsia"/>
          <w:b/>
          <w:color w:val="auto"/>
          <w:kern w:val="0"/>
          <w:sz w:val="32"/>
          <w:szCs w:val="32"/>
          <w:highlight w:val="none"/>
        </w:rPr>
      </w:pPr>
    </w:p>
    <w:p w14:paraId="6F7DC690">
      <w:pPr>
        <w:snapToGrid w:val="0"/>
        <w:spacing w:line="360" w:lineRule="auto"/>
        <w:ind w:right="480" w:firstLine="360" w:firstLineChars="200"/>
        <w:jc w:val="left"/>
        <w:rPr>
          <w:rFonts w:ascii="宋体" w:hAnsi="宋体" w:cs="宋体"/>
          <w:b/>
          <w:color w:val="auto"/>
          <w:kern w:val="0"/>
          <w:sz w:val="18"/>
          <w:szCs w:val="18"/>
          <w:highlight w:val="none"/>
        </w:rPr>
      </w:pPr>
      <w:r>
        <w:rPr>
          <w:rFonts w:hint="eastAsia" w:cs="仿宋_GB2312" w:asciiTheme="minorEastAsia" w:hAnsiTheme="minorEastAsia" w:eastAsiaTheme="minorEastAsia"/>
          <w:color w:val="auto"/>
          <w:sz w:val="18"/>
          <w:szCs w:val="18"/>
          <w:highlight w:val="none"/>
        </w:rPr>
        <w:t>注：根据《</w:t>
      </w:r>
      <w:r>
        <w:rPr>
          <w:rFonts w:cs="仿宋_GB2312" w:asciiTheme="minorEastAsia" w:hAnsiTheme="minorEastAsia" w:eastAsiaTheme="minorEastAsia"/>
          <w:color w:val="auto"/>
          <w:sz w:val="18"/>
          <w:szCs w:val="18"/>
          <w:highlight w:val="none"/>
        </w:rPr>
        <w:t>关于规范政府采购供应商资格设定及资格审查的通知</w:t>
      </w:r>
      <w:r>
        <w:rPr>
          <w:rFonts w:hint="eastAsia" w:cs="仿宋_GB2312" w:asciiTheme="minorEastAsia" w:hAnsiTheme="minorEastAsia" w:eastAsiaTheme="minorEastAsia"/>
          <w:color w:val="auto"/>
          <w:sz w:val="18"/>
          <w:szCs w:val="18"/>
          <w:highlight w:val="none"/>
        </w:rPr>
        <w:t>》（</w:t>
      </w:r>
      <w:r>
        <w:rPr>
          <w:rFonts w:cs="仿宋_GB2312" w:asciiTheme="minorEastAsia" w:hAnsiTheme="minorEastAsia" w:eastAsiaTheme="minorEastAsia"/>
          <w:color w:val="auto"/>
          <w:sz w:val="18"/>
          <w:szCs w:val="18"/>
          <w:highlight w:val="none"/>
        </w:rPr>
        <w:t>浙财采监[2013]24号</w:t>
      </w:r>
      <w:r>
        <w:rPr>
          <w:rFonts w:hint="eastAsia" w:cs="仿宋_GB2312" w:asciiTheme="minorEastAsia" w:hAnsiTheme="minorEastAsia" w:eastAsiaTheme="minorEastAsia"/>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8B9DC1">
      <w:pPr>
        <w:snapToGrid w:val="0"/>
        <w:spacing w:line="360" w:lineRule="auto"/>
        <w:ind w:right="480"/>
        <w:jc w:val="center"/>
        <w:rPr>
          <w:rFonts w:cs="仿宋" w:asciiTheme="minorEastAsia" w:hAnsiTheme="minorEastAsia"/>
          <w:b/>
          <w:color w:val="auto"/>
          <w:kern w:val="0"/>
          <w:sz w:val="32"/>
          <w:szCs w:val="32"/>
          <w:highlight w:val="none"/>
        </w:rPr>
      </w:pPr>
    </w:p>
    <w:p w14:paraId="111C9694">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二、联合协议（如果有）</w:t>
      </w:r>
    </w:p>
    <w:p w14:paraId="2DA05825">
      <w:pPr>
        <w:snapToGrid w:val="0"/>
        <w:spacing w:line="360" w:lineRule="auto"/>
        <w:ind w:right="480"/>
        <w:jc w:val="center"/>
        <w:rPr>
          <w:rFonts w:cs="仿宋" w:asciiTheme="minorEastAsia" w:hAnsiTheme="minorEastAsia"/>
          <w:bCs/>
          <w:color w:val="auto"/>
          <w:kern w:val="0"/>
          <w:sz w:val="24"/>
          <w:highlight w:val="none"/>
        </w:rPr>
      </w:pPr>
      <w:r>
        <w:rPr>
          <w:rFonts w:hint="eastAsia" w:cs="仿宋" w:asciiTheme="minorEastAsia" w:hAnsiTheme="minorEastAsia"/>
          <w:bCs/>
          <w:color w:val="auto"/>
          <w:kern w:val="0"/>
          <w:sz w:val="24"/>
          <w:highlight w:val="none"/>
        </w:rPr>
        <w:t>[以联合体形式参与响应的，提供联合协议（附件5）；本项目不接受联合体响应或者供应商不以联合体形式响应的，则不需要提供）]</w:t>
      </w:r>
    </w:p>
    <w:p w14:paraId="2A7D12B4">
      <w:pPr>
        <w:snapToGrid w:val="0"/>
        <w:spacing w:line="360" w:lineRule="auto"/>
        <w:ind w:right="480"/>
        <w:jc w:val="center"/>
        <w:rPr>
          <w:rFonts w:cs="仿宋" w:asciiTheme="minorEastAsia" w:hAnsiTheme="minorEastAsia"/>
          <w:b/>
          <w:color w:val="auto"/>
          <w:kern w:val="0"/>
          <w:sz w:val="32"/>
          <w:szCs w:val="32"/>
          <w:highlight w:val="none"/>
        </w:rPr>
      </w:pPr>
    </w:p>
    <w:p w14:paraId="322E879B">
      <w:pPr>
        <w:rPr>
          <w:rFonts w:cs="仿宋" w:asciiTheme="minorEastAsia" w:hAnsiTheme="minorEastAsia"/>
          <w:color w:val="auto"/>
          <w:highlight w:val="none"/>
        </w:rPr>
      </w:pPr>
    </w:p>
    <w:p w14:paraId="796248DC">
      <w:pPr>
        <w:snapToGrid w:val="0"/>
        <w:spacing w:line="360" w:lineRule="auto"/>
        <w:ind w:right="480"/>
        <w:rPr>
          <w:rFonts w:cs="仿宋" w:asciiTheme="minorEastAsia" w:hAnsiTheme="minorEastAsia"/>
          <w:b/>
          <w:color w:val="auto"/>
          <w:kern w:val="0"/>
          <w:sz w:val="32"/>
          <w:szCs w:val="32"/>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58BA5FB">
      <w:pP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三、落实政府采购政策需满足的资格要求</w:t>
      </w:r>
    </w:p>
    <w:p w14:paraId="73DE439F">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（根据采购公告落实政府采购政策需满足的资格要求选择提供相应的材料；未要求的，无需提供）</w:t>
      </w:r>
    </w:p>
    <w:p w14:paraId="570B6074">
      <w:pPr>
        <w:snapToGrid w:val="0"/>
        <w:spacing w:before="50" w:after="50" w:line="360" w:lineRule="auto"/>
        <w:ind w:firstLine="472" w:firstLineChars="196"/>
        <w:jc w:val="left"/>
        <w:rPr>
          <w:rFonts w:cs="仿宋" w:asciiTheme="minorEastAsia" w:hAnsiTheme="minorEastAsia"/>
          <w:color w:val="auto"/>
          <w:sz w:val="24"/>
          <w:highlight w:val="none"/>
        </w:rPr>
      </w:pPr>
      <w:r>
        <w:rPr>
          <w:rFonts w:hint="eastAsia" w:cs="仿宋" w:asciiTheme="minorEastAsia" w:hAnsiTheme="minorEastAsia"/>
          <w:b/>
          <w:color w:val="auto"/>
          <w:sz w:val="24"/>
          <w:highlight w:val="none"/>
        </w:rPr>
        <w:t>A</w:t>
      </w:r>
      <w:r>
        <w:rPr>
          <w:rFonts w:hint="eastAsia" w:cs="仿宋" w:asciiTheme="minorEastAsia" w:hAnsi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14:paraId="1607B9A1">
      <w:pPr>
        <w:widowControl/>
        <w:spacing w:line="360" w:lineRule="auto"/>
        <w:ind w:firstLine="480"/>
        <w:jc w:val="left"/>
        <w:rPr>
          <w:rFonts w:cs="仿宋" w:asciiTheme="minorEastAsia" w:hAnsiTheme="minorEastAsia"/>
          <w:color w:val="auto"/>
          <w:sz w:val="24"/>
          <w:highlight w:val="none"/>
        </w:rPr>
      </w:pPr>
    </w:p>
    <w:p w14:paraId="6ED30866">
      <w:pPr>
        <w:widowControl/>
        <w:spacing w:line="360" w:lineRule="auto"/>
        <w:ind w:firstLine="472" w:firstLineChars="196"/>
        <w:jc w:val="left"/>
        <w:rPr>
          <w:rFonts w:cs="仿宋" w:asciiTheme="minorEastAsia" w:hAnsiTheme="minorEastAsia"/>
          <w:color w:val="auto"/>
          <w:kern w:val="0"/>
          <w:sz w:val="24"/>
          <w:highlight w:val="none"/>
          <w:lang w:val="zh-CN"/>
        </w:rPr>
      </w:pPr>
      <w:r>
        <w:rPr>
          <w:rFonts w:hint="eastAsia" w:cs="仿宋" w:asciiTheme="minorEastAsia" w:hAnsiTheme="minorEastAsia"/>
          <w:b/>
          <w:color w:val="auto"/>
          <w:sz w:val="24"/>
          <w:highlight w:val="none"/>
        </w:rPr>
        <w:t>B.</w:t>
      </w:r>
      <w:r>
        <w:rPr>
          <w:rFonts w:hint="eastAsia" w:cs="仿宋" w:asciiTheme="minorEastAsia" w:hAnsiTheme="minorEastAsia"/>
          <w:color w:val="auto"/>
          <w:sz w:val="24"/>
          <w:highlight w:val="none"/>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z w:val="24"/>
          <w:highlight w:val="none"/>
        </w:rPr>
        <w:t>视同符合了资格条件，无需再与其他中小企业组成联合体参加政府采购活动，无需提供联合协议。</w:t>
      </w:r>
    </w:p>
    <w:p w14:paraId="4E4E122D">
      <w:pPr>
        <w:spacing w:line="360" w:lineRule="auto"/>
        <w:ind w:firstLine="480" w:firstLineChars="200"/>
        <w:rPr>
          <w:rFonts w:cs="仿宋" w:asciiTheme="minorEastAsia" w:hAnsiTheme="minorEastAsia"/>
          <w:color w:val="auto"/>
          <w:sz w:val="24"/>
          <w:highlight w:val="none"/>
        </w:rPr>
      </w:pPr>
    </w:p>
    <w:p w14:paraId="0F7D98B2">
      <w:pP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color w:val="auto"/>
          <w:sz w:val="24"/>
          <w:highlight w:val="none"/>
        </w:rPr>
        <w:t>C.</w:t>
      </w:r>
      <w:r>
        <w:rPr>
          <w:rFonts w:hint="eastAsia" w:cs="仿宋" w:asciiTheme="minorEastAsia" w:hAnsiTheme="minorEastAsia"/>
          <w:color w:val="auto"/>
          <w:sz w:val="24"/>
          <w:highlight w:val="none"/>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4"/>
          <w:highlight w:val="none"/>
        </w:rPr>
        <w:t>并相应达到了前述比例要求，</w:t>
      </w:r>
      <w:r>
        <w:rPr>
          <w:rFonts w:hint="eastAsia" w:cs="仿宋" w:asciiTheme="minorEastAsia" w:hAnsiTheme="minorEastAsia"/>
          <w:color w:val="auto"/>
          <w:sz w:val="24"/>
          <w:highlight w:val="none"/>
        </w:rPr>
        <w:t>视同符合了资格条件，无需再向中小企业分包，无需提供分包意向协议。</w:t>
      </w:r>
    </w:p>
    <w:p w14:paraId="188B3402">
      <w:pPr>
        <w:spacing w:line="360" w:lineRule="auto"/>
        <w:ind w:firstLine="643" w:firstLineChars="200"/>
        <w:rPr>
          <w:rFonts w:cs="仿宋" w:asciiTheme="minorEastAsia" w:hAnsiTheme="minorEastAsia"/>
          <w:b/>
          <w:color w:val="auto"/>
          <w:kern w:val="0"/>
          <w:sz w:val="32"/>
          <w:szCs w:val="32"/>
          <w:highlight w:val="none"/>
        </w:rPr>
      </w:pPr>
    </w:p>
    <w:p w14:paraId="3E61E0EE">
      <w:pPr>
        <w:spacing w:line="360" w:lineRule="auto"/>
        <w:ind w:firstLine="643" w:firstLineChars="200"/>
        <w:rPr>
          <w:rFonts w:cs="仿宋" w:asciiTheme="minorEastAsia" w:hAnsiTheme="minorEastAsia"/>
          <w:b/>
          <w:color w:val="auto"/>
          <w:kern w:val="0"/>
          <w:sz w:val="32"/>
          <w:szCs w:val="32"/>
          <w:highlight w:val="none"/>
        </w:rPr>
      </w:pPr>
    </w:p>
    <w:p w14:paraId="0FCC8122">
      <w:pP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四、本项目的特定资格要求</w:t>
      </w:r>
    </w:p>
    <w:p w14:paraId="15B293A1">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（根据采购公告本项目的特定资格要求提供相应的材料；未要求的，无需提供）</w:t>
      </w:r>
    </w:p>
    <w:p w14:paraId="77BE1742">
      <w:pPr>
        <w:rPr>
          <w:rFonts w:cs="仿宋" w:asciiTheme="minorEastAsia" w:hAnsiTheme="minorEastAsia"/>
          <w:color w:val="auto"/>
          <w:highlight w:val="none"/>
        </w:rPr>
      </w:pPr>
    </w:p>
    <w:p w14:paraId="1C825C4F">
      <w:pPr>
        <w:snapToGrid w:val="0"/>
        <w:spacing w:line="360" w:lineRule="auto"/>
        <w:ind w:right="480"/>
        <w:jc w:val="center"/>
        <w:rPr>
          <w:rFonts w:cs="仿宋" w:asciiTheme="minorEastAsia" w:hAnsiTheme="minorEastAsia"/>
          <w:b/>
          <w:color w:val="auto"/>
          <w:kern w:val="0"/>
          <w:sz w:val="32"/>
          <w:szCs w:val="32"/>
          <w:highlight w:val="none"/>
        </w:rPr>
      </w:pPr>
    </w:p>
    <w:p w14:paraId="0A070D09">
      <w:pPr>
        <w:snapToGrid w:val="0"/>
        <w:spacing w:line="360" w:lineRule="auto"/>
        <w:ind w:right="480"/>
        <w:jc w:val="center"/>
        <w:rPr>
          <w:rFonts w:cs="仿宋" w:asciiTheme="minorEastAsia" w:hAnsiTheme="minorEastAsia"/>
          <w:b/>
          <w:color w:val="auto"/>
          <w:kern w:val="0"/>
          <w:sz w:val="32"/>
          <w:szCs w:val="32"/>
          <w:highlight w:val="none"/>
        </w:rPr>
      </w:pPr>
    </w:p>
    <w:p w14:paraId="6422AD54">
      <w:pPr>
        <w:snapToGrid w:val="0"/>
        <w:spacing w:line="360" w:lineRule="auto"/>
        <w:ind w:right="480"/>
        <w:jc w:val="center"/>
        <w:rPr>
          <w:rFonts w:cs="仿宋" w:asciiTheme="minorEastAsia" w:hAnsiTheme="minorEastAsia"/>
          <w:b/>
          <w:color w:val="auto"/>
          <w:kern w:val="0"/>
          <w:sz w:val="32"/>
          <w:szCs w:val="32"/>
          <w:highlight w:val="none"/>
        </w:rPr>
      </w:pPr>
    </w:p>
    <w:p w14:paraId="0210EAB4">
      <w:pPr>
        <w:snapToGrid w:val="0"/>
        <w:spacing w:line="360" w:lineRule="auto"/>
        <w:ind w:right="480"/>
        <w:jc w:val="center"/>
        <w:rPr>
          <w:rFonts w:cs="仿宋" w:asciiTheme="minorEastAsia" w:hAnsiTheme="minorEastAsia"/>
          <w:b/>
          <w:color w:val="auto"/>
          <w:kern w:val="0"/>
          <w:sz w:val="32"/>
          <w:szCs w:val="32"/>
          <w:highlight w:val="none"/>
        </w:rPr>
      </w:pPr>
    </w:p>
    <w:p w14:paraId="7030DBFD">
      <w:pPr>
        <w:spacing w:line="360" w:lineRule="auto"/>
        <w:ind w:right="420"/>
        <w:rPr>
          <w:rFonts w:cs="仿宋" w:asciiTheme="minorEastAsia" w:hAnsiTheme="minorEastAsia"/>
          <w:b/>
          <w:color w:val="auto"/>
          <w:kern w:val="0"/>
          <w:sz w:val="36"/>
          <w:szCs w:val="36"/>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2594D760">
      <w:pP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4320AA3">
      <w:pPr>
        <w:spacing w:line="360" w:lineRule="auto"/>
        <w:jc w:val="center"/>
        <w:outlineLvl w:val="0"/>
        <w:rPr>
          <w:rFonts w:cs="仿宋" w:asciiTheme="minorEastAsia" w:hAnsiTheme="minorEastAsia"/>
          <w:b/>
          <w:color w:val="auto"/>
          <w:kern w:val="0"/>
          <w:sz w:val="24"/>
          <w:highlight w:val="none"/>
        </w:rPr>
      </w:pPr>
    </w:p>
    <w:p w14:paraId="16BA5510">
      <w:pP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59129DA6">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A85186C">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）身份证明……（页码）</w:t>
      </w:r>
    </w:p>
    <w:p w14:paraId="09069D70">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（3）分包意向协议（如果有）…………………………………………………（页码）</w:t>
      </w:r>
    </w:p>
    <w:p w14:paraId="3DFB707E">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（4）符合性审查资料……………………………………………………………（页码）</w:t>
      </w:r>
    </w:p>
    <w:p w14:paraId="01CEA93B">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（5）响应产品规格配置清单……………………………………………………（页码）</w:t>
      </w:r>
    </w:p>
    <w:p w14:paraId="5E87436C">
      <w:pPr>
        <w:snapToGrid w:val="0"/>
        <w:spacing w:line="360" w:lineRule="auto"/>
        <w:ind w:left="479" w:leftChars="228"/>
        <w:rPr>
          <w:rFonts w:cs="仿宋" w:asciiTheme="minorEastAsia" w:hAnsiTheme="minorEastAsia"/>
          <w:color w:val="auto"/>
          <w:sz w:val="24"/>
          <w:highlight w:val="none"/>
        </w:rPr>
      </w:pPr>
      <w:r>
        <w:rPr>
          <w:rFonts w:hint="eastAsia" w:cs="仿宋" w:asciiTheme="minorEastAsia" w:hAnsiTheme="minorEastAsia"/>
          <w:color w:val="auto"/>
          <w:sz w:val="24"/>
          <w:highlight w:val="none"/>
        </w:rPr>
        <w:t>（6）商务技术偏离表……………………………………………………………（页码）</w:t>
      </w:r>
    </w:p>
    <w:p w14:paraId="4AD33D84">
      <w:pPr>
        <w:snapToGrid w:val="0"/>
        <w:spacing w:line="360" w:lineRule="auto"/>
        <w:ind w:left="479" w:leftChars="228"/>
        <w:rPr>
          <w:rFonts w:cs="仿宋" w:asciiTheme="minorEastAsia" w:hAnsiTheme="minorEastAsia"/>
          <w:color w:val="auto"/>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认为需要的其他文件或说明</w:t>
      </w:r>
      <w:r>
        <w:rPr>
          <w:rFonts w:hint="eastAsia" w:cs="仿宋" w:asciiTheme="minorEastAsia" w:hAnsiTheme="minorEastAsia"/>
          <w:color w:val="auto"/>
          <w:sz w:val="24"/>
          <w:highlight w:val="none"/>
        </w:rPr>
        <w:t>………………………………………………（页码）</w:t>
      </w:r>
    </w:p>
    <w:p w14:paraId="2DEB9A16">
      <w:pPr>
        <w:snapToGrid w:val="0"/>
        <w:spacing w:line="360" w:lineRule="auto"/>
        <w:ind w:left="479" w:leftChars="228"/>
        <w:rPr>
          <w:rFonts w:cs="仿宋" w:asciiTheme="minorEastAsia" w:hAnsiTheme="minorEastAsia"/>
          <w:color w:val="auto"/>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8</w:t>
      </w:r>
      <w:r>
        <w:rPr>
          <w:rFonts w:hint="eastAsia" w:cs="仿宋" w:asciiTheme="minorEastAsia" w:hAnsiTheme="minorEastAsia"/>
          <w:color w:val="auto"/>
          <w:sz w:val="24"/>
          <w:highlight w:val="none"/>
          <w:lang w:val="zh-CN"/>
        </w:rPr>
        <w:t>）政府采购供应商廉洁自律承诺书</w:t>
      </w:r>
      <w:r>
        <w:rPr>
          <w:rFonts w:hint="eastAsia" w:cs="仿宋" w:asciiTheme="minorEastAsia" w:hAnsiTheme="minorEastAsia"/>
          <w:color w:val="auto"/>
          <w:sz w:val="24"/>
          <w:highlight w:val="none"/>
        </w:rPr>
        <w:t>…………………………………………（页码）</w:t>
      </w:r>
    </w:p>
    <w:p w14:paraId="2F7CA01D">
      <w:pPr>
        <w:snapToGrid w:val="0"/>
        <w:spacing w:line="360" w:lineRule="auto"/>
        <w:jc w:val="center"/>
        <w:rPr>
          <w:rFonts w:cs="仿宋" w:asciiTheme="minorEastAsia" w:hAnsiTheme="minorEastAsia"/>
          <w:b/>
          <w:color w:val="auto"/>
          <w:kern w:val="0"/>
          <w:sz w:val="32"/>
          <w:szCs w:val="32"/>
          <w:highlight w:val="none"/>
          <w:lang w:val="zh-CN"/>
        </w:rPr>
      </w:pPr>
    </w:p>
    <w:p w14:paraId="4384FCA1">
      <w:pPr>
        <w:snapToGrid w:val="0"/>
        <w:spacing w:line="360" w:lineRule="auto"/>
        <w:jc w:val="center"/>
        <w:rPr>
          <w:rFonts w:cs="仿宋" w:asciiTheme="minorEastAsia" w:hAnsiTheme="minorEastAsia"/>
          <w:b/>
          <w:color w:val="auto"/>
          <w:kern w:val="0"/>
          <w:sz w:val="32"/>
          <w:szCs w:val="32"/>
          <w:highlight w:val="none"/>
          <w:lang w:val="zh-CN"/>
        </w:rPr>
      </w:pPr>
    </w:p>
    <w:p w14:paraId="1521A019">
      <w:pPr>
        <w:snapToGrid w:val="0"/>
        <w:spacing w:line="360" w:lineRule="auto"/>
        <w:jc w:val="center"/>
        <w:rPr>
          <w:rFonts w:cs="仿宋" w:asciiTheme="minorEastAsia" w:hAnsiTheme="minorEastAsia"/>
          <w:b/>
          <w:color w:val="auto"/>
          <w:kern w:val="0"/>
          <w:sz w:val="32"/>
          <w:szCs w:val="32"/>
          <w:highlight w:val="none"/>
          <w:lang w:val="zh-CN"/>
        </w:rPr>
      </w:pPr>
    </w:p>
    <w:p w14:paraId="00BA2C38">
      <w:pPr>
        <w:snapToGrid w:val="0"/>
        <w:spacing w:line="360" w:lineRule="auto"/>
        <w:jc w:val="center"/>
        <w:rPr>
          <w:rFonts w:cs="仿宋" w:asciiTheme="minorEastAsia" w:hAnsiTheme="minorEastAsia"/>
          <w:b/>
          <w:color w:val="auto"/>
          <w:kern w:val="0"/>
          <w:sz w:val="32"/>
          <w:szCs w:val="32"/>
          <w:highlight w:val="none"/>
          <w:lang w:val="zh-CN"/>
        </w:rPr>
      </w:pPr>
    </w:p>
    <w:p w14:paraId="00E615B4">
      <w:pPr>
        <w:snapToGrid w:val="0"/>
        <w:spacing w:line="360" w:lineRule="auto"/>
        <w:jc w:val="center"/>
        <w:rPr>
          <w:rFonts w:cs="仿宋" w:asciiTheme="minorEastAsia" w:hAnsiTheme="minorEastAsia"/>
          <w:b/>
          <w:color w:val="auto"/>
          <w:kern w:val="0"/>
          <w:sz w:val="32"/>
          <w:szCs w:val="32"/>
          <w:highlight w:val="none"/>
          <w:lang w:val="zh-CN"/>
        </w:rPr>
      </w:pPr>
    </w:p>
    <w:p w14:paraId="3DA56897">
      <w:pPr>
        <w:snapToGrid w:val="0"/>
        <w:spacing w:line="360" w:lineRule="auto"/>
        <w:jc w:val="center"/>
        <w:outlineLvl w:val="0"/>
        <w:rPr>
          <w:rFonts w:cs="仿宋" w:asciiTheme="minorEastAsia" w:hAnsiTheme="minorEastAsia"/>
          <w:b/>
          <w:color w:val="auto"/>
          <w:kern w:val="0"/>
          <w:sz w:val="32"/>
          <w:szCs w:val="32"/>
          <w:highlight w:val="none"/>
        </w:rPr>
      </w:pPr>
    </w:p>
    <w:p w14:paraId="533FA1D6">
      <w:pPr>
        <w:snapToGrid w:val="0"/>
        <w:spacing w:line="360" w:lineRule="auto"/>
        <w:jc w:val="center"/>
        <w:outlineLvl w:val="0"/>
        <w:rPr>
          <w:rFonts w:cs="仿宋" w:asciiTheme="minorEastAsia" w:hAnsiTheme="minorEastAsia"/>
          <w:b/>
          <w:color w:val="auto"/>
          <w:kern w:val="0"/>
          <w:sz w:val="32"/>
          <w:szCs w:val="32"/>
          <w:highlight w:val="none"/>
        </w:rPr>
      </w:pPr>
    </w:p>
    <w:p w14:paraId="06F72091">
      <w:pPr>
        <w:rPr>
          <w:rFonts w:cs="仿宋" w:asciiTheme="minorEastAsia" w:hAnsiTheme="minorEastAsia"/>
          <w:color w:val="auto"/>
          <w:highlight w:val="none"/>
        </w:rPr>
      </w:pPr>
    </w:p>
    <w:p w14:paraId="149C0201">
      <w:pPr>
        <w:snapToGrid w:val="0"/>
        <w:spacing w:line="360" w:lineRule="auto"/>
        <w:jc w:val="center"/>
        <w:outlineLvl w:val="0"/>
        <w:rPr>
          <w:rFonts w:cs="仿宋" w:asciiTheme="minorEastAsia" w:hAnsiTheme="minorEastAsia"/>
          <w:b/>
          <w:color w:val="auto"/>
          <w:kern w:val="0"/>
          <w:sz w:val="32"/>
          <w:szCs w:val="32"/>
          <w:highlight w:val="none"/>
        </w:rPr>
      </w:pPr>
    </w:p>
    <w:p w14:paraId="1906D525">
      <w:pPr>
        <w:snapToGrid w:val="0"/>
        <w:spacing w:line="360" w:lineRule="auto"/>
        <w:jc w:val="center"/>
        <w:outlineLvl w:val="0"/>
        <w:rPr>
          <w:rFonts w:cs="仿宋" w:asciiTheme="minorEastAsia" w:hAnsiTheme="minorEastAsia"/>
          <w:b/>
          <w:color w:val="auto"/>
          <w:kern w:val="0"/>
          <w:sz w:val="32"/>
          <w:szCs w:val="32"/>
          <w:highlight w:val="none"/>
        </w:rPr>
      </w:pPr>
    </w:p>
    <w:p w14:paraId="773D078C">
      <w:pPr>
        <w:snapToGrid w:val="0"/>
        <w:spacing w:line="360" w:lineRule="auto"/>
        <w:jc w:val="center"/>
        <w:outlineLvl w:val="0"/>
        <w:rPr>
          <w:rFonts w:cs="仿宋" w:asciiTheme="minorEastAsia" w:hAnsiTheme="minorEastAsia"/>
          <w:b/>
          <w:color w:val="auto"/>
          <w:kern w:val="0"/>
          <w:sz w:val="32"/>
          <w:szCs w:val="32"/>
          <w:highlight w:val="none"/>
        </w:rPr>
      </w:pPr>
    </w:p>
    <w:p w14:paraId="0DFCBE85">
      <w:pPr>
        <w:snapToGrid w:val="0"/>
        <w:spacing w:line="360" w:lineRule="auto"/>
        <w:jc w:val="center"/>
        <w:outlineLvl w:val="0"/>
        <w:rPr>
          <w:rFonts w:cs="仿宋" w:asciiTheme="minorEastAsia" w:hAnsiTheme="minorEastAsia"/>
          <w:b/>
          <w:color w:val="auto"/>
          <w:kern w:val="0"/>
          <w:sz w:val="32"/>
          <w:szCs w:val="32"/>
          <w:highlight w:val="none"/>
        </w:rPr>
      </w:pPr>
    </w:p>
    <w:p w14:paraId="1DD77F6E">
      <w:pPr>
        <w:snapToGrid w:val="0"/>
        <w:spacing w:line="360" w:lineRule="auto"/>
        <w:jc w:val="center"/>
        <w:outlineLvl w:val="0"/>
        <w:rPr>
          <w:rFonts w:cs="仿宋" w:asciiTheme="minorEastAsia" w:hAnsiTheme="minorEastAsia"/>
          <w:b/>
          <w:color w:val="auto"/>
          <w:kern w:val="0"/>
          <w:sz w:val="32"/>
          <w:szCs w:val="32"/>
          <w:highlight w:val="none"/>
        </w:rPr>
      </w:pPr>
    </w:p>
    <w:p w14:paraId="32DF1273">
      <w:pPr>
        <w:snapToGrid w:val="0"/>
        <w:spacing w:line="360" w:lineRule="auto"/>
        <w:jc w:val="center"/>
        <w:outlineLvl w:val="0"/>
        <w:rPr>
          <w:rFonts w:cs="仿宋" w:asciiTheme="minorEastAsia" w:hAnsiTheme="minorEastAsia"/>
          <w:b/>
          <w:color w:val="auto"/>
          <w:kern w:val="0"/>
          <w:sz w:val="32"/>
          <w:szCs w:val="32"/>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4669945D">
      <w:pP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7D84BD7A">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（采购人）、（采购代理机构）</w:t>
      </w:r>
    </w:p>
    <w:p w14:paraId="611E60DF">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永嘉县瓯北第二小学食堂设备采购</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】采购的有关活动，并对此项目进行响应。为此：</w:t>
      </w:r>
    </w:p>
    <w:p w14:paraId="188C4467">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1、我方承诺响应有效期从提交响应文件的截止之日起</w:t>
      </w:r>
      <w:r>
        <w:rPr>
          <w:rFonts w:hint="eastAsia" w:ascii="宋体" w:hAnsi="宋体" w:cs="宋体"/>
          <w:color w:val="auto"/>
          <w:sz w:val="24"/>
          <w:highlight w:val="none"/>
          <w:u w:val="single"/>
          <w:lang w:val="en-US" w:eastAsia="zh-CN"/>
        </w:rPr>
        <w:t>90</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4A76036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2、我方的响应文件包括以下内容：</w:t>
      </w:r>
    </w:p>
    <w:p w14:paraId="7674209B">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5F5F4DF8">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098B15BB">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2.1.2联合协议（以联合体形式响应的，提供联合协议；本项目不接受联合体响应或者供应商不以联合体形式响应的，则不需要提供）；</w:t>
      </w:r>
    </w:p>
    <w:p w14:paraId="21CAA00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2.1.3落实政府采购政策需满足的资格要求（未要求的，无需提供）；</w:t>
      </w:r>
    </w:p>
    <w:p w14:paraId="6623B04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2.1.4本项目的特定资格要求（未要求的，无需提供）。</w:t>
      </w:r>
    </w:p>
    <w:p w14:paraId="21A7DE55">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3BC3575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6750D1EF">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w:t>
      </w:r>
      <w:r>
        <w:rPr>
          <w:rFonts w:hint="eastAsia" w:cs="仿宋" w:asciiTheme="minorEastAsia" w:hAnsiTheme="minorEastAsia"/>
          <w:color w:val="auto"/>
          <w:sz w:val="24"/>
          <w:highlight w:val="none"/>
          <w:lang w:val="zh-CN"/>
        </w:rPr>
        <w:t>、自然人本人</w:t>
      </w:r>
      <w:r>
        <w:rPr>
          <w:rFonts w:hint="eastAsia" w:cs="仿宋" w:asciiTheme="minorEastAsia" w:hAnsiTheme="minorEastAsia"/>
          <w:color w:val="auto"/>
          <w:sz w:val="24"/>
          <w:highlight w:val="none"/>
        </w:rPr>
        <w:t>）身份证明；</w:t>
      </w:r>
    </w:p>
    <w:p w14:paraId="09656D3E">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2.2.3分包意向协议（成交后以分包方式履行合同的，提供分包意向协议；采购人不同意分包或者供应商成交后不以分包方式履行合同的，则不需要提供）；</w:t>
      </w:r>
    </w:p>
    <w:p w14:paraId="4817586B">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2.2.4符合性审查资料；</w:t>
      </w:r>
    </w:p>
    <w:p w14:paraId="2BC7EA3A">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2.2.5响应产品规格配置清单；</w:t>
      </w:r>
    </w:p>
    <w:p w14:paraId="4A1DA645">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2.2.6商务技术偏离表；</w:t>
      </w:r>
    </w:p>
    <w:p w14:paraId="54F2556C">
      <w:pP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7</w:t>
      </w:r>
      <w:r>
        <w:rPr>
          <w:rFonts w:hint="eastAsia" w:cs="仿宋" w:asciiTheme="minorEastAsia" w:hAnsiTheme="minorEastAsia"/>
          <w:color w:val="auto"/>
          <w:sz w:val="24"/>
          <w:highlight w:val="none"/>
          <w:lang w:val="zh-CN"/>
        </w:rPr>
        <w:t>政府采购供应商廉洁自律承诺书；</w:t>
      </w:r>
    </w:p>
    <w:p w14:paraId="43573384">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72350979">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2.3.1响应报价明细表；</w:t>
      </w:r>
    </w:p>
    <w:p w14:paraId="1B44688D">
      <w:pP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2.3.2中小企业声明函</w:t>
      </w:r>
      <w:r>
        <w:rPr>
          <w:rFonts w:hint="eastAsia" w:ascii="宋体" w:hAnsi="宋体" w:cs="宋体"/>
          <w:color w:val="auto"/>
          <w:sz w:val="24"/>
          <w:highlight w:val="none"/>
        </w:rPr>
        <w:t>（如果有）</w:t>
      </w:r>
      <w:r>
        <w:rPr>
          <w:rFonts w:hint="eastAsia" w:cs="仿宋" w:asciiTheme="minorEastAsia" w:hAnsiTheme="minorEastAsia"/>
          <w:color w:val="auto"/>
          <w:sz w:val="24"/>
          <w:highlight w:val="none"/>
        </w:rPr>
        <w:t>。</w:t>
      </w:r>
    </w:p>
    <w:p w14:paraId="503BC8C3">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3、我方承诺除商务技术偏离表列出的偏离外，我方响应采购文件的全部要求。</w:t>
      </w:r>
    </w:p>
    <w:p w14:paraId="5A16B4E9">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4、如我方成交，我方承诺：</w:t>
      </w:r>
    </w:p>
    <w:p w14:paraId="791046BD">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00AEC856">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9D1E177">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4.3按照采购文件要求提交履约保证金； </w:t>
      </w:r>
    </w:p>
    <w:p w14:paraId="2A1109C9">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221001C5">
      <w:pP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0B3CF048">
      <w:pP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供应商名称（电子签名）：                          </w:t>
      </w:r>
    </w:p>
    <w:p w14:paraId="428B2A3F">
      <w:pPr>
        <w:spacing w:line="360" w:lineRule="auto"/>
        <w:jc w:val="center"/>
        <w:rPr>
          <w:rFonts w:cs="仿宋" w:asciiTheme="minorEastAsia" w:hAnsiTheme="minorEastAsia"/>
          <w:color w:val="auto"/>
          <w:sz w:val="24"/>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B5CFADA">
      <w:pP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二、授权委托书或法定代表人（单位负责人、自然人本人）身份证明</w:t>
      </w:r>
    </w:p>
    <w:p w14:paraId="27BFDAF5">
      <w:pPr>
        <w:snapToGrid w:val="0"/>
        <w:spacing w:line="360" w:lineRule="auto"/>
        <w:rPr>
          <w:rFonts w:cs="仿宋" w:asciiTheme="minorEastAsia" w:hAnsiTheme="minorEastAsia"/>
          <w:color w:val="auto"/>
          <w:sz w:val="24"/>
          <w:highlight w:val="none"/>
        </w:rPr>
      </w:pPr>
    </w:p>
    <w:p w14:paraId="067746A8">
      <w:pPr>
        <w:snapToGrid w:val="0"/>
        <w:spacing w:line="360" w:lineRule="auto"/>
        <w:ind w:firstLine="2872" w:firstLineChars="894"/>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授权委托书（适用于非联合体响应）</w:t>
      </w:r>
    </w:p>
    <w:p w14:paraId="1E3C3367">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757DF05F">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u w:val="single"/>
          <w:lang w:eastAsia="zh-CN"/>
        </w:rPr>
        <w:t>永嘉县瓯北第二小学食堂设备采购</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16DAEE7D">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1A2E140A">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2CC00826">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 xml:space="preserve">                                                 供应商名称(电子签名)：</w:t>
      </w:r>
    </w:p>
    <w:p w14:paraId="3FFC0DFC">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263E8908">
      <w:pPr>
        <w:snapToGrid w:val="0"/>
        <w:spacing w:line="360" w:lineRule="auto"/>
        <w:rPr>
          <w:rFonts w:cs="仿宋" w:asciiTheme="minorEastAsia" w:hAnsiTheme="minorEastAsia"/>
          <w:color w:val="auto"/>
          <w:sz w:val="24"/>
          <w:highlight w:val="none"/>
        </w:rPr>
      </w:pPr>
    </w:p>
    <w:p w14:paraId="3B0F9F11">
      <w:pPr>
        <w:snapToGrid w:val="0"/>
        <w:spacing w:line="360" w:lineRule="auto"/>
        <w:rPr>
          <w:rFonts w:cs="仿宋" w:asciiTheme="minorEastAsia" w:hAnsiTheme="minorEastAsia"/>
          <w:color w:val="auto"/>
          <w:sz w:val="24"/>
          <w:highlight w:val="none"/>
        </w:rPr>
      </w:pPr>
    </w:p>
    <w:p w14:paraId="5240D80A">
      <w:pPr>
        <w:snapToGrid w:val="0"/>
        <w:spacing w:line="360" w:lineRule="auto"/>
        <w:rPr>
          <w:rFonts w:cs="仿宋" w:asciiTheme="minorEastAsia" w:hAnsiTheme="minorEastAsia"/>
          <w:color w:val="auto"/>
          <w:sz w:val="24"/>
          <w:highlight w:val="none"/>
        </w:rPr>
      </w:pPr>
    </w:p>
    <w:p w14:paraId="4416FCB6">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zh-CN"/>
        </w:rPr>
        <w:t>授权委托书（适用于联合体响应）</w:t>
      </w:r>
    </w:p>
    <w:p w14:paraId="2337A742">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08ADFD81">
      <w:pP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现</w:t>
      </w:r>
      <w:r>
        <w:rPr>
          <w:rFonts w:hint="eastAsia" w:cs="仿宋" w:asciiTheme="minorEastAsia" w:hAnsiTheme="minorEastAsia"/>
          <w:color w:val="auto"/>
          <w:kern w:val="0"/>
          <w:sz w:val="24"/>
          <w:highlight w:val="none"/>
          <w:lang w:val="zh-CN"/>
        </w:rPr>
        <w:t>委托</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（姓名）为我方代理人（身份证号码：</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，手机：</w:t>
      </w:r>
      <w:r>
        <w:rPr>
          <w:rFonts w:hint="eastAsia" w:ascii="宋体" w:hAnsi="宋体" w:cs="宋体"/>
          <w:color w:val="auto"/>
          <w:sz w:val="24"/>
          <w:highlight w:val="none"/>
          <w:u w:val="single"/>
        </w:rPr>
        <w:t xml:space="preserve">    </w:t>
      </w:r>
      <w:r>
        <w:rPr>
          <w:rFonts w:hint="eastAsia" w:cs="仿宋" w:asciiTheme="minorEastAsia" w:hAnsiTheme="minorEastAsia"/>
          <w:color w:val="auto"/>
          <w:kern w:val="0"/>
          <w:sz w:val="24"/>
          <w:highlight w:val="none"/>
          <w:lang w:val="zh-CN"/>
        </w:rPr>
        <w:t>），以我方名义处理</w:t>
      </w:r>
      <w:r>
        <w:rPr>
          <w:rFonts w:hint="eastAsia" w:cs="仿宋" w:asciiTheme="minorEastAsia" w:hAnsiTheme="minorEastAsia"/>
          <w:color w:val="auto"/>
          <w:sz w:val="24"/>
          <w:highlight w:val="none"/>
          <w:u w:val="single"/>
          <w:lang w:eastAsia="zh-CN"/>
        </w:rPr>
        <w:t>永嘉县瓯北第二小学食堂设备采购</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政府采购响应的一切事项，其法律后果由我方承担。</w:t>
      </w:r>
    </w:p>
    <w:p w14:paraId="669F3543">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w:t>
      </w:r>
    </w:p>
    <w:p w14:paraId="07303EB8">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78A6BCCD">
      <w:pPr>
        <w:jc w:val="center"/>
        <w:rPr>
          <w:rFonts w:cs="仿宋" w:asciiTheme="minorEastAsia" w:hAnsiTheme="minorEastAsia"/>
          <w:b/>
          <w:color w:val="auto"/>
          <w:kern w:val="0"/>
          <w:sz w:val="32"/>
          <w:szCs w:val="32"/>
          <w:highlight w:val="none"/>
        </w:rPr>
      </w:pPr>
    </w:p>
    <w:p w14:paraId="2AEE7415">
      <w:pPr>
        <w:jc w:val="center"/>
        <w:rPr>
          <w:rFonts w:cs="仿宋" w:asciiTheme="minorEastAsia" w:hAnsiTheme="minorEastAsia"/>
          <w:b/>
          <w:color w:val="auto"/>
          <w:kern w:val="0"/>
          <w:sz w:val="32"/>
          <w:szCs w:val="32"/>
          <w:highlight w:val="none"/>
        </w:rPr>
      </w:pPr>
    </w:p>
    <w:p w14:paraId="2C8BE080">
      <w:pPr>
        <w:jc w:val="center"/>
        <w:rPr>
          <w:rFonts w:cs="仿宋" w:asciiTheme="minorEastAsia" w:hAnsiTheme="minorEastAsia"/>
          <w:b/>
          <w:color w:val="auto"/>
          <w:kern w:val="0"/>
          <w:sz w:val="32"/>
          <w:szCs w:val="32"/>
          <w:highlight w:val="none"/>
        </w:rPr>
      </w:pPr>
    </w:p>
    <w:p w14:paraId="6F0F3F06">
      <w:pPr>
        <w:rPr>
          <w:rFonts w:cs="仿宋" w:asciiTheme="minorEastAsia" w:hAnsiTheme="minorEastAsia"/>
          <w:color w:val="auto"/>
          <w:highlight w:val="none"/>
        </w:rPr>
      </w:pPr>
    </w:p>
    <w:p w14:paraId="0130611B">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01419D65">
      <w:pPr>
        <w:snapToGrid w:val="0"/>
        <w:spacing w:line="360" w:lineRule="auto"/>
        <w:ind w:firstLine="5040" w:firstLine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2A99EA7A">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671BBE37">
      <w:pPr>
        <w:snapToGrid w:val="0"/>
        <w:spacing w:line="360" w:lineRule="auto"/>
        <w:rPr>
          <w:rFonts w:cs="仿宋" w:asciiTheme="minorEastAsia" w:hAnsiTheme="minorEastAsia"/>
          <w:color w:val="auto"/>
          <w:kern w:val="0"/>
          <w:sz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3EDC1402">
      <w:pPr>
        <w:autoSpaceDE w:val="0"/>
        <w:autoSpaceDN w:val="0"/>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kern w:val="0"/>
          <w:sz w:val="32"/>
          <w:szCs w:val="32"/>
          <w:highlight w:val="none"/>
          <w:lang w:val="zh-CN"/>
        </w:rPr>
        <w:t>法定代表人、单位负责人或自然人本人</w:t>
      </w:r>
      <w:r>
        <w:rPr>
          <w:rFonts w:hint="eastAsia" w:cs="仿宋" w:asciiTheme="minorEastAsia" w:hAnsiTheme="minorEastAsia"/>
          <w:b/>
          <w:color w:val="auto"/>
          <w:sz w:val="30"/>
          <w:szCs w:val="30"/>
          <w:highlight w:val="none"/>
        </w:rPr>
        <w:t>的身份证明（适用于法定代表人、单位负责人或者自然人本人代表供应商参加响应）</w:t>
      </w:r>
    </w:p>
    <w:p w14:paraId="765ED0A0">
      <w:pPr>
        <w:pStyle w:val="44"/>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A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A858C3">
            <w:pPr>
              <w:pStyle w:val="44"/>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15E149D3">
            <w:pPr>
              <w:pStyle w:val="44"/>
              <w:adjustRightInd w:val="0"/>
              <w:spacing w:line="360" w:lineRule="auto"/>
              <w:rPr>
                <w:rFonts w:cs="仿宋" w:asciiTheme="minorEastAsia" w:hAnsiTheme="minorEastAsia" w:eastAsiaTheme="minorEastAsia"/>
                <w:bCs/>
                <w:color w:val="auto"/>
                <w:sz w:val="24"/>
                <w:highlight w:val="none"/>
              </w:rPr>
            </w:pPr>
          </w:p>
        </w:tc>
      </w:tr>
    </w:tbl>
    <w:p w14:paraId="6316C6F8">
      <w:pPr>
        <w:snapToGrid w:val="0"/>
        <w:spacing w:line="360" w:lineRule="auto"/>
        <w:ind w:firstLine="576"/>
        <w:jc w:val="center"/>
        <w:rPr>
          <w:rFonts w:cs="仿宋" w:asciiTheme="minorEastAsia" w:hAnsiTheme="minorEastAsia"/>
          <w:color w:val="auto"/>
          <w:kern w:val="0"/>
          <w:sz w:val="24"/>
          <w:highlight w:val="none"/>
          <w:lang w:val="zh-CN"/>
        </w:rPr>
      </w:pPr>
    </w:p>
    <w:p w14:paraId="238A1774">
      <w:pP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                              </w:t>
      </w:r>
    </w:p>
    <w:p w14:paraId="1B58053A">
      <w:pPr>
        <w:spacing w:line="360" w:lineRule="auto"/>
        <w:jc w:val="center"/>
        <w:rPr>
          <w:rFonts w:cs="仿宋" w:asciiTheme="minorEastAsia" w:hAnsiTheme="minorEastAsia"/>
          <w:color w:val="auto"/>
          <w:kern w:val="0"/>
          <w:sz w:val="24"/>
          <w:highlight w:val="none"/>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1EBBCB79">
      <w:pPr>
        <w:snapToGrid w:val="0"/>
        <w:spacing w:line="360" w:lineRule="auto"/>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三、分包意向协议</w:t>
      </w:r>
    </w:p>
    <w:p w14:paraId="14767B3D">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（成交后以分包方式履行合同的，提供分包意向协议（附件6）；采购人不同意分包或者供应商成交后不以分包方式履行合同的，则不需要提供。）</w:t>
      </w:r>
    </w:p>
    <w:p w14:paraId="60377958">
      <w:pPr>
        <w:jc w:val="center"/>
        <w:rPr>
          <w:rFonts w:cs="仿宋" w:asciiTheme="minorEastAsia" w:hAnsiTheme="minorEastAsia"/>
          <w:b/>
          <w:color w:val="auto"/>
          <w:kern w:val="0"/>
          <w:sz w:val="32"/>
          <w:szCs w:val="32"/>
          <w:highlight w:val="none"/>
        </w:rPr>
      </w:pPr>
    </w:p>
    <w:p w14:paraId="10D3DA75">
      <w:pPr>
        <w:jc w:val="center"/>
        <w:rPr>
          <w:rFonts w:cs="仿宋" w:asciiTheme="minorEastAsia" w:hAnsiTheme="minorEastAsia"/>
          <w:b/>
          <w:color w:val="auto"/>
          <w:kern w:val="0"/>
          <w:sz w:val="32"/>
          <w:szCs w:val="32"/>
          <w:highlight w:val="none"/>
        </w:rPr>
      </w:pPr>
    </w:p>
    <w:p w14:paraId="1541147B">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四、符合性审查资料</w:t>
      </w:r>
    </w:p>
    <w:p w14:paraId="5A33E4B1">
      <w:pPr>
        <w:jc w:val="center"/>
        <w:rPr>
          <w:rFonts w:cs="仿宋" w:asciiTheme="minorEastAsia" w:hAnsiTheme="minorEastAsia"/>
          <w:b/>
          <w:color w:val="auto"/>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5F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31BB3E">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4991" w:type="dxa"/>
            <w:vAlign w:val="center"/>
          </w:tcPr>
          <w:p w14:paraId="5ABB1F60">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2551" w:type="dxa"/>
            <w:vAlign w:val="center"/>
          </w:tcPr>
          <w:p w14:paraId="7F676758">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418" w:type="dxa"/>
            <w:vAlign w:val="center"/>
          </w:tcPr>
          <w:p w14:paraId="202A5A27">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6163486D">
            <w:pP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72F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1A7D0">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4991" w:type="dxa"/>
            <w:vAlign w:val="center"/>
          </w:tcPr>
          <w:p w14:paraId="0A09F24A">
            <w:pPr>
              <w:jc w:val="both"/>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响应文件按照采购文件要求签署、盖章。（</w:t>
            </w:r>
            <w:r>
              <w:rPr>
                <w:rFonts w:hint="eastAsia" w:cs="仿宋" w:asciiTheme="minorEastAsia" w:hAnsiTheme="minorEastAsia"/>
                <w:color w:val="auto"/>
                <w:sz w:val="24"/>
                <w:highlight w:val="none"/>
                <w:lang w:val="en-US" w:eastAsia="zh-CN"/>
              </w:rPr>
              <w:t>如</w:t>
            </w:r>
            <w:r>
              <w:rPr>
                <w:rFonts w:hint="eastAsia" w:cs="仿宋" w:asciiTheme="minorEastAsia" w:hAnsiTheme="minorEastAsia"/>
                <w:color w:val="auto"/>
                <w:sz w:val="24"/>
                <w:highlight w:val="none"/>
              </w:rPr>
              <w:t>法人授权委托书、响应产品规格配置清单</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廉洁自律承诺书</w:t>
            </w:r>
            <w:r>
              <w:rPr>
                <w:rFonts w:hint="eastAsia" w:cs="仿宋" w:asciiTheme="minorEastAsia" w:hAnsiTheme="minorEastAsia"/>
                <w:color w:val="auto"/>
                <w:sz w:val="24"/>
                <w:highlight w:val="none"/>
                <w:lang w:val="en-US" w:eastAsia="zh-CN"/>
              </w:rPr>
              <w:t>等，详见采购文件第二部分中响应文件的组成部分）</w:t>
            </w:r>
          </w:p>
        </w:tc>
        <w:tc>
          <w:tcPr>
            <w:tcW w:w="2551" w:type="dxa"/>
            <w:vAlign w:val="center"/>
          </w:tcPr>
          <w:p w14:paraId="2A3EACB5">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需要使用电子签名或者签字盖章的响应文件的组成部分</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法人授权委托书、响应产品规格配置清单</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廉洁自律承诺书</w:t>
            </w:r>
            <w:r>
              <w:rPr>
                <w:rFonts w:hint="eastAsia" w:cs="仿宋" w:asciiTheme="minorEastAsia" w:hAnsiTheme="minorEastAsia"/>
                <w:color w:val="auto"/>
                <w:sz w:val="24"/>
                <w:highlight w:val="none"/>
                <w:lang w:val="en-US" w:eastAsia="zh-CN"/>
              </w:rPr>
              <w:t>等</w:t>
            </w:r>
            <w:r>
              <w:rPr>
                <w:rFonts w:hint="eastAsia" w:cs="仿宋" w:asciiTheme="minorEastAsia" w:hAnsiTheme="minorEastAsia"/>
                <w:color w:val="auto"/>
                <w:sz w:val="24"/>
                <w:highlight w:val="none"/>
              </w:rPr>
              <w:t>是否均已签署、盖章）</w:t>
            </w:r>
          </w:p>
        </w:tc>
        <w:tc>
          <w:tcPr>
            <w:tcW w:w="1418" w:type="dxa"/>
            <w:vAlign w:val="center"/>
          </w:tcPr>
          <w:p w14:paraId="356A782D">
            <w:pPr>
              <w:jc w:val="both"/>
              <w:rPr>
                <w:rFonts w:cs="仿宋" w:asciiTheme="minorEastAsia" w:hAnsiTheme="minorEastAsia"/>
                <w:color w:val="auto"/>
                <w:sz w:val="24"/>
                <w:highlight w:val="none"/>
              </w:rPr>
            </w:pPr>
          </w:p>
          <w:p w14:paraId="28C54357">
            <w:pPr>
              <w:jc w:val="both"/>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99A375">
            <w:pPr>
              <w:jc w:val="both"/>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267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FEFEEB">
            <w:pP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w:t>
            </w:r>
          </w:p>
        </w:tc>
        <w:tc>
          <w:tcPr>
            <w:tcW w:w="4991" w:type="dxa"/>
            <w:vAlign w:val="center"/>
          </w:tcPr>
          <w:p w14:paraId="4B1BBAB0">
            <w:pPr>
              <w:jc w:val="both"/>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采购人拟采购的产品属于政府强制采购的节能产品品目清单范围的，</w:t>
            </w:r>
            <w:r>
              <w:rPr>
                <w:rFonts w:hint="eastAsia" w:cs="仿宋" w:asciiTheme="minorEastAsia" w:hAnsiTheme="minorEastAsia"/>
                <w:color w:val="auto"/>
                <w:sz w:val="24"/>
                <w:highlight w:val="none"/>
                <w:lang w:val="en-US" w:eastAsia="zh-CN"/>
              </w:rPr>
              <w:t>供应商</w:t>
            </w:r>
            <w:r>
              <w:rPr>
                <w:rFonts w:hint="eastAsia" w:cs="仿宋" w:asciiTheme="minorEastAsia" w:hAnsiTheme="minorEastAsia"/>
                <w:color w:val="auto"/>
                <w:sz w:val="24"/>
                <w:highlight w:val="none"/>
                <w:lang w:eastAsia="zh-CN"/>
              </w:rPr>
              <w:t>按采购文件要求提供国家确定的认证机构出具的、处于有效期之内的节能产品认证证书。</w:t>
            </w:r>
          </w:p>
        </w:tc>
        <w:tc>
          <w:tcPr>
            <w:tcW w:w="2551" w:type="dxa"/>
            <w:vAlign w:val="center"/>
          </w:tcPr>
          <w:p w14:paraId="71E0D66D">
            <w:pPr>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节能产品认证证书（本项目拟采购的产品不属于政府强制采购的节能产品品目清单范围的，无需提供）</w:t>
            </w:r>
          </w:p>
        </w:tc>
        <w:tc>
          <w:tcPr>
            <w:tcW w:w="1418" w:type="dxa"/>
            <w:vAlign w:val="center"/>
          </w:tcPr>
          <w:p w14:paraId="0D169C16">
            <w:pPr>
              <w:jc w:val="both"/>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eastAsia="zh-CN"/>
              </w:rPr>
              <w:t>见响应文件</w:t>
            </w:r>
          </w:p>
          <w:p w14:paraId="258829CD">
            <w:pPr>
              <w:jc w:val="both"/>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第 页</w:t>
            </w:r>
          </w:p>
        </w:tc>
      </w:tr>
      <w:tr w14:paraId="270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6D048">
            <w:pPr>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3</w:t>
            </w:r>
          </w:p>
        </w:tc>
        <w:tc>
          <w:tcPr>
            <w:tcW w:w="4991" w:type="dxa"/>
            <w:vAlign w:val="center"/>
          </w:tcPr>
          <w:p w14:paraId="2FE557E0">
            <w:pPr>
              <w:jc w:val="both"/>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响应文件中承诺的响应有效期不少于采购文件中载明的响应有效期。</w:t>
            </w:r>
          </w:p>
        </w:tc>
        <w:tc>
          <w:tcPr>
            <w:tcW w:w="2551" w:type="dxa"/>
            <w:vAlign w:val="center"/>
          </w:tcPr>
          <w:p w14:paraId="31DF30D6">
            <w:pP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418" w:type="dxa"/>
            <w:vAlign w:val="center"/>
          </w:tcPr>
          <w:p w14:paraId="7ABE1D00">
            <w:pPr>
              <w:jc w:val="both"/>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7B49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6DEC9E">
            <w:pPr>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4</w:t>
            </w:r>
          </w:p>
        </w:tc>
        <w:tc>
          <w:tcPr>
            <w:tcW w:w="4991" w:type="dxa"/>
            <w:vAlign w:val="center"/>
          </w:tcPr>
          <w:p w14:paraId="0E838C25">
            <w:pPr>
              <w:jc w:val="both"/>
              <w:rPr>
                <w:rFonts w:cs="仿宋" w:asciiTheme="minorEastAsia" w:hAnsiTheme="minorEastAsia"/>
                <w:color w:val="auto"/>
                <w:sz w:val="24"/>
                <w:highlight w:val="none"/>
              </w:rPr>
            </w:pPr>
            <w:r>
              <w:rPr>
                <w:rFonts w:hint="eastAsia" w:ascii="宋体" w:hAnsi="宋体" w:cs="宋体"/>
                <w:color w:val="auto"/>
                <w:sz w:val="24"/>
                <w:highlight w:val="none"/>
              </w:rPr>
              <w:t>响应文件满足采购文件第三部分采购需求参数里的其它实质性要求（如有</w:t>
            </w:r>
            <w:r>
              <w:rPr>
                <w:rFonts w:hint="eastAsia" w:ascii="宋体" w:hAnsi="宋体" w:cs="宋体"/>
                <w:color w:val="auto"/>
                <w:sz w:val="24"/>
                <w:highlight w:val="none"/>
                <w:lang w:eastAsia="zh-CN"/>
              </w:rPr>
              <w:t>）。</w:t>
            </w:r>
          </w:p>
        </w:tc>
        <w:tc>
          <w:tcPr>
            <w:tcW w:w="2551" w:type="dxa"/>
            <w:vAlign w:val="center"/>
          </w:tcPr>
          <w:p w14:paraId="41A7DB34">
            <w:pP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eastAsia="zh-CN"/>
              </w:rPr>
              <w:t>★</w:t>
            </w:r>
            <w:r>
              <w:rPr>
                <w:rFonts w:hint="eastAsia" w:ascii="宋体" w:hAnsi="宋体" w:cs="宋体"/>
                <w:color w:val="auto"/>
                <w:kern w:val="0"/>
                <w:sz w:val="24"/>
                <w:highlight w:val="none"/>
              </w:rPr>
              <w:t>且加下线部分</w:t>
            </w: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418" w:type="dxa"/>
            <w:vAlign w:val="center"/>
          </w:tcPr>
          <w:p w14:paraId="4DC26A0A">
            <w:pPr>
              <w:jc w:val="both"/>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1411BA52">
      <w:pPr>
        <w:jc w:val="center"/>
        <w:rPr>
          <w:rFonts w:cs="仿宋" w:asciiTheme="minorEastAsia" w:hAnsiTheme="minorEastAsia"/>
          <w:b/>
          <w:color w:val="auto"/>
          <w:kern w:val="0"/>
          <w:sz w:val="32"/>
          <w:szCs w:val="32"/>
          <w:highlight w:val="none"/>
        </w:rPr>
      </w:pPr>
    </w:p>
    <w:p w14:paraId="6FDA9D41">
      <w:pPr>
        <w:jc w:val="center"/>
        <w:rPr>
          <w:rFonts w:cs="仿宋" w:asciiTheme="minorEastAsia" w:hAnsiTheme="minorEastAsia"/>
          <w:b/>
          <w:color w:val="auto"/>
          <w:kern w:val="0"/>
          <w:sz w:val="32"/>
          <w:szCs w:val="32"/>
          <w:highlight w:val="none"/>
        </w:rPr>
        <w:sectPr>
          <w:headerReference r:id="rId19" w:type="first"/>
          <w:footerReference r:id="rId21" w:type="first"/>
          <w:headerReference r:id="rId18" w:type="default"/>
          <w:footerReference r:id="rId20"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02141DE3">
      <w:pP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rPr>
        <w:t>五、响应产品规格配置清单</w:t>
      </w:r>
    </w:p>
    <w:p w14:paraId="74C3726E">
      <w:pPr>
        <w:pStyle w:val="24"/>
        <w:rPr>
          <w:rFonts w:cs="仿宋" w:asciiTheme="minorEastAsia" w:hAnsiTheme="minorEastAsia"/>
          <w:color w:val="auto"/>
          <w:highlight w:val="none"/>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4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1CC86">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FF9DAB">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A38B6D1">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768340">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72EF1DC7">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5E20DE">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3E7A5FF">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备注</w:t>
            </w:r>
          </w:p>
        </w:tc>
      </w:tr>
      <w:tr w14:paraId="627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84FF4">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1639E4">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48259C">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0CE4DE">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02F19F">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820854">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1EC700">
            <w:pPr>
              <w:spacing w:line="360" w:lineRule="auto"/>
              <w:jc w:val="center"/>
              <w:rPr>
                <w:rFonts w:asciiTheme="minorEastAsia" w:hAnsiTheme="minorEastAsia"/>
                <w:color w:val="auto"/>
                <w:sz w:val="24"/>
                <w:highlight w:val="none"/>
              </w:rPr>
            </w:pPr>
          </w:p>
        </w:tc>
      </w:tr>
      <w:tr w14:paraId="567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B1AFFC">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46B86C">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7E2895">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247EA8">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8E8704">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E18C73">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7D7ED1">
            <w:pPr>
              <w:spacing w:line="360" w:lineRule="auto"/>
              <w:jc w:val="center"/>
              <w:rPr>
                <w:rFonts w:asciiTheme="minorEastAsia" w:hAnsiTheme="minorEastAsia"/>
                <w:color w:val="auto"/>
                <w:sz w:val="24"/>
                <w:highlight w:val="none"/>
              </w:rPr>
            </w:pPr>
          </w:p>
        </w:tc>
      </w:tr>
      <w:tr w14:paraId="6C39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0703E">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2E5D0C1">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1896F9">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3F8A3F">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4EE531">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591D09">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731066">
            <w:pPr>
              <w:spacing w:line="360" w:lineRule="auto"/>
              <w:jc w:val="center"/>
              <w:rPr>
                <w:rFonts w:asciiTheme="minorEastAsia" w:hAnsiTheme="minorEastAsia"/>
                <w:color w:val="auto"/>
                <w:sz w:val="24"/>
                <w:highlight w:val="none"/>
              </w:rPr>
            </w:pPr>
          </w:p>
        </w:tc>
      </w:tr>
    </w:tbl>
    <w:p w14:paraId="0A56CD9A">
      <w:pPr>
        <w:pStyle w:val="13"/>
        <w:rPr>
          <w:rFonts w:hint="eastAsia" w:cs="仿宋_GB2312" w:asciiTheme="minorEastAsia" w:hAnsiTheme="minorEastAsia"/>
          <w:color w:val="auto"/>
          <w:highlight w:val="none"/>
        </w:rPr>
      </w:pPr>
      <w:r>
        <w:rPr>
          <w:rFonts w:cs="仿宋_GB2312" w:asciiTheme="minorEastAsia" w:hAnsiTheme="minorEastAsia"/>
          <w:color w:val="auto"/>
          <w:highlight w:val="none"/>
        </w:rPr>
        <w:t>注</w:t>
      </w:r>
      <w:r>
        <w:rPr>
          <w:rFonts w:cs="仿宋_GB2312" w:asciiTheme="minorEastAsia" w:hAnsiTheme="minorEastAsia"/>
          <w:color w:val="auto"/>
          <w:highlight w:val="none"/>
          <w:lang w:val="en-US"/>
        </w:rPr>
        <w:t>：</w:t>
      </w:r>
      <w:r>
        <w:rPr>
          <w:rFonts w:hint="eastAsia" w:cs="仿宋_GB2312" w:asciiTheme="minorEastAsia" w:hAnsiTheme="minorEastAsia"/>
          <w:color w:val="auto"/>
          <w:highlight w:val="none"/>
        </w:rPr>
        <w:t>按本格式和要求提供。</w:t>
      </w:r>
    </w:p>
    <w:p w14:paraId="5F054DB3">
      <w:pPr>
        <w:pStyle w:val="24"/>
        <w:rPr>
          <w:rFonts w:hint="eastAsia" w:cs="仿宋_GB2312" w:asciiTheme="minorEastAsia" w:hAnsiTheme="minorEastAsia"/>
          <w:color w:val="auto"/>
          <w:highlight w:val="none"/>
        </w:rPr>
      </w:pPr>
    </w:p>
    <w:p w14:paraId="26EF1F0F">
      <w:pPr>
        <w:rPr>
          <w:rFonts w:hint="eastAsia" w:cs="仿宋_GB2312" w:asciiTheme="minorEastAsia" w:hAnsiTheme="minorEastAsia"/>
          <w:color w:val="auto"/>
          <w:highlight w:val="none"/>
        </w:rPr>
      </w:pPr>
    </w:p>
    <w:p w14:paraId="386F4AA0">
      <w:pPr>
        <w:pStyle w:val="10"/>
        <w:rPr>
          <w:rFonts w:hint="eastAsia" w:cs="仿宋_GB2312" w:asciiTheme="minorEastAsia" w:hAnsiTheme="minorEastAsia"/>
          <w:color w:val="auto"/>
          <w:highlight w:val="none"/>
        </w:rPr>
      </w:pPr>
    </w:p>
    <w:p w14:paraId="3B06A483">
      <w:pPr>
        <w:snapToGrid w:val="0"/>
        <w:spacing w:line="360" w:lineRule="auto"/>
        <w:ind w:firstLine="576"/>
        <w:jc w:val="center"/>
        <w:rPr>
          <w:rFonts w:ascii="宋体" w:hAnsi="宋体" w:cs="宋体"/>
          <w:color w:val="auto"/>
          <w:kern w:val="0"/>
          <w:sz w:val="24"/>
          <w:highlight w:val="none"/>
          <w:lang w:val="zh-CN"/>
        </w:rPr>
      </w:pPr>
      <w:r>
        <w:rPr>
          <w:rFonts w:hint="eastAsia" w:cs="仿宋_GB2312" w:asciiTheme="minorEastAsia" w:hAnsiTheme="minorEastAsia"/>
          <w:color w:val="auto"/>
          <w:highlight w:val="none"/>
          <w:lang w:val="en-US" w:eastAsia="zh-CN"/>
        </w:rPr>
        <w:t xml:space="preserve">                                        </w:t>
      </w:r>
      <w:r>
        <w:rPr>
          <w:rFonts w:hint="eastAsia" w:ascii="宋体" w:hAnsi="宋体" w:cs="宋体"/>
          <w:color w:val="auto"/>
          <w:kern w:val="0"/>
          <w:sz w:val="24"/>
          <w:highlight w:val="none"/>
          <w:lang w:val="en-US" w:eastAsia="zh-CN"/>
        </w:rPr>
        <w:t xml:space="preserve"> 供应商</w:t>
      </w:r>
      <w:r>
        <w:rPr>
          <w:rFonts w:hint="eastAsia" w:ascii="宋体" w:hAnsi="宋体" w:cs="宋体"/>
          <w:color w:val="auto"/>
          <w:kern w:val="0"/>
          <w:sz w:val="24"/>
          <w:highlight w:val="none"/>
          <w:lang w:val="zh-CN"/>
        </w:rPr>
        <w:t xml:space="preserve">名称(电子签名)：                              </w:t>
      </w:r>
    </w:p>
    <w:p w14:paraId="1A9CB626">
      <w:pPr>
        <w:rPr>
          <w:rFonts w:hint="default" w:eastAsiaTheme="minorEastAsia"/>
          <w:color w:val="auto"/>
          <w:highlight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4A4B42DC">
      <w:pP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C0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6220C2">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13ED48E2">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采购文件章节及具体内容</w:t>
            </w:r>
          </w:p>
        </w:tc>
        <w:tc>
          <w:tcPr>
            <w:tcW w:w="3546" w:type="dxa"/>
          </w:tcPr>
          <w:p w14:paraId="7FDF4D50">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7B19068B">
            <w:pP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58FD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F2DD8A">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236C3785">
            <w:pPr>
              <w:jc w:val="center"/>
              <w:rPr>
                <w:rFonts w:cs="仿宋" w:asciiTheme="minorEastAsia" w:hAnsiTheme="minorEastAsia"/>
                <w:b/>
                <w:color w:val="auto"/>
                <w:kern w:val="0"/>
                <w:sz w:val="32"/>
                <w:szCs w:val="32"/>
                <w:highlight w:val="none"/>
              </w:rPr>
            </w:pPr>
          </w:p>
        </w:tc>
        <w:tc>
          <w:tcPr>
            <w:tcW w:w="3546" w:type="dxa"/>
          </w:tcPr>
          <w:p w14:paraId="6A79625A">
            <w:pPr>
              <w:jc w:val="center"/>
              <w:rPr>
                <w:rFonts w:cs="仿宋" w:asciiTheme="minorEastAsia" w:hAnsiTheme="minorEastAsia"/>
                <w:b/>
                <w:color w:val="auto"/>
                <w:kern w:val="0"/>
                <w:sz w:val="32"/>
                <w:szCs w:val="32"/>
                <w:highlight w:val="none"/>
              </w:rPr>
            </w:pPr>
          </w:p>
        </w:tc>
        <w:tc>
          <w:tcPr>
            <w:tcW w:w="1276" w:type="dxa"/>
          </w:tcPr>
          <w:p w14:paraId="48773441">
            <w:pPr>
              <w:jc w:val="center"/>
              <w:rPr>
                <w:rFonts w:cs="仿宋" w:asciiTheme="minorEastAsia" w:hAnsiTheme="minorEastAsia"/>
                <w:b/>
                <w:color w:val="auto"/>
                <w:kern w:val="0"/>
                <w:sz w:val="32"/>
                <w:szCs w:val="32"/>
                <w:highlight w:val="none"/>
              </w:rPr>
            </w:pPr>
          </w:p>
        </w:tc>
      </w:tr>
      <w:tr w14:paraId="4735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9D6511">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4A7701B4">
            <w:pPr>
              <w:jc w:val="center"/>
              <w:rPr>
                <w:rFonts w:cs="仿宋" w:asciiTheme="minorEastAsia" w:hAnsiTheme="minorEastAsia"/>
                <w:b/>
                <w:color w:val="auto"/>
                <w:kern w:val="0"/>
                <w:sz w:val="32"/>
                <w:szCs w:val="32"/>
                <w:highlight w:val="none"/>
              </w:rPr>
            </w:pPr>
          </w:p>
        </w:tc>
        <w:tc>
          <w:tcPr>
            <w:tcW w:w="3546" w:type="dxa"/>
          </w:tcPr>
          <w:p w14:paraId="795A1955">
            <w:pPr>
              <w:jc w:val="center"/>
              <w:rPr>
                <w:rFonts w:cs="仿宋" w:asciiTheme="minorEastAsia" w:hAnsiTheme="minorEastAsia"/>
                <w:b/>
                <w:color w:val="auto"/>
                <w:kern w:val="0"/>
                <w:sz w:val="32"/>
                <w:szCs w:val="32"/>
                <w:highlight w:val="none"/>
              </w:rPr>
            </w:pPr>
          </w:p>
        </w:tc>
        <w:tc>
          <w:tcPr>
            <w:tcW w:w="1276" w:type="dxa"/>
          </w:tcPr>
          <w:p w14:paraId="3439F8A3">
            <w:pPr>
              <w:jc w:val="center"/>
              <w:rPr>
                <w:rFonts w:cs="仿宋" w:asciiTheme="minorEastAsia" w:hAnsiTheme="minorEastAsia"/>
                <w:b/>
                <w:color w:val="auto"/>
                <w:kern w:val="0"/>
                <w:sz w:val="32"/>
                <w:szCs w:val="32"/>
                <w:highlight w:val="none"/>
              </w:rPr>
            </w:pPr>
          </w:p>
        </w:tc>
      </w:tr>
      <w:tr w14:paraId="4F62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00F292">
            <w:pP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168BBDD">
            <w:pPr>
              <w:jc w:val="center"/>
              <w:rPr>
                <w:rFonts w:cs="仿宋" w:asciiTheme="minorEastAsia" w:hAnsiTheme="minorEastAsia"/>
                <w:b/>
                <w:color w:val="auto"/>
                <w:kern w:val="0"/>
                <w:sz w:val="32"/>
                <w:szCs w:val="32"/>
                <w:highlight w:val="none"/>
              </w:rPr>
            </w:pPr>
          </w:p>
        </w:tc>
        <w:tc>
          <w:tcPr>
            <w:tcW w:w="3546" w:type="dxa"/>
          </w:tcPr>
          <w:p w14:paraId="62A6E17E">
            <w:pPr>
              <w:jc w:val="center"/>
              <w:rPr>
                <w:rFonts w:cs="仿宋" w:asciiTheme="minorEastAsia" w:hAnsiTheme="minorEastAsia"/>
                <w:b/>
                <w:color w:val="auto"/>
                <w:kern w:val="0"/>
                <w:sz w:val="32"/>
                <w:szCs w:val="32"/>
                <w:highlight w:val="none"/>
              </w:rPr>
            </w:pPr>
          </w:p>
        </w:tc>
        <w:tc>
          <w:tcPr>
            <w:tcW w:w="1276" w:type="dxa"/>
          </w:tcPr>
          <w:p w14:paraId="21BC7494">
            <w:pPr>
              <w:jc w:val="center"/>
              <w:rPr>
                <w:rFonts w:cs="仿宋" w:asciiTheme="minorEastAsia" w:hAnsiTheme="minorEastAsia"/>
                <w:b/>
                <w:color w:val="auto"/>
                <w:kern w:val="0"/>
                <w:sz w:val="32"/>
                <w:szCs w:val="32"/>
                <w:highlight w:val="none"/>
              </w:rPr>
            </w:pPr>
          </w:p>
        </w:tc>
      </w:tr>
    </w:tbl>
    <w:p w14:paraId="03CC321E">
      <w:pPr>
        <w:jc w:val="left"/>
        <w:rPr>
          <w:rFonts w:hint="eastAsia"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供应商保证：除商务技术偏离表列出的偏离外，供应商响应采购文件的全部要求</w:t>
      </w:r>
    </w:p>
    <w:p w14:paraId="664B491C">
      <w:pPr>
        <w:spacing w:line="380" w:lineRule="exact"/>
        <w:rPr>
          <w:rFonts w:hint="default" w:ascii="楷体" w:hAnsi="楷体" w:eastAsia="楷体" w:cs="Arial"/>
          <w:color w:val="auto"/>
          <w:sz w:val="24"/>
          <w:highlight w:val="none"/>
          <w:u w:val="single"/>
          <w:lang w:val="en-US" w:eastAsia="zh-CN"/>
        </w:rPr>
      </w:pPr>
      <w:r>
        <w:rPr>
          <w:rFonts w:hint="eastAsia" w:ascii="楷体" w:hAnsi="楷体" w:eastAsia="楷体"/>
          <w:color w:val="auto"/>
          <w:sz w:val="24"/>
          <w:highlight w:val="none"/>
        </w:rPr>
        <w:t>附注：</w:t>
      </w:r>
      <w:r>
        <w:rPr>
          <w:rFonts w:hint="eastAsia" w:ascii="楷体" w:hAnsi="楷体" w:eastAsia="楷体" w:cs="Arial"/>
          <w:color w:val="auto"/>
          <w:sz w:val="24"/>
          <w:highlight w:val="none"/>
        </w:rPr>
        <w:t>1.</w:t>
      </w:r>
      <w:r>
        <w:rPr>
          <w:rFonts w:hint="eastAsia" w:ascii="楷体" w:hAnsi="楷体" w:eastAsia="楷体"/>
          <w:bCs/>
          <w:color w:val="auto"/>
          <w:sz w:val="24"/>
          <w:highlight w:val="none"/>
        </w:rPr>
        <w:t xml:space="preserve"> </w:t>
      </w:r>
      <w:r>
        <w:rPr>
          <w:rFonts w:hint="eastAsia" w:ascii="楷体" w:hAnsi="楷体" w:eastAsia="楷体"/>
          <w:bCs/>
          <w:color w:val="auto"/>
          <w:sz w:val="24"/>
          <w:highlight w:val="none"/>
          <w:u w:val="single"/>
          <w:lang w:eastAsia="zh-CN"/>
        </w:rPr>
        <w:t>★</w:t>
      </w:r>
      <w:r>
        <w:rPr>
          <w:rFonts w:hint="eastAsia" w:ascii="楷体" w:hAnsi="楷体" w:eastAsia="楷体" w:cs="Arial"/>
          <w:color w:val="auto"/>
          <w:sz w:val="24"/>
          <w:highlight w:val="none"/>
          <w:u w:val="single"/>
        </w:rPr>
        <w:t>没有填写此表视为完全满足</w:t>
      </w:r>
      <w:r>
        <w:rPr>
          <w:rFonts w:hint="eastAsia" w:ascii="楷体" w:hAnsi="楷体" w:eastAsia="楷体" w:cs="Arial"/>
          <w:color w:val="auto"/>
          <w:sz w:val="24"/>
          <w:highlight w:val="none"/>
          <w:u w:val="single"/>
          <w:lang w:eastAsia="zh-CN"/>
        </w:rPr>
        <w:t>询价通知书</w:t>
      </w:r>
      <w:r>
        <w:rPr>
          <w:rFonts w:hint="eastAsia" w:ascii="楷体" w:hAnsi="楷体" w:eastAsia="楷体" w:cs="Arial"/>
          <w:color w:val="auto"/>
          <w:sz w:val="24"/>
          <w:highlight w:val="none"/>
          <w:u w:val="single"/>
        </w:rPr>
        <w:t>的实质性要求；</w:t>
      </w:r>
      <w:r>
        <w:rPr>
          <w:rFonts w:hint="eastAsia" w:ascii="楷体" w:hAnsi="楷体" w:eastAsia="楷体" w:cs="Arial"/>
          <w:color w:val="auto"/>
          <w:sz w:val="24"/>
          <w:highlight w:val="none"/>
          <w:u w:val="single"/>
          <w:lang w:val="en-US" w:eastAsia="zh-CN"/>
        </w:rPr>
        <w:t>(必须提供）</w:t>
      </w:r>
    </w:p>
    <w:p w14:paraId="14A04FCE">
      <w:pPr>
        <w:spacing w:line="380" w:lineRule="exact"/>
        <w:ind w:left="239" w:leftChars="114" w:firstLine="480" w:firstLineChars="200"/>
        <w:rPr>
          <w:rFonts w:ascii="楷体" w:hAnsi="楷体" w:eastAsia="楷体" w:cs="Arial"/>
          <w:color w:val="auto"/>
          <w:sz w:val="24"/>
          <w:highlight w:val="none"/>
        </w:rPr>
      </w:pPr>
      <w:r>
        <w:rPr>
          <w:rFonts w:hint="eastAsia" w:ascii="楷体" w:hAnsi="楷体" w:eastAsia="楷体" w:cs="Arial"/>
          <w:color w:val="auto"/>
          <w:sz w:val="24"/>
          <w:highlight w:val="none"/>
        </w:rPr>
        <w:t>2. 如出现偏离，</w:t>
      </w:r>
      <w:r>
        <w:rPr>
          <w:rFonts w:hint="eastAsia" w:ascii="楷体" w:hAnsi="楷体" w:eastAsia="楷体" w:cs="Arial"/>
          <w:color w:val="auto"/>
          <w:sz w:val="24"/>
          <w:highlight w:val="none"/>
          <w:lang w:eastAsia="zh-CN"/>
        </w:rPr>
        <w:t>供应商</w:t>
      </w:r>
      <w:r>
        <w:rPr>
          <w:rFonts w:hint="eastAsia" w:ascii="楷体" w:hAnsi="楷体" w:eastAsia="楷体" w:cs="Arial"/>
          <w:color w:val="auto"/>
          <w:sz w:val="24"/>
          <w:highlight w:val="none"/>
        </w:rPr>
        <w:t>务必如实填写此表，“</w:t>
      </w:r>
      <w:r>
        <w:rPr>
          <w:rFonts w:hint="eastAsia" w:ascii="楷体" w:hAnsi="楷体" w:eastAsia="楷体" w:cs="Arial"/>
          <w:color w:val="auto"/>
          <w:sz w:val="24"/>
          <w:highlight w:val="none"/>
          <w:lang w:eastAsia="zh-CN"/>
        </w:rPr>
        <w:t>响应文件</w:t>
      </w:r>
      <w:r>
        <w:rPr>
          <w:rFonts w:hint="eastAsia" w:ascii="楷体" w:hAnsi="楷体" w:eastAsia="楷体" w:cs="Arial"/>
          <w:color w:val="auto"/>
          <w:sz w:val="24"/>
          <w:highlight w:val="none"/>
        </w:rPr>
        <w:t>对应规范”及“说明”栏不得复制粘贴，所投产品必须对照</w:t>
      </w:r>
      <w:r>
        <w:rPr>
          <w:rFonts w:hint="eastAsia" w:ascii="楷体" w:hAnsi="楷体" w:eastAsia="楷体" w:cs="Arial"/>
          <w:color w:val="auto"/>
          <w:sz w:val="24"/>
          <w:highlight w:val="none"/>
          <w:lang w:eastAsia="zh-CN"/>
        </w:rPr>
        <w:t>询价通知书</w:t>
      </w:r>
      <w:r>
        <w:rPr>
          <w:rFonts w:hint="eastAsia" w:ascii="楷体" w:hAnsi="楷体" w:eastAsia="楷体" w:cs="Arial"/>
          <w:color w:val="auto"/>
          <w:sz w:val="24"/>
          <w:highlight w:val="none"/>
        </w:rPr>
        <w:t>要求详细填写说明，否则存在的风险由</w:t>
      </w:r>
      <w:r>
        <w:rPr>
          <w:rFonts w:hint="eastAsia" w:ascii="楷体" w:hAnsi="楷体" w:eastAsia="楷体" w:cs="Arial"/>
          <w:color w:val="auto"/>
          <w:sz w:val="24"/>
          <w:highlight w:val="none"/>
          <w:lang w:eastAsia="zh-CN"/>
        </w:rPr>
        <w:t>供应商</w:t>
      </w:r>
      <w:r>
        <w:rPr>
          <w:rFonts w:hint="eastAsia" w:ascii="楷体" w:hAnsi="楷体" w:eastAsia="楷体" w:cs="Arial"/>
          <w:color w:val="auto"/>
          <w:sz w:val="24"/>
          <w:highlight w:val="none"/>
        </w:rPr>
        <w:t>自行承担；</w:t>
      </w:r>
    </w:p>
    <w:p w14:paraId="6420D62C">
      <w:pPr>
        <w:spacing w:line="380" w:lineRule="exact"/>
        <w:ind w:firstLine="705" w:firstLineChars="294"/>
        <w:rPr>
          <w:rFonts w:hint="eastAsia" w:ascii="楷体" w:hAnsi="楷体" w:eastAsia="楷体"/>
          <w:bCs/>
          <w:color w:val="auto"/>
          <w:sz w:val="24"/>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w:t>
      </w:r>
      <w:r>
        <w:rPr>
          <w:rFonts w:hint="eastAsia" w:ascii="楷体" w:hAnsi="楷体" w:eastAsia="楷体"/>
          <w:bCs/>
          <w:color w:val="auto"/>
          <w:sz w:val="24"/>
          <w:highlight w:val="none"/>
          <w:lang w:eastAsia="zh-CN"/>
        </w:rPr>
        <w:t>供应商</w:t>
      </w:r>
      <w:r>
        <w:rPr>
          <w:rFonts w:hint="eastAsia" w:ascii="楷体" w:hAnsi="楷体" w:eastAsia="楷体"/>
          <w:bCs/>
          <w:color w:val="auto"/>
          <w:sz w:val="24"/>
          <w:highlight w:val="none"/>
        </w:rPr>
        <w:t>可按以上表格形式进行复制。</w:t>
      </w:r>
    </w:p>
    <w:p w14:paraId="5E00D29F">
      <w:pPr>
        <w:snapToGrid w:val="0"/>
        <w:spacing w:line="360" w:lineRule="auto"/>
        <w:ind w:firstLine="576"/>
        <w:jc w:val="center"/>
        <w:rPr>
          <w:rFonts w:hint="eastAsia" w:ascii="楷体" w:hAnsi="楷体" w:eastAsia="楷体"/>
          <w:bCs/>
          <w:color w:val="auto"/>
          <w:sz w:val="24"/>
          <w:highlight w:val="none"/>
          <w:lang w:val="en-US" w:eastAsia="zh-CN"/>
        </w:rPr>
      </w:pPr>
      <w:r>
        <w:rPr>
          <w:rFonts w:hint="eastAsia" w:ascii="楷体" w:hAnsi="楷体" w:eastAsia="楷体"/>
          <w:bCs/>
          <w:color w:val="auto"/>
          <w:sz w:val="24"/>
          <w:highlight w:val="none"/>
          <w:lang w:val="en-US" w:eastAsia="zh-CN"/>
        </w:rPr>
        <w:t xml:space="preserve">                                             </w:t>
      </w:r>
    </w:p>
    <w:p w14:paraId="155E5170">
      <w:pPr>
        <w:snapToGrid w:val="0"/>
        <w:spacing w:line="360" w:lineRule="auto"/>
        <w:ind w:firstLine="576"/>
        <w:jc w:val="center"/>
        <w:rPr>
          <w:rFonts w:hint="eastAsia" w:ascii="楷体" w:hAnsi="楷体" w:eastAsia="楷体"/>
          <w:bCs/>
          <w:color w:val="auto"/>
          <w:sz w:val="24"/>
          <w:highlight w:val="none"/>
          <w:lang w:val="en-US" w:eastAsia="zh-CN"/>
        </w:rPr>
      </w:pPr>
    </w:p>
    <w:p w14:paraId="61683C24">
      <w:pPr>
        <w:snapToGrid w:val="0"/>
        <w:spacing w:line="360" w:lineRule="auto"/>
        <w:ind w:firstLine="576"/>
        <w:jc w:val="center"/>
        <w:rPr>
          <w:rFonts w:ascii="宋体" w:hAnsi="宋体" w:cs="宋体"/>
          <w:color w:val="auto"/>
          <w:kern w:val="0"/>
          <w:sz w:val="24"/>
          <w:highlight w:val="none"/>
          <w:lang w:val="zh-CN"/>
        </w:rPr>
      </w:pPr>
      <w:r>
        <w:rPr>
          <w:rFonts w:hint="eastAsia" w:ascii="楷体" w:hAnsi="楷体" w:eastAsia="楷体"/>
          <w:bCs/>
          <w:color w:val="auto"/>
          <w:sz w:val="24"/>
          <w:highlight w:val="none"/>
          <w:lang w:val="en-US" w:eastAsia="zh-CN"/>
        </w:rPr>
        <w:t xml:space="preserve">                                   </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 xml:space="preserve">名称(电子签名)：                              </w:t>
      </w:r>
    </w:p>
    <w:p w14:paraId="3AE9A26D">
      <w:pPr>
        <w:rPr>
          <w:rFonts w:hint="default" w:eastAsiaTheme="minorEastAsia"/>
          <w:color w:val="auto"/>
          <w:highlight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5A9D5582">
      <w:pPr>
        <w:ind w:firstLine="1911" w:firstLineChars="595"/>
        <w:rPr>
          <w:rFonts w:hint="default" w:cs="仿宋" w:asciiTheme="minorEastAsia" w:hAnsi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lang w:val="en-US" w:eastAsia="zh-CN"/>
        </w:rPr>
        <w:t>七、认为需要的其他文件资料或说明</w:t>
      </w:r>
    </w:p>
    <w:p w14:paraId="32867B9A">
      <w:pPr>
        <w:jc w:val="center"/>
        <w:rPr>
          <w:rFonts w:hint="default" w:cs="仿宋" w:asciiTheme="minorEastAsia" w:hAnsiTheme="minorEastAsia" w:eastAsiaTheme="minorEastAsia"/>
          <w:b w:val="0"/>
          <w:bCs w:val="0"/>
          <w:color w:val="auto"/>
          <w:sz w:val="24"/>
          <w:highlight w:val="none"/>
          <w:lang w:val="en-US" w:eastAsia="zh-CN"/>
        </w:rPr>
      </w:pPr>
      <w:r>
        <w:rPr>
          <w:rFonts w:hint="eastAsia" w:cs="仿宋" w:asciiTheme="minorEastAsia" w:hAnsiTheme="minorEastAsia"/>
          <w:b w:val="0"/>
          <w:bCs w:val="0"/>
          <w:color w:val="auto"/>
          <w:sz w:val="24"/>
          <w:highlight w:val="none"/>
          <w:lang w:val="en-US" w:eastAsia="zh-CN"/>
        </w:rPr>
        <w:t>（由供应商根据采购需求自行编制）</w:t>
      </w:r>
    </w:p>
    <w:p w14:paraId="68B760E7">
      <w:pPr>
        <w:ind w:firstLine="1911" w:firstLineChars="595"/>
        <w:rPr>
          <w:rFonts w:hint="eastAsia" w:cs="仿宋" w:asciiTheme="minorEastAsia" w:hAnsiTheme="minorEastAsia"/>
          <w:b/>
          <w:color w:val="auto"/>
          <w:kern w:val="0"/>
          <w:sz w:val="32"/>
          <w:szCs w:val="32"/>
          <w:highlight w:val="none"/>
        </w:rPr>
      </w:pPr>
    </w:p>
    <w:p w14:paraId="2F09868E">
      <w:pPr>
        <w:ind w:firstLine="5520" w:firstLineChars="2300"/>
        <w:rPr>
          <w:rFonts w:hint="eastAsia" w:cs="仿宋" w:asciiTheme="minorEastAsia" w:hAnsiTheme="minorEastAsia"/>
          <w:b/>
          <w:color w:val="auto"/>
          <w:kern w:val="0"/>
          <w:sz w:val="32"/>
          <w:szCs w:val="32"/>
          <w:highlight w:val="none"/>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名称(电子签名)：</w:t>
      </w:r>
    </w:p>
    <w:p w14:paraId="50A3F8BF">
      <w:pPr>
        <w:ind w:firstLine="5743" w:firstLineChars="2393"/>
        <w:rPr>
          <w:rFonts w:hint="eastAsia" w:cs="仿宋" w:asciiTheme="minorEastAsia" w:hAnsiTheme="minorEastAsia"/>
          <w:b/>
          <w:color w:val="auto"/>
          <w:kern w:val="0"/>
          <w:sz w:val="32"/>
          <w:szCs w:val="32"/>
          <w:highlight w:val="none"/>
        </w:rPr>
      </w:pPr>
      <w:r>
        <w:rPr>
          <w:rFonts w:hint="eastAsia" w:ascii="宋体" w:hAnsi="宋体" w:cs="宋体"/>
          <w:color w:val="auto"/>
          <w:kern w:val="0"/>
          <w:sz w:val="24"/>
          <w:highlight w:val="none"/>
          <w:lang w:val="zh-CN"/>
        </w:rPr>
        <w:t>日期：  年  月  日</w:t>
      </w:r>
    </w:p>
    <w:p w14:paraId="53E6A1C4">
      <w:pPr>
        <w:ind w:firstLine="1911" w:firstLineChars="595"/>
        <w:rPr>
          <w:rFonts w:hint="default" w:cs="仿宋" w:asciiTheme="minorEastAsia" w:hAnsiTheme="minorEastAsia" w:eastAsiaTheme="minorEastAsia"/>
          <w:b/>
          <w:color w:val="auto"/>
          <w:kern w:val="0"/>
          <w:sz w:val="32"/>
          <w:szCs w:val="32"/>
          <w:highlight w:val="none"/>
          <w:lang w:val="en-US" w:eastAsia="zh-CN"/>
        </w:rPr>
      </w:pPr>
      <w:r>
        <w:rPr>
          <w:rFonts w:hint="eastAsia" w:cs="仿宋" w:asciiTheme="minorEastAsia" w:hAnsiTheme="minorEastAsia"/>
          <w:b/>
          <w:color w:val="auto"/>
          <w:kern w:val="0"/>
          <w:sz w:val="32"/>
          <w:szCs w:val="32"/>
          <w:highlight w:val="none"/>
          <w:lang w:val="en-US" w:eastAsia="zh-CN"/>
        </w:rPr>
        <w:t xml:space="preserve">                      </w:t>
      </w:r>
    </w:p>
    <w:p w14:paraId="1550484F">
      <w:pPr>
        <w:ind w:firstLine="1911" w:firstLineChars="595"/>
        <w:rPr>
          <w:rFonts w:hint="eastAsia" w:cs="仿宋" w:asciiTheme="minorEastAsia" w:hAnsiTheme="minorEastAsia"/>
          <w:b/>
          <w:color w:val="auto"/>
          <w:kern w:val="0"/>
          <w:sz w:val="32"/>
          <w:szCs w:val="32"/>
          <w:highlight w:val="none"/>
        </w:rPr>
      </w:pPr>
    </w:p>
    <w:p w14:paraId="43356730">
      <w:pPr>
        <w:ind w:firstLine="1911" w:firstLineChars="595"/>
        <w:rPr>
          <w:rFonts w:hint="eastAsia" w:cs="仿宋" w:asciiTheme="minorEastAsia" w:hAnsiTheme="minorEastAsia"/>
          <w:b/>
          <w:color w:val="auto"/>
          <w:kern w:val="0"/>
          <w:sz w:val="32"/>
          <w:szCs w:val="32"/>
          <w:highlight w:val="none"/>
        </w:rPr>
      </w:pPr>
    </w:p>
    <w:p w14:paraId="73C4CC92">
      <w:pPr>
        <w:ind w:firstLine="1911" w:firstLineChars="595"/>
        <w:rPr>
          <w:rFonts w:hint="eastAsia" w:cs="仿宋" w:asciiTheme="minorEastAsia" w:hAnsiTheme="minorEastAsia"/>
          <w:b/>
          <w:color w:val="auto"/>
          <w:kern w:val="0"/>
          <w:sz w:val="32"/>
          <w:szCs w:val="32"/>
          <w:highlight w:val="none"/>
        </w:rPr>
      </w:pPr>
    </w:p>
    <w:p w14:paraId="16C7512F">
      <w:pPr>
        <w:ind w:firstLine="1911" w:firstLineChars="595"/>
        <w:rPr>
          <w:rFonts w:hint="eastAsia" w:cs="仿宋" w:asciiTheme="minorEastAsia" w:hAnsiTheme="minorEastAsia"/>
          <w:b/>
          <w:color w:val="auto"/>
          <w:kern w:val="0"/>
          <w:sz w:val="32"/>
          <w:szCs w:val="32"/>
          <w:highlight w:val="none"/>
        </w:rPr>
      </w:pPr>
    </w:p>
    <w:p w14:paraId="435F6AE1">
      <w:pPr>
        <w:ind w:firstLine="1911" w:firstLineChars="595"/>
        <w:rPr>
          <w:rFonts w:hint="eastAsia" w:cs="仿宋" w:asciiTheme="minorEastAsia" w:hAnsiTheme="minorEastAsia"/>
          <w:b/>
          <w:color w:val="auto"/>
          <w:kern w:val="0"/>
          <w:sz w:val="32"/>
          <w:szCs w:val="32"/>
          <w:highlight w:val="none"/>
        </w:rPr>
      </w:pPr>
    </w:p>
    <w:p w14:paraId="4CBE4DCE">
      <w:pPr>
        <w:ind w:firstLine="1911" w:firstLineChars="595"/>
        <w:rPr>
          <w:rFonts w:hint="eastAsia" w:cs="仿宋" w:asciiTheme="minorEastAsia" w:hAnsiTheme="minorEastAsia"/>
          <w:b/>
          <w:color w:val="auto"/>
          <w:kern w:val="0"/>
          <w:sz w:val="32"/>
          <w:szCs w:val="32"/>
          <w:highlight w:val="none"/>
        </w:rPr>
      </w:pPr>
    </w:p>
    <w:p w14:paraId="3065A1F3">
      <w:pPr>
        <w:ind w:firstLine="1911" w:firstLineChars="595"/>
        <w:rPr>
          <w:rFonts w:hint="eastAsia" w:cs="仿宋" w:asciiTheme="minorEastAsia" w:hAnsiTheme="minorEastAsia"/>
          <w:b/>
          <w:color w:val="auto"/>
          <w:kern w:val="0"/>
          <w:sz w:val="32"/>
          <w:szCs w:val="32"/>
          <w:highlight w:val="none"/>
        </w:rPr>
      </w:pPr>
    </w:p>
    <w:p w14:paraId="79F26E0E">
      <w:pPr>
        <w:ind w:firstLine="1911" w:firstLineChars="595"/>
        <w:rPr>
          <w:rFonts w:hint="eastAsia" w:cs="仿宋" w:asciiTheme="minorEastAsia" w:hAnsiTheme="minorEastAsia"/>
          <w:b/>
          <w:color w:val="auto"/>
          <w:kern w:val="0"/>
          <w:sz w:val="32"/>
          <w:szCs w:val="32"/>
          <w:highlight w:val="none"/>
        </w:rPr>
      </w:pPr>
    </w:p>
    <w:p w14:paraId="67C1ACC5">
      <w:pPr>
        <w:ind w:firstLine="1911" w:firstLineChars="595"/>
        <w:rPr>
          <w:rFonts w:hint="eastAsia" w:cs="仿宋" w:asciiTheme="minorEastAsia" w:hAnsiTheme="minorEastAsia"/>
          <w:b/>
          <w:color w:val="auto"/>
          <w:kern w:val="0"/>
          <w:sz w:val="32"/>
          <w:szCs w:val="32"/>
          <w:highlight w:val="none"/>
        </w:rPr>
      </w:pPr>
    </w:p>
    <w:p w14:paraId="0F6F53AE">
      <w:pPr>
        <w:ind w:firstLine="1911" w:firstLineChars="595"/>
        <w:rPr>
          <w:rFonts w:hint="eastAsia" w:cs="仿宋" w:asciiTheme="minorEastAsia" w:hAnsiTheme="minorEastAsia"/>
          <w:b/>
          <w:color w:val="auto"/>
          <w:kern w:val="0"/>
          <w:sz w:val="32"/>
          <w:szCs w:val="32"/>
          <w:highlight w:val="none"/>
        </w:rPr>
      </w:pPr>
    </w:p>
    <w:p w14:paraId="25F99BE9">
      <w:pPr>
        <w:ind w:firstLine="1911" w:firstLineChars="595"/>
        <w:rPr>
          <w:rFonts w:hint="eastAsia" w:cs="仿宋" w:asciiTheme="minorEastAsia" w:hAnsiTheme="minorEastAsia"/>
          <w:b/>
          <w:color w:val="auto"/>
          <w:kern w:val="0"/>
          <w:sz w:val="32"/>
          <w:szCs w:val="32"/>
          <w:highlight w:val="none"/>
        </w:rPr>
      </w:pPr>
    </w:p>
    <w:p w14:paraId="1E349497">
      <w:pPr>
        <w:ind w:firstLine="1911" w:firstLineChars="595"/>
        <w:rPr>
          <w:rFonts w:hint="eastAsia" w:cs="仿宋" w:asciiTheme="minorEastAsia" w:hAnsiTheme="minorEastAsia"/>
          <w:b/>
          <w:color w:val="auto"/>
          <w:kern w:val="0"/>
          <w:sz w:val="32"/>
          <w:szCs w:val="32"/>
          <w:highlight w:val="none"/>
        </w:rPr>
      </w:pPr>
    </w:p>
    <w:p w14:paraId="37C1DA42">
      <w:pPr>
        <w:ind w:firstLine="1911" w:firstLineChars="595"/>
        <w:rPr>
          <w:rFonts w:hint="eastAsia" w:cs="仿宋" w:asciiTheme="minorEastAsia" w:hAnsiTheme="minorEastAsia"/>
          <w:b/>
          <w:color w:val="auto"/>
          <w:kern w:val="0"/>
          <w:sz w:val="32"/>
          <w:szCs w:val="32"/>
          <w:highlight w:val="none"/>
        </w:rPr>
      </w:pPr>
    </w:p>
    <w:p w14:paraId="3C3C2987">
      <w:pPr>
        <w:ind w:firstLine="1911" w:firstLineChars="595"/>
        <w:rPr>
          <w:rFonts w:hint="eastAsia" w:cs="仿宋" w:asciiTheme="minorEastAsia" w:hAnsiTheme="minorEastAsia"/>
          <w:b/>
          <w:color w:val="auto"/>
          <w:kern w:val="0"/>
          <w:sz w:val="32"/>
          <w:szCs w:val="32"/>
          <w:highlight w:val="none"/>
        </w:rPr>
      </w:pPr>
    </w:p>
    <w:p w14:paraId="3E08EFD5">
      <w:pPr>
        <w:ind w:firstLine="1911" w:firstLineChars="595"/>
        <w:rPr>
          <w:rFonts w:hint="eastAsia" w:cs="仿宋" w:asciiTheme="minorEastAsia" w:hAnsiTheme="minorEastAsia"/>
          <w:b/>
          <w:color w:val="auto"/>
          <w:kern w:val="0"/>
          <w:sz w:val="32"/>
          <w:szCs w:val="32"/>
          <w:highlight w:val="none"/>
        </w:rPr>
      </w:pPr>
    </w:p>
    <w:p w14:paraId="2B552A9F">
      <w:pPr>
        <w:ind w:firstLine="1911" w:firstLineChars="595"/>
        <w:rPr>
          <w:rFonts w:hint="eastAsia" w:cs="仿宋" w:asciiTheme="minorEastAsia" w:hAnsiTheme="minorEastAsia"/>
          <w:b/>
          <w:color w:val="auto"/>
          <w:kern w:val="0"/>
          <w:sz w:val="32"/>
          <w:szCs w:val="32"/>
          <w:highlight w:val="none"/>
        </w:rPr>
      </w:pPr>
    </w:p>
    <w:p w14:paraId="277F0DA5">
      <w:pPr>
        <w:ind w:firstLine="1911" w:firstLineChars="595"/>
        <w:rPr>
          <w:rFonts w:hint="eastAsia" w:cs="仿宋" w:asciiTheme="minorEastAsia" w:hAnsiTheme="minorEastAsia"/>
          <w:b/>
          <w:color w:val="auto"/>
          <w:kern w:val="0"/>
          <w:sz w:val="32"/>
          <w:szCs w:val="32"/>
          <w:highlight w:val="none"/>
        </w:rPr>
      </w:pPr>
    </w:p>
    <w:p w14:paraId="13C73372">
      <w:pPr>
        <w:ind w:firstLine="1911" w:firstLineChars="595"/>
        <w:rPr>
          <w:rFonts w:hint="eastAsia" w:cs="仿宋" w:asciiTheme="minorEastAsia" w:hAnsiTheme="minorEastAsia"/>
          <w:b/>
          <w:color w:val="auto"/>
          <w:kern w:val="0"/>
          <w:sz w:val="32"/>
          <w:szCs w:val="32"/>
          <w:highlight w:val="none"/>
        </w:rPr>
      </w:pPr>
    </w:p>
    <w:p w14:paraId="464B3257">
      <w:pPr>
        <w:ind w:firstLine="1911" w:firstLineChars="595"/>
        <w:rPr>
          <w:rFonts w:hint="eastAsia" w:cs="仿宋" w:asciiTheme="minorEastAsia" w:hAnsiTheme="minorEastAsia"/>
          <w:b/>
          <w:color w:val="auto"/>
          <w:kern w:val="0"/>
          <w:sz w:val="32"/>
          <w:szCs w:val="32"/>
          <w:highlight w:val="none"/>
        </w:rPr>
      </w:pPr>
    </w:p>
    <w:p w14:paraId="2C50DF74">
      <w:pPr>
        <w:ind w:firstLine="1911" w:firstLineChars="595"/>
        <w:rPr>
          <w:rFonts w:hint="eastAsia" w:cs="仿宋" w:asciiTheme="minorEastAsia" w:hAnsiTheme="minorEastAsia"/>
          <w:b/>
          <w:color w:val="auto"/>
          <w:kern w:val="0"/>
          <w:sz w:val="32"/>
          <w:szCs w:val="32"/>
          <w:highlight w:val="none"/>
          <w:lang w:val="en-US" w:eastAsia="zh-CN"/>
        </w:rPr>
      </w:pPr>
    </w:p>
    <w:p w14:paraId="3D9BD14D">
      <w:pPr>
        <w:ind w:firstLine="1911" w:firstLineChars="595"/>
        <w:rPr>
          <w:rFonts w:hint="eastAsia" w:cs="仿宋" w:asciiTheme="minorEastAsia" w:hAnsiTheme="minorEastAsia"/>
          <w:b/>
          <w:color w:val="auto"/>
          <w:kern w:val="0"/>
          <w:sz w:val="32"/>
          <w:szCs w:val="32"/>
          <w:highlight w:val="none"/>
          <w:lang w:val="en-US" w:eastAsia="zh-CN"/>
        </w:rPr>
      </w:pPr>
    </w:p>
    <w:p w14:paraId="76D7CEF5">
      <w:pPr>
        <w:ind w:firstLine="1911" w:firstLineChars="595"/>
        <w:rPr>
          <w:rFonts w:hint="eastAsia" w:cs="仿宋" w:asciiTheme="minorEastAsia" w:hAnsiTheme="minorEastAsia"/>
          <w:b/>
          <w:color w:val="auto"/>
          <w:kern w:val="0"/>
          <w:sz w:val="32"/>
          <w:szCs w:val="32"/>
          <w:highlight w:val="none"/>
          <w:lang w:val="en-US" w:eastAsia="zh-CN"/>
        </w:rPr>
      </w:pPr>
    </w:p>
    <w:p w14:paraId="3EE61646">
      <w:pPr>
        <w:ind w:firstLine="1911" w:firstLineChars="595"/>
        <w:rPr>
          <w:rFonts w:hint="eastAsia" w:cs="仿宋" w:asciiTheme="minorEastAsia" w:hAnsiTheme="minorEastAsia"/>
          <w:b/>
          <w:color w:val="auto"/>
          <w:kern w:val="0"/>
          <w:sz w:val="32"/>
          <w:szCs w:val="32"/>
          <w:highlight w:val="none"/>
          <w:lang w:val="en-US" w:eastAsia="zh-CN"/>
        </w:rPr>
      </w:pPr>
    </w:p>
    <w:p w14:paraId="3039D396">
      <w:pPr>
        <w:ind w:firstLine="1911" w:firstLineChars="595"/>
        <w:rPr>
          <w:rFonts w:hint="eastAsia" w:cs="仿宋" w:asciiTheme="minorEastAsia" w:hAnsiTheme="minorEastAsia"/>
          <w:b/>
          <w:color w:val="auto"/>
          <w:kern w:val="0"/>
          <w:sz w:val="32"/>
          <w:szCs w:val="32"/>
          <w:highlight w:val="none"/>
          <w:lang w:val="en-US" w:eastAsia="zh-CN"/>
        </w:rPr>
      </w:pPr>
    </w:p>
    <w:p w14:paraId="4E7CEFDE">
      <w:pPr>
        <w:ind w:firstLine="1911" w:firstLineChars="595"/>
        <w:rPr>
          <w:rFonts w:hint="eastAsia" w:cs="仿宋" w:asciiTheme="minorEastAsia" w:hAnsiTheme="minorEastAsia"/>
          <w:b/>
          <w:color w:val="auto"/>
          <w:kern w:val="0"/>
          <w:sz w:val="32"/>
          <w:szCs w:val="32"/>
          <w:highlight w:val="none"/>
          <w:lang w:val="en-US" w:eastAsia="zh-CN"/>
        </w:rPr>
      </w:pPr>
    </w:p>
    <w:p w14:paraId="291FC3F8">
      <w:pPr>
        <w:ind w:firstLine="1911" w:firstLineChars="595"/>
        <w:rPr>
          <w:rFonts w:hint="eastAsia" w:cs="仿宋" w:asciiTheme="minorEastAsia" w:hAnsiTheme="minorEastAsia"/>
          <w:b/>
          <w:color w:val="auto"/>
          <w:kern w:val="0"/>
          <w:sz w:val="32"/>
          <w:szCs w:val="32"/>
          <w:highlight w:val="none"/>
          <w:lang w:val="en-US" w:eastAsia="zh-CN"/>
        </w:rPr>
      </w:pPr>
    </w:p>
    <w:p w14:paraId="0362029A">
      <w:pPr>
        <w:pStyle w:val="13"/>
        <w:rPr>
          <w:rFonts w:hint="eastAsia"/>
          <w:color w:val="auto"/>
          <w:highlight w:val="none"/>
          <w:lang w:val="en-US" w:eastAsia="zh-CN"/>
        </w:rPr>
      </w:pPr>
    </w:p>
    <w:p w14:paraId="027DF5D4">
      <w:pPr>
        <w:ind w:firstLine="1911" w:firstLineChars="595"/>
        <w:rPr>
          <w:rFonts w:hint="eastAsia" w:cs="仿宋" w:asciiTheme="minorEastAsia" w:hAnsiTheme="minorEastAsia"/>
          <w:b/>
          <w:color w:val="auto"/>
          <w:kern w:val="0"/>
          <w:sz w:val="32"/>
          <w:szCs w:val="32"/>
          <w:highlight w:val="none"/>
          <w:lang w:val="en-US" w:eastAsia="zh-CN"/>
        </w:rPr>
      </w:pPr>
    </w:p>
    <w:p w14:paraId="3F577497">
      <w:pPr>
        <w:ind w:firstLine="1911" w:firstLineChars="595"/>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八</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政府采购供应商廉洁自律承诺书</w:t>
      </w:r>
    </w:p>
    <w:p w14:paraId="69200B4B">
      <w:pPr>
        <w:snapToGrid w:val="0"/>
        <w:spacing w:line="360" w:lineRule="auto"/>
        <w:rPr>
          <w:rFonts w:cs="仿宋" w:asciiTheme="minorEastAsia" w:hAnsiTheme="minorEastAsia"/>
          <w:color w:val="auto"/>
          <w:sz w:val="24"/>
          <w:highlight w:val="none"/>
        </w:rPr>
      </w:pPr>
    </w:p>
    <w:p w14:paraId="7A22D961">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0F5D026A">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3CCEE9ED">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69C5630">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300696C6">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65AD1E8">
      <w:pP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60A9C1AF">
      <w:pP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131AFAF3">
      <w:pP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2913D87">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六、严格遵守《</w:t>
      </w:r>
      <w:r>
        <w:rPr>
          <w:rFonts w:hint="eastAsia" w:cs="仿宋" w:asciiTheme="minorEastAsia" w:hAnsiTheme="minorEastAsia"/>
          <w:color w:val="auto"/>
          <w:sz w:val="24"/>
          <w:highlight w:val="none"/>
          <w:lang w:val="zh-CN"/>
        </w:rPr>
        <w:t>中华人民共和国</w:t>
      </w:r>
      <w:r>
        <w:rPr>
          <w:rFonts w:hint="eastAsia" w:cs="仿宋" w:asciiTheme="minorEastAsia" w:hAnsiTheme="minorEastAsia"/>
          <w:color w:val="auto"/>
          <w:kern w:val="0"/>
          <w:sz w:val="24"/>
          <w:highlight w:val="none"/>
          <w:lang w:val="zh-CN"/>
        </w:rPr>
        <w:t>政府采购法》</w:t>
      </w:r>
      <w:r>
        <w:rPr>
          <w:rFonts w:hint="eastAsia" w:cs="仿宋" w:asciiTheme="minorEastAsia" w:hAnsiTheme="minorEastAsia"/>
          <w:color w:val="auto"/>
          <w:sz w:val="24"/>
          <w:highlight w:val="none"/>
          <w:lang w:val="zh-CN"/>
        </w:rPr>
        <w:t>《中华人民共和国民法典》《政府采购非招标采购方式管理办法》</w:t>
      </w:r>
      <w:r>
        <w:rPr>
          <w:rFonts w:hint="eastAsia" w:cs="仿宋" w:asciiTheme="minorEastAsia" w:hAnsiTheme="minorEastAsia"/>
          <w:color w:val="auto"/>
          <w:kern w:val="0"/>
          <w:sz w:val="24"/>
          <w:highlight w:val="none"/>
          <w:lang w:val="zh-CN"/>
        </w:rPr>
        <w:t xml:space="preserve">等法律法规，诚实守信，合法经营，坚决抵制各种违法违纪行为。 </w:t>
      </w:r>
    </w:p>
    <w:p w14:paraId="15CFDDD2">
      <w:pP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有权立即取消我单位响应、成交或在建项目的建设资格，有权拒绝我单位在一定时期内进入你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进行项目建设或其他经营活动，并通报市财政局。由此引起的相应损失均由我单位承担。</w:t>
      </w:r>
    </w:p>
    <w:p w14:paraId="2EF1EBF5">
      <w:pPr>
        <w:autoSpaceDE w:val="0"/>
        <w:autoSpaceDN w:val="0"/>
        <w:spacing w:line="360" w:lineRule="auto"/>
        <w:ind w:left="2"/>
        <w:jc w:val="left"/>
        <w:rPr>
          <w:rFonts w:cs="仿宋" w:asciiTheme="minorEastAsia" w:hAnsiTheme="minorEastAsia"/>
          <w:color w:val="auto"/>
          <w:kern w:val="0"/>
          <w:sz w:val="24"/>
          <w:highlight w:val="none"/>
          <w:lang w:val="zh-CN"/>
        </w:rPr>
      </w:pPr>
    </w:p>
    <w:p w14:paraId="7FD1A4C4">
      <w:pPr>
        <w:autoSpaceDE w:val="0"/>
        <w:autoSpaceDN w:val="0"/>
        <w:spacing w:line="360" w:lineRule="auto"/>
        <w:ind w:left="2"/>
        <w:jc w:val="left"/>
        <w:rPr>
          <w:rFonts w:cs="仿宋" w:asciiTheme="minorEastAsia" w:hAnsiTheme="minorEastAsia"/>
          <w:color w:val="auto"/>
          <w:kern w:val="0"/>
          <w:sz w:val="24"/>
          <w:highlight w:val="none"/>
          <w:lang w:val="zh-CN"/>
        </w:rPr>
      </w:pPr>
    </w:p>
    <w:p w14:paraId="65C5FA00">
      <w:pPr>
        <w:autoSpaceDE w:val="0"/>
        <w:autoSpaceDN w:val="0"/>
        <w:spacing w:line="360" w:lineRule="auto"/>
        <w:ind w:left="2"/>
        <w:jc w:val="left"/>
        <w:rPr>
          <w:rFonts w:cs="仿宋" w:asciiTheme="minorEastAsia" w:hAnsiTheme="minorEastAsia"/>
          <w:color w:val="auto"/>
          <w:kern w:val="0"/>
          <w:sz w:val="24"/>
          <w:highlight w:val="none"/>
          <w:lang w:val="zh-CN"/>
        </w:rPr>
      </w:pPr>
    </w:p>
    <w:p w14:paraId="60D12D8C">
      <w:pPr>
        <w:autoSpaceDE w:val="0"/>
        <w:autoSpaceDN w:val="0"/>
        <w:spacing w:line="360" w:lineRule="auto"/>
        <w:ind w:left="2" w:leftChars="1" w:right="1120" w:firstLine="4560" w:firstLineChars="19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电子签名</w:t>
      </w:r>
      <w:r>
        <w:rPr>
          <w:rFonts w:hint="eastAsia" w:cs="仿宋" w:asciiTheme="minorEastAsia" w:hAnsiTheme="minorEastAsia"/>
          <w:color w:val="auto"/>
          <w:kern w:val="0"/>
          <w:sz w:val="24"/>
          <w:highlight w:val="none"/>
          <w:lang w:val="zh-CN"/>
        </w:rPr>
        <w:t xml:space="preserve">）：                                                                                                                                                                                                               </w:t>
      </w:r>
    </w:p>
    <w:p w14:paraId="4C5E6194">
      <w:pPr>
        <w:spacing w:line="360" w:lineRule="auto"/>
        <w:ind w:left="4620" w:leftChars="2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3294CB69">
      <w:pPr>
        <w:spacing w:line="360" w:lineRule="auto"/>
        <w:jc w:val="center"/>
        <w:rPr>
          <w:rFonts w:cs="仿宋" w:asciiTheme="minorEastAsia" w:hAnsiTheme="minorEastAsia"/>
          <w:b/>
          <w:bCs/>
          <w:color w:val="auto"/>
          <w:sz w:val="24"/>
          <w:highlight w:val="none"/>
        </w:rPr>
      </w:pPr>
    </w:p>
    <w:p w14:paraId="0BFA3CD8">
      <w:pPr>
        <w:spacing w:line="360" w:lineRule="auto"/>
        <w:jc w:val="center"/>
        <w:rPr>
          <w:rFonts w:cs="仿宋" w:asciiTheme="minorEastAsia" w:hAnsiTheme="minorEastAsia"/>
          <w:b/>
          <w:bCs/>
          <w:color w:val="auto"/>
          <w:sz w:val="24"/>
          <w:highlight w:val="none"/>
        </w:rPr>
      </w:pPr>
    </w:p>
    <w:p w14:paraId="144F51C4">
      <w:pPr>
        <w:rPr>
          <w:rFonts w:cs="仿宋" w:asciiTheme="minorEastAsia" w:hAnsiTheme="minorEastAsia"/>
          <w:b/>
          <w:bCs/>
          <w:color w:val="auto"/>
          <w:sz w:val="24"/>
          <w:highlight w:val="none"/>
        </w:rPr>
      </w:pPr>
    </w:p>
    <w:p w14:paraId="241564CB">
      <w:pPr>
        <w:pStyle w:val="13"/>
        <w:rPr>
          <w:rFonts w:cs="仿宋" w:asciiTheme="minorEastAsia" w:hAnsiTheme="minorEastAsia"/>
          <w:b/>
          <w:bCs/>
          <w:color w:val="auto"/>
          <w:sz w:val="24"/>
          <w:highlight w:val="none"/>
        </w:rPr>
      </w:pPr>
    </w:p>
    <w:p w14:paraId="530F0FF7">
      <w:pPr>
        <w:rPr>
          <w:rFonts w:cs="仿宋" w:asciiTheme="minorEastAsia" w:hAnsiTheme="minorEastAsia"/>
          <w:b/>
          <w:bCs/>
          <w:color w:val="auto"/>
          <w:sz w:val="24"/>
          <w:highlight w:val="none"/>
        </w:rPr>
      </w:pPr>
    </w:p>
    <w:p w14:paraId="100B06E2">
      <w:pPr>
        <w:pStyle w:val="13"/>
        <w:rPr>
          <w:rFonts w:cs="仿宋" w:asciiTheme="minorEastAsia" w:hAnsiTheme="minorEastAsia"/>
          <w:b/>
          <w:bCs/>
          <w:color w:val="auto"/>
          <w:sz w:val="24"/>
          <w:highlight w:val="none"/>
        </w:rPr>
      </w:pPr>
    </w:p>
    <w:p w14:paraId="1D6B6283">
      <w:pPr>
        <w:rPr>
          <w:rFonts w:cs="仿宋" w:asciiTheme="minorEastAsia" w:hAnsiTheme="minorEastAsia"/>
          <w:b/>
          <w:bCs/>
          <w:color w:val="auto"/>
          <w:sz w:val="24"/>
          <w:highlight w:val="none"/>
        </w:rPr>
      </w:pPr>
    </w:p>
    <w:p w14:paraId="7271D49C">
      <w:pPr>
        <w:pStyle w:val="13"/>
        <w:rPr>
          <w:color w:val="auto"/>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1BCD72FF">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42C81356">
      <w:pP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106BE006">
      <w:pPr>
        <w:spacing w:line="360" w:lineRule="auto"/>
        <w:jc w:val="center"/>
        <w:outlineLvl w:val="0"/>
        <w:rPr>
          <w:rFonts w:cs="仿宋" w:asciiTheme="minorEastAsia" w:hAnsiTheme="minorEastAsia"/>
          <w:b/>
          <w:color w:val="auto"/>
          <w:kern w:val="0"/>
          <w:sz w:val="36"/>
          <w:szCs w:val="36"/>
          <w:highlight w:val="none"/>
        </w:rPr>
      </w:pPr>
    </w:p>
    <w:p w14:paraId="64152A4A">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（1）响应报价明细表………………………………………………………（页码）</w:t>
      </w:r>
    </w:p>
    <w:p w14:paraId="1524C43C">
      <w:pPr>
        <w:snapToGrid w:val="0"/>
        <w:spacing w:line="360" w:lineRule="auto"/>
        <w:ind w:right="48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（2）中小企业声明函（如果有）…………………………………………（页码）</w:t>
      </w:r>
    </w:p>
    <w:p w14:paraId="5BB4DC18">
      <w:pPr>
        <w:snapToGrid w:val="0"/>
        <w:spacing w:line="360" w:lineRule="auto"/>
        <w:ind w:right="480"/>
        <w:jc w:val="center"/>
        <w:rPr>
          <w:rFonts w:cs="仿宋" w:asciiTheme="minorEastAsia" w:hAnsiTheme="minorEastAsia"/>
          <w:b/>
          <w:color w:val="auto"/>
          <w:kern w:val="0"/>
          <w:sz w:val="32"/>
          <w:szCs w:val="32"/>
          <w:highlight w:val="none"/>
        </w:rPr>
      </w:pPr>
    </w:p>
    <w:p w14:paraId="376B3F32">
      <w:pPr>
        <w:snapToGrid w:val="0"/>
        <w:spacing w:line="360" w:lineRule="auto"/>
        <w:ind w:right="480"/>
        <w:jc w:val="center"/>
        <w:rPr>
          <w:rFonts w:cs="仿宋" w:asciiTheme="minorEastAsia" w:hAnsiTheme="minorEastAsia"/>
          <w:b/>
          <w:color w:val="auto"/>
          <w:kern w:val="0"/>
          <w:sz w:val="32"/>
          <w:szCs w:val="32"/>
          <w:highlight w:val="none"/>
        </w:rPr>
      </w:pPr>
    </w:p>
    <w:p w14:paraId="2FAF82CB">
      <w:pPr>
        <w:snapToGrid w:val="0"/>
        <w:spacing w:line="360" w:lineRule="auto"/>
        <w:ind w:right="480"/>
        <w:jc w:val="center"/>
        <w:rPr>
          <w:rFonts w:cs="仿宋" w:asciiTheme="minorEastAsia" w:hAnsiTheme="minorEastAsia"/>
          <w:b/>
          <w:color w:val="auto"/>
          <w:kern w:val="0"/>
          <w:sz w:val="32"/>
          <w:szCs w:val="32"/>
          <w:highlight w:val="none"/>
        </w:rPr>
      </w:pPr>
    </w:p>
    <w:p w14:paraId="61AE1D89">
      <w:pPr>
        <w:snapToGrid w:val="0"/>
        <w:spacing w:line="360" w:lineRule="auto"/>
        <w:ind w:right="480"/>
        <w:jc w:val="center"/>
        <w:rPr>
          <w:rFonts w:cs="仿宋" w:asciiTheme="minorEastAsia" w:hAnsiTheme="minorEastAsia"/>
          <w:b/>
          <w:color w:val="auto"/>
          <w:kern w:val="0"/>
          <w:sz w:val="32"/>
          <w:szCs w:val="32"/>
          <w:highlight w:val="none"/>
        </w:rPr>
      </w:pPr>
    </w:p>
    <w:p w14:paraId="10F283A5">
      <w:pPr>
        <w:snapToGrid w:val="0"/>
        <w:spacing w:line="360" w:lineRule="auto"/>
        <w:ind w:right="480"/>
        <w:jc w:val="center"/>
        <w:rPr>
          <w:rFonts w:cs="仿宋" w:asciiTheme="minorEastAsia" w:hAnsiTheme="minorEastAsia"/>
          <w:b/>
          <w:color w:val="auto"/>
          <w:kern w:val="0"/>
          <w:sz w:val="32"/>
          <w:szCs w:val="32"/>
          <w:highlight w:val="none"/>
        </w:rPr>
      </w:pPr>
    </w:p>
    <w:p w14:paraId="64615D56">
      <w:pPr>
        <w:snapToGrid w:val="0"/>
        <w:spacing w:line="360" w:lineRule="auto"/>
        <w:ind w:right="480"/>
        <w:jc w:val="center"/>
        <w:rPr>
          <w:rFonts w:cs="仿宋" w:asciiTheme="minorEastAsia" w:hAnsiTheme="minorEastAsia"/>
          <w:b/>
          <w:color w:val="auto"/>
          <w:kern w:val="0"/>
          <w:sz w:val="32"/>
          <w:szCs w:val="32"/>
          <w:highlight w:val="none"/>
        </w:rPr>
      </w:pPr>
    </w:p>
    <w:p w14:paraId="3046196A">
      <w:pPr>
        <w:snapToGrid w:val="0"/>
        <w:spacing w:line="360" w:lineRule="auto"/>
        <w:ind w:right="480"/>
        <w:jc w:val="center"/>
        <w:rPr>
          <w:rFonts w:cs="仿宋" w:asciiTheme="minorEastAsia" w:hAnsiTheme="minorEastAsia"/>
          <w:b/>
          <w:color w:val="auto"/>
          <w:kern w:val="0"/>
          <w:sz w:val="32"/>
          <w:szCs w:val="32"/>
          <w:highlight w:val="none"/>
        </w:rPr>
      </w:pPr>
    </w:p>
    <w:p w14:paraId="77FEE62A">
      <w:pPr>
        <w:snapToGrid w:val="0"/>
        <w:spacing w:line="360" w:lineRule="auto"/>
        <w:ind w:right="480"/>
        <w:jc w:val="center"/>
        <w:rPr>
          <w:rFonts w:cs="仿宋" w:asciiTheme="minorEastAsia" w:hAnsiTheme="minorEastAsia"/>
          <w:b/>
          <w:color w:val="auto"/>
          <w:kern w:val="0"/>
          <w:sz w:val="32"/>
          <w:szCs w:val="32"/>
          <w:highlight w:val="none"/>
        </w:rPr>
      </w:pPr>
    </w:p>
    <w:p w14:paraId="3E0D34F8">
      <w:pPr>
        <w:snapToGrid w:val="0"/>
        <w:spacing w:line="360" w:lineRule="auto"/>
        <w:ind w:right="480"/>
        <w:jc w:val="center"/>
        <w:rPr>
          <w:rFonts w:cs="仿宋" w:asciiTheme="minorEastAsia" w:hAnsiTheme="minorEastAsia"/>
          <w:b/>
          <w:color w:val="auto"/>
          <w:kern w:val="0"/>
          <w:sz w:val="32"/>
          <w:szCs w:val="32"/>
          <w:highlight w:val="none"/>
        </w:rPr>
      </w:pPr>
    </w:p>
    <w:p w14:paraId="012504E4">
      <w:pPr>
        <w:snapToGrid w:val="0"/>
        <w:spacing w:line="360" w:lineRule="auto"/>
        <w:ind w:right="480"/>
        <w:jc w:val="center"/>
        <w:rPr>
          <w:rFonts w:cs="仿宋" w:asciiTheme="minorEastAsia" w:hAnsiTheme="minorEastAsia"/>
          <w:b/>
          <w:color w:val="auto"/>
          <w:kern w:val="0"/>
          <w:sz w:val="32"/>
          <w:szCs w:val="32"/>
          <w:highlight w:val="none"/>
        </w:rPr>
      </w:pPr>
    </w:p>
    <w:p w14:paraId="7E2EDF07">
      <w:pPr>
        <w:snapToGrid w:val="0"/>
        <w:spacing w:line="360" w:lineRule="auto"/>
        <w:ind w:right="480"/>
        <w:jc w:val="center"/>
        <w:rPr>
          <w:rFonts w:cs="仿宋" w:asciiTheme="minorEastAsia" w:hAnsiTheme="minorEastAsia"/>
          <w:b/>
          <w:color w:val="auto"/>
          <w:kern w:val="0"/>
          <w:sz w:val="32"/>
          <w:szCs w:val="32"/>
          <w:highlight w:val="none"/>
        </w:rPr>
      </w:pPr>
    </w:p>
    <w:p w14:paraId="394918CF">
      <w:pPr>
        <w:snapToGrid w:val="0"/>
        <w:spacing w:line="360" w:lineRule="auto"/>
        <w:ind w:right="480"/>
        <w:jc w:val="center"/>
        <w:rPr>
          <w:rFonts w:cs="仿宋" w:asciiTheme="minorEastAsia" w:hAnsiTheme="minorEastAsia"/>
          <w:b/>
          <w:color w:val="auto"/>
          <w:kern w:val="0"/>
          <w:sz w:val="32"/>
          <w:szCs w:val="32"/>
          <w:highlight w:val="none"/>
        </w:rPr>
      </w:pPr>
    </w:p>
    <w:p w14:paraId="6CB183CD">
      <w:pPr>
        <w:snapToGrid w:val="0"/>
        <w:spacing w:line="360" w:lineRule="auto"/>
        <w:ind w:right="480"/>
        <w:jc w:val="center"/>
        <w:rPr>
          <w:rFonts w:cs="仿宋" w:asciiTheme="minorEastAsia" w:hAnsiTheme="minorEastAsia"/>
          <w:b/>
          <w:color w:val="auto"/>
          <w:kern w:val="0"/>
          <w:sz w:val="32"/>
          <w:szCs w:val="32"/>
          <w:highlight w:val="none"/>
        </w:rPr>
      </w:pPr>
    </w:p>
    <w:p w14:paraId="66B02782">
      <w:pPr>
        <w:snapToGrid w:val="0"/>
        <w:spacing w:line="360" w:lineRule="auto"/>
        <w:ind w:right="480"/>
        <w:jc w:val="center"/>
        <w:rPr>
          <w:rFonts w:cs="仿宋" w:asciiTheme="minorEastAsia" w:hAnsiTheme="minorEastAsia"/>
          <w:b/>
          <w:color w:val="auto"/>
          <w:kern w:val="0"/>
          <w:sz w:val="32"/>
          <w:szCs w:val="32"/>
          <w:highlight w:val="none"/>
        </w:rPr>
      </w:pPr>
    </w:p>
    <w:p w14:paraId="6BFB5F22">
      <w:pPr>
        <w:snapToGrid w:val="0"/>
        <w:spacing w:line="360" w:lineRule="auto"/>
        <w:ind w:right="480"/>
        <w:jc w:val="center"/>
        <w:rPr>
          <w:rFonts w:cs="仿宋" w:asciiTheme="minorEastAsia" w:hAnsiTheme="minorEastAsia"/>
          <w:b/>
          <w:color w:val="auto"/>
          <w:kern w:val="0"/>
          <w:sz w:val="32"/>
          <w:szCs w:val="32"/>
          <w:highlight w:val="none"/>
        </w:rPr>
      </w:pPr>
    </w:p>
    <w:p w14:paraId="3EDBE330">
      <w:pPr>
        <w:pStyle w:val="46"/>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sectPr>
          <w:headerReference r:id="rId23" w:type="first"/>
          <w:footerReference r:id="rId25" w:type="first"/>
          <w:headerReference r:id="rId22" w:type="default"/>
          <w:footerReference r:id="rId2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25B1C020">
      <w:pPr>
        <w:pStyle w:val="46"/>
        <w:keepNext w:val="0"/>
        <w:pageBreakBefore w:val="0"/>
        <w:tabs>
          <w:tab w:val="clear" w:pos="720"/>
        </w:tabs>
        <w:snapToGrid w:val="0"/>
        <w:spacing w:before="120" w:after="120"/>
        <w:ind w:firstLine="643"/>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AB6D1E">
      <w:pP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（采购人）、（采购代理机构）</w:t>
      </w:r>
    </w:p>
    <w:p w14:paraId="04C0B455">
      <w:pP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color w:val="auto"/>
          <w:sz w:val="24"/>
          <w:highlight w:val="none"/>
          <w:u w:val="single"/>
          <w:lang w:eastAsia="zh-CN"/>
        </w:rPr>
        <w:t>永嘉县瓯北第二小学食堂设备采购</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05ED5D09">
      <w:pPr>
        <w:spacing w:line="360" w:lineRule="auto"/>
        <w:jc w:val="center"/>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25"/>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07"/>
        <w:gridCol w:w="2697"/>
        <w:gridCol w:w="2955"/>
        <w:gridCol w:w="950"/>
        <w:gridCol w:w="1418"/>
        <w:gridCol w:w="1245"/>
        <w:gridCol w:w="1747"/>
      </w:tblGrid>
      <w:tr w14:paraId="129F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16" w:type="dxa"/>
            <w:vAlign w:val="center"/>
          </w:tcPr>
          <w:p w14:paraId="5C79121E">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2107" w:type="dxa"/>
            <w:vAlign w:val="center"/>
          </w:tcPr>
          <w:p w14:paraId="2F04625D">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名称</w:t>
            </w:r>
          </w:p>
        </w:tc>
        <w:tc>
          <w:tcPr>
            <w:tcW w:w="2697" w:type="dxa"/>
            <w:vAlign w:val="center"/>
          </w:tcPr>
          <w:p w14:paraId="5943408B">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品牌（如果有）</w:t>
            </w:r>
          </w:p>
        </w:tc>
        <w:tc>
          <w:tcPr>
            <w:tcW w:w="2955" w:type="dxa"/>
            <w:vAlign w:val="center"/>
          </w:tcPr>
          <w:p w14:paraId="4CA16E55">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规格型号</w:t>
            </w:r>
          </w:p>
        </w:tc>
        <w:tc>
          <w:tcPr>
            <w:tcW w:w="950" w:type="dxa"/>
            <w:vAlign w:val="center"/>
          </w:tcPr>
          <w:p w14:paraId="4F7CADDA">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数量</w:t>
            </w:r>
          </w:p>
        </w:tc>
        <w:tc>
          <w:tcPr>
            <w:tcW w:w="1418" w:type="dxa"/>
            <w:vAlign w:val="center"/>
          </w:tcPr>
          <w:p w14:paraId="6DCA7C78">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单价</w:t>
            </w:r>
          </w:p>
        </w:tc>
        <w:tc>
          <w:tcPr>
            <w:tcW w:w="1245" w:type="dxa"/>
            <w:vAlign w:val="center"/>
          </w:tcPr>
          <w:p w14:paraId="6EDAA3AF">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总价</w:t>
            </w:r>
          </w:p>
        </w:tc>
        <w:tc>
          <w:tcPr>
            <w:tcW w:w="1747" w:type="dxa"/>
            <w:vAlign w:val="center"/>
          </w:tcPr>
          <w:p w14:paraId="51472914">
            <w:pPr>
              <w:spacing w:line="360" w:lineRule="auto"/>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备注</w:t>
            </w:r>
          </w:p>
        </w:tc>
      </w:tr>
      <w:tr w14:paraId="5C8A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6" w:type="dxa"/>
            <w:vAlign w:val="center"/>
          </w:tcPr>
          <w:p w14:paraId="447AC20D">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2107" w:type="dxa"/>
            <w:vAlign w:val="center"/>
          </w:tcPr>
          <w:p w14:paraId="1B411AE0">
            <w:pPr>
              <w:snapToGrid w:val="0"/>
              <w:spacing w:line="360" w:lineRule="auto"/>
              <w:jc w:val="center"/>
              <w:rPr>
                <w:rFonts w:cs="仿宋" w:asciiTheme="minorEastAsia" w:hAnsiTheme="minorEastAsia"/>
                <w:color w:val="auto"/>
                <w:sz w:val="24"/>
                <w:highlight w:val="none"/>
              </w:rPr>
            </w:pPr>
          </w:p>
        </w:tc>
        <w:tc>
          <w:tcPr>
            <w:tcW w:w="2697" w:type="dxa"/>
            <w:vAlign w:val="center"/>
          </w:tcPr>
          <w:p w14:paraId="5C97DCF1">
            <w:pPr>
              <w:snapToGrid w:val="0"/>
              <w:spacing w:line="360" w:lineRule="auto"/>
              <w:jc w:val="center"/>
              <w:rPr>
                <w:rFonts w:cs="仿宋" w:asciiTheme="minorEastAsia" w:hAnsiTheme="minorEastAsia"/>
                <w:color w:val="auto"/>
                <w:sz w:val="24"/>
                <w:highlight w:val="none"/>
              </w:rPr>
            </w:pPr>
          </w:p>
        </w:tc>
        <w:tc>
          <w:tcPr>
            <w:tcW w:w="2955" w:type="dxa"/>
            <w:vAlign w:val="center"/>
          </w:tcPr>
          <w:p w14:paraId="793E2D5C">
            <w:pPr>
              <w:snapToGrid w:val="0"/>
              <w:spacing w:line="360" w:lineRule="auto"/>
              <w:jc w:val="center"/>
              <w:rPr>
                <w:rFonts w:cs="仿宋" w:asciiTheme="minorEastAsia" w:hAnsiTheme="minorEastAsia"/>
                <w:color w:val="auto"/>
                <w:sz w:val="24"/>
                <w:highlight w:val="none"/>
              </w:rPr>
            </w:pPr>
          </w:p>
        </w:tc>
        <w:tc>
          <w:tcPr>
            <w:tcW w:w="950" w:type="dxa"/>
            <w:vAlign w:val="center"/>
          </w:tcPr>
          <w:p w14:paraId="7933BE23">
            <w:pPr>
              <w:snapToGrid w:val="0"/>
              <w:spacing w:line="360" w:lineRule="auto"/>
              <w:jc w:val="center"/>
              <w:rPr>
                <w:rFonts w:cs="仿宋" w:asciiTheme="minorEastAsia" w:hAnsiTheme="minorEastAsia"/>
                <w:color w:val="auto"/>
                <w:sz w:val="24"/>
                <w:highlight w:val="none"/>
              </w:rPr>
            </w:pPr>
          </w:p>
        </w:tc>
        <w:tc>
          <w:tcPr>
            <w:tcW w:w="1418" w:type="dxa"/>
            <w:vAlign w:val="center"/>
          </w:tcPr>
          <w:p w14:paraId="5E034EEC">
            <w:pPr>
              <w:spacing w:line="360" w:lineRule="auto"/>
              <w:jc w:val="center"/>
              <w:rPr>
                <w:rFonts w:cs="仿宋" w:asciiTheme="minorEastAsia" w:hAnsiTheme="minorEastAsia"/>
                <w:color w:val="auto"/>
                <w:sz w:val="24"/>
                <w:highlight w:val="none"/>
              </w:rPr>
            </w:pPr>
          </w:p>
        </w:tc>
        <w:tc>
          <w:tcPr>
            <w:tcW w:w="1245" w:type="dxa"/>
            <w:vAlign w:val="center"/>
          </w:tcPr>
          <w:p w14:paraId="0FBB064D">
            <w:pPr>
              <w:spacing w:line="360" w:lineRule="auto"/>
              <w:jc w:val="center"/>
              <w:rPr>
                <w:rFonts w:cs="仿宋" w:asciiTheme="minorEastAsia" w:hAnsiTheme="minorEastAsia"/>
                <w:color w:val="auto"/>
                <w:sz w:val="24"/>
                <w:highlight w:val="none"/>
              </w:rPr>
            </w:pPr>
          </w:p>
        </w:tc>
        <w:tc>
          <w:tcPr>
            <w:tcW w:w="1747" w:type="dxa"/>
            <w:vAlign w:val="center"/>
          </w:tcPr>
          <w:p w14:paraId="60A8CC30">
            <w:pPr>
              <w:spacing w:line="360" w:lineRule="auto"/>
              <w:jc w:val="center"/>
              <w:rPr>
                <w:rFonts w:cs="仿宋" w:asciiTheme="minorEastAsia" w:hAnsiTheme="minorEastAsia"/>
                <w:color w:val="auto"/>
                <w:sz w:val="24"/>
                <w:highlight w:val="none"/>
              </w:rPr>
            </w:pPr>
          </w:p>
        </w:tc>
      </w:tr>
      <w:tr w14:paraId="6BCF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6" w:type="dxa"/>
            <w:vAlign w:val="center"/>
          </w:tcPr>
          <w:p w14:paraId="2FB72BC6">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2107" w:type="dxa"/>
            <w:vAlign w:val="center"/>
          </w:tcPr>
          <w:p w14:paraId="5129A510">
            <w:pPr>
              <w:snapToGrid w:val="0"/>
              <w:spacing w:line="360" w:lineRule="auto"/>
              <w:jc w:val="center"/>
              <w:rPr>
                <w:rFonts w:cs="仿宋" w:asciiTheme="minorEastAsia" w:hAnsiTheme="minorEastAsia"/>
                <w:color w:val="auto"/>
                <w:sz w:val="24"/>
                <w:highlight w:val="none"/>
              </w:rPr>
            </w:pPr>
          </w:p>
        </w:tc>
        <w:tc>
          <w:tcPr>
            <w:tcW w:w="2697" w:type="dxa"/>
            <w:vAlign w:val="center"/>
          </w:tcPr>
          <w:p w14:paraId="1ACA84F9">
            <w:pPr>
              <w:snapToGrid w:val="0"/>
              <w:spacing w:line="360" w:lineRule="auto"/>
              <w:jc w:val="center"/>
              <w:rPr>
                <w:rFonts w:cs="仿宋" w:asciiTheme="minorEastAsia" w:hAnsiTheme="minorEastAsia"/>
                <w:color w:val="auto"/>
                <w:sz w:val="24"/>
                <w:highlight w:val="none"/>
              </w:rPr>
            </w:pPr>
          </w:p>
        </w:tc>
        <w:tc>
          <w:tcPr>
            <w:tcW w:w="2955" w:type="dxa"/>
            <w:vAlign w:val="center"/>
          </w:tcPr>
          <w:p w14:paraId="2F2C3B39">
            <w:pPr>
              <w:snapToGrid w:val="0"/>
              <w:spacing w:line="360" w:lineRule="auto"/>
              <w:jc w:val="center"/>
              <w:rPr>
                <w:rFonts w:cs="仿宋" w:asciiTheme="minorEastAsia" w:hAnsiTheme="minorEastAsia"/>
                <w:color w:val="auto"/>
                <w:sz w:val="24"/>
                <w:highlight w:val="none"/>
              </w:rPr>
            </w:pPr>
          </w:p>
        </w:tc>
        <w:tc>
          <w:tcPr>
            <w:tcW w:w="950" w:type="dxa"/>
            <w:vAlign w:val="center"/>
          </w:tcPr>
          <w:p w14:paraId="012C0D79">
            <w:pPr>
              <w:snapToGrid w:val="0"/>
              <w:spacing w:line="360" w:lineRule="auto"/>
              <w:jc w:val="center"/>
              <w:rPr>
                <w:rFonts w:cs="仿宋" w:asciiTheme="minorEastAsia" w:hAnsiTheme="minorEastAsia"/>
                <w:color w:val="auto"/>
                <w:sz w:val="24"/>
                <w:highlight w:val="none"/>
              </w:rPr>
            </w:pPr>
          </w:p>
        </w:tc>
        <w:tc>
          <w:tcPr>
            <w:tcW w:w="1418" w:type="dxa"/>
            <w:vAlign w:val="center"/>
          </w:tcPr>
          <w:p w14:paraId="14F164D7">
            <w:pPr>
              <w:spacing w:line="360" w:lineRule="auto"/>
              <w:jc w:val="center"/>
              <w:rPr>
                <w:rFonts w:cs="仿宋" w:asciiTheme="minorEastAsia" w:hAnsiTheme="minorEastAsia"/>
                <w:color w:val="auto"/>
                <w:sz w:val="24"/>
                <w:highlight w:val="none"/>
              </w:rPr>
            </w:pPr>
          </w:p>
        </w:tc>
        <w:tc>
          <w:tcPr>
            <w:tcW w:w="1245" w:type="dxa"/>
            <w:vAlign w:val="center"/>
          </w:tcPr>
          <w:p w14:paraId="60315005">
            <w:pPr>
              <w:spacing w:line="360" w:lineRule="auto"/>
              <w:jc w:val="center"/>
              <w:rPr>
                <w:rFonts w:cs="仿宋" w:asciiTheme="minorEastAsia" w:hAnsiTheme="minorEastAsia"/>
                <w:color w:val="auto"/>
                <w:sz w:val="24"/>
                <w:highlight w:val="none"/>
              </w:rPr>
            </w:pPr>
          </w:p>
        </w:tc>
        <w:tc>
          <w:tcPr>
            <w:tcW w:w="1747" w:type="dxa"/>
            <w:vAlign w:val="center"/>
          </w:tcPr>
          <w:p w14:paraId="69B9B389">
            <w:pPr>
              <w:spacing w:line="360" w:lineRule="auto"/>
              <w:jc w:val="center"/>
              <w:rPr>
                <w:rFonts w:cs="仿宋" w:asciiTheme="minorEastAsia" w:hAnsiTheme="minorEastAsia"/>
                <w:color w:val="auto"/>
                <w:sz w:val="24"/>
                <w:highlight w:val="none"/>
              </w:rPr>
            </w:pPr>
          </w:p>
        </w:tc>
      </w:tr>
      <w:tr w14:paraId="2567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6" w:type="dxa"/>
            <w:vAlign w:val="center"/>
          </w:tcPr>
          <w:p w14:paraId="660F7084">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2107" w:type="dxa"/>
            <w:vAlign w:val="center"/>
          </w:tcPr>
          <w:p w14:paraId="272ED555">
            <w:pPr>
              <w:snapToGrid w:val="0"/>
              <w:spacing w:line="360" w:lineRule="auto"/>
              <w:jc w:val="center"/>
              <w:rPr>
                <w:rFonts w:cs="仿宋" w:asciiTheme="minorEastAsia" w:hAnsiTheme="minorEastAsia"/>
                <w:color w:val="auto"/>
                <w:sz w:val="24"/>
                <w:highlight w:val="none"/>
              </w:rPr>
            </w:pPr>
          </w:p>
        </w:tc>
        <w:tc>
          <w:tcPr>
            <w:tcW w:w="2697" w:type="dxa"/>
            <w:vAlign w:val="center"/>
          </w:tcPr>
          <w:p w14:paraId="3BF63D95">
            <w:pPr>
              <w:snapToGrid w:val="0"/>
              <w:spacing w:line="360" w:lineRule="auto"/>
              <w:jc w:val="center"/>
              <w:rPr>
                <w:rFonts w:cs="仿宋" w:asciiTheme="minorEastAsia" w:hAnsiTheme="minorEastAsia"/>
                <w:color w:val="auto"/>
                <w:sz w:val="24"/>
                <w:highlight w:val="none"/>
              </w:rPr>
            </w:pPr>
          </w:p>
        </w:tc>
        <w:tc>
          <w:tcPr>
            <w:tcW w:w="2955" w:type="dxa"/>
            <w:vAlign w:val="center"/>
          </w:tcPr>
          <w:p w14:paraId="523CD0CE">
            <w:pPr>
              <w:snapToGrid w:val="0"/>
              <w:spacing w:line="360" w:lineRule="auto"/>
              <w:jc w:val="center"/>
              <w:rPr>
                <w:rFonts w:cs="仿宋" w:asciiTheme="minorEastAsia" w:hAnsiTheme="minorEastAsia"/>
                <w:color w:val="auto"/>
                <w:sz w:val="24"/>
                <w:highlight w:val="none"/>
              </w:rPr>
            </w:pPr>
          </w:p>
        </w:tc>
        <w:tc>
          <w:tcPr>
            <w:tcW w:w="950" w:type="dxa"/>
            <w:vAlign w:val="center"/>
          </w:tcPr>
          <w:p w14:paraId="6EF24BA6">
            <w:pPr>
              <w:snapToGrid w:val="0"/>
              <w:spacing w:line="360" w:lineRule="auto"/>
              <w:jc w:val="center"/>
              <w:rPr>
                <w:rFonts w:cs="仿宋" w:asciiTheme="minorEastAsia" w:hAnsiTheme="minorEastAsia"/>
                <w:color w:val="auto"/>
                <w:sz w:val="24"/>
                <w:highlight w:val="none"/>
              </w:rPr>
            </w:pPr>
          </w:p>
        </w:tc>
        <w:tc>
          <w:tcPr>
            <w:tcW w:w="1418" w:type="dxa"/>
            <w:vAlign w:val="center"/>
          </w:tcPr>
          <w:p w14:paraId="4A6B3BCF">
            <w:pPr>
              <w:spacing w:line="360" w:lineRule="auto"/>
              <w:jc w:val="center"/>
              <w:rPr>
                <w:rFonts w:cs="仿宋" w:asciiTheme="minorEastAsia" w:hAnsiTheme="minorEastAsia"/>
                <w:color w:val="auto"/>
                <w:sz w:val="24"/>
                <w:highlight w:val="none"/>
              </w:rPr>
            </w:pPr>
          </w:p>
        </w:tc>
        <w:tc>
          <w:tcPr>
            <w:tcW w:w="1245" w:type="dxa"/>
            <w:vAlign w:val="center"/>
          </w:tcPr>
          <w:p w14:paraId="70249975">
            <w:pPr>
              <w:spacing w:line="360" w:lineRule="auto"/>
              <w:jc w:val="center"/>
              <w:rPr>
                <w:rFonts w:cs="仿宋" w:asciiTheme="minorEastAsia" w:hAnsiTheme="minorEastAsia"/>
                <w:color w:val="auto"/>
                <w:sz w:val="24"/>
                <w:highlight w:val="none"/>
              </w:rPr>
            </w:pPr>
          </w:p>
        </w:tc>
        <w:tc>
          <w:tcPr>
            <w:tcW w:w="1747" w:type="dxa"/>
            <w:vAlign w:val="center"/>
          </w:tcPr>
          <w:p w14:paraId="3DF36494">
            <w:pPr>
              <w:spacing w:line="360" w:lineRule="auto"/>
              <w:jc w:val="center"/>
              <w:rPr>
                <w:rFonts w:cs="仿宋" w:asciiTheme="minorEastAsia" w:hAnsiTheme="minorEastAsia"/>
                <w:color w:val="auto"/>
                <w:sz w:val="24"/>
                <w:highlight w:val="none"/>
              </w:rPr>
            </w:pPr>
          </w:p>
        </w:tc>
      </w:tr>
      <w:tr w14:paraId="777A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16" w:type="dxa"/>
            <w:vAlign w:val="center"/>
          </w:tcPr>
          <w:p w14:paraId="32229D0E">
            <w:pP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c>
          <w:tcPr>
            <w:tcW w:w="2107" w:type="dxa"/>
            <w:vAlign w:val="center"/>
          </w:tcPr>
          <w:p w14:paraId="26E2C797">
            <w:pPr>
              <w:snapToGrid w:val="0"/>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p>
        </w:tc>
        <w:tc>
          <w:tcPr>
            <w:tcW w:w="2697" w:type="dxa"/>
            <w:vAlign w:val="center"/>
          </w:tcPr>
          <w:p w14:paraId="2BE69AFF">
            <w:pPr>
              <w:snapToGrid w:val="0"/>
              <w:spacing w:line="360" w:lineRule="auto"/>
              <w:jc w:val="center"/>
              <w:rPr>
                <w:rFonts w:cs="仿宋" w:asciiTheme="minorEastAsia" w:hAnsiTheme="minorEastAsia"/>
                <w:color w:val="auto"/>
                <w:sz w:val="24"/>
                <w:highlight w:val="none"/>
              </w:rPr>
            </w:pPr>
          </w:p>
        </w:tc>
        <w:tc>
          <w:tcPr>
            <w:tcW w:w="2955" w:type="dxa"/>
            <w:vAlign w:val="center"/>
          </w:tcPr>
          <w:p w14:paraId="3E7559E6">
            <w:pPr>
              <w:snapToGrid w:val="0"/>
              <w:spacing w:line="360" w:lineRule="auto"/>
              <w:jc w:val="center"/>
              <w:rPr>
                <w:rFonts w:cs="仿宋" w:asciiTheme="minorEastAsia" w:hAnsiTheme="minorEastAsia"/>
                <w:color w:val="auto"/>
                <w:sz w:val="24"/>
                <w:highlight w:val="none"/>
              </w:rPr>
            </w:pPr>
          </w:p>
        </w:tc>
        <w:tc>
          <w:tcPr>
            <w:tcW w:w="950" w:type="dxa"/>
            <w:vAlign w:val="center"/>
          </w:tcPr>
          <w:p w14:paraId="24C36D55">
            <w:pPr>
              <w:snapToGrid w:val="0"/>
              <w:spacing w:line="360" w:lineRule="auto"/>
              <w:jc w:val="center"/>
              <w:rPr>
                <w:rFonts w:cs="仿宋" w:asciiTheme="minorEastAsia" w:hAnsiTheme="minorEastAsia"/>
                <w:color w:val="auto"/>
                <w:sz w:val="24"/>
                <w:highlight w:val="none"/>
              </w:rPr>
            </w:pPr>
          </w:p>
        </w:tc>
        <w:tc>
          <w:tcPr>
            <w:tcW w:w="1418" w:type="dxa"/>
            <w:vAlign w:val="center"/>
          </w:tcPr>
          <w:p w14:paraId="6DB147FE">
            <w:pPr>
              <w:spacing w:line="360" w:lineRule="auto"/>
              <w:jc w:val="center"/>
              <w:rPr>
                <w:rFonts w:cs="仿宋" w:asciiTheme="minorEastAsia" w:hAnsiTheme="minorEastAsia"/>
                <w:color w:val="auto"/>
                <w:sz w:val="24"/>
                <w:highlight w:val="none"/>
              </w:rPr>
            </w:pPr>
          </w:p>
        </w:tc>
        <w:tc>
          <w:tcPr>
            <w:tcW w:w="1245" w:type="dxa"/>
            <w:vAlign w:val="center"/>
          </w:tcPr>
          <w:p w14:paraId="36A03081">
            <w:pPr>
              <w:spacing w:line="360" w:lineRule="auto"/>
              <w:jc w:val="center"/>
              <w:rPr>
                <w:rFonts w:cs="仿宋" w:asciiTheme="minorEastAsia" w:hAnsiTheme="minorEastAsia"/>
                <w:color w:val="auto"/>
                <w:sz w:val="24"/>
                <w:highlight w:val="none"/>
              </w:rPr>
            </w:pPr>
          </w:p>
        </w:tc>
        <w:tc>
          <w:tcPr>
            <w:tcW w:w="1747" w:type="dxa"/>
            <w:vAlign w:val="center"/>
          </w:tcPr>
          <w:p w14:paraId="2F0FB4E2">
            <w:pPr>
              <w:spacing w:line="360" w:lineRule="auto"/>
              <w:jc w:val="center"/>
              <w:rPr>
                <w:rFonts w:cs="仿宋" w:asciiTheme="minorEastAsia" w:hAnsiTheme="minorEastAsia"/>
                <w:color w:val="auto"/>
                <w:sz w:val="24"/>
                <w:highlight w:val="none"/>
              </w:rPr>
            </w:pPr>
          </w:p>
        </w:tc>
      </w:tr>
      <w:tr w14:paraId="2F2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420" w:type="dxa"/>
            <w:gridSpan w:val="3"/>
            <w:vAlign w:val="center"/>
          </w:tcPr>
          <w:p w14:paraId="03ACFE87">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响应报价合计（小写）</w:t>
            </w:r>
          </w:p>
        </w:tc>
        <w:tc>
          <w:tcPr>
            <w:tcW w:w="8315" w:type="dxa"/>
            <w:gridSpan w:val="5"/>
            <w:vAlign w:val="center"/>
          </w:tcPr>
          <w:p w14:paraId="5466518D">
            <w:pPr>
              <w:spacing w:line="360" w:lineRule="auto"/>
              <w:jc w:val="center"/>
              <w:rPr>
                <w:rFonts w:cs="仿宋" w:asciiTheme="minorEastAsia" w:hAnsiTheme="minorEastAsia"/>
                <w:color w:val="auto"/>
                <w:sz w:val="24"/>
                <w:highlight w:val="none"/>
              </w:rPr>
            </w:pPr>
          </w:p>
        </w:tc>
      </w:tr>
      <w:tr w14:paraId="002A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20" w:type="dxa"/>
            <w:gridSpan w:val="3"/>
            <w:vAlign w:val="center"/>
          </w:tcPr>
          <w:p w14:paraId="6CDFE7C4">
            <w:pPr>
              <w:spacing w:line="360" w:lineRule="auto"/>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响应报价合计（大写）</w:t>
            </w:r>
          </w:p>
        </w:tc>
        <w:tc>
          <w:tcPr>
            <w:tcW w:w="8315" w:type="dxa"/>
            <w:gridSpan w:val="5"/>
            <w:vAlign w:val="center"/>
          </w:tcPr>
          <w:p w14:paraId="1580BB5B">
            <w:pPr>
              <w:spacing w:line="360" w:lineRule="auto"/>
              <w:jc w:val="center"/>
              <w:rPr>
                <w:rFonts w:cs="仿宋" w:asciiTheme="minorEastAsia" w:hAnsiTheme="minorEastAsia"/>
                <w:color w:val="auto"/>
                <w:sz w:val="24"/>
                <w:highlight w:val="none"/>
              </w:rPr>
            </w:pPr>
          </w:p>
        </w:tc>
      </w:tr>
    </w:tbl>
    <w:p w14:paraId="434DB207">
      <w:pP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2446613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9C5EA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6045816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w:t>
      </w:r>
      <w:r>
        <w:rPr>
          <w:rFonts w:hint="eastAsia" w:ascii="宋体" w:hAnsi="宋体" w:cs="宋体"/>
          <w:color w:val="auto"/>
          <w:kern w:val="0"/>
          <w:sz w:val="24"/>
          <w:highlight w:val="none"/>
          <w:lang w:val="en-US" w:eastAsia="zh-CN"/>
        </w:rPr>
        <w:t>名称</w:t>
      </w:r>
      <w:r>
        <w:rPr>
          <w:rFonts w:hint="eastAsia" w:ascii="宋体" w:hAnsi="宋体" w:cs="宋体"/>
          <w:color w:val="auto"/>
          <w:kern w:val="0"/>
          <w:sz w:val="24"/>
          <w:highlight w:val="none"/>
          <w:lang w:val="zh-CN"/>
        </w:rPr>
        <w:t>和</w:t>
      </w:r>
      <w:r>
        <w:rPr>
          <w:rFonts w:hint="eastAsia" w:ascii="宋体" w:hAnsi="宋体" w:cs="宋体"/>
          <w:color w:val="auto"/>
          <w:kern w:val="0"/>
          <w:sz w:val="24"/>
          <w:highlight w:val="none"/>
          <w:lang w:val="en-US" w:eastAsia="zh-CN"/>
        </w:rPr>
        <w:t>项目编号</w:t>
      </w:r>
      <w:r>
        <w:rPr>
          <w:rFonts w:hint="eastAsia" w:ascii="宋体" w:hAnsi="宋体" w:cs="宋体"/>
          <w:color w:val="auto"/>
          <w:kern w:val="0"/>
          <w:sz w:val="24"/>
          <w:highlight w:val="none"/>
          <w:lang w:val="zh-CN"/>
        </w:rPr>
        <w:t>，成交供应商名称、地址和成交标金额，主要成交标的名称、品牌（如果有）、规格型号、数量、单价等予以公示。</w:t>
      </w:r>
    </w:p>
    <w:p w14:paraId="28AC82B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F9D49BB">
      <w:pPr>
        <w:snapToGrid w:val="0"/>
        <w:spacing w:line="360" w:lineRule="auto"/>
        <w:ind w:firstLine="480" w:firstLineChars="200"/>
        <w:jc w:val="left"/>
        <w:rPr>
          <w:rFonts w:cs="仿宋" w:asciiTheme="minorEastAsia" w:hAnsiTheme="minorEastAsia"/>
          <w:color w:val="auto"/>
          <w:kern w:val="0"/>
          <w:sz w:val="24"/>
          <w:highlight w:val="none"/>
          <w:lang w:val="zh-CN"/>
        </w:rPr>
      </w:pPr>
    </w:p>
    <w:p w14:paraId="1AFC3E7B">
      <w:pPr>
        <w:pStyle w:val="46"/>
        <w:keepNext w:val="0"/>
        <w:pageBreakBefore w:val="0"/>
        <w:tabs>
          <w:tab w:val="clear" w:pos="720"/>
        </w:tabs>
        <w:snapToGrid w:val="0"/>
        <w:spacing w:before="120" w:after="120"/>
        <w:ind w:firstLine="643"/>
        <w:outlineLvl w:val="9"/>
        <w:rPr>
          <w:rFonts w:hint="default" w:cs="仿宋" w:asciiTheme="minorEastAsia" w:hAnsiTheme="minorEastAsia" w:eastAsiaTheme="minorEastAsia"/>
          <w:color w:val="auto"/>
          <w:kern w:val="2"/>
          <w:sz w:val="32"/>
          <w:szCs w:val="32"/>
          <w:highlight w:val="none"/>
          <w:lang w:val="en-US" w:eastAsia="zh-CN"/>
        </w:rPr>
      </w:pPr>
      <w:r>
        <w:rPr>
          <w:rFonts w:hint="eastAsia" w:cs="仿宋" w:asciiTheme="minorEastAsia" w:hAnsiTheme="minorEastAsia" w:eastAsiaTheme="minorEastAsia"/>
          <w:color w:val="auto"/>
          <w:kern w:val="2"/>
          <w:sz w:val="32"/>
          <w:szCs w:val="32"/>
          <w:highlight w:val="none"/>
          <w:lang w:val="en-US" w:eastAsia="zh-CN"/>
        </w:rPr>
        <w:t xml:space="preserve">    </w:t>
      </w:r>
    </w:p>
    <w:p w14:paraId="7488B70F">
      <w:pPr>
        <w:snapToGrid w:val="0"/>
        <w:spacing w:line="360" w:lineRule="auto"/>
        <w:ind w:firstLine="8160" w:firstLineChars="3400"/>
        <w:jc w:val="left"/>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供应商名称（电子签名）：</w:t>
      </w:r>
    </w:p>
    <w:p w14:paraId="20DCAF94">
      <w:pPr>
        <w:snapToGrid w:val="0"/>
        <w:spacing w:line="360" w:lineRule="auto"/>
        <w:ind w:firstLine="8160" w:firstLineChars="3400"/>
        <w:jc w:val="left"/>
        <w:rPr>
          <w:rFonts w:hint="default" w:ascii="宋体" w:hAnsi="宋体" w:cs="宋体"/>
          <w:color w:val="auto"/>
          <w:kern w:val="0"/>
          <w:sz w:val="24"/>
          <w:szCs w:val="22"/>
          <w:highlight w:val="none"/>
          <w:lang w:val="en-US" w:eastAsia="zh-CN"/>
        </w:rPr>
        <w:sectPr>
          <w:headerReference r:id="rId27" w:type="first"/>
          <w:headerReference r:id="rId26" w:type="defaul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szCs w:val="22"/>
          <w:highlight w:val="none"/>
          <w:lang w:val="en-US" w:eastAsia="zh-CN"/>
        </w:rPr>
        <w:t>日期：     年    月    日</w:t>
      </w:r>
    </w:p>
    <w:p w14:paraId="60AE8E6F">
      <w:pPr>
        <w:pStyle w:val="46"/>
        <w:keepNext w:val="0"/>
        <w:pageBreakBefore w:val="0"/>
        <w:tabs>
          <w:tab w:val="clear" w:pos="720"/>
        </w:tabs>
        <w:snapToGrid w:val="0"/>
        <w:spacing w:before="120" w:after="120"/>
        <w:ind w:firstLine="643"/>
        <w:outlineLvl w:val="9"/>
        <w:rPr>
          <w:rFonts w:cs="仿宋" w:asciiTheme="minorEastAsia" w:hAnsiTheme="minorEastAsia" w:eastAsiaTheme="minorEastAsia"/>
          <w:color w:val="auto"/>
          <w:sz w:val="32"/>
          <w:szCs w:val="32"/>
          <w:highlight w:val="none"/>
        </w:rPr>
      </w:pPr>
      <w:r>
        <w:rPr>
          <w:rFonts w:hint="eastAsia" w:cs="仿宋" w:asciiTheme="minorEastAsia" w:hAnsiTheme="minorEastAsia" w:eastAsiaTheme="minorEastAsia"/>
          <w:color w:val="auto"/>
          <w:kern w:val="2"/>
          <w:sz w:val="32"/>
          <w:szCs w:val="32"/>
          <w:highlight w:val="none"/>
        </w:rPr>
        <w:t>二、</w:t>
      </w:r>
      <w:r>
        <w:rPr>
          <w:rFonts w:hint="eastAsia" w:cs="仿宋" w:asciiTheme="minorEastAsia" w:hAnsiTheme="minorEastAsia" w:eastAsiaTheme="minorEastAsia"/>
          <w:color w:val="auto"/>
          <w:sz w:val="32"/>
          <w:szCs w:val="32"/>
          <w:highlight w:val="none"/>
        </w:rPr>
        <w:t>中小企业声明函（如果有）</w:t>
      </w:r>
    </w:p>
    <w:p w14:paraId="403B3506">
      <w:pPr>
        <w:widowControl/>
        <w:spacing w:line="360" w:lineRule="auto"/>
        <w:ind w:firstLine="120" w:firstLineChars="50"/>
        <w:jc w:val="left"/>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CB3461F">
      <w:pPr>
        <w:pStyle w:val="46"/>
        <w:keepNext w:val="0"/>
        <w:pageBreakBefore w:val="0"/>
        <w:tabs>
          <w:tab w:val="clear" w:pos="720"/>
        </w:tabs>
        <w:snapToGrid w:val="0"/>
        <w:spacing w:before="120" w:after="120"/>
        <w:ind w:firstLine="643"/>
        <w:outlineLvl w:val="9"/>
        <w:rPr>
          <w:rFonts w:cs="仿宋" w:asciiTheme="minorEastAsia" w:hAnsiTheme="minorEastAsia" w:eastAsiaTheme="minorEastAsia"/>
          <w:b w:val="0"/>
          <w:color w:val="auto"/>
          <w:sz w:val="32"/>
          <w:szCs w:val="32"/>
          <w:highlight w:val="none"/>
        </w:rPr>
      </w:pPr>
    </w:p>
    <w:p w14:paraId="524D798E">
      <w:pPr>
        <w:spacing w:line="360" w:lineRule="auto"/>
        <w:ind w:right="420" w:firstLine="3614" w:firstLineChars="1000"/>
        <w:rPr>
          <w:rFonts w:cs="仿宋" w:asciiTheme="minorEastAsia" w:hAnsiTheme="minorEastAsia"/>
          <w:b/>
          <w:color w:val="auto"/>
          <w:kern w:val="0"/>
          <w:sz w:val="36"/>
          <w:szCs w:val="36"/>
          <w:highlight w:val="none"/>
        </w:rPr>
      </w:pPr>
    </w:p>
    <w:p w14:paraId="2FBF8E68">
      <w:pPr>
        <w:spacing w:line="360" w:lineRule="auto"/>
        <w:ind w:right="420" w:firstLine="3614" w:firstLineChars="1000"/>
        <w:rPr>
          <w:rFonts w:cs="仿宋" w:asciiTheme="minorEastAsia" w:hAnsiTheme="minorEastAsia"/>
          <w:b/>
          <w:color w:val="auto"/>
          <w:kern w:val="0"/>
          <w:sz w:val="36"/>
          <w:szCs w:val="36"/>
          <w:highlight w:val="none"/>
        </w:rPr>
      </w:pPr>
    </w:p>
    <w:p w14:paraId="79738F38">
      <w:pPr>
        <w:spacing w:line="360" w:lineRule="auto"/>
        <w:ind w:right="420" w:firstLine="3614" w:firstLineChars="1000"/>
        <w:rPr>
          <w:rFonts w:cs="仿宋" w:asciiTheme="minorEastAsia" w:hAnsiTheme="minorEastAsia"/>
          <w:b/>
          <w:color w:val="auto"/>
          <w:kern w:val="0"/>
          <w:sz w:val="36"/>
          <w:szCs w:val="36"/>
          <w:highlight w:val="none"/>
        </w:rPr>
      </w:pPr>
    </w:p>
    <w:p w14:paraId="623B8CEB">
      <w:pPr>
        <w:spacing w:line="360" w:lineRule="auto"/>
        <w:ind w:right="420" w:firstLine="3614" w:firstLineChars="1000"/>
        <w:rPr>
          <w:rFonts w:cs="仿宋" w:asciiTheme="minorEastAsia" w:hAnsiTheme="minorEastAsia"/>
          <w:b/>
          <w:color w:val="auto"/>
          <w:kern w:val="0"/>
          <w:sz w:val="36"/>
          <w:szCs w:val="36"/>
          <w:highlight w:val="none"/>
        </w:rPr>
      </w:pPr>
    </w:p>
    <w:p w14:paraId="64A9589D">
      <w:pPr>
        <w:spacing w:line="360" w:lineRule="auto"/>
        <w:ind w:right="420" w:firstLine="3614" w:firstLineChars="1000"/>
        <w:rPr>
          <w:rFonts w:cs="仿宋" w:asciiTheme="minorEastAsia" w:hAnsiTheme="minorEastAsia"/>
          <w:b/>
          <w:color w:val="auto"/>
          <w:kern w:val="0"/>
          <w:sz w:val="36"/>
          <w:szCs w:val="36"/>
          <w:highlight w:val="none"/>
        </w:rPr>
      </w:pPr>
    </w:p>
    <w:p w14:paraId="401755F7">
      <w:pPr>
        <w:spacing w:line="360" w:lineRule="auto"/>
        <w:ind w:right="420" w:firstLine="3614" w:firstLineChars="1000"/>
        <w:rPr>
          <w:rFonts w:cs="仿宋" w:asciiTheme="minorEastAsia" w:hAnsiTheme="minorEastAsia"/>
          <w:b/>
          <w:color w:val="auto"/>
          <w:kern w:val="0"/>
          <w:sz w:val="36"/>
          <w:szCs w:val="36"/>
          <w:highlight w:val="none"/>
        </w:rPr>
      </w:pPr>
    </w:p>
    <w:p w14:paraId="023DA3D5">
      <w:pPr>
        <w:spacing w:line="360" w:lineRule="auto"/>
        <w:ind w:right="420" w:firstLine="3614" w:firstLineChars="1000"/>
        <w:rPr>
          <w:rFonts w:cs="仿宋" w:asciiTheme="minorEastAsia" w:hAnsiTheme="minorEastAsia"/>
          <w:b/>
          <w:color w:val="auto"/>
          <w:kern w:val="0"/>
          <w:sz w:val="36"/>
          <w:szCs w:val="36"/>
          <w:highlight w:val="none"/>
        </w:rPr>
      </w:pPr>
    </w:p>
    <w:p w14:paraId="6F70CB69">
      <w:pPr>
        <w:spacing w:line="360" w:lineRule="auto"/>
        <w:ind w:right="420" w:firstLine="3614" w:firstLineChars="1000"/>
        <w:rPr>
          <w:rFonts w:cs="仿宋" w:asciiTheme="minorEastAsia" w:hAnsiTheme="minorEastAsia"/>
          <w:b/>
          <w:color w:val="auto"/>
          <w:kern w:val="0"/>
          <w:sz w:val="36"/>
          <w:szCs w:val="36"/>
          <w:highlight w:val="none"/>
        </w:rPr>
      </w:pPr>
    </w:p>
    <w:p w14:paraId="4217316C">
      <w:pPr>
        <w:spacing w:line="360" w:lineRule="auto"/>
        <w:ind w:right="420" w:firstLine="3614" w:firstLineChars="1000"/>
        <w:rPr>
          <w:rFonts w:cs="仿宋" w:asciiTheme="minorEastAsia" w:hAnsiTheme="minorEastAsia"/>
          <w:b/>
          <w:color w:val="auto"/>
          <w:kern w:val="0"/>
          <w:sz w:val="36"/>
          <w:szCs w:val="36"/>
          <w:highlight w:val="none"/>
        </w:rPr>
      </w:pPr>
    </w:p>
    <w:p w14:paraId="23537CE1">
      <w:pPr>
        <w:spacing w:line="360" w:lineRule="auto"/>
        <w:ind w:right="420" w:firstLine="3614" w:firstLineChars="1000"/>
        <w:rPr>
          <w:rFonts w:cs="仿宋" w:asciiTheme="minorEastAsia" w:hAnsiTheme="minorEastAsia"/>
          <w:b/>
          <w:color w:val="auto"/>
          <w:kern w:val="0"/>
          <w:sz w:val="36"/>
          <w:szCs w:val="36"/>
          <w:highlight w:val="none"/>
        </w:rPr>
      </w:pPr>
    </w:p>
    <w:p w14:paraId="57E67172">
      <w:pPr>
        <w:spacing w:line="360" w:lineRule="auto"/>
        <w:ind w:right="420" w:firstLine="3614" w:firstLineChars="1000"/>
        <w:rPr>
          <w:rFonts w:cs="仿宋" w:asciiTheme="minorEastAsia" w:hAnsiTheme="minorEastAsia"/>
          <w:b/>
          <w:color w:val="auto"/>
          <w:kern w:val="0"/>
          <w:sz w:val="36"/>
          <w:szCs w:val="36"/>
          <w:highlight w:val="none"/>
        </w:rPr>
      </w:pPr>
    </w:p>
    <w:p w14:paraId="1CF9BC88">
      <w:pPr>
        <w:spacing w:line="360" w:lineRule="auto"/>
        <w:ind w:right="420" w:firstLine="3614" w:firstLineChars="1000"/>
        <w:rPr>
          <w:rFonts w:cs="仿宋" w:asciiTheme="minorEastAsia" w:hAnsiTheme="minorEastAsia"/>
          <w:b/>
          <w:color w:val="auto"/>
          <w:kern w:val="0"/>
          <w:sz w:val="36"/>
          <w:szCs w:val="36"/>
          <w:highlight w:val="none"/>
        </w:rPr>
      </w:pPr>
    </w:p>
    <w:p w14:paraId="34369F0E">
      <w:pPr>
        <w:spacing w:line="360" w:lineRule="auto"/>
        <w:ind w:right="420" w:firstLine="3614" w:firstLineChars="1000"/>
        <w:rPr>
          <w:rFonts w:cs="仿宋" w:asciiTheme="minorEastAsia" w:hAnsiTheme="minorEastAsia"/>
          <w:b/>
          <w:color w:val="auto"/>
          <w:kern w:val="0"/>
          <w:sz w:val="36"/>
          <w:szCs w:val="36"/>
          <w:highlight w:val="none"/>
        </w:rPr>
      </w:pPr>
    </w:p>
    <w:p w14:paraId="6FE30EAE">
      <w:pPr>
        <w:spacing w:line="360" w:lineRule="auto"/>
        <w:ind w:right="420" w:firstLine="3614" w:firstLineChars="1000"/>
        <w:rPr>
          <w:rFonts w:cs="仿宋" w:asciiTheme="minorEastAsia" w:hAnsiTheme="minorEastAsia"/>
          <w:b/>
          <w:color w:val="auto"/>
          <w:kern w:val="0"/>
          <w:sz w:val="36"/>
          <w:szCs w:val="36"/>
          <w:highlight w:val="none"/>
        </w:rPr>
      </w:pPr>
    </w:p>
    <w:p w14:paraId="25739ABE">
      <w:pPr>
        <w:spacing w:line="360" w:lineRule="auto"/>
        <w:ind w:right="420" w:firstLine="3614" w:firstLineChars="1000"/>
        <w:rPr>
          <w:rFonts w:cs="仿宋" w:asciiTheme="minorEastAsia" w:hAnsiTheme="minorEastAsia"/>
          <w:b/>
          <w:color w:val="auto"/>
          <w:kern w:val="0"/>
          <w:sz w:val="36"/>
          <w:szCs w:val="36"/>
          <w:highlight w:val="none"/>
        </w:rPr>
      </w:pPr>
    </w:p>
    <w:p w14:paraId="786A897D">
      <w:pPr>
        <w:spacing w:line="360" w:lineRule="auto"/>
        <w:ind w:right="420" w:firstLine="3614" w:firstLineChars="1000"/>
        <w:rPr>
          <w:rFonts w:cs="仿宋" w:asciiTheme="minorEastAsia" w:hAnsiTheme="minorEastAsia"/>
          <w:b/>
          <w:color w:val="auto"/>
          <w:kern w:val="0"/>
          <w:sz w:val="36"/>
          <w:szCs w:val="36"/>
          <w:highlight w:val="none"/>
        </w:rPr>
        <w:sectPr>
          <w:headerReference r:id="rId28" w:type="default"/>
          <w:footerReference r:id="rId29" w:type="default"/>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6E2F3639">
      <w:pPr>
        <w:spacing w:line="360" w:lineRule="auto"/>
        <w:jc w:val="center"/>
        <w:rPr>
          <w:rFonts w:cs="宋体" w:asciiTheme="minorEastAsia" w:hAnsiTheme="minorEastAsia"/>
          <w:b/>
          <w:bCs/>
          <w:color w:val="auto"/>
          <w:kern w:val="44"/>
          <w:sz w:val="44"/>
          <w:szCs w:val="44"/>
          <w:highlight w:val="none"/>
        </w:rPr>
      </w:pPr>
      <w:bookmarkStart w:id="546" w:name="_Toc465665161"/>
      <w:r>
        <w:rPr>
          <w:rFonts w:hint="eastAsia" w:cs="宋体" w:asciiTheme="minorEastAsia" w:hAnsiTheme="minorEastAsia"/>
          <w:b/>
          <w:bCs/>
          <w:color w:val="auto"/>
          <w:kern w:val="44"/>
          <w:sz w:val="44"/>
          <w:szCs w:val="44"/>
          <w:highlight w:val="none"/>
        </w:rPr>
        <w:t>附件</w:t>
      </w:r>
      <w:bookmarkEnd w:id="546"/>
    </w:p>
    <w:p w14:paraId="45345A9D">
      <w:pPr>
        <w:spacing w:line="360" w:lineRule="auto"/>
        <w:rPr>
          <w:rFonts w:cs="仿宋" w:asciiTheme="minorEastAsia" w:hAnsiTheme="minorEastAsia"/>
          <w:b/>
          <w:color w:val="auto"/>
          <w:spacing w:val="6"/>
          <w:sz w:val="32"/>
          <w:szCs w:val="32"/>
          <w:highlight w:val="none"/>
        </w:rPr>
      </w:pPr>
    </w:p>
    <w:p w14:paraId="6B1409FA">
      <w:pPr>
        <w:spacing w:line="360" w:lineRule="auto"/>
        <w:rPr>
          <w:rFonts w:cs="仿宋" w:asciiTheme="minorEastAsia" w:hAnsiTheme="minorEastAsia"/>
          <w:b/>
          <w:color w:val="auto"/>
          <w:spacing w:val="6"/>
          <w:sz w:val="32"/>
          <w:szCs w:val="32"/>
          <w:highlight w:val="none"/>
        </w:rPr>
      </w:pPr>
      <w:r>
        <w:rPr>
          <w:rFonts w:hint="eastAsia" w:cs="仿宋" w:asciiTheme="minorEastAsia" w:hAnsiTheme="minorEastAsia"/>
          <w:b/>
          <w:color w:val="auto"/>
          <w:spacing w:val="6"/>
          <w:sz w:val="32"/>
          <w:szCs w:val="32"/>
          <w:highlight w:val="none"/>
        </w:rPr>
        <w:t>附件1：</w:t>
      </w:r>
    </w:p>
    <w:p w14:paraId="1D5F3E31">
      <w:pPr>
        <w:spacing w:line="360" w:lineRule="auto"/>
        <w:jc w:val="center"/>
        <w:rPr>
          <w:rFonts w:cs="仿宋" w:asciiTheme="minorEastAsia" w:hAnsiTheme="minorEastAsia"/>
          <w:b/>
          <w:color w:val="auto"/>
          <w:spacing w:val="6"/>
          <w:sz w:val="32"/>
          <w:szCs w:val="32"/>
          <w:highlight w:val="none"/>
        </w:rPr>
      </w:pPr>
      <w:bookmarkStart w:id="547" w:name="OLE_LINK13"/>
      <w:bookmarkStart w:id="548" w:name="OLE_LINK14"/>
      <w:r>
        <w:rPr>
          <w:rFonts w:hint="eastAsia" w:cs="仿宋" w:asciiTheme="minorEastAsia" w:hAnsiTheme="minorEastAsia"/>
          <w:b/>
          <w:color w:val="auto"/>
          <w:spacing w:val="6"/>
          <w:sz w:val="32"/>
          <w:szCs w:val="32"/>
          <w:highlight w:val="none"/>
        </w:rPr>
        <w:t>残疾人福利性单位声明函</w:t>
      </w:r>
      <w:bookmarkEnd w:id="547"/>
      <w:bookmarkEnd w:id="548"/>
    </w:p>
    <w:p w14:paraId="16CA0360">
      <w:pPr>
        <w:spacing w:line="360" w:lineRule="auto"/>
        <w:rPr>
          <w:rFonts w:cs="仿宋" w:asciiTheme="minorEastAsia" w:hAnsiTheme="minorEastAsia"/>
          <w:b/>
          <w:color w:val="auto"/>
          <w:spacing w:val="6"/>
          <w:sz w:val="30"/>
          <w:szCs w:val="30"/>
          <w:highlight w:val="none"/>
        </w:rPr>
      </w:pPr>
    </w:p>
    <w:p w14:paraId="12E5387E">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D81496">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本单位对上述声明的真实性负责。如有虚假，将依法承担相应责任。</w:t>
      </w:r>
    </w:p>
    <w:p w14:paraId="58C48E6B">
      <w:pPr>
        <w:spacing w:line="360" w:lineRule="auto"/>
        <w:ind w:firstLine="480" w:firstLineChars="200"/>
        <w:rPr>
          <w:rFonts w:cs="仿宋" w:asciiTheme="minorEastAsia" w:hAnsiTheme="minorEastAsia"/>
          <w:color w:val="auto"/>
          <w:sz w:val="24"/>
          <w:highlight w:val="none"/>
        </w:rPr>
      </w:pPr>
    </w:p>
    <w:p w14:paraId="25CC2276">
      <w:pPr>
        <w:spacing w:line="360" w:lineRule="auto"/>
        <w:ind w:firstLine="480" w:firstLineChars="200"/>
        <w:rPr>
          <w:rFonts w:cs="仿宋" w:asciiTheme="minorEastAsia" w:hAnsiTheme="minorEastAsia"/>
          <w:color w:val="auto"/>
          <w:sz w:val="24"/>
          <w:highlight w:val="none"/>
        </w:rPr>
      </w:pPr>
    </w:p>
    <w:p w14:paraId="40B2D2ED">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供应商名称（电子签名）</w:t>
      </w:r>
      <w:r>
        <w:rPr>
          <w:rFonts w:hint="eastAsia" w:cs="仿宋" w:asciiTheme="minorEastAsia" w:hAnsiTheme="minorEastAsia"/>
          <w:color w:val="auto"/>
          <w:sz w:val="24"/>
          <w:highlight w:val="none"/>
        </w:rPr>
        <w:t>：</w:t>
      </w:r>
    </w:p>
    <w:p w14:paraId="0C5BC072">
      <w:pPr>
        <w:tabs>
          <w:tab w:val="left" w:pos="4860"/>
        </w:tabs>
        <w:spacing w:line="360" w:lineRule="auto"/>
        <w:ind w:right="1560" w:firstLine="480" w:firstLineChars="200"/>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  期：</w:t>
      </w:r>
    </w:p>
    <w:p w14:paraId="119C0A6B">
      <w:pPr>
        <w:spacing w:line="360" w:lineRule="auto"/>
        <w:ind w:firstLine="480" w:firstLineChars="200"/>
        <w:rPr>
          <w:rFonts w:cs="仿宋" w:asciiTheme="minorEastAsia" w:hAnsiTheme="minorEastAsia"/>
          <w:color w:val="auto"/>
          <w:sz w:val="24"/>
          <w:highlight w:val="none"/>
        </w:rPr>
      </w:pPr>
    </w:p>
    <w:p w14:paraId="207374AC">
      <w:pPr>
        <w:spacing w:line="360" w:lineRule="auto"/>
        <w:ind w:firstLine="420" w:firstLineChars="200"/>
        <w:rPr>
          <w:rFonts w:cs="仿宋" w:asciiTheme="minorEastAsia" w:hAnsiTheme="minorEastAsia"/>
          <w:color w:val="auto"/>
          <w:highlight w:val="none"/>
        </w:rPr>
      </w:pPr>
    </w:p>
    <w:p w14:paraId="093B05F9">
      <w:pPr>
        <w:spacing w:line="360" w:lineRule="auto"/>
        <w:ind w:firstLine="420" w:firstLineChars="200"/>
        <w:rPr>
          <w:rFonts w:cs="仿宋" w:asciiTheme="minorEastAsia" w:hAnsiTheme="minorEastAsia"/>
          <w:color w:val="auto"/>
          <w:highlight w:val="none"/>
        </w:rPr>
      </w:pPr>
    </w:p>
    <w:p w14:paraId="4042758B">
      <w:pPr>
        <w:spacing w:line="360" w:lineRule="auto"/>
        <w:ind w:firstLine="420" w:firstLineChars="200"/>
        <w:rPr>
          <w:rFonts w:cs="仿宋" w:asciiTheme="minorEastAsia" w:hAnsiTheme="minorEastAsia"/>
          <w:color w:val="auto"/>
          <w:highlight w:val="none"/>
        </w:rPr>
      </w:pPr>
    </w:p>
    <w:p w14:paraId="5A02DD3D">
      <w:pPr>
        <w:spacing w:line="360" w:lineRule="auto"/>
        <w:ind w:firstLine="420" w:firstLineChars="200"/>
        <w:rPr>
          <w:rFonts w:cs="仿宋" w:asciiTheme="minorEastAsia" w:hAnsiTheme="minorEastAsia"/>
          <w:color w:val="auto"/>
          <w:highlight w:val="none"/>
        </w:rPr>
      </w:pPr>
    </w:p>
    <w:p w14:paraId="52C3DABC">
      <w:pPr>
        <w:spacing w:line="360" w:lineRule="auto"/>
        <w:rPr>
          <w:rFonts w:cs="仿宋" w:asciiTheme="minorEastAsia" w:hAnsiTheme="minorEastAsia"/>
          <w:b/>
          <w:color w:val="auto"/>
          <w:sz w:val="24"/>
          <w:highlight w:val="none"/>
        </w:rPr>
      </w:pPr>
    </w:p>
    <w:p w14:paraId="2EA698DB">
      <w:pPr>
        <w:spacing w:line="360" w:lineRule="auto"/>
        <w:rPr>
          <w:rFonts w:cs="仿宋" w:asciiTheme="minorEastAsia" w:hAnsiTheme="minorEastAsia"/>
          <w:b/>
          <w:color w:val="auto"/>
          <w:sz w:val="24"/>
          <w:highlight w:val="none"/>
        </w:rPr>
      </w:pPr>
    </w:p>
    <w:p w14:paraId="2BBE166F">
      <w:pPr>
        <w:spacing w:line="360" w:lineRule="auto"/>
        <w:rPr>
          <w:rFonts w:cs="仿宋" w:asciiTheme="minorEastAsia" w:hAnsiTheme="minorEastAsia"/>
          <w:b/>
          <w:color w:val="auto"/>
          <w:sz w:val="24"/>
          <w:highlight w:val="none"/>
        </w:rPr>
      </w:pPr>
    </w:p>
    <w:p w14:paraId="5F969778">
      <w:pPr>
        <w:spacing w:line="360" w:lineRule="auto"/>
        <w:rPr>
          <w:rFonts w:cs="仿宋" w:asciiTheme="minorEastAsia" w:hAnsiTheme="minorEastAsia"/>
          <w:b/>
          <w:color w:val="auto"/>
          <w:sz w:val="24"/>
          <w:highlight w:val="none"/>
        </w:rPr>
      </w:pPr>
    </w:p>
    <w:p w14:paraId="7DE5B0BD">
      <w:pPr>
        <w:spacing w:line="360" w:lineRule="auto"/>
        <w:rPr>
          <w:rFonts w:cs="仿宋" w:asciiTheme="minorEastAsia" w:hAnsiTheme="minorEastAsia"/>
          <w:b/>
          <w:color w:val="auto"/>
          <w:sz w:val="24"/>
          <w:highlight w:val="none"/>
        </w:rPr>
      </w:pPr>
    </w:p>
    <w:p w14:paraId="744DED34">
      <w:pPr>
        <w:spacing w:line="360" w:lineRule="auto"/>
        <w:rPr>
          <w:rFonts w:cs="仿宋" w:asciiTheme="minorEastAsia" w:hAnsiTheme="minorEastAsia"/>
          <w:b/>
          <w:color w:val="auto"/>
          <w:sz w:val="24"/>
          <w:highlight w:val="none"/>
        </w:rPr>
      </w:pPr>
    </w:p>
    <w:p w14:paraId="594B8908">
      <w:pPr>
        <w:spacing w:line="360" w:lineRule="auto"/>
        <w:rPr>
          <w:rFonts w:cs="仿宋" w:asciiTheme="minorEastAsia" w:hAnsiTheme="minorEastAsia"/>
          <w:b/>
          <w:color w:val="auto"/>
          <w:sz w:val="24"/>
          <w:highlight w:val="none"/>
        </w:rPr>
      </w:pPr>
    </w:p>
    <w:p w14:paraId="2DA71BDB">
      <w:pPr>
        <w:spacing w:line="360" w:lineRule="auto"/>
        <w:rPr>
          <w:rFonts w:cs="仿宋" w:asciiTheme="minorEastAsia" w:hAnsiTheme="minorEastAsia"/>
          <w:b/>
          <w:color w:val="auto"/>
          <w:sz w:val="24"/>
          <w:highlight w:val="none"/>
        </w:rPr>
      </w:pPr>
    </w:p>
    <w:p w14:paraId="317F02BF">
      <w:pPr>
        <w:spacing w:line="360" w:lineRule="auto"/>
        <w:rPr>
          <w:rFonts w:cs="仿宋" w:asciiTheme="minorEastAsia" w:hAnsiTheme="minorEastAsia"/>
          <w:b/>
          <w:color w:val="auto"/>
          <w:sz w:val="24"/>
          <w:highlight w:val="none"/>
        </w:rPr>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3F3D2F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C226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E177ED6">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62588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C3D7D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D5CF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531A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13EE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29C6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A989D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B4441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1068E5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A05AC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FB3F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FB244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6F3F3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1D899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1265B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5EB4F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D403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B74D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3E93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0FE51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F3D67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6D99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0F544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144C60E">
      <w:pPr>
        <w:spacing w:line="360" w:lineRule="auto"/>
        <w:jc w:val="center"/>
        <w:rPr>
          <w:rFonts w:ascii="宋体" w:hAnsi="宋体" w:cs="宋体"/>
          <w:b/>
          <w:bCs/>
          <w:color w:val="auto"/>
          <w:sz w:val="24"/>
          <w:highlight w:val="none"/>
        </w:rPr>
      </w:pPr>
    </w:p>
    <w:p w14:paraId="69E92D65">
      <w:pPr>
        <w:spacing w:line="360" w:lineRule="auto"/>
        <w:rPr>
          <w:rFonts w:ascii="宋体" w:hAnsi="宋体" w:cs="宋体"/>
          <w:b/>
          <w:color w:val="auto"/>
          <w:sz w:val="24"/>
          <w:highlight w:val="none"/>
        </w:rPr>
      </w:pPr>
    </w:p>
    <w:p w14:paraId="5D1090E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4D75B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D7545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B042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02170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9579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B1CDC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BA8FB6">
      <w:pPr>
        <w:widowControl/>
        <w:spacing w:line="360" w:lineRule="auto"/>
        <w:ind w:firstLine="600" w:firstLineChars="200"/>
        <w:jc w:val="left"/>
        <w:rPr>
          <w:rFonts w:ascii="宋体" w:hAnsi="宋体" w:cs="宋体"/>
          <w:color w:val="auto"/>
          <w:sz w:val="30"/>
          <w:szCs w:val="30"/>
          <w:highlight w:val="none"/>
        </w:rPr>
      </w:pPr>
    </w:p>
    <w:p w14:paraId="3A78F8D5">
      <w:pPr>
        <w:spacing w:line="360" w:lineRule="auto"/>
        <w:jc w:val="center"/>
        <w:rPr>
          <w:rFonts w:ascii="宋体" w:hAnsi="宋体" w:cs="宋体"/>
          <w:b/>
          <w:color w:val="auto"/>
          <w:spacing w:val="6"/>
          <w:sz w:val="32"/>
          <w:szCs w:val="32"/>
          <w:highlight w:val="none"/>
        </w:rPr>
      </w:pPr>
    </w:p>
    <w:p w14:paraId="0A6F149A">
      <w:pPr>
        <w:spacing w:line="360" w:lineRule="auto"/>
        <w:jc w:val="center"/>
        <w:rPr>
          <w:rFonts w:ascii="宋体" w:hAnsi="宋体" w:cs="宋体"/>
          <w:b/>
          <w:color w:val="auto"/>
          <w:spacing w:val="6"/>
          <w:sz w:val="32"/>
          <w:szCs w:val="32"/>
          <w:highlight w:val="none"/>
        </w:rPr>
      </w:pPr>
    </w:p>
    <w:p w14:paraId="4E1DB5FA">
      <w:pPr>
        <w:spacing w:line="360" w:lineRule="auto"/>
        <w:jc w:val="center"/>
        <w:rPr>
          <w:rFonts w:ascii="宋体" w:hAnsi="宋体" w:cs="宋体"/>
          <w:b/>
          <w:color w:val="auto"/>
          <w:spacing w:val="6"/>
          <w:sz w:val="32"/>
          <w:szCs w:val="32"/>
          <w:highlight w:val="none"/>
        </w:rPr>
      </w:pPr>
    </w:p>
    <w:p w14:paraId="237C770E">
      <w:pPr>
        <w:spacing w:line="360" w:lineRule="auto"/>
        <w:jc w:val="center"/>
        <w:rPr>
          <w:rFonts w:ascii="宋体" w:hAnsi="宋体" w:cs="宋体"/>
          <w:b/>
          <w:color w:val="auto"/>
          <w:spacing w:val="6"/>
          <w:sz w:val="32"/>
          <w:szCs w:val="32"/>
          <w:highlight w:val="none"/>
        </w:rPr>
      </w:pPr>
    </w:p>
    <w:p w14:paraId="6C1E5D42">
      <w:pPr>
        <w:spacing w:line="360" w:lineRule="auto"/>
        <w:jc w:val="center"/>
        <w:rPr>
          <w:rFonts w:ascii="宋体" w:hAnsi="宋体" w:cs="宋体"/>
          <w:b/>
          <w:color w:val="auto"/>
          <w:spacing w:val="6"/>
          <w:sz w:val="32"/>
          <w:szCs w:val="32"/>
          <w:highlight w:val="none"/>
        </w:rPr>
      </w:pPr>
    </w:p>
    <w:p w14:paraId="117D5B91">
      <w:pPr>
        <w:spacing w:line="360" w:lineRule="auto"/>
        <w:jc w:val="center"/>
        <w:rPr>
          <w:rFonts w:ascii="宋体" w:hAnsi="宋体" w:cs="宋体"/>
          <w:b/>
          <w:color w:val="auto"/>
          <w:spacing w:val="6"/>
          <w:sz w:val="32"/>
          <w:szCs w:val="32"/>
          <w:highlight w:val="none"/>
        </w:rPr>
      </w:pPr>
    </w:p>
    <w:p w14:paraId="55E31B95">
      <w:pPr>
        <w:spacing w:line="360" w:lineRule="auto"/>
        <w:jc w:val="center"/>
        <w:rPr>
          <w:rFonts w:ascii="宋体" w:hAnsi="宋体" w:cs="宋体"/>
          <w:b/>
          <w:color w:val="auto"/>
          <w:spacing w:val="6"/>
          <w:sz w:val="32"/>
          <w:szCs w:val="32"/>
          <w:highlight w:val="none"/>
        </w:rPr>
      </w:pPr>
    </w:p>
    <w:p w14:paraId="32FAA264">
      <w:pPr>
        <w:spacing w:line="360" w:lineRule="auto"/>
        <w:jc w:val="center"/>
        <w:rPr>
          <w:rFonts w:ascii="宋体" w:hAnsi="宋体" w:cs="宋体"/>
          <w:b/>
          <w:color w:val="auto"/>
          <w:spacing w:val="6"/>
          <w:sz w:val="32"/>
          <w:szCs w:val="32"/>
          <w:highlight w:val="none"/>
        </w:rPr>
      </w:pPr>
    </w:p>
    <w:p w14:paraId="68F2CC80">
      <w:pPr>
        <w:spacing w:line="360" w:lineRule="auto"/>
        <w:jc w:val="center"/>
        <w:rPr>
          <w:rFonts w:ascii="宋体" w:hAnsi="宋体" w:cs="宋体"/>
          <w:b/>
          <w:color w:val="auto"/>
          <w:spacing w:val="6"/>
          <w:sz w:val="32"/>
          <w:szCs w:val="32"/>
          <w:highlight w:val="none"/>
        </w:rPr>
      </w:pPr>
    </w:p>
    <w:p w14:paraId="05C4EF68">
      <w:pPr>
        <w:spacing w:line="360" w:lineRule="auto"/>
        <w:jc w:val="center"/>
        <w:rPr>
          <w:rFonts w:ascii="宋体" w:hAnsi="宋体" w:cs="宋体"/>
          <w:b/>
          <w:color w:val="auto"/>
          <w:spacing w:val="6"/>
          <w:sz w:val="32"/>
          <w:szCs w:val="32"/>
          <w:highlight w:val="none"/>
        </w:rPr>
      </w:pPr>
    </w:p>
    <w:p w14:paraId="6C0132DA">
      <w:pPr>
        <w:spacing w:line="360" w:lineRule="auto"/>
        <w:jc w:val="center"/>
        <w:rPr>
          <w:rFonts w:ascii="宋体" w:hAnsi="宋体" w:cs="宋体"/>
          <w:b/>
          <w:color w:val="auto"/>
          <w:spacing w:val="6"/>
          <w:sz w:val="32"/>
          <w:szCs w:val="32"/>
          <w:highlight w:val="none"/>
        </w:rPr>
      </w:pPr>
    </w:p>
    <w:p w14:paraId="32E24BCC">
      <w:pPr>
        <w:spacing w:line="360" w:lineRule="auto"/>
        <w:jc w:val="center"/>
        <w:rPr>
          <w:rFonts w:ascii="宋体" w:hAnsi="宋体" w:cs="宋体"/>
          <w:b/>
          <w:color w:val="auto"/>
          <w:spacing w:val="6"/>
          <w:sz w:val="32"/>
          <w:szCs w:val="32"/>
          <w:highlight w:val="none"/>
        </w:rPr>
      </w:pPr>
    </w:p>
    <w:p w14:paraId="2333DBB5">
      <w:pPr>
        <w:spacing w:line="360" w:lineRule="auto"/>
        <w:jc w:val="left"/>
        <w:rPr>
          <w:rFonts w:ascii="宋体" w:hAnsi="宋体" w:cs="宋体"/>
          <w:b/>
          <w:color w:val="auto"/>
          <w:spacing w:val="6"/>
          <w:sz w:val="32"/>
          <w:szCs w:val="32"/>
          <w:highlight w:val="none"/>
        </w:rPr>
      </w:pPr>
    </w:p>
    <w:p w14:paraId="46BF48D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E34B9ED">
      <w:pPr>
        <w:spacing w:line="360" w:lineRule="auto"/>
        <w:jc w:val="center"/>
        <w:rPr>
          <w:rFonts w:ascii="宋体" w:hAnsi="宋体" w:cs="宋体"/>
          <w:b/>
          <w:color w:val="auto"/>
          <w:sz w:val="24"/>
          <w:highlight w:val="none"/>
        </w:rPr>
      </w:pPr>
    </w:p>
    <w:p w14:paraId="766745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D1258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C4F32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26B0A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C7B8B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F4EBF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3696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D764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D068F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41CF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A90B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210E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53569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A01C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4E22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E222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38C3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507C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234026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w:t>
      </w:r>
      <w:r>
        <w:rPr>
          <w:rFonts w:hint="eastAsia" w:ascii="宋体" w:hAnsi="宋体" w:cs="宋体"/>
          <w:color w:val="auto"/>
          <w:sz w:val="24"/>
          <w:highlight w:val="none"/>
          <w:lang w:val="en-US"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48608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79BD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9AD3C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5210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512F17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D30C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881C9C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2D76A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5CB59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C27CC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453138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FBF30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3B66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81CAD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488E5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9A3FA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B2EB5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2018DF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99EA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B66DC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06EB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8BCC54">
      <w:pPr>
        <w:spacing w:line="360" w:lineRule="auto"/>
        <w:rPr>
          <w:rFonts w:ascii="宋体" w:hAnsi="宋体" w:cs="宋体"/>
          <w:b/>
          <w:color w:val="auto"/>
          <w:sz w:val="24"/>
          <w:highlight w:val="none"/>
        </w:rPr>
      </w:pPr>
    </w:p>
    <w:p w14:paraId="713E9266">
      <w:pPr>
        <w:spacing w:line="360" w:lineRule="auto"/>
        <w:rPr>
          <w:rFonts w:ascii="宋体" w:hAnsi="宋体" w:cs="宋体"/>
          <w:b/>
          <w:color w:val="auto"/>
          <w:sz w:val="24"/>
          <w:highlight w:val="none"/>
        </w:rPr>
      </w:pPr>
    </w:p>
    <w:p w14:paraId="59A00AE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839C78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E67824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6D04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4DBD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F5A8A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14896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90DD07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0B851B">
      <w:pPr>
        <w:widowControl/>
        <w:spacing w:line="360" w:lineRule="auto"/>
        <w:ind w:firstLine="480" w:firstLineChars="200"/>
        <w:jc w:val="left"/>
        <w:rPr>
          <w:rFonts w:cs="仿宋" w:asciiTheme="minorEastAsia" w:hAnsiTheme="minorEastAsia"/>
          <w:color w:val="auto"/>
          <w:sz w:val="24"/>
          <w:highlight w:val="none"/>
        </w:rPr>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70C6B022">
      <w:pPr>
        <w:autoSpaceDE w:val="0"/>
        <w:autoSpaceDN w:val="0"/>
        <w:jc w:val="center"/>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附件4：</w:t>
      </w:r>
      <w:r>
        <w:rPr>
          <w:rFonts w:hint="eastAsia" w:cs="仿宋" w:asciiTheme="minorEastAsia" w:hAnsiTheme="minorEastAsia"/>
          <w:b/>
          <w:bCs/>
          <w:color w:val="auto"/>
          <w:sz w:val="32"/>
          <w:szCs w:val="32"/>
          <w:highlight w:val="none"/>
        </w:rPr>
        <w:t>业务专用章使用说明函</w:t>
      </w:r>
    </w:p>
    <w:p w14:paraId="4EACF9F5">
      <w:pPr>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u w:val="single"/>
        </w:rPr>
        <w:t>（采购人）、（采购代理机构）</w:t>
      </w:r>
    </w:p>
    <w:p w14:paraId="3C9CFE25">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 xml:space="preserve"> (供应商全称)是中华人民共和国依法登记注册的合法企业，</w:t>
      </w:r>
      <w:r>
        <w:rPr>
          <w:rFonts w:hint="eastAsia" w:cs="仿宋" w:asciiTheme="minorEastAsia" w:hAnsiTheme="minorEastAsia"/>
          <w:bCs/>
          <w:color w:val="auto"/>
          <w:sz w:val="24"/>
          <w:highlight w:val="none"/>
        </w:rPr>
        <w:t>在参加</w:t>
      </w:r>
      <w:r>
        <w:rPr>
          <w:rFonts w:hint="eastAsia" w:cs="仿宋" w:asciiTheme="minorEastAsia" w:hAnsiTheme="minorEastAsia"/>
          <w:color w:val="auto"/>
          <w:sz w:val="24"/>
          <w:highlight w:val="none"/>
        </w:rPr>
        <w:t>你方组织的</w:t>
      </w:r>
      <w:r>
        <w:rPr>
          <w:rFonts w:hint="eastAsia" w:cs="仿宋" w:asciiTheme="minorEastAsia" w:hAnsiTheme="minorEastAsia"/>
          <w:color w:val="auto"/>
          <w:sz w:val="24"/>
          <w:highlight w:val="none"/>
          <w:u w:val="single"/>
          <w:lang w:eastAsia="zh-CN"/>
        </w:rPr>
        <w:t>永嘉县瓯北第二小学食堂设备采购</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u w:val="single"/>
          <w:lang w:val="en-US" w:eastAsia="zh-CN"/>
        </w:rPr>
        <w:t xml:space="preserve">         </w:t>
      </w:r>
      <w:r>
        <w:rPr>
          <w:rFonts w:hint="eastAsia" w:cs="仿宋" w:asciiTheme="minorEastAsia" w:hAnsiTheme="minorEastAsia"/>
          <w:color w:val="auto"/>
          <w:sz w:val="24"/>
          <w:highlight w:val="none"/>
        </w:rPr>
        <w:t>】</w:t>
      </w:r>
      <w:r>
        <w:rPr>
          <w:rFonts w:hint="eastAsia" w:cs="仿宋" w:asciiTheme="minorEastAsia" w:hAnsiTheme="minorEastAsia"/>
          <w:bCs/>
          <w:color w:val="auto"/>
          <w:sz w:val="24"/>
          <w:highlight w:val="none"/>
        </w:rPr>
        <w:t>响应活动中作如下说明：</w:t>
      </w:r>
      <w:r>
        <w:rPr>
          <w:rFonts w:hint="eastAsia" w:cs="仿宋" w:asciiTheme="minorEastAsia" w:hAnsiTheme="minorEastAsia"/>
          <w:color w:val="auto"/>
          <w:sz w:val="24"/>
          <w:highlight w:val="none"/>
        </w:rPr>
        <w:t xml:space="preserve">我方所使用的“XX专用章”与法定名称章具有同等的法律效力，对使用“XX专用章”的行为予以完全承认，并愿意承担相应责任。   </w:t>
      </w:r>
    </w:p>
    <w:p w14:paraId="64D30E41">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特此说明。</w:t>
      </w:r>
    </w:p>
    <w:p w14:paraId="61556A0E">
      <w:pPr>
        <w:spacing w:line="360" w:lineRule="auto"/>
        <w:ind w:firstLine="494"/>
        <w:rPr>
          <w:rFonts w:cs="仿宋" w:asciiTheme="minorEastAsia" w:hAnsiTheme="minorEastAsia"/>
          <w:color w:val="auto"/>
          <w:sz w:val="24"/>
          <w:highlight w:val="none"/>
        </w:rPr>
      </w:pPr>
    </w:p>
    <w:p w14:paraId="426C1C17">
      <w:pPr>
        <w:spacing w:line="360" w:lineRule="auto"/>
        <w:ind w:firstLine="494"/>
        <w:rPr>
          <w:rFonts w:cs="仿宋" w:asciiTheme="minorEastAsia" w:hAnsiTheme="minorEastAsia"/>
          <w:color w:val="auto"/>
          <w:sz w:val="24"/>
          <w:highlight w:val="none"/>
        </w:rPr>
      </w:pPr>
    </w:p>
    <w:p w14:paraId="34959254">
      <w:pPr>
        <w:spacing w:line="360" w:lineRule="auto"/>
        <w:ind w:firstLine="494"/>
        <w:rPr>
          <w:rFonts w:cs="仿宋" w:asciiTheme="minorEastAsia" w:hAnsiTheme="minorEastAsia"/>
          <w:color w:val="auto"/>
          <w:sz w:val="24"/>
          <w:highlight w:val="none"/>
        </w:rPr>
      </w:pPr>
    </w:p>
    <w:p w14:paraId="3D95FC8C">
      <w:pPr>
        <w:spacing w:line="360" w:lineRule="auto"/>
        <w:ind w:firstLine="494"/>
        <w:rPr>
          <w:rFonts w:cs="仿宋" w:asciiTheme="minorEastAsia" w:hAnsiTheme="minorEastAsia"/>
          <w:color w:val="auto"/>
          <w:sz w:val="24"/>
          <w:highlight w:val="none"/>
        </w:rPr>
      </w:pPr>
    </w:p>
    <w:p w14:paraId="756D6C7F">
      <w:pPr>
        <w:spacing w:line="360" w:lineRule="auto"/>
        <w:ind w:right="480" w:firstLine="4080" w:firstLineChars="1700"/>
        <w:rPr>
          <w:rFonts w:cs="仿宋" w:asciiTheme="minorEastAsia" w:hAnsiTheme="minorEastAsia"/>
          <w:color w:val="auto"/>
          <w:sz w:val="24"/>
          <w:highlight w:val="none"/>
        </w:rPr>
      </w:pPr>
      <w:r>
        <w:rPr>
          <w:rFonts w:hint="eastAsia" w:cs="仿宋" w:asciiTheme="minorEastAsia" w:hAnsiTheme="minorEastAsia"/>
          <w:color w:val="auto"/>
          <w:sz w:val="24"/>
          <w:highlight w:val="none"/>
        </w:rPr>
        <w:t>供应商（法定名称章）：</w:t>
      </w:r>
    </w:p>
    <w:p w14:paraId="43451B04">
      <w:pPr>
        <w:ind w:right="1440" w:firstLine="494"/>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日期：     年     月   日</w:t>
      </w:r>
    </w:p>
    <w:p w14:paraId="73EAD0C2">
      <w:pPr>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附：</w:t>
      </w:r>
    </w:p>
    <w:p w14:paraId="6FA44E98">
      <w:pPr>
        <w:spacing w:line="360" w:lineRule="auto"/>
        <w:rPr>
          <w:rFonts w:cs="仿宋" w:asciiTheme="minorEastAsia" w:hAnsiTheme="minorEastAsia"/>
          <w:bCs/>
          <w:color w:val="auto"/>
          <w:sz w:val="24"/>
          <w:highlight w:val="none"/>
        </w:rPr>
      </w:pPr>
      <w:r>
        <w:rPr>
          <w:rFonts w:cs="仿宋" w:asciiTheme="minorEastAsia" w:hAnsiTheme="minorEastAsia"/>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仿宋" w:asciiTheme="minorEastAsia" w:hAnsiTheme="minorEastAsia"/>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asciiTheme="minorEastAsia" w:hAnsiTheme="minorEastAsia"/>
          <w:color w:val="auto"/>
          <w:sz w:val="24"/>
          <w:highlight w:val="none"/>
        </w:rPr>
        <w:t>供应商法定名称章（印模）               供应商“XX专用章”（印模）</w:t>
      </w:r>
    </w:p>
    <w:p w14:paraId="66EA1E04">
      <w:pPr>
        <w:autoSpaceDE w:val="0"/>
        <w:autoSpaceDN w:val="0"/>
        <w:jc w:val="center"/>
        <w:rPr>
          <w:rFonts w:cs="仿宋" w:asciiTheme="minorEastAsia" w:hAnsiTheme="minorEastAsia"/>
          <w:b/>
          <w:color w:val="auto"/>
          <w:spacing w:val="6"/>
          <w:sz w:val="32"/>
          <w:szCs w:val="32"/>
          <w:highlight w:val="none"/>
        </w:rPr>
      </w:pPr>
    </w:p>
    <w:p w14:paraId="6FA9ECD5">
      <w:pPr>
        <w:autoSpaceDE w:val="0"/>
        <w:autoSpaceDN w:val="0"/>
        <w:jc w:val="center"/>
        <w:rPr>
          <w:rFonts w:cs="仿宋" w:asciiTheme="minorEastAsia" w:hAnsiTheme="minorEastAsia"/>
          <w:b/>
          <w:color w:val="auto"/>
          <w:spacing w:val="6"/>
          <w:sz w:val="32"/>
          <w:szCs w:val="32"/>
          <w:highlight w:val="none"/>
        </w:rPr>
      </w:pPr>
    </w:p>
    <w:p w14:paraId="779DC991">
      <w:pPr>
        <w:autoSpaceDE w:val="0"/>
        <w:autoSpaceDN w:val="0"/>
        <w:jc w:val="center"/>
        <w:rPr>
          <w:rFonts w:cs="仿宋" w:asciiTheme="minorEastAsia" w:hAnsiTheme="minorEastAsia"/>
          <w:b/>
          <w:color w:val="auto"/>
          <w:spacing w:val="6"/>
          <w:sz w:val="32"/>
          <w:szCs w:val="32"/>
          <w:highlight w:val="none"/>
        </w:rPr>
      </w:pPr>
    </w:p>
    <w:p w14:paraId="67A38455">
      <w:pPr>
        <w:autoSpaceDE w:val="0"/>
        <w:autoSpaceDN w:val="0"/>
        <w:jc w:val="center"/>
        <w:rPr>
          <w:rFonts w:cs="仿宋" w:asciiTheme="minorEastAsia" w:hAnsiTheme="minorEastAsia"/>
          <w:b/>
          <w:color w:val="auto"/>
          <w:spacing w:val="6"/>
          <w:sz w:val="32"/>
          <w:szCs w:val="32"/>
          <w:highlight w:val="none"/>
        </w:rPr>
      </w:pPr>
    </w:p>
    <w:p w14:paraId="5AA34BE0">
      <w:pPr>
        <w:autoSpaceDE w:val="0"/>
        <w:autoSpaceDN w:val="0"/>
        <w:jc w:val="center"/>
        <w:rPr>
          <w:rFonts w:cs="仿宋" w:asciiTheme="minorEastAsia" w:hAnsiTheme="minorEastAsia"/>
          <w:b/>
          <w:color w:val="auto"/>
          <w:spacing w:val="6"/>
          <w:sz w:val="32"/>
          <w:szCs w:val="32"/>
          <w:highlight w:val="none"/>
        </w:rPr>
      </w:pPr>
    </w:p>
    <w:p w14:paraId="786D0B7C">
      <w:pPr>
        <w:autoSpaceDE w:val="0"/>
        <w:autoSpaceDN w:val="0"/>
        <w:jc w:val="center"/>
        <w:rPr>
          <w:rFonts w:cs="仿宋" w:asciiTheme="minorEastAsia" w:hAnsiTheme="minorEastAsia"/>
          <w:b/>
          <w:color w:val="auto"/>
          <w:spacing w:val="6"/>
          <w:sz w:val="32"/>
          <w:szCs w:val="32"/>
          <w:highlight w:val="none"/>
        </w:rPr>
      </w:pPr>
    </w:p>
    <w:p w14:paraId="67926379">
      <w:pPr>
        <w:autoSpaceDE w:val="0"/>
        <w:autoSpaceDN w:val="0"/>
        <w:jc w:val="center"/>
        <w:rPr>
          <w:rFonts w:cs="仿宋" w:asciiTheme="minorEastAsia" w:hAnsiTheme="minorEastAsia"/>
          <w:b/>
          <w:color w:val="auto"/>
          <w:spacing w:val="6"/>
          <w:sz w:val="32"/>
          <w:szCs w:val="32"/>
          <w:highlight w:val="none"/>
        </w:rPr>
      </w:pPr>
    </w:p>
    <w:p w14:paraId="663BE7FA">
      <w:pPr>
        <w:autoSpaceDE w:val="0"/>
        <w:autoSpaceDN w:val="0"/>
        <w:jc w:val="center"/>
        <w:rPr>
          <w:rFonts w:cs="仿宋" w:asciiTheme="minorEastAsia" w:hAnsiTheme="minorEastAsia"/>
          <w:b/>
          <w:color w:val="auto"/>
          <w:spacing w:val="6"/>
          <w:sz w:val="32"/>
          <w:szCs w:val="32"/>
          <w:highlight w:val="none"/>
        </w:rPr>
      </w:pPr>
    </w:p>
    <w:p w14:paraId="06EDC0C4">
      <w:pPr>
        <w:autoSpaceDE w:val="0"/>
        <w:autoSpaceDN w:val="0"/>
        <w:rPr>
          <w:rFonts w:cs="仿宋" w:asciiTheme="minorEastAsia" w:hAnsiTheme="minorEastAsia"/>
          <w:b/>
          <w:color w:val="auto"/>
          <w:spacing w:val="6"/>
          <w:sz w:val="32"/>
          <w:szCs w:val="32"/>
          <w:highlight w:val="none"/>
        </w:rPr>
      </w:pPr>
    </w:p>
    <w:p w14:paraId="42B5C9EF">
      <w:pPr>
        <w:autoSpaceDE w:val="0"/>
        <w:autoSpaceDN w:val="0"/>
        <w:rPr>
          <w:rFonts w:cs="仿宋" w:asciiTheme="minorEastAsia" w:hAnsiTheme="minorEastAsia"/>
          <w:b/>
          <w:color w:val="auto"/>
          <w:spacing w:val="6"/>
          <w:sz w:val="32"/>
          <w:szCs w:val="32"/>
          <w:highlight w:val="none"/>
        </w:rPr>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67473799">
      <w:pPr>
        <w:autoSpaceDE w:val="0"/>
        <w:autoSpaceDN w:val="0"/>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spacing w:val="6"/>
          <w:sz w:val="32"/>
          <w:szCs w:val="32"/>
          <w:highlight w:val="none"/>
        </w:rPr>
        <w:t>附件5：</w:t>
      </w:r>
      <w:r>
        <w:rPr>
          <w:rFonts w:hint="eastAsia" w:cs="仿宋" w:asciiTheme="minorEastAsia" w:hAnsiTheme="minorEastAsia"/>
          <w:b/>
          <w:color w:val="auto"/>
          <w:kern w:val="0"/>
          <w:sz w:val="32"/>
          <w:szCs w:val="32"/>
          <w:highlight w:val="none"/>
          <w:lang w:val="zh-CN"/>
        </w:rPr>
        <w:t>联合协议</w:t>
      </w:r>
    </w:p>
    <w:p w14:paraId="01800B05">
      <w:pPr>
        <w:widowControl/>
        <w:spacing w:line="360" w:lineRule="auto"/>
        <w:ind w:firstLine="482" w:firstLineChars="200"/>
        <w:jc w:val="left"/>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（以联合体形式参与响应的，提供联合协议；本项目不接受联合体响应或者供应商不以联合体形式响应的，则不需要提供）</w:t>
      </w:r>
    </w:p>
    <w:p w14:paraId="156B44E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（联合体所有成员名称）</w:t>
      </w:r>
      <w:r>
        <w:rPr>
          <w:rFonts w:hint="eastAsia" w:cs="仿宋" w:asciiTheme="minorEastAsia" w:hAnsiTheme="minorEastAsia"/>
          <w:color w:val="auto"/>
          <w:kern w:val="0"/>
          <w:sz w:val="24"/>
          <w:highlight w:val="none"/>
        </w:rPr>
        <w:t>自愿</w:t>
      </w:r>
      <w:r>
        <w:rPr>
          <w:rFonts w:hint="eastAsia" w:cs="仿宋" w:asciiTheme="minorEastAsia" w:hAnsiTheme="minorEastAsia"/>
          <w:color w:val="auto"/>
          <w:kern w:val="0"/>
          <w:sz w:val="24"/>
          <w:highlight w:val="none"/>
          <w:lang w:val="zh-CN"/>
        </w:rPr>
        <w:t>组成一个联合体，以一个供应商的身份</w:t>
      </w:r>
      <w:r>
        <w:rPr>
          <w:rFonts w:hint="eastAsia" w:cs="仿宋" w:asciiTheme="minorEastAsia" w:hAnsiTheme="minorEastAsia"/>
          <w:color w:val="auto"/>
          <w:kern w:val="0"/>
          <w:sz w:val="24"/>
          <w:highlight w:val="none"/>
        </w:rPr>
        <w:t>参加</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项目</w:t>
      </w:r>
      <w:r>
        <w:rPr>
          <w:rFonts w:hint="eastAsia" w:cs="仿宋" w:asciiTheme="minorEastAsia" w:hAnsiTheme="minorEastAsia"/>
          <w:color w:val="auto"/>
          <w:sz w:val="24"/>
          <w:highlight w:val="none"/>
          <w:lang w:val="en-US" w:eastAsia="zh-CN"/>
        </w:rPr>
        <w:t>名称</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rPr>
        <w:t>：</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 xml:space="preserve">响应。 </w:t>
      </w:r>
    </w:p>
    <w:p w14:paraId="5FB6B87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一、各方一致决定，</w:t>
      </w:r>
      <w:r>
        <w:rPr>
          <w:rFonts w:hint="eastAsia" w:cs="仿宋" w:asciiTheme="minorEastAsia" w:hAnsiTheme="minorEastAsia"/>
          <w:color w:val="auto"/>
          <w:kern w:val="0"/>
          <w:sz w:val="24"/>
          <w:highlight w:val="none"/>
          <w:u w:val="single"/>
        </w:rPr>
        <w:t>（某联合体成员名称）</w:t>
      </w:r>
      <w:r>
        <w:rPr>
          <w:rFonts w:hint="eastAsia" w:cs="仿宋" w:asciiTheme="minorEastAsia" w:hAnsiTheme="minorEastAsia"/>
          <w:color w:val="auto"/>
          <w:kern w:val="0"/>
          <w:sz w:val="24"/>
          <w:highlight w:val="none"/>
        </w:rPr>
        <w:t>为联合体</w:t>
      </w:r>
      <w:r>
        <w:rPr>
          <w:rFonts w:hint="eastAsia" w:cs="仿宋" w:asciiTheme="minorEastAsia" w:hAnsiTheme="minorEastAsia"/>
          <w:color w:val="auto"/>
          <w:kern w:val="0"/>
          <w:sz w:val="24"/>
          <w:highlight w:val="none"/>
          <w:lang w:val="zh-CN"/>
        </w:rPr>
        <w:t>牵头人</w:t>
      </w:r>
      <w:r>
        <w:rPr>
          <w:rFonts w:hint="eastAsia" w:cs="仿宋" w:asciiTheme="minorEastAsia" w:hAnsiTheme="minorEastAsia"/>
          <w:color w:val="auto"/>
          <w:sz w:val="24"/>
          <w:highlight w:val="none"/>
        </w:rPr>
        <w:t>，代表所有联合体成员负责参与响应和合同实施阶段的主办、协调工作</w:t>
      </w:r>
      <w:r>
        <w:rPr>
          <w:rFonts w:hint="eastAsia" w:cs="仿宋" w:asciiTheme="minorEastAsia" w:hAnsiTheme="minorEastAsia"/>
          <w:color w:val="auto"/>
          <w:kern w:val="0"/>
          <w:sz w:val="24"/>
          <w:highlight w:val="none"/>
          <w:lang w:val="zh-CN"/>
        </w:rPr>
        <w:t>。</w:t>
      </w:r>
    </w:p>
    <w:p w14:paraId="74108DF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w:t>
      </w:r>
      <w:r>
        <w:rPr>
          <w:rFonts w:hint="eastAsia" w:cs="仿宋" w:asciiTheme="minorEastAsia" w:hAnsiTheme="minorEastAsia"/>
          <w:color w:val="auto"/>
          <w:sz w:val="24"/>
          <w:highlight w:val="none"/>
        </w:rPr>
        <w:t>所有联合体成员各方签署授权书，授权书载明的</w:t>
      </w:r>
      <w:r>
        <w:rPr>
          <w:rFonts w:hint="eastAsia" w:cs="仿宋" w:asciiTheme="minorEastAsia" w:hAnsiTheme="minorEastAsia"/>
          <w:color w:val="auto"/>
          <w:kern w:val="0"/>
          <w:sz w:val="24"/>
          <w:highlight w:val="none"/>
          <w:lang w:val="zh-CN"/>
        </w:rPr>
        <w:t>授权代表根据采购文件规定及响应内容而对采购人、采购代理机构所作的任何合法承诺，包括书面澄清及相应等均对联合响应各方产生约束力。</w:t>
      </w:r>
    </w:p>
    <w:p w14:paraId="55887AC7">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三、本次联合响应中，分工如下：</w:t>
      </w:r>
    </w:p>
    <w:p w14:paraId="0F7F796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（联合体成员1）</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403E7013">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（联合体成员2）</w:t>
      </w:r>
      <w:r>
        <w:rPr>
          <w:rFonts w:hint="eastAsia" w:cs="仿宋" w:asciiTheme="minorEastAsia" w:hAnsiTheme="minorEastAsia"/>
          <w:color w:val="auto"/>
          <w:kern w:val="0"/>
          <w:sz w:val="24"/>
          <w:highlight w:val="none"/>
          <w:lang w:val="zh-CN"/>
        </w:rPr>
        <w:t>承担的工作和义务为：</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lang w:val="zh-CN"/>
        </w:rPr>
        <w:t>；</w:t>
      </w:r>
    </w:p>
    <w:p w14:paraId="3E9053CC">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w:t>
      </w:r>
    </w:p>
    <w:p w14:paraId="718B3CE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四、联合体成员中小企业合同份额。</w:t>
      </w:r>
    </w:p>
    <w:p w14:paraId="1D419F67">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lang w:val="zh-CN"/>
        </w:rPr>
        <w:t>1、</w:t>
      </w:r>
      <w:r>
        <w:rPr>
          <w:rFonts w:hint="eastAsia" w:cs="仿宋" w:asciiTheme="minorEastAsia" w:hAnsiTheme="minorEastAsia"/>
          <w:color w:val="auto"/>
          <w:kern w:val="0"/>
          <w:sz w:val="24"/>
          <w:highlight w:val="none"/>
          <w:u w:val="single"/>
        </w:rPr>
        <w:t>（</w:t>
      </w:r>
      <w:bookmarkStart w:id="549" w:name="_Hlk101131882"/>
      <w:r>
        <w:rPr>
          <w:rFonts w:hint="eastAsia" w:cs="仿宋" w:asciiTheme="minorEastAsia" w:hAnsiTheme="minorEastAsia"/>
          <w:color w:val="auto"/>
          <w:kern w:val="0"/>
          <w:sz w:val="24"/>
          <w:highlight w:val="none"/>
          <w:u w:val="single"/>
        </w:rPr>
        <w:t>联合体成员X,……</w:t>
      </w:r>
      <w:bookmarkEnd w:id="549"/>
      <w:r>
        <w:rPr>
          <w:rFonts w:hint="eastAsia" w:cs="仿宋" w:asciiTheme="minorEastAsia" w:hAnsiTheme="minorEastAsia"/>
          <w:color w:val="auto"/>
          <w:kern w:val="0"/>
          <w:sz w:val="24"/>
          <w:highlight w:val="none"/>
          <w:u w:val="single"/>
        </w:rPr>
        <w:t>）</w:t>
      </w:r>
      <w:r>
        <w:rPr>
          <w:rFonts w:hint="eastAsia" w:cs="仿宋" w:asciiTheme="minorEastAsia" w:hAnsiTheme="minorEastAsia"/>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kern w:val="0"/>
          <w:sz w:val="24"/>
          <w:highlight w:val="none"/>
          <w:lang w:val="zh-CN"/>
        </w:rPr>
        <w:t>。</w:t>
      </w:r>
      <w:r>
        <w:rPr>
          <w:rFonts w:hint="eastAsia" w:cs="仿宋" w:asciiTheme="minorEastAsia" w:hAnsiTheme="minorEastAsia"/>
          <w:b/>
          <w:color w:val="auto"/>
          <w:kern w:val="0"/>
          <w:sz w:val="24"/>
          <w:highlight w:val="none"/>
          <w:lang w:val="zh-CN"/>
        </w:rPr>
        <w:t>（</w:t>
      </w:r>
      <w:bookmarkStart w:id="550" w:name="_Hlk101133598"/>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bookmarkEnd w:id="550"/>
      <w:r>
        <w:rPr>
          <w:rFonts w:hint="eastAsia" w:cs="仿宋" w:asciiTheme="minorEastAsia" w:hAnsiTheme="minorEastAsia"/>
          <w:b/>
          <w:color w:val="auto"/>
          <w:kern w:val="0"/>
          <w:sz w:val="24"/>
          <w:highlight w:val="none"/>
          <w:lang w:val="zh-CN"/>
        </w:rPr>
        <w:t>）</w:t>
      </w:r>
    </w:p>
    <w:p w14:paraId="617BA811">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w:t>
      </w:r>
      <w:bookmarkStart w:id="551" w:name="_Hlk101133173"/>
      <w:r>
        <w:rPr>
          <w:rFonts w:hint="eastAsia" w:cs="仿宋" w:asciiTheme="minorEastAsia" w:hAnsiTheme="minorEastAsia"/>
          <w:color w:val="auto"/>
          <w:sz w:val="24"/>
          <w:highlight w:val="none"/>
        </w:rPr>
        <w:t>中小企业合同金额达到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cs="仿宋" w:asciiTheme="minorEastAsia" w:hAnsiTheme="minorEastAsia"/>
          <w:b/>
          <w:bCs/>
          <w:color w:val="auto"/>
          <w:kern w:val="0"/>
          <w:sz w:val="24"/>
          <w:highlight w:val="none"/>
          <w:lang w:val="zh-CN"/>
        </w:rPr>
        <w:t>）</w:t>
      </w:r>
      <w:bookmarkEnd w:id="551"/>
    </w:p>
    <w:p w14:paraId="3019FF34">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五、如果成交，</w:t>
      </w:r>
      <w:r>
        <w:rPr>
          <w:rFonts w:hint="eastAsia" w:cs="仿宋" w:asciiTheme="minorEastAsia" w:hAnsiTheme="minorEastAsia"/>
          <w:color w:val="auto"/>
          <w:sz w:val="24"/>
          <w:highlight w:val="none"/>
        </w:rPr>
        <w:t>联合体各成员方共同与采购人签订合同，并就采购合同约定的事项对采购人承担连带责任。</w:t>
      </w:r>
    </w:p>
    <w:p w14:paraId="13638C0A">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六、有关本次联合响应的其他事宜：</w:t>
      </w:r>
    </w:p>
    <w:p w14:paraId="6B82F6A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1、联合体各方不再单独参加或者与其他供应商另外组成联合体参加同一合同项下的政府采购活动。</w:t>
      </w:r>
    </w:p>
    <w:p w14:paraId="0CF8DC2B">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2、联合体中有同类资质的各方按照联合体分工承担相同工作的，按照资质等级较低的供应商确定资质等级。</w:t>
      </w:r>
    </w:p>
    <w:p w14:paraId="1551B6A2">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3、本协议提交采购人、采购代理机构后，联合体各方不得以任何形式对上述内容进行修改或撤销。</w:t>
      </w:r>
    </w:p>
    <w:p w14:paraId="3A9B146A">
      <w:pPr>
        <w:snapToGrid w:val="0"/>
        <w:spacing w:line="360" w:lineRule="auto"/>
        <w:jc w:val="righ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联合体成员名称(电子签名/公章)：</w:t>
      </w:r>
    </w:p>
    <w:p w14:paraId="121BA2C5">
      <w:pP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日期：  年  月   日</w:t>
      </w:r>
    </w:p>
    <w:p w14:paraId="2566DFDF">
      <w:pPr>
        <w:spacing w:line="360" w:lineRule="auto"/>
        <w:ind w:right="420"/>
        <w:rPr>
          <w:rFonts w:cs="仿宋" w:asciiTheme="minorEastAsia" w:hAnsiTheme="minorEastAsia"/>
          <w:color w:val="auto"/>
          <w:sz w:val="24"/>
          <w:highlight w:val="none"/>
        </w:rPr>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24"/>
          <w:highlight w:val="none"/>
        </w:rPr>
        <w:t>注：按本格式和要求提供。</w:t>
      </w:r>
    </w:p>
    <w:p w14:paraId="0A07013F">
      <w:pPr>
        <w:snapToGrid w:val="0"/>
        <w:spacing w:line="360" w:lineRule="auto"/>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spacing w:val="6"/>
          <w:sz w:val="32"/>
          <w:szCs w:val="32"/>
          <w:highlight w:val="none"/>
        </w:rPr>
        <w:t>附件6：</w:t>
      </w:r>
      <w:r>
        <w:rPr>
          <w:rFonts w:hint="eastAsia" w:cs="仿宋" w:asciiTheme="minorEastAsia" w:hAnsiTheme="minorEastAsia"/>
          <w:b/>
          <w:color w:val="auto"/>
          <w:kern w:val="0"/>
          <w:sz w:val="32"/>
          <w:szCs w:val="32"/>
          <w:highlight w:val="none"/>
        </w:rPr>
        <w:t>分包意向协议</w:t>
      </w:r>
    </w:p>
    <w:p w14:paraId="4BE72F68">
      <w:pPr>
        <w:widowControl/>
        <w:spacing w:line="360" w:lineRule="auto"/>
        <w:ind w:firstLine="120" w:firstLineChars="5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b/>
          <w:color w:val="auto"/>
          <w:sz w:val="24"/>
          <w:highlight w:val="none"/>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highlight w:val="none"/>
        </w:rPr>
        <w:t>）</w:t>
      </w:r>
    </w:p>
    <w:p w14:paraId="38A33359">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若成为</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项目</w:t>
      </w:r>
      <w:r>
        <w:rPr>
          <w:rFonts w:hint="eastAsia" w:cs="仿宋" w:asciiTheme="minorEastAsia" w:hAnsiTheme="minorEastAsia"/>
          <w:color w:val="auto"/>
          <w:sz w:val="24"/>
          <w:highlight w:val="none"/>
          <w:lang w:val="en-US" w:eastAsia="zh-CN"/>
        </w:rPr>
        <w:t>名称</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项目编号</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的成交供应商，将依法采取分包方式履行合同。</w:t>
      </w: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rPr>
        <w:t>与</w:t>
      </w:r>
      <w:r>
        <w:rPr>
          <w:rFonts w:hint="eastAsia" w:cs="仿宋" w:asciiTheme="minorEastAsia" w:hAnsiTheme="minorEastAsia"/>
          <w:color w:val="auto"/>
          <w:kern w:val="0"/>
          <w:sz w:val="24"/>
          <w:highlight w:val="none"/>
          <w:u w:val="single"/>
        </w:rPr>
        <w:t>（所有分包供应商名称）</w:t>
      </w:r>
      <w:r>
        <w:rPr>
          <w:rFonts w:hint="eastAsia" w:cs="仿宋" w:asciiTheme="minorEastAsia" w:hAnsiTheme="minorEastAsia"/>
          <w:color w:val="auto"/>
          <w:kern w:val="0"/>
          <w:sz w:val="24"/>
          <w:highlight w:val="none"/>
        </w:rPr>
        <w:t>达成分包意向协议</w:t>
      </w:r>
      <w:r>
        <w:rPr>
          <w:rFonts w:hint="eastAsia" w:cs="仿宋" w:asciiTheme="minorEastAsia" w:hAnsiTheme="minorEastAsia"/>
          <w:color w:val="auto"/>
          <w:kern w:val="0"/>
          <w:sz w:val="24"/>
          <w:highlight w:val="none"/>
          <w:lang w:val="zh-CN"/>
        </w:rPr>
        <w:t xml:space="preserve">。 </w:t>
      </w:r>
    </w:p>
    <w:p w14:paraId="1E1D3EB6">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一、分包标的及数量</w:t>
      </w:r>
    </w:p>
    <w:p w14:paraId="190A837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u w:val="single"/>
        </w:rPr>
        <w:t>（供应商名称）</w:t>
      </w:r>
      <w:r>
        <w:rPr>
          <w:rFonts w:hint="eastAsia" w:cs="仿宋" w:asciiTheme="minorEastAsia" w:hAnsiTheme="minorEastAsia"/>
          <w:color w:val="auto"/>
          <w:kern w:val="0"/>
          <w:sz w:val="24"/>
          <w:highlight w:val="none"/>
          <w:lang w:val="zh-CN"/>
        </w:rPr>
        <w:t>将</w:t>
      </w:r>
      <w:r>
        <w:rPr>
          <w:rFonts w:hint="eastAsia" w:cs="仿宋" w:asciiTheme="minorEastAsia" w:hAnsiTheme="minorEastAsia"/>
          <w:color w:val="auto"/>
          <w:kern w:val="0"/>
          <w:sz w:val="24"/>
          <w:highlight w:val="none"/>
          <w:u w:val="single"/>
        </w:rPr>
        <w:t xml:space="preserve"> XX工作内容   </w:t>
      </w:r>
      <w:r>
        <w:rPr>
          <w:rFonts w:hint="eastAsia" w:cs="仿宋" w:asciiTheme="minorEastAsia" w:hAnsiTheme="minorEastAsia"/>
          <w:color w:val="auto"/>
          <w:sz w:val="24"/>
          <w:highlight w:val="none"/>
        </w:rPr>
        <w:t>分包给</w:t>
      </w:r>
      <w:r>
        <w:rPr>
          <w:rFonts w:hint="eastAsia" w:cs="仿宋" w:asciiTheme="minorEastAsia" w:hAnsiTheme="minorEastAsia"/>
          <w:color w:val="auto"/>
          <w:kern w:val="0"/>
          <w:sz w:val="24"/>
          <w:highlight w:val="none"/>
          <w:u w:val="single"/>
        </w:rPr>
        <w:t>（分包供应商1名称）</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u w:val="single"/>
        </w:rPr>
        <w:t>（分包供应商2名称），</w:t>
      </w:r>
      <w:r>
        <w:rPr>
          <w:rFonts w:hint="eastAsia" w:cs="仿宋" w:asciiTheme="minorEastAsia" w:hAnsiTheme="minorEastAsia"/>
          <w:color w:val="auto"/>
          <w:kern w:val="0"/>
          <w:sz w:val="24"/>
          <w:highlight w:val="none"/>
          <w:lang w:val="zh-CN"/>
        </w:rPr>
        <w:t>具备承</w:t>
      </w:r>
      <w:r>
        <w:rPr>
          <w:rFonts w:hint="eastAsia" w:cs="仿宋" w:asciiTheme="minorEastAsia" w:hAnsiTheme="minorEastAsia"/>
          <w:color w:val="auto"/>
          <w:kern w:val="0"/>
          <w:sz w:val="24"/>
          <w:highlight w:val="none"/>
        </w:rPr>
        <w:t>担</w:t>
      </w:r>
      <w:r>
        <w:rPr>
          <w:rFonts w:hint="eastAsia" w:cs="仿宋" w:asciiTheme="minorEastAsia" w:hAnsiTheme="minorEastAsia"/>
          <w:color w:val="auto"/>
          <w:kern w:val="0"/>
          <w:sz w:val="24"/>
          <w:highlight w:val="none"/>
          <w:u w:val="single"/>
          <w:lang w:val="zh-CN"/>
        </w:rPr>
        <w:t>XX工作内容</w:t>
      </w:r>
      <w:r>
        <w:rPr>
          <w:rFonts w:hint="eastAsia" w:cs="仿宋" w:asciiTheme="minorEastAsia" w:hAnsiTheme="minorEastAsia"/>
          <w:color w:val="auto"/>
          <w:kern w:val="0"/>
          <w:sz w:val="24"/>
          <w:highlight w:val="none"/>
          <w:lang w:val="zh-CN"/>
        </w:rPr>
        <w:t>相应资质条件且不得再次分包；</w:t>
      </w:r>
    </w:p>
    <w:p w14:paraId="7DB070B6">
      <w:pPr>
        <w:pStyle w:val="3"/>
        <w:tabs>
          <w:tab w:val="left" w:pos="432"/>
          <w:tab w:val="left" w:pos="864"/>
          <w:tab w:val="left" w:pos="900"/>
        </w:tabs>
        <w:ind w:left="664" w:leftChars="316" w:firstLine="229" w:firstLineChars="95"/>
        <w:rPr>
          <w:rFonts w:cs="仿宋"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kern w:val="0"/>
          <w:sz w:val="24"/>
          <w:szCs w:val="24"/>
          <w:highlight w:val="none"/>
        </w:rPr>
        <w:t>……</w:t>
      </w:r>
    </w:p>
    <w:p w14:paraId="40CECD49">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二、分包供应商中小企业合同份额</w:t>
      </w:r>
    </w:p>
    <w:p w14:paraId="6C651D75">
      <w:pPr>
        <w:snapToGrid w:val="0"/>
        <w:spacing w:line="360" w:lineRule="auto"/>
        <w:ind w:firstLine="576"/>
        <w:rPr>
          <w:rFonts w:cs="仿宋" w:asciiTheme="minorEastAsia" w:hAnsiTheme="minorEastAsia"/>
          <w:b/>
          <w:color w:val="auto"/>
          <w:kern w:val="0"/>
          <w:sz w:val="24"/>
          <w:highlight w:val="none"/>
          <w:lang w:val="zh-CN"/>
        </w:rPr>
      </w:pPr>
      <w:r>
        <w:rPr>
          <w:rFonts w:hint="eastAsia" w:cs="仿宋" w:asciiTheme="minorEastAsia" w:hAnsiTheme="minorEastAsia"/>
          <w:color w:val="auto"/>
          <w:kern w:val="0"/>
          <w:sz w:val="24"/>
          <w:highlight w:val="none"/>
        </w:rPr>
        <w:t>1、</w:t>
      </w:r>
      <w:r>
        <w:rPr>
          <w:rFonts w:hint="eastAsia" w:cs="仿宋" w:asciiTheme="minorEastAsia" w:hAnsiTheme="minorEastAsia"/>
          <w:color w:val="auto"/>
          <w:kern w:val="0"/>
          <w:sz w:val="24"/>
          <w:highlight w:val="none"/>
          <w:u w:val="single"/>
        </w:rPr>
        <w:t>（分包供应商X,……）提供的服务全部由小微企业承接，</w:t>
      </w:r>
      <w:r>
        <w:rPr>
          <w:rFonts w:hint="eastAsia" w:cs="仿宋" w:asciiTheme="minorEastAsia" w:hAnsiTheme="minorEastAsia"/>
          <w:color w:val="auto"/>
          <w:kern w:val="0"/>
          <w:sz w:val="24"/>
          <w:highlight w:val="none"/>
        </w:rPr>
        <w:t>其合同份额占到合同总金额</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kern w:val="0"/>
          <w:sz w:val="24"/>
          <w:highlight w:val="none"/>
        </w:rPr>
        <w:t>%以上</w:t>
      </w:r>
      <w:r>
        <w:rPr>
          <w:rFonts w:hint="eastAsia" w:cs="仿宋" w:asciiTheme="minorEastAsia" w:hAnsiTheme="minorEastAsia"/>
          <w:color w:val="auto"/>
          <w:highlight w:val="none"/>
        </w:rPr>
        <w:t>。</w:t>
      </w:r>
      <w:r>
        <w:rPr>
          <w:rFonts w:hint="eastAsia" w:cs="仿宋" w:asciiTheme="minorEastAsia" w:hAnsi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对大中型企业的报价按评审办法确定的比例给予扣除</w:t>
      </w:r>
      <w:r>
        <w:rPr>
          <w:rFonts w:hint="eastAsia" w:cs="仿宋" w:asciiTheme="minorEastAsia" w:hAnsiTheme="minorEastAsia"/>
          <w:b/>
          <w:color w:val="auto"/>
          <w:kern w:val="0"/>
          <w:sz w:val="24"/>
          <w:highlight w:val="none"/>
          <w:lang w:val="zh-CN"/>
        </w:rPr>
        <w:t>。供应商</w:t>
      </w:r>
      <w:r>
        <w:rPr>
          <w:rFonts w:hint="eastAsia" w:cs="仿宋" w:asciiTheme="minorEastAsia" w:hAnsiTheme="minorEastAsia"/>
          <w:b/>
          <w:color w:val="auto"/>
          <w:sz w:val="24"/>
          <w:highlight w:val="none"/>
        </w:rPr>
        <w:t>拟享受以上价格扣除政策的，填写有关内容。</w:t>
      </w:r>
      <w:r>
        <w:rPr>
          <w:rFonts w:hint="eastAsia" w:cs="仿宋" w:asciiTheme="minorEastAsia" w:hAnsiTheme="minorEastAsia"/>
          <w:b/>
          <w:color w:val="auto"/>
          <w:kern w:val="0"/>
          <w:sz w:val="24"/>
          <w:highlight w:val="none"/>
          <w:lang w:val="zh-CN"/>
        </w:rPr>
        <w:t>）</w:t>
      </w:r>
    </w:p>
    <w:p w14:paraId="29C6596A">
      <w:pPr>
        <w:spacing w:line="360" w:lineRule="auto"/>
        <w:ind w:firstLine="480" w:firstLineChars="200"/>
        <w:rPr>
          <w:rFonts w:cs="仿宋" w:asciiTheme="minorEastAsia" w:hAnsiTheme="minorEastAsia"/>
          <w:b/>
          <w:bCs/>
          <w:color w:val="auto"/>
          <w:kern w:val="0"/>
          <w:sz w:val="24"/>
          <w:highlight w:val="none"/>
          <w:lang w:val="zh-CN"/>
        </w:rPr>
      </w:pPr>
      <w:r>
        <w:rPr>
          <w:rFonts w:hint="eastAsia" w:cs="仿宋" w:asciiTheme="minorEastAsia" w:hAnsiTheme="minorEastAsia"/>
          <w:color w:val="auto"/>
          <w:sz w:val="24"/>
          <w:highlight w:val="none"/>
        </w:rPr>
        <w:t>2、中小企业合同金额达到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%，其中小微企业合同金额达到</w:t>
      </w:r>
      <w:r>
        <w:rPr>
          <w:rFonts w:hint="eastAsia" w:ascii="宋体" w:hAnsi="宋体" w:cs="宋体"/>
          <w:color w:val="auto"/>
          <w:kern w:val="0"/>
          <w:sz w:val="24"/>
          <w:highlight w:val="none"/>
          <w:u w:val="single"/>
          <w:lang w:val="zh-CN"/>
        </w:rPr>
        <w:t xml:space="preserve">        </w:t>
      </w:r>
      <w:r>
        <w:rPr>
          <w:rFonts w:hint="eastAsia" w:cs="仿宋" w:asciiTheme="minorEastAsia" w:hAnsiTheme="minorEastAsia"/>
          <w:color w:val="auto"/>
          <w:sz w:val="24"/>
          <w:highlight w:val="none"/>
        </w:rPr>
        <w:t>%</w:t>
      </w:r>
      <w:r>
        <w:rPr>
          <w:rFonts w:hint="eastAsia" w:cs="仿宋" w:asciiTheme="minorEastAsia" w:hAnsiTheme="minorEastAsia"/>
          <w:color w:val="auto"/>
          <w:kern w:val="0"/>
          <w:sz w:val="24"/>
          <w:highlight w:val="none"/>
          <w:lang w:val="zh-CN"/>
        </w:rPr>
        <w:t>。</w:t>
      </w:r>
      <w:r>
        <w:rPr>
          <w:rFonts w:hint="eastAsia" w:cs="仿宋" w:asciiTheme="minorEastAsia" w:hAnsiTheme="minorEastAsia"/>
          <w:b/>
          <w:bCs/>
          <w:color w:val="auto"/>
          <w:kern w:val="0"/>
          <w:sz w:val="24"/>
          <w:highlight w:val="none"/>
          <w:lang w:val="zh-CN"/>
        </w:rPr>
        <w:t>（</w:t>
      </w:r>
      <w:r>
        <w:rPr>
          <w:rFonts w:hint="eastAsia" w:cs="仿宋" w:asciiTheme="minorEastAsia" w:hAnsiTheme="minorEastAsia"/>
          <w:b/>
          <w:bCs/>
          <w:color w:val="auto"/>
          <w:sz w:val="24"/>
          <w:highlight w:val="none"/>
        </w:rPr>
        <w:t>要求合同分包形式参加的项目或采购包，供应商按采购文件第一部分采购公告申请人的资格要求中规定的</w:t>
      </w:r>
      <w:r>
        <w:rPr>
          <w:rFonts w:hint="eastAsia" w:cs="仿宋" w:asciiTheme="minorEastAsia" w:hAnsiTheme="minorEastAsia"/>
          <w:b/>
          <w:color w:val="auto"/>
          <w:kern w:val="0"/>
          <w:sz w:val="24"/>
          <w:highlight w:val="none"/>
          <w:lang w:val="zh-CN"/>
        </w:rPr>
        <w:t>分包意向协议</w:t>
      </w:r>
      <w:r>
        <w:rPr>
          <w:rFonts w:hint="eastAsia" w:cs="仿宋" w:asciiTheme="minorEastAsia" w:hAnsiTheme="minorEastAsia"/>
          <w:b/>
          <w:bCs/>
          <w:color w:val="auto"/>
          <w:sz w:val="24"/>
          <w:highlight w:val="none"/>
        </w:rPr>
        <w:t>中中小企业、小微企业合同金额应当达到的比例要求填写。</w:t>
      </w:r>
      <w:r>
        <w:rPr>
          <w:rFonts w:hint="eastAsia" w:cs="仿宋" w:asciiTheme="minorEastAsia" w:hAnsiTheme="minorEastAsia"/>
          <w:b/>
          <w:bCs/>
          <w:color w:val="auto"/>
          <w:kern w:val="0"/>
          <w:sz w:val="24"/>
          <w:highlight w:val="none"/>
          <w:lang w:val="zh-CN"/>
        </w:rPr>
        <w:t>）</w:t>
      </w:r>
    </w:p>
    <w:p w14:paraId="4F20A35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三、分包工作履行期限、地点、方式</w:t>
      </w:r>
    </w:p>
    <w:p w14:paraId="35E6D8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838B8D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四、质量</w:t>
      </w:r>
    </w:p>
    <w:p w14:paraId="7438F75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1D0C02D">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五、价款或者报酬</w:t>
      </w:r>
    </w:p>
    <w:p w14:paraId="3BC6E35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33CA37E">
      <w:pPr>
        <w:snapToGrid w:val="0"/>
        <w:spacing w:line="360" w:lineRule="auto"/>
        <w:ind w:left="573" w:leftChars="273"/>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六、违约责任</w:t>
      </w:r>
    </w:p>
    <w:p w14:paraId="69091AA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D898A7">
      <w:pP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七、争议解决的办法</w:t>
      </w:r>
    </w:p>
    <w:p w14:paraId="2103700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BF1F854">
      <w:pPr>
        <w:snapToGrid w:val="0"/>
        <w:spacing w:line="360" w:lineRule="auto"/>
        <w:ind w:left="5758" w:leftChars="342" w:hanging="5040" w:hangingChars="2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供应商名称(电子签名)：</w:t>
      </w:r>
    </w:p>
    <w:p w14:paraId="7FF83D89">
      <w:pPr>
        <w:snapToGrid w:val="0"/>
        <w:spacing w:line="360" w:lineRule="auto"/>
        <w:ind w:firstLine="4560" w:firstLineChars="19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分包供应商名称：</w:t>
      </w:r>
      <w:r>
        <w:rPr>
          <w:rFonts w:hint="eastAsia" w:ascii="宋体" w:hAnsi="宋体" w:cs="宋体"/>
          <w:color w:val="auto"/>
          <w:kern w:val="0"/>
          <w:sz w:val="24"/>
          <w:highlight w:val="none"/>
          <w:lang w:val="zh-CN"/>
        </w:rPr>
        <w:t>(电子签名/公章)：</w:t>
      </w:r>
    </w:p>
    <w:p w14:paraId="30DB88B9">
      <w:pPr>
        <w:snapToGrid w:val="0"/>
        <w:spacing w:line="360" w:lineRule="auto"/>
        <w:ind w:firstLine="5760" w:firstLineChars="2400"/>
        <w:rPr>
          <w:rFonts w:cs="仿宋" w:asciiTheme="minorEastAsia" w:hAnsiTheme="minorEastAsia"/>
          <w:color w:val="auto"/>
          <w:highlight w:val="none"/>
        </w:rPr>
      </w:pPr>
      <w:r>
        <w:rPr>
          <w:rFonts w:hint="eastAsia" w:cs="仿宋" w:asciiTheme="minorEastAsia" w:hAnsiTheme="minorEastAsia"/>
          <w:color w:val="auto"/>
          <w:kern w:val="0"/>
          <w:sz w:val="24"/>
          <w:highlight w:val="none"/>
          <w:lang w:val="zh-CN"/>
        </w:rPr>
        <w:t>……</w:t>
      </w:r>
    </w:p>
    <w:p w14:paraId="0403D599">
      <w:pPr>
        <w:autoSpaceDE w:val="0"/>
        <w:autoSpaceDN w:val="0"/>
        <w:jc w:val="center"/>
        <w:rPr>
          <w:rFonts w:cs="仿宋" w:asciiTheme="minorEastAsia" w:hAnsiTheme="minorEastAsia"/>
          <w:b/>
          <w:color w:val="auto"/>
          <w:spacing w:val="6"/>
          <w:sz w:val="32"/>
          <w:szCs w:val="32"/>
          <w:highlight w:val="none"/>
        </w:rPr>
      </w:pPr>
      <w:r>
        <w:rPr>
          <w:rFonts w:hint="eastAsia" w:cs="仿宋" w:asciiTheme="minorEastAsia" w:hAnsiTheme="minorEastAsia"/>
          <w:color w:val="auto"/>
          <w:kern w:val="0"/>
          <w:sz w:val="24"/>
          <w:highlight w:val="none"/>
          <w:lang w:val="zh-CN"/>
        </w:rPr>
        <w:t xml:space="preserve">                                        日期：  年  月   日</w:t>
      </w:r>
    </w:p>
    <w:p w14:paraId="06C08527">
      <w:pPr>
        <w:autoSpaceDE w:val="0"/>
        <w:autoSpaceDN w:val="0"/>
        <w:jc w:val="center"/>
        <w:rPr>
          <w:rFonts w:cs="仿宋" w:asciiTheme="minorEastAsia" w:hAnsiTheme="minorEastAsia"/>
          <w:b/>
          <w:color w:val="auto"/>
          <w:spacing w:val="6"/>
          <w:sz w:val="32"/>
          <w:szCs w:val="32"/>
          <w:highlight w:val="none"/>
        </w:rPr>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pPr>
    </w:p>
    <w:p w14:paraId="67CD7D46">
      <w:pPr>
        <w:autoSpaceDE w:val="0"/>
        <w:autoSpaceDN w:val="0"/>
        <w:jc w:val="center"/>
        <w:rPr>
          <w:rFonts w:cs="仿宋" w:asciiTheme="minorEastAsia" w:hAnsiTheme="minorEastAsia"/>
          <w:b/>
          <w:bCs/>
          <w:color w:val="auto"/>
          <w:sz w:val="32"/>
          <w:szCs w:val="32"/>
          <w:highlight w:val="none"/>
        </w:rPr>
      </w:pPr>
      <w:r>
        <w:rPr>
          <w:rFonts w:hint="eastAsia" w:cs="仿宋" w:asciiTheme="minorEastAsia" w:hAnsiTheme="minorEastAsia"/>
          <w:b/>
          <w:color w:val="auto"/>
          <w:spacing w:val="6"/>
          <w:sz w:val="32"/>
          <w:szCs w:val="32"/>
          <w:highlight w:val="none"/>
        </w:rPr>
        <w:t>附件7：</w:t>
      </w:r>
      <w:r>
        <w:rPr>
          <w:rFonts w:hint="eastAsia" w:cs="仿宋" w:asciiTheme="minorEastAsia" w:hAnsiTheme="minorEastAsia"/>
          <w:b/>
          <w:color w:val="auto"/>
          <w:sz w:val="32"/>
          <w:szCs w:val="32"/>
          <w:highlight w:val="none"/>
        </w:rPr>
        <w:t>中小企业声明函</w:t>
      </w:r>
    </w:p>
    <w:p w14:paraId="439AA0C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ED480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rPr>
        <w:t xml:space="preserve">的 </w:t>
      </w:r>
      <w:r>
        <w:rPr>
          <w:rFonts w:hint="eastAsia" w:cs="仿宋" w:asciiTheme="minorEastAsia" w:hAnsiTheme="minorEastAsia"/>
          <w:color w:val="auto"/>
          <w:sz w:val="24"/>
          <w:highlight w:val="none"/>
          <w:u w:val="single"/>
          <w:lang w:eastAsia="zh-CN"/>
        </w:rPr>
        <w:t>永嘉县瓯北第二小学食堂设备采购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7CBB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17DE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01FA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79306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282BF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4F43E0">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9594BA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AF2BB1">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DF5D4E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50706B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DD60D9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A9CD11D">
      <w:pPr>
        <w:spacing w:line="360" w:lineRule="auto"/>
        <w:jc w:val="center"/>
        <w:rPr>
          <w:rFonts w:cs="仿宋" w:asciiTheme="minorEastAsia" w:hAnsiTheme="minorEastAsia"/>
          <w:b/>
          <w:color w:val="auto"/>
          <w:highlight w:val="none"/>
        </w:rPr>
      </w:pPr>
    </w:p>
    <w:sectPr>
      <w:pgSz w:w="11906" w:h="16838"/>
      <w:pgMar w:top="1440" w:right="1440" w:bottom="1440" w:left="144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3F8D">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D0B19">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14:paraId="373D0B19">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FC1B">
    <w:pPr>
      <w:pStyle w:val="18"/>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C3194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14:paraId="12C3194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58FC81F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DCEF">
    <w:pPr>
      <w:pStyle w:val="18"/>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DDB01C">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14:paraId="7ADDB01C">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2F72ED8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6DE4">
    <w:pPr>
      <w:pStyle w:val="18"/>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F1A66F">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14:paraId="54F1A66F">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4A2343D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573D">
    <w:pPr>
      <w:pStyle w:val="18"/>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A5731">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6</w:t>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4B1A5731">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6</w:t>
                    </w:r>
                    <w:r>
                      <w:t xml:space="preserve"> 页</w:t>
                    </w:r>
                  </w:p>
                </w:txbxContent>
              </v:textbox>
            </v:shape>
          </w:pict>
        </mc:Fallback>
      </mc:AlternateContent>
    </w:r>
  </w:p>
  <w:p w14:paraId="31C61727">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37C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7D2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BE0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F3B1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14:paraId="781F3B1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9C354">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9510C">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14:paraId="24F9510C">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2DE13C95">
    <w:pPr>
      <w:pStyle w:val="1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B3E6">
    <w:pPr>
      <w:pStyle w:val="18"/>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DFB0A6">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14:paraId="0CDFB0A6">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A641">
    <w:pPr>
      <w:pStyle w:val="18"/>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568994">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70568994">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09FA635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AD33">
    <w:pPr>
      <w:pStyle w:val="18"/>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E2FE57">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14:paraId="55E2FE57">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6A2BEA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EA58">
    <w:pPr>
      <w:pStyle w:val="18"/>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4C8D1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674C8D1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2E59F0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FDA9">
    <w:pPr>
      <w:pStyle w:val="19"/>
      <w:tabs>
        <w:tab w:val="left" w:pos="705"/>
        <w:tab w:val="left" w:pos="5565"/>
        <w:tab w:val="right" w:pos="8426"/>
      </w:tabs>
      <w:jc w:val="left"/>
      <w:rPr>
        <w:rFonts w:hint="default" w:eastAsiaTheme="minorEastAsia"/>
        <w:u w:val="single"/>
        <w:lang w:val="en-US" w:eastAsia="zh-CN"/>
      </w:rPr>
    </w:pPr>
    <w:r>
      <w:rPr>
        <w:rFonts w:hint="eastAsia"/>
        <w:u w:val="single"/>
        <w:lang w:val="en-US" w:eastAsia="zh-CN"/>
      </w:rPr>
      <w:t>温州凯恒招标代理有限公司</w:t>
    </w:r>
    <w:r>
      <w:rPr>
        <w:rFonts w:hint="eastAsia"/>
        <w:u w:val="single"/>
        <w:lang w:val="zh-CN"/>
      </w:rPr>
      <w:t>询价采购文件</w:t>
    </w:r>
    <w:r>
      <w:rPr>
        <w:rFonts w:hint="eastAsia"/>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B212">
    <w:pPr>
      <w:pStyle w:val="19"/>
      <w:jc w:val="right"/>
    </w:pPr>
    <w:r>
      <w:rPr>
        <w:rFonts w:hint="eastAsia"/>
        <w:u w:val="single"/>
      </w:rPr>
      <w:t>杭州</w:t>
    </w:r>
    <w:r>
      <w:rPr>
        <w:rFonts w:hint="eastAsia"/>
        <w:u w:val="single"/>
        <w:lang w:val="zh-CN"/>
      </w:rPr>
      <w:t>市政府采购询价采购文件</w:t>
    </w:r>
  </w:p>
  <w:p w14:paraId="7C7C3FE0">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AC25">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4FF2">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p w14:paraId="6C35786B">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27FC">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648E">
    <w:pPr>
      <w:pStyle w:val="19"/>
      <w:pBdr>
        <w:top w:val="none" w:color="auto" w:sz="0" w:space="0"/>
        <w:left w:val="none" w:color="auto" w:sz="0" w:space="0"/>
        <w:right w:val="none" w:color="auto" w:sz="0" w:space="0"/>
      </w:pBdr>
      <w:rPr>
        <w:rFonts w:hint="default" w:ascii="仿宋_GB2312" w:cs="Times New Roman" w:eastAsiaTheme="minorEastAsia"/>
        <w:b/>
        <w:bCs/>
        <w:i/>
        <w:iCs/>
        <w:u w:val="single"/>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78B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1083">
    <w:pPr>
      <w:pStyle w:val="19"/>
    </w:pPr>
    <w:r>
      <w:rPr>
        <w:rFonts w:hint="eastAsia"/>
        <w:u w:val="single"/>
      </w:rPr>
      <w:t>杭州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FC6C">
    <w:pPr>
      <w:pStyle w:val="19"/>
      <w:tabs>
        <w:tab w:val="right" w:pos="8279"/>
        <w:tab w:val="clear" w:pos="8306"/>
      </w:tabs>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F30D">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E47">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0B35">
    <w:pPr>
      <w:pStyle w:val="19"/>
      <w:ind w:left="6660" w:hanging="6660" w:hangingChars="3700"/>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4E0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3599E">
    <w:pPr>
      <w:pStyle w:val="19"/>
      <w:rPr>
        <w:rFonts w:hint="default" w:eastAsiaTheme="minorEastAsia"/>
        <w:lang w:val="en-US" w:eastAsia="zh-CN"/>
      </w:rPr>
    </w:pPr>
    <w:r>
      <w:rPr>
        <w:rFonts w:hint="eastAsia"/>
        <w:u w:val="single"/>
        <w:lang w:val="en-US" w:eastAsia="zh-CN"/>
      </w:rPr>
      <w:t>永嘉县</w:t>
    </w:r>
    <w:r>
      <w:rPr>
        <w:rFonts w:hint="eastAsia"/>
        <w:u w:val="single"/>
        <w:lang w:val="zh-CN"/>
      </w:rPr>
      <w:t>政府采购询价采购文件</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1">
    <w:nsid w:val="E54E47E2"/>
    <w:multiLevelType w:val="singleLevel"/>
    <w:tmpl w:val="E54E47E2"/>
    <w:lvl w:ilvl="0" w:tentative="0">
      <w:start w:val="1"/>
      <w:numFmt w:val="decimal"/>
      <w:lvlText w:val="%1."/>
      <w:lvlJc w:val="left"/>
      <w:pPr>
        <w:ind w:left="425" w:hanging="425"/>
      </w:pPr>
      <w:rPr>
        <w:rFonts w:hint="default"/>
      </w:rPr>
    </w:lvl>
  </w:abstractNum>
  <w:abstractNum w:abstractNumId="2">
    <w:nsid w:val="F7C2C77B"/>
    <w:multiLevelType w:val="singleLevel"/>
    <w:tmpl w:val="F7C2C77B"/>
    <w:lvl w:ilvl="0" w:tentative="0">
      <w:start w:val="3"/>
      <w:numFmt w:val="chineseCounting"/>
      <w:suff w:val="space"/>
      <w:lvlText w:val="第%1部分"/>
      <w:lvlJc w:val="left"/>
      <w:rPr>
        <w:rFonts w:hint="eastAsia"/>
      </w:r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116C560A"/>
    <w:multiLevelType w:val="singleLevel"/>
    <w:tmpl w:val="116C560A"/>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BA72B6"/>
    <w:rsid w:val="01BB3CD7"/>
    <w:rsid w:val="01CB2CC3"/>
    <w:rsid w:val="01D73288"/>
    <w:rsid w:val="01D83074"/>
    <w:rsid w:val="02257180"/>
    <w:rsid w:val="02506BA4"/>
    <w:rsid w:val="02537E2C"/>
    <w:rsid w:val="02723BFD"/>
    <w:rsid w:val="027F1EE7"/>
    <w:rsid w:val="0284231A"/>
    <w:rsid w:val="02E97E6A"/>
    <w:rsid w:val="030C45C1"/>
    <w:rsid w:val="033150B7"/>
    <w:rsid w:val="0339337F"/>
    <w:rsid w:val="033F1C52"/>
    <w:rsid w:val="03685798"/>
    <w:rsid w:val="0380595F"/>
    <w:rsid w:val="03B16273"/>
    <w:rsid w:val="03D44C3B"/>
    <w:rsid w:val="03DB240E"/>
    <w:rsid w:val="03DC0A5A"/>
    <w:rsid w:val="041476CE"/>
    <w:rsid w:val="044D158E"/>
    <w:rsid w:val="045A5E42"/>
    <w:rsid w:val="045D72C7"/>
    <w:rsid w:val="049F3F1F"/>
    <w:rsid w:val="04B06F62"/>
    <w:rsid w:val="04C47485"/>
    <w:rsid w:val="04D07A99"/>
    <w:rsid w:val="04FB35D0"/>
    <w:rsid w:val="05145BD8"/>
    <w:rsid w:val="051A3A2A"/>
    <w:rsid w:val="052E6ECB"/>
    <w:rsid w:val="05571376"/>
    <w:rsid w:val="05E13560"/>
    <w:rsid w:val="061C05B3"/>
    <w:rsid w:val="06296FF4"/>
    <w:rsid w:val="066761DB"/>
    <w:rsid w:val="066B5CCB"/>
    <w:rsid w:val="068F128E"/>
    <w:rsid w:val="06A25465"/>
    <w:rsid w:val="06A670EF"/>
    <w:rsid w:val="06AE1B74"/>
    <w:rsid w:val="06C8276A"/>
    <w:rsid w:val="06DE46EF"/>
    <w:rsid w:val="07474800"/>
    <w:rsid w:val="077741FC"/>
    <w:rsid w:val="07883C8D"/>
    <w:rsid w:val="0797489E"/>
    <w:rsid w:val="079A2961"/>
    <w:rsid w:val="07B4336E"/>
    <w:rsid w:val="07DB248D"/>
    <w:rsid w:val="07FE56BB"/>
    <w:rsid w:val="08500CB6"/>
    <w:rsid w:val="086F75C9"/>
    <w:rsid w:val="087D3A94"/>
    <w:rsid w:val="088B49BF"/>
    <w:rsid w:val="08982830"/>
    <w:rsid w:val="089A2898"/>
    <w:rsid w:val="08AC4379"/>
    <w:rsid w:val="08B55328"/>
    <w:rsid w:val="08CB2A51"/>
    <w:rsid w:val="08D31635"/>
    <w:rsid w:val="08EC3F8E"/>
    <w:rsid w:val="08F0070A"/>
    <w:rsid w:val="091837BC"/>
    <w:rsid w:val="09C46268"/>
    <w:rsid w:val="09C95EEB"/>
    <w:rsid w:val="0A4707FD"/>
    <w:rsid w:val="0A6124EE"/>
    <w:rsid w:val="0A6C70A7"/>
    <w:rsid w:val="0A7409D7"/>
    <w:rsid w:val="0A7964DD"/>
    <w:rsid w:val="0AA55524"/>
    <w:rsid w:val="0ADA1283"/>
    <w:rsid w:val="0AEC4F01"/>
    <w:rsid w:val="0B3450FB"/>
    <w:rsid w:val="0B3D575C"/>
    <w:rsid w:val="0B7A2EEB"/>
    <w:rsid w:val="0BB73761"/>
    <w:rsid w:val="0BC93687"/>
    <w:rsid w:val="0BF51FFC"/>
    <w:rsid w:val="0BF77F50"/>
    <w:rsid w:val="0C71390F"/>
    <w:rsid w:val="0C943AA2"/>
    <w:rsid w:val="0CAA0BCF"/>
    <w:rsid w:val="0CC212FB"/>
    <w:rsid w:val="0CE252C6"/>
    <w:rsid w:val="0CE41E67"/>
    <w:rsid w:val="0CE73BD2"/>
    <w:rsid w:val="0CEC762F"/>
    <w:rsid w:val="0D1A5EA5"/>
    <w:rsid w:val="0D1C440B"/>
    <w:rsid w:val="0D1D75F3"/>
    <w:rsid w:val="0D1E7CDD"/>
    <w:rsid w:val="0D313094"/>
    <w:rsid w:val="0D394DA1"/>
    <w:rsid w:val="0DE12FE7"/>
    <w:rsid w:val="0E367C5D"/>
    <w:rsid w:val="0E406B89"/>
    <w:rsid w:val="0E446180"/>
    <w:rsid w:val="0E484E87"/>
    <w:rsid w:val="0E5427AC"/>
    <w:rsid w:val="0E715E49"/>
    <w:rsid w:val="0E8F500F"/>
    <w:rsid w:val="0E9B0CFB"/>
    <w:rsid w:val="0EA350A2"/>
    <w:rsid w:val="0EBD2E3C"/>
    <w:rsid w:val="0ED32660"/>
    <w:rsid w:val="0F4C2412"/>
    <w:rsid w:val="0F7A2ADB"/>
    <w:rsid w:val="0F8A4633"/>
    <w:rsid w:val="0FA1275E"/>
    <w:rsid w:val="0FDA7A1E"/>
    <w:rsid w:val="10394E32"/>
    <w:rsid w:val="105A4469"/>
    <w:rsid w:val="10676AB0"/>
    <w:rsid w:val="10C12E43"/>
    <w:rsid w:val="10C20BDE"/>
    <w:rsid w:val="10E723F2"/>
    <w:rsid w:val="11284A20"/>
    <w:rsid w:val="11443064"/>
    <w:rsid w:val="115A2C7E"/>
    <w:rsid w:val="11B56B1F"/>
    <w:rsid w:val="11BF52F4"/>
    <w:rsid w:val="11C44F5D"/>
    <w:rsid w:val="11D7395B"/>
    <w:rsid w:val="1205512F"/>
    <w:rsid w:val="120C4519"/>
    <w:rsid w:val="121511E1"/>
    <w:rsid w:val="123F000C"/>
    <w:rsid w:val="124318AA"/>
    <w:rsid w:val="126B0BC0"/>
    <w:rsid w:val="127A1BF9"/>
    <w:rsid w:val="128030C8"/>
    <w:rsid w:val="12894084"/>
    <w:rsid w:val="129919B5"/>
    <w:rsid w:val="129D308C"/>
    <w:rsid w:val="12A14823"/>
    <w:rsid w:val="12A64B0B"/>
    <w:rsid w:val="12AF6A53"/>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C8253B"/>
    <w:rsid w:val="14D80741"/>
    <w:rsid w:val="15A41524"/>
    <w:rsid w:val="15A936DF"/>
    <w:rsid w:val="15BE7E61"/>
    <w:rsid w:val="15F5110D"/>
    <w:rsid w:val="15F56CEF"/>
    <w:rsid w:val="160615E5"/>
    <w:rsid w:val="160E0421"/>
    <w:rsid w:val="16121BB7"/>
    <w:rsid w:val="164976AB"/>
    <w:rsid w:val="16665322"/>
    <w:rsid w:val="1669748E"/>
    <w:rsid w:val="166E5F4D"/>
    <w:rsid w:val="167364D6"/>
    <w:rsid w:val="16F21AF1"/>
    <w:rsid w:val="16F5788F"/>
    <w:rsid w:val="171769F8"/>
    <w:rsid w:val="1734037F"/>
    <w:rsid w:val="17365E81"/>
    <w:rsid w:val="17B347EF"/>
    <w:rsid w:val="17D054F4"/>
    <w:rsid w:val="17DB1D86"/>
    <w:rsid w:val="17FB00F1"/>
    <w:rsid w:val="18335CC0"/>
    <w:rsid w:val="183378F9"/>
    <w:rsid w:val="186A70ED"/>
    <w:rsid w:val="188249D3"/>
    <w:rsid w:val="18C75DE4"/>
    <w:rsid w:val="18E06A20"/>
    <w:rsid w:val="19370BAC"/>
    <w:rsid w:val="195565B3"/>
    <w:rsid w:val="197344CC"/>
    <w:rsid w:val="19A63937"/>
    <w:rsid w:val="19C161F3"/>
    <w:rsid w:val="19C95982"/>
    <w:rsid w:val="19EC7BA8"/>
    <w:rsid w:val="19EF3D20"/>
    <w:rsid w:val="19EF5BDB"/>
    <w:rsid w:val="1A004525"/>
    <w:rsid w:val="1A241FCB"/>
    <w:rsid w:val="1A310B82"/>
    <w:rsid w:val="1A8179BE"/>
    <w:rsid w:val="1A903AFB"/>
    <w:rsid w:val="1ABA0365"/>
    <w:rsid w:val="1ABC1FED"/>
    <w:rsid w:val="1AD75285"/>
    <w:rsid w:val="1AD812C1"/>
    <w:rsid w:val="1ADE4D29"/>
    <w:rsid w:val="1B267BA9"/>
    <w:rsid w:val="1B2B55D1"/>
    <w:rsid w:val="1B7E6C63"/>
    <w:rsid w:val="1B7E7DF7"/>
    <w:rsid w:val="1B8770AD"/>
    <w:rsid w:val="1B902C3E"/>
    <w:rsid w:val="1BB12770"/>
    <w:rsid w:val="1BDB6FF7"/>
    <w:rsid w:val="1C406E5A"/>
    <w:rsid w:val="1C4B1FEE"/>
    <w:rsid w:val="1C6902F5"/>
    <w:rsid w:val="1C803D3D"/>
    <w:rsid w:val="1C884981"/>
    <w:rsid w:val="1CB8264C"/>
    <w:rsid w:val="1D423FA4"/>
    <w:rsid w:val="1D5842BF"/>
    <w:rsid w:val="1D840843"/>
    <w:rsid w:val="1D95194F"/>
    <w:rsid w:val="1D9C28FE"/>
    <w:rsid w:val="1DBF7914"/>
    <w:rsid w:val="1DF724F0"/>
    <w:rsid w:val="1E2A40E0"/>
    <w:rsid w:val="1E715AFF"/>
    <w:rsid w:val="1EAE3076"/>
    <w:rsid w:val="1EE82638"/>
    <w:rsid w:val="1EF07B2A"/>
    <w:rsid w:val="1F0B2C80"/>
    <w:rsid w:val="1F1D09A2"/>
    <w:rsid w:val="1F2D15FC"/>
    <w:rsid w:val="1F3D44B2"/>
    <w:rsid w:val="1F667ECB"/>
    <w:rsid w:val="1FB951CF"/>
    <w:rsid w:val="1FD5147C"/>
    <w:rsid w:val="1FE10954"/>
    <w:rsid w:val="20806EC0"/>
    <w:rsid w:val="20A50C14"/>
    <w:rsid w:val="20E06E5E"/>
    <w:rsid w:val="21023AB4"/>
    <w:rsid w:val="211C30F2"/>
    <w:rsid w:val="211C60E8"/>
    <w:rsid w:val="2127683B"/>
    <w:rsid w:val="217E219B"/>
    <w:rsid w:val="21C36564"/>
    <w:rsid w:val="21ED538F"/>
    <w:rsid w:val="220426D8"/>
    <w:rsid w:val="221C2532"/>
    <w:rsid w:val="2250591D"/>
    <w:rsid w:val="225D0CCB"/>
    <w:rsid w:val="226A4C31"/>
    <w:rsid w:val="23286AB2"/>
    <w:rsid w:val="233D0F56"/>
    <w:rsid w:val="234419F1"/>
    <w:rsid w:val="23451A39"/>
    <w:rsid w:val="236B19AC"/>
    <w:rsid w:val="238A41F5"/>
    <w:rsid w:val="239278A7"/>
    <w:rsid w:val="23A203FB"/>
    <w:rsid w:val="23D37B9B"/>
    <w:rsid w:val="23E450C0"/>
    <w:rsid w:val="240E42D2"/>
    <w:rsid w:val="2464595F"/>
    <w:rsid w:val="247B4ED4"/>
    <w:rsid w:val="24843C71"/>
    <w:rsid w:val="249C4E4A"/>
    <w:rsid w:val="24A52573"/>
    <w:rsid w:val="24B30B11"/>
    <w:rsid w:val="24BE3012"/>
    <w:rsid w:val="24DE130C"/>
    <w:rsid w:val="24F957CC"/>
    <w:rsid w:val="25021151"/>
    <w:rsid w:val="251227A7"/>
    <w:rsid w:val="251A0E2E"/>
    <w:rsid w:val="25471DF4"/>
    <w:rsid w:val="254F52B2"/>
    <w:rsid w:val="257368AC"/>
    <w:rsid w:val="25756B02"/>
    <w:rsid w:val="2584600A"/>
    <w:rsid w:val="258B7C20"/>
    <w:rsid w:val="25980C9B"/>
    <w:rsid w:val="25B22B40"/>
    <w:rsid w:val="25F74A2E"/>
    <w:rsid w:val="2612679A"/>
    <w:rsid w:val="26374858"/>
    <w:rsid w:val="265D7770"/>
    <w:rsid w:val="2668592C"/>
    <w:rsid w:val="268C17A5"/>
    <w:rsid w:val="269B5ACF"/>
    <w:rsid w:val="26A03808"/>
    <w:rsid w:val="26CC5447"/>
    <w:rsid w:val="26F34D34"/>
    <w:rsid w:val="272C4BAB"/>
    <w:rsid w:val="27335B41"/>
    <w:rsid w:val="27337E5F"/>
    <w:rsid w:val="277E2C99"/>
    <w:rsid w:val="27960276"/>
    <w:rsid w:val="27C46B92"/>
    <w:rsid w:val="28552C3D"/>
    <w:rsid w:val="285D2B42"/>
    <w:rsid w:val="28612908"/>
    <w:rsid w:val="28843EE3"/>
    <w:rsid w:val="28EC45F2"/>
    <w:rsid w:val="28ED2347"/>
    <w:rsid w:val="290A2CCA"/>
    <w:rsid w:val="291B32DF"/>
    <w:rsid w:val="29312D26"/>
    <w:rsid w:val="294B3C8B"/>
    <w:rsid w:val="29695C42"/>
    <w:rsid w:val="29746395"/>
    <w:rsid w:val="29986528"/>
    <w:rsid w:val="29F85218"/>
    <w:rsid w:val="29FB3F81"/>
    <w:rsid w:val="2A321DA8"/>
    <w:rsid w:val="2A3540A6"/>
    <w:rsid w:val="2A913BE9"/>
    <w:rsid w:val="2AA138C8"/>
    <w:rsid w:val="2AB63109"/>
    <w:rsid w:val="2AC31382"/>
    <w:rsid w:val="2AEF2177"/>
    <w:rsid w:val="2B1A46C4"/>
    <w:rsid w:val="2B502323"/>
    <w:rsid w:val="2B5A4969"/>
    <w:rsid w:val="2BB138D1"/>
    <w:rsid w:val="2BC84B7C"/>
    <w:rsid w:val="2C267C20"/>
    <w:rsid w:val="2C3E3BF6"/>
    <w:rsid w:val="2C6646BB"/>
    <w:rsid w:val="2C6C77F8"/>
    <w:rsid w:val="2C6E531E"/>
    <w:rsid w:val="2C715A5D"/>
    <w:rsid w:val="2CE11346"/>
    <w:rsid w:val="2CFC0B7C"/>
    <w:rsid w:val="2D1E6D44"/>
    <w:rsid w:val="2D2E123C"/>
    <w:rsid w:val="2D412A32"/>
    <w:rsid w:val="2D7125D2"/>
    <w:rsid w:val="2DB07B81"/>
    <w:rsid w:val="2DD60BBC"/>
    <w:rsid w:val="2DDC6E75"/>
    <w:rsid w:val="2DDD6764"/>
    <w:rsid w:val="2DE24215"/>
    <w:rsid w:val="2DF126AA"/>
    <w:rsid w:val="2E151E3B"/>
    <w:rsid w:val="2E3305CD"/>
    <w:rsid w:val="2E654321"/>
    <w:rsid w:val="2E7262E3"/>
    <w:rsid w:val="2E774CB7"/>
    <w:rsid w:val="2EA0024E"/>
    <w:rsid w:val="2EC102CF"/>
    <w:rsid w:val="2EDD4E21"/>
    <w:rsid w:val="2F002AF1"/>
    <w:rsid w:val="2F1E2C31"/>
    <w:rsid w:val="2F280850"/>
    <w:rsid w:val="2F3C1703"/>
    <w:rsid w:val="2F42195A"/>
    <w:rsid w:val="2F7B4FA2"/>
    <w:rsid w:val="2F912405"/>
    <w:rsid w:val="2FF736DF"/>
    <w:rsid w:val="300E46F8"/>
    <w:rsid w:val="30261EF2"/>
    <w:rsid w:val="302B3FFF"/>
    <w:rsid w:val="3035256F"/>
    <w:rsid w:val="30370042"/>
    <w:rsid w:val="303F44AC"/>
    <w:rsid w:val="304A388A"/>
    <w:rsid w:val="30647999"/>
    <w:rsid w:val="306A602F"/>
    <w:rsid w:val="307F70CD"/>
    <w:rsid w:val="308876DF"/>
    <w:rsid w:val="30B1780A"/>
    <w:rsid w:val="31121908"/>
    <w:rsid w:val="31195DC3"/>
    <w:rsid w:val="313C62A9"/>
    <w:rsid w:val="315149B9"/>
    <w:rsid w:val="31894A5B"/>
    <w:rsid w:val="31A6590C"/>
    <w:rsid w:val="31B2784E"/>
    <w:rsid w:val="31BC1251"/>
    <w:rsid w:val="31CD2AE7"/>
    <w:rsid w:val="31D65E3F"/>
    <w:rsid w:val="31DC56CD"/>
    <w:rsid w:val="31FE5396"/>
    <w:rsid w:val="32BA2E92"/>
    <w:rsid w:val="32CB46AD"/>
    <w:rsid w:val="32F26E9A"/>
    <w:rsid w:val="32FA3DAF"/>
    <w:rsid w:val="3301658F"/>
    <w:rsid w:val="331746F9"/>
    <w:rsid w:val="3350577D"/>
    <w:rsid w:val="33AF19FD"/>
    <w:rsid w:val="33DF1012"/>
    <w:rsid w:val="33E775C7"/>
    <w:rsid w:val="34484F20"/>
    <w:rsid w:val="346A6D13"/>
    <w:rsid w:val="347C2B5F"/>
    <w:rsid w:val="34AD35BF"/>
    <w:rsid w:val="34FA0097"/>
    <w:rsid w:val="35072BEA"/>
    <w:rsid w:val="350C6869"/>
    <w:rsid w:val="35470B97"/>
    <w:rsid w:val="357404B3"/>
    <w:rsid w:val="35B20971"/>
    <w:rsid w:val="35C91817"/>
    <w:rsid w:val="360F6BD4"/>
    <w:rsid w:val="366C2690"/>
    <w:rsid w:val="3676327B"/>
    <w:rsid w:val="369479C4"/>
    <w:rsid w:val="36CB0D6B"/>
    <w:rsid w:val="36DD557A"/>
    <w:rsid w:val="36FD79CA"/>
    <w:rsid w:val="37020D8A"/>
    <w:rsid w:val="37230E7F"/>
    <w:rsid w:val="37D8041F"/>
    <w:rsid w:val="37DD09A1"/>
    <w:rsid w:val="386F1B9A"/>
    <w:rsid w:val="38733858"/>
    <w:rsid w:val="38882D10"/>
    <w:rsid w:val="38A071A7"/>
    <w:rsid w:val="38BF7433"/>
    <w:rsid w:val="38D00D16"/>
    <w:rsid w:val="38F51A62"/>
    <w:rsid w:val="38FF4C8D"/>
    <w:rsid w:val="390C0CA3"/>
    <w:rsid w:val="39174945"/>
    <w:rsid w:val="3999374C"/>
    <w:rsid w:val="39C12584"/>
    <w:rsid w:val="39CD28CD"/>
    <w:rsid w:val="39CD30F0"/>
    <w:rsid w:val="39D31AAB"/>
    <w:rsid w:val="39DC7D6B"/>
    <w:rsid w:val="3A9D5790"/>
    <w:rsid w:val="3AD53A5F"/>
    <w:rsid w:val="3AF10079"/>
    <w:rsid w:val="3AFE1FBE"/>
    <w:rsid w:val="3B021A92"/>
    <w:rsid w:val="3B1B2CE6"/>
    <w:rsid w:val="3B2B4B02"/>
    <w:rsid w:val="3B615FCE"/>
    <w:rsid w:val="3B6224F2"/>
    <w:rsid w:val="3B862684"/>
    <w:rsid w:val="3BAA5C47"/>
    <w:rsid w:val="3BAD5A4F"/>
    <w:rsid w:val="3BAF3006"/>
    <w:rsid w:val="3BCC2061"/>
    <w:rsid w:val="3BFD76F8"/>
    <w:rsid w:val="3C1C24AF"/>
    <w:rsid w:val="3C4B5AE4"/>
    <w:rsid w:val="3C544FCD"/>
    <w:rsid w:val="3C8D62D5"/>
    <w:rsid w:val="3C8F5568"/>
    <w:rsid w:val="3C906A00"/>
    <w:rsid w:val="3C925059"/>
    <w:rsid w:val="3CC33464"/>
    <w:rsid w:val="3CE04E71"/>
    <w:rsid w:val="3D110F6E"/>
    <w:rsid w:val="3D595B76"/>
    <w:rsid w:val="3D597924"/>
    <w:rsid w:val="3D6F7148"/>
    <w:rsid w:val="3D7C7D5A"/>
    <w:rsid w:val="3DD37420"/>
    <w:rsid w:val="3DD46076"/>
    <w:rsid w:val="3DD671C7"/>
    <w:rsid w:val="3DE43692"/>
    <w:rsid w:val="3E2660A7"/>
    <w:rsid w:val="3E342D63"/>
    <w:rsid w:val="3E35044A"/>
    <w:rsid w:val="3E3B6B24"/>
    <w:rsid w:val="3E500D27"/>
    <w:rsid w:val="3ECB6BB2"/>
    <w:rsid w:val="3ED54CA3"/>
    <w:rsid w:val="3F0B2EA0"/>
    <w:rsid w:val="3F3360F1"/>
    <w:rsid w:val="3F571FF2"/>
    <w:rsid w:val="3F680870"/>
    <w:rsid w:val="3FA83606"/>
    <w:rsid w:val="3FFB177B"/>
    <w:rsid w:val="40146D81"/>
    <w:rsid w:val="40354679"/>
    <w:rsid w:val="4037219F"/>
    <w:rsid w:val="40635C59"/>
    <w:rsid w:val="407C22A8"/>
    <w:rsid w:val="40866C82"/>
    <w:rsid w:val="40C34607"/>
    <w:rsid w:val="40D63A95"/>
    <w:rsid w:val="40F40090"/>
    <w:rsid w:val="40F8287F"/>
    <w:rsid w:val="41432958"/>
    <w:rsid w:val="416879D1"/>
    <w:rsid w:val="419C0D67"/>
    <w:rsid w:val="41B45D97"/>
    <w:rsid w:val="41B81009"/>
    <w:rsid w:val="41B8730F"/>
    <w:rsid w:val="41C71857"/>
    <w:rsid w:val="41F235E8"/>
    <w:rsid w:val="420A301F"/>
    <w:rsid w:val="424857F7"/>
    <w:rsid w:val="43290899"/>
    <w:rsid w:val="434A3256"/>
    <w:rsid w:val="43615785"/>
    <w:rsid w:val="438F1AD4"/>
    <w:rsid w:val="43A868D9"/>
    <w:rsid w:val="44680760"/>
    <w:rsid w:val="44721E6E"/>
    <w:rsid w:val="447514E8"/>
    <w:rsid w:val="4489178C"/>
    <w:rsid w:val="44962078"/>
    <w:rsid w:val="44BA5FDD"/>
    <w:rsid w:val="44E73C4D"/>
    <w:rsid w:val="450E5B4A"/>
    <w:rsid w:val="45266E38"/>
    <w:rsid w:val="456209AB"/>
    <w:rsid w:val="45932632"/>
    <w:rsid w:val="459D6676"/>
    <w:rsid w:val="45A57BAB"/>
    <w:rsid w:val="45C31003"/>
    <w:rsid w:val="46032B23"/>
    <w:rsid w:val="462736C9"/>
    <w:rsid w:val="464C6C5A"/>
    <w:rsid w:val="464D5103"/>
    <w:rsid w:val="46534140"/>
    <w:rsid w:val="46641814"/>
    <w:rsid w:val="469B0FAE"/>
    <w:rsid w:val="46B50E20"/>
    <w:rsid w:val="46CC1F42"/>
    <w:rsid w:val="46D422A2"/>
    <w:rsid w:val="46DD599B"/>
    <w:rsid w:val="46E01A96"/>
    <w:rsid w:val="46F431BC"/>
    <w:rsid w:val="472A5F3F"/>
    <w:rsid w:val="47385AF2"/>
    <w:rsid w:val="47407734"/>
    <w:rsid w:val="47641563"/>
    <w:rsid w:val="47841A42"/>
    <w:rsid w:val="47855EE6"/>
    <w:rsid w:val="47887784"/>
    <w:rsid w:val="47BA4DA1"/>
    <w:rsid w:val="47BC567F"/>
    <w:rsid w:val="47EF7803"/>
    <w:rsid w:val="482F1AC9"/>
    <w:rsid w:val="48B60321"/>
    <w:rsid w:val="48BA4575"/>
    <w:rsid w:val="48EB286A"/>
    <w:rsid w:val="491C4914"/>
    <w:rsid w:val="49600AD6"/>
    <w:rsid w:val="496B2440"/>
    <w:rsid w:val="49754BD6"/>
    <w:rsid w:val="49B318C5"/>
    <w:rsid w:val="49D61562"/>
    <w:rsid w:val="49E05655"/>
    <w:rsid w:val="49F37065"/>
    <w:rsid w:val="4A1470AD"/>
    <w:rsid w:val="4A3D7041"/>
    <w:rsid w:val="4A4D25BF"/>
    <w:rsid w:val="4A6B5A31"/>
    <w:rsid w:val="4A7B4A3A"/>
    <w:rsid w:val="4A87148D"/>
    <w:rsid w:val="4ACE0C3C"/>
    <w:rsid w:val="4AE858D8"/>
    <w:rsid w:val="4B8169B9"/>
    <w:rsid w:val="4BC47C66"/>
    <w:rsid w:val="4BF6210B"/>
    <w:rsid w:val="4C1B2C4B"/>
    <w:rsid w:val="4C1C493F"/>
    <w:rsid w:val="4C227A9B"/>
    <w:rsid w:val="4C582E9E"/>
    <w:rsid w:val="4C6D5962"/>
    <w:rsid w:val="4C717595"/>
    <w:rsid w:val="4C742B81"/>
    <w:rsid w:val="4C7D78BC"/>
    <w:rsid w:val="4C9613D9"/>
    <w:rsid w:val="4CA15422"/>
    <w:rsid w:val="4CAC5CC3"/>
    <w:rsid w:val="4CB021AB"/>
    <w:rsid w:val="4CCD7017"/>
    <w:rsid w:val="4D4671E6"/>
    <w:rsid w:val="4DB30240"/>
    <w:rsid w:val="4DE478F9"/>
    <w:rsid w:val="4DF23BA9"/>
    <w:rsid w:val="4DFA3F65"/>
    <w:rsid w:val="4E1C6034"/>
    <w:rsid w:val="4E4540C4"/>
    <w:rsid w:val="4E9C5E27"/>
    <w:rsid w:val="4EAD640F"/>
    <w:rsid w:val="4EBE17BD"/>
    <w:rsid w:val="4ECD1F20"/>
    <w:rsid w:val="4EDF7277"/>
    <w:rsid w:val="4EE71234"/>
    <w:rsid w:val="4EEA4880"/>
    <w:rsid w:val="4F0143CF"/>
    <w:rsid w:val="4F0F0073"/>
    <w:rsid w:val="4F377F93"/>
    <w:rsid w:val="4F5774DC"/>
    <w:rsid w:val="4F5F0DCA"/>
    <w:rsid w:val="4F6E0572"/>
    <w:rsid w:val="4FBF7ABB"/>
    <w:rsid w:val="4FCD7475"/>
    <w:rsid w:val="4FDE77A3"/>
    <w:rsid w:val="4FE13ED5"/>
    <w:rsid w:val="5012408F"/>
    <w:rsid w:val="50291D56"/>
    <w:rsid w:val="503E2125"/>
    <w:rsid w:val="50694E26"/>
    <w:rsid w:val="508B3E41"/>
    <w:rsid w:val="50AC3A48"/>
    <w:rsid w:val="50AD025B"/>
    <w:rsid w:val="50DA5903"/>
    <w:rsid w:val="50EA4F33"/>
    <w:rsid w:val="51013CBA"/>
    <w:rsid w:val="51176CFE"/>
    <w:rsid w:val="51257DF2"/>
    <w:rsid w:val="514205CA"/>
    <w:rsid w:val="516E79EA"/>
    <w:rsid w:val="51A41581"/>
    <w:rsid w:val="51A62CB4"/>
    <w:rsid w:val="51B53185"/>
    <w:rsid w:val="51CB50F7"/>
    <w:rsid w:val="51D27F79"/>
    <w:rsid w:val="51EC29AA"/>
    <w:rsid w:val="522651AE"/>
    <w:rsid w:val="522B1280"/>
    <w:rsid w:val="522C710D"/>
    <w:rsid w:val="52A64F62"/>
    <w:rsid w:val="52BF535C"/>
    <w:rsid w:val="52C50BE9"/>
    <w:rsid w:val="53010A67"/>
    <w:rsid w:val="535C4B41"/>
    <w:rsid w:val="536D0343"/>
    <w:rsid w:val="53762E6A"/>
    <w:rsid w:val="5385101B"/>
    <w:rsid w:val="53B96ECB"/>
    <w:rsid w:val="53BC2C8F"/>
    <w:rsid w:val="53C929DC"/>
    <w:rsid w:val="53EF0952"/>
    <w:rsid w:val="53F266B1"/>
    <w:rsid w:val="54624EB9"/>
    <w:rsid w:val="54647DE5"/>
    <w:rsid w:val="548D5F33"/>
    <w:rsid w:val="54AC4880"/>
    <w:rsid w:val="54C21174"/>
    <w:rsid w:val="54E44ED6"/>
    <w:rsid w:val="54E63D3C"/>
    <w:rsid w:val="54F142BD"/>
    <w:rsid w:val="54FD6DDC"/>
    <w:rsid w:val="54FD7F7A"/>
    <w:rsid w:val="55684751"/>
    <w:rsid w:val="55760388"/>
    <w:rsid w:val="558409BD"/>
    <w:rsid w:val="559D089E"/>
    <w:rsid w:val="55B23D90"/>
    <w:rsid w:val="55EB6C16"/>
    <w:rsid w:val="56226FF5"/>
    <w:rsid w:val="564C244B"/>
    <w:rsid w:val="565371AF"/>
    <w:rsid w:val="56574EF1"/>
    <w:rsid w:val="56582A17"/>
    <w:rsid w:val="565D5C10"/>
    <w:rsid w:val="566F3942"/>
    <w:rsid w:val="56747BA1"/>
    <w:rsid w:val="568B64F5"/>
    <w:rsid w:val="56BC1DA6"/>
    <w:rsid w:val="56D32F17"/>
    <w:rsid w:val="56F02C50"/>
    <w:rsid w:val="56F22819"/>
    <w:rsid w:val="576D42A0"/>
    <w:rsid w:val="57AF19D1"/>
    <w:rsid w:val="57AF2B0B"/>
    <w:rsid w:val="57AF4D97"/>
    <w:rsid w:val="57D7526E"/>
    <w:rsid w:val="580E7831"/>
    <w:rsid w:val="5895387B"/>
    <w:rsid w:val="58976783"/>
    <w:rsid w:val="58B70212"/>
    <w:rsid w:val="58BA3515"/>
    <w:rsid w:val="58C31833"/>
    <w:rsid w:val="58C61EBA"/>
    <w:rsid w:val="58D42A10"/>
    <w:rsid w:val="58F93350"/>
    <w:rsid w:val="5903310E"/>
    <w:rsid w:val="59A24506"/>
    <w:rsid w:val="59B435AB"/>
    <w:rsid w:val="59CE54CA"/>
    <w:rsid w:val="59F97DC2"/>
    <w:rsid w:val="5A3115B5"/>
    <w:rsid w:val="5A5359CF"/>
    <w:rsid w:val="5A581238"/>
    <w:rsid w:val="5A601C56"/>
    <w:rsid w:val="5A9234A3"/>
    <w:rsid w:val="5A93726B"/>
    <w:rsid w:val="5A9776E6"/>
    <w:rsid w:val="5B0234DD"/>
    <w:rsid w:val="5B1C7676"/>
    <w:rsid w:val="5B3C6463"/>
    <w:rsid w:val="5B4A1A7A"/>
    <w:rsid w:val="5B5C0FA9"/>
    <w:rsid w:val="5B652F32"/>
    <w:rsid w:val="5B671678"/>
    <w:rsid w:val="5B7A7C08"/>
    <w:rsid w:val="5B7C71A8"/>
    <w:rsid w:val="5B976EE8"/>
    <w:rsid w:val="5BC3635B"/>
    <w:rsid w:val="5BDB6C3E"/>
    <w:rsid w:val="5BF016EC"/>
    <w:rsid w:val="5C07560D"/>
    <w:rsid w:val="5C17130E"/>
    <w:rsid w:val="5C386E13"/>
    <w:rsid w:val="5C6A4366"/>
    <w:rsid w:val="5C71703C"/>
    <w:rsid w:val="5C7E1F0B"/>
    <w:rsid w:val="5C89392A"/>
    <w:rsid w:val="5C910A31"/>
    <w:rsid w:val="5CC42BB4"/>
    <w:rsid w:val="5CEB32F5"/>
    <w:rsid w:val="5CF50FC0"/>
    <w:rsid w:val="5D30539F"/>
    <w:rsid w:val="5DCC4B33"/>
    <w:rsid w:val="5E127E29"/>
    <w:rsid w:val="5E1A599B"/>
    <w:rsid w:val="5E1E00A2"/>
    <w:rsid w:val="5E27164D"/>
    <w:rsid w:val="5E306E17"/>
    <w:rsid w:val="5E3616DE"/>
    <w:rsid w:val="5E47675D"/>
    <w:rsid w:val="5E5166CA"/>
    <w:rsid w:val="5E7D2FED"/>
    <w:rsid w:val="5E98499F"/>
    <w:rsid w:val="5E9C374B"/>
    <w:rsid w:val="5EE52652"/>
    <w:rsid w:val="5EFE1B83"/>
    <w:rsid w:val="5F1548B9"/>
    <w:rsid w:val="5F226FE9"/>
    <w:rsid w:val="5F3F3F76"/>
    <w:rsid w:val="5F7F2DC3"/>
    <w:rsid w:val="5FEB6932"/>
    <w:rsid w:val="60014881"/>
    <w:rsid w:val="60E530F9"/>
    <w:rsid w:val="612561BE"/>
    <w:rsid w:val="613C660B"/>
    <w:rsid w:val="61555BFA"/>
    <w:rsid w:val="618446C0"/>
    <w:rsid w:val="61A44D62"/>
    <w:rsid w:val="61AE798F"/>
    <w:rsid w:val="61B054B5"/>
    <w:rsid w:val="61C4588C"/>
    <w:rsid w:val="61E07A7F"/>
    <w:rsid w:val="61F46E71"/>
    <w:rsid w:val="62944DD7"/>
    <w:rsid w:val="62AA4279"/>
    <w:rsid w:val="62FC2355"/>
    <w:rsid w:val="633E736D"/>
    <w:rsid w:val="63BC1A40"/>
    <w:rsid w:val="64177A6E"/>
    <w:rsid w:val="641846BC"/>
    <w:rsid w:val="642171BD"/>
    <w:rsid w:val="642C11DE"/>
    <w:rsid w:val="643B276C"/>
    <w:rsid w:val="646C7C7B"/>
    <w:rsid w:val="6472607F"/>
    <w:rsid w:val="6497295D"/>
    <w:rsid w:val="649B3DE2"/>
    <w:rsid w:val="64FD5929"/>
    <w:rsid w:val="65053261"/>
    <w:rsid w:val="650F1AEE"/>
    <w:rsid w:val="65BD63F3"/>
    <w:rsid w:val="65D55BB1"/>
    <w:rsid w:val="66160B21"/>
    <w:rsid w:val="662773B0"/>
    <w:rsid w:val="666D7E19"/>
    <w:rsid w:val="668E1311"/>
    <w:rsid w:val="669F3BF2"/>
    <w:rsid w:val="66B912B0"/>
    <w:rsid w:val="66CD6B09"/>
    <w:rsid w:val="66E62B15"/>
    <w:rsid w:val="66EF4456"/>
    <w:rsid w:val="67034BEB"/>
    <w:rsid w:val="67170922"/>
    <w:rsid w:val="67282DFB"/>
    <w:rsid w:val="673B1704"/>
    <w:rsid w:val="677156E7"/>
    <w:rsid w:val="67B53DFD"/>
    <w:rsid w:val="67BD1D4E"/>
    <w:rsid w:val="68104F00"/>
    <w:rsid w:val="683066A1"/>
    <w:rsid w:val="68790CF7"/>
    <w:rsid w:val="68954EFF"/>
    <w:rsid w:val="68AB7066"/>
    <w:rsid w:val="68D63571"/>
    <w:rsid w:val="68D7303D"/>
    <w:rsid w:val="68DC1286"/>
    <w:rsid w:val="69006772"/>
    <w:rsid w:val="69823BDB"/>
    <w:rsid w:val="698B3309"/>
    <w:rsid w:val="69AA4EE0"/>
    <w:rsid w:val="69B61AD7"/>
    <w:rsid w:val="69DC4191"/>
    <w:rsid w:val="6A316C25"/>
    <w:rsid w:val="6A5437CA"/>
    <w:rsid w:val="6A5E76C5"/>
    <w:rsid w:val="6A6F4DA2"/>
    <w:rsid w:val="6A7E1939"/>
    <w:rsid w:val="6A8519B6"/>
    <w:rsid w:val="6ADA17F5"/>
    <w:rsid w:val="6AE06149"/>
    <w:rsid w:val="6AE61F48"/>
    <w:rsid w:val="6B016DA4"/>
    <w:rsid w:val="6B453107"/>
    <w:rsid w:val="6B4F3718"/>
    <w:rsid w:val="6B517D09"/>
    <w:rsid w:val="6BC90E06"/>
    <w:rsid w:val="6BE903ED"/>
    <w:rsid w:val="6C655F8D"/>
    <w:rsid w:val="6C6E389D"/>
    <w:rsid w:val="6C747166"/>
    <w:rsid w:val="6C8A0C24"/>
    <w:rsid w:val="6C8F5E38"/>
    <w:rsid w:val="6CAC6598"/>
    <w:rsid w:val="6CDD463E"/>
    <w:rsid w:val="6CE92FCF"/>
    <w:rsid w:val="6D35579A"/>
    <w:rsid w:val="6D865144"/>
    <w:rsid w:val="6DDB5E75"/>
    <w:rsid w:val="6DF143BA"/>
    <w:rsid w:val="6E26635A"/>
    <w:rsid w:val="6E354CD7"/>
    <w:rsid w:val="6E3E0F9E"/>
    <w:rsid w:val="6E3F02ED"/>
    <w:rsid w:val="6E5D4C17"/>
    <w:rsid w:val="6E73396C"/>
    <w:rsid w:val="6EB72579"/>
    <w:rsid w:val="6EB76354"/>
    <w:rsid w:val="6EDA0016"/>
    <w:rsid w:val="6F1352D6"/>
    <w:rsid w:val="6F3215DB"/>
    <w:rsid w:val="6F8A1A3C"/>
    <w:rsid w:val="6F8F2BAE"/>
    <w:rsid w:val="6FA05CC5"/>
    <w:rsid w:val="6FD22F5A"/>
    <w:rsid w:val="701D7844"/>
    <w:rsid w:val="704D4675"/>
    <w:rsid w:val="704F233D"/>
    <w:rsid w:val="707128CC"/>
    <w:rsid w:val="708E2E1C"/>
    <w:rsid w:val="709D579F"/>
    <w:rsid w:val="70A15D47"/>
    <w:rsid w:val="70D3077D"/>
    <w:rsid w:val="70DA3DEC"/>
    <w:rsid w:val="7104581E"/>
    <w:rsid w:val="71202DBA"/>
    <w:rsid w:val="7121430A"/>
    <w:rsid w:val="716B400E"/>
    <w:rsid w:val="71976591"/>
    <w:rsid w:val="71A14D48"/>
    <w:rsid w:val="71B71FD5"/>
    <w:rsid w:val="71D21E68"/>
    <w:rsid w:val="71F64E2E"/>
    <w:rsid w:val="72071122"/>
    <w:rsid w:val="720A46D2"/>
    <w:rsid w:val="724B2D4D"/>
    <w:rsid w:val="725B321B"/>
    <w:rsid w:val="7261086B"/>
    <w:rsid w:val="726271FA"/>
    <w:rsid w:val="728A2A05"/>
    <w:rsid w:val="728C444A"/>
    <w:rsid w:val="72F9061E"/>
    <w:rsid w:val="733C11D9"/>
    <w:rsid w:val="73463C17"/>
    <w:rsid w:val="736237DA"/>
    <w:rsid w:val="73722184"/>
    <w:rsid w:val="73C25BA4"/>
    <w:rsid w:val="73C80D84"/>
    <w:rsid w:val="73F35BC7"/>
    <w:rsid w:val="74406B6D"/>
    <w:rsid w:val="744877CF"/>
    <w:rsid w:val="74577B2E"/>
    <w:rsid w:val="74730CF0"/>
    <w:rsid w:val="74831C9D"/>
    <w:rsid w:val="7483523C"/>
    <w:rsid w:val="74936FEA"/>
    <w:rsid w:val="749C465C"/>
    <w:rsid w:val="74C07CAE"/>
    <w:rsid w:val="74CE073F"/>
    <w:rsid w:val="750975F3"/>
    <w:rsid w:val="750A3856"/>
    <w:rsid w:val="75156306"/>
    <w:rsid w:val="751D031B"/>
    <w:rsid w:val="753C7D85"/>
    <w:rsid w:val="7558420D"/>
    <w:rsid w:val="759213EA"/>
    <w:rsid w:val="75A66D7D"/>
    <w:rsid w:val="75D501C9"/>
    <w:rsid w:val="75DB70DC"/>
    <w:rsid w:val="75F13615"/>
    <w:rsid w:val="761958C7"/>
    <w:rsid w:val="762072BD"/>
    <w:rsid w:val="768A3AD2"/>
    <w:rsid w:val="769A6A08"/>
    <w:rsid w:val="769B62DC"/>
    <w:rsid w:val="76EB3411"/>
    <w:rsid w:val="76F96058"/>
    <w:rsid w:val="771D4568"/>
    <w:rsid w:val="77291B3A"/>
    <w:rsid w:val="777F2584"/>
    <w:rsid w:val="77EB3E95"/>
    <w:rsid w:val="77FC7352"/>
    <w:rsid w:val="781E71C5"/>
    <w:rsid w:val="785506C7"/>
    <w:rsid w:val="785D6A0E"/>
    <w:rsid w:val="78650950"/>
    <w:rsid w:val="789A5517"/>
    <w:rsid w:val="78A21BA4"/>
    <w:rsid w:val="78CA44BF"/>
    <w:rsid w:val="78D34E0A"/>
    <w:rsid w:val="79162F46"/>
    <w:rsid w:val="792D7A1C"/>
    <w:rsid w:val="79404F19"/>
    <w:rsid w:val="795A005C"/>
    <w:rsid w:val="798219D5"/>
    <w:rsid w:val="799C7093"/>
    <w:rsid w:val="79B54EDB"/>
    <w:rsid w:val="79BC4EE7"/>
    <w:rsid w:val="79E1188C"/>
    <w:rsid w:val="7A0622DE"/>
    <w:rsid w:val="7A1B7ACF"/>
    <w:rsid w:val="7A2B3416"/>
    <w:rsid w:val="7A672624"/>
    <w:rsid w:val="7A9F110E"/>
    <w:rsid w:val="7ABB0DE2"/>
    <w:rsid w:val="7AC06311"/>
    <w:rsid w:val="7B25086A"/>
    <w:rsid w:val="7B3E48AE"/>
    <w:rsid w:val="7B5F29FC"/>
    <w:rsid w:val="7B9A3006"/>
    <w:rsid w:val="7BB84A57"/>
    <w:rsid w:val="7BEA27F8"/>
    <w:rsid w:val="7C0043D4"/>
    <w:rsid w:val="7C0E06C1"/>
    <w:rsid w:val="7C606F46"/>
    <w:rsid w:val="7C635AEE"/>
    <w:rsid w:val="7C705B26"/>
    <w:rsid w:val="7C9035A6"/>
    <w:rsid w:val="7C912C3C"/>
    <w:rsid w:val="7C982B53"/>
    <w:rsid w:val="7CAC38A6"/>
    <w:rsid w:val="7CBB76D8"/>
    <w:rsid w:val="7CFC6AAB"/>
    <w:rsid w:val="7D1E37C3"/>
    <w:rsid w:val="7D744CAA"/>
    <w:rsid w:val="7D7D17E3"/>
    <w:rsid w:val="7DAD38C6"/>
    <w:rsid w:val="7DB61C6B"/>
    <w:rsid w:val="7DD426D2"/>
    <w:rsid w:val="7DF34C50"/>
    <w:rsid w:val="7E192908"/>
    <w:rsid w:val="7E7062A0"/>
    <w:rsid w:val="7E823FF9"/>
    <w:rsid w:val="7E862BD4"/>
    <w:rsid w:val="7EA85A3A"/>
    <w:rsid w:val="7ECA167F"/>
    <w:rsid w:val="7EE767C9"/>
    <w:rsid w:val="7EF5451B"/>
    <w:rsid w:val="7F201A75"/>
    <w:rsid w:val="7F482E24"/>
    <w:rsid w:val="7F5369A6"/>
    <w:rsid w:val="7F587460"/>
    <w:rsid w:val="7F914FF1"/>
    <w:rsid w:val="7F9514CD"/>
    <w:rsid w:val="7FAC0F67"/>
    <w:rsid w:val="7FEC57C2"/>
    <w:rsid w:val="7FF01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next w:val="8"/>
    <w:autoRedefine/>
    <w:qFormat/>
    <w:uiPriority w:val="0"/>
    <w:pPr>
      <w:numPr>
        <w:ilvl w:val="0"/>
        <w:numId w:val="2"/>
      </w:numPr>
    </w:pPr>
  </w:style>
  <w:style w:type="paragraph" w:styleId="8">
    <w:name w:val="Balloon Text"/>
    <w:basedOn w:val="1"/>
    <w:next w:val="9"/>
    <w:link w:val="52"/>
    <w:autoRedefine/>
    <w:qFormat/>
    <w:uiPriority w:val="0"/>
    <w:rPr>
      <w:sz w:val="18"/>
      <w:szCs w:val="18"/>
    </w:rPr>
  </w:style>
  <w:style w:type="paragraph" w:styleId="9">
    <w:name w:val="toc 8"/>
    <w:basedOn w:val="1"/>
    <w:next w:val="1"/>
    <w:autoRedefine/>
    <w:semiHidden/>
    <w:qFormat/>
    <w:uiPriority w:val="0"/>
    <w:pPr>
      <w:spacing w:afterLines="50"/>
      <w:ind w:left="1470"/>
      <w:jc w:val="left"/>
    </w:pPr>
    <w:rPr>
      <w:snapToGrid w:val="0"/>
      <w:kern w:val="0"/>
      <w:sz w:val="18"/>
      <w:szCs w:val="18"/>
    </w:rPr>
  </w:style>
  <w:style w:type="paragraph" w:styleId="10">
    <w:name w:val="Normal Indent"/>
    <w:basedOn w:val="1"/>
    <w:next w:val="1"/>
    <w:link w:val="7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76"/>
    <w:autoRedefine/>
    <w:qFormat/>
    <w:uiPriority w:val="99"/>
    <w:pPr>
      <w:jc w:val="left"/>
    </w:pPr>
  </w:style>
  <w:style w:type="paragraph" w:styleId="13">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Indent"/>
    <w:basedOn w:val="1"/>
    <w:next w:val="15"/>
    <w:autoRedefine/>
    <w:qFormat/>
    <w:uiPriority w:val="0"/>
    <w:pPr>
      <w:spacing w:line="480" w:lineRule="exact"/>
      <w:ind w:firstLine="480" w:firstLineChars="200"/>
    </w:pPr>
    <w:rPr>
      <w:rFonts w:ascii="宋体" w:hAnsi="宋体"/>
      <w:sz w:val="24"/>
    </w:rPr>
  </w:style>
  <w:style w:type="paragraph" w:styleId="15">
    <w:name w:val="Body Text First Indent 2"/>
    <w:basedOn w:val="14"/>
    <w:next w:val="1"/>
    <w:autoRedefine/>
    <w:qFormat/>
    <w:uiPriority w:val="0"/>
    <w:pPr>
      <w:spacing w:line="240" w:lineRule="auto"/>
      <w:ind w:left="420" w:leftChars="200" w:firstLine="210"/>
    </w:pPr>
    <w:rPr>
      <w:sz w:val="21"/>
    </w:rPr>
  </w:style>
  <w:style w:type="paragraph" w:styleId="16">
    <w:name w:val="Plain Text"/>
    <w:basedOn w:val="1"/>
    <w:next w:val="1"/>
    <w:autoRedefine/>
    <w:qFormat/>
    <w:uiPriority w:val="0"/>
    <w:rPr>
      <w:rFonts w:ascii="宋体" w:hAnsi="Courier New"/>
      <w:szCs w:val="22"/>
    </w:rPr>
  </w:style>
  <w:style w:type="paragraph" w:styleId="17">
    <w:name w:val="Date"/>
    <w:basedOn w:val="1"/>
    <w:next w:val="1"/>
    <w:autoRedefine/>
    <w:qFormat/>
    <w:uiPriority w:val="0"/>
    <w:pPr>
      <w:ind w:left="2500" w:leftChars="2500"/>
    </w:pPr>
    <w:rPr>
      <w:rFonts w:eastAsia="楷体_GB2312"/>
      <w:sz w:val="32"/>
      <w:szCs w:val="20"/>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link w:val="8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autoRedefine/>
    <w:qFormat/>
    <w:uiPriority w:val="0"/>
    <w:pPr>
      <w:ind w:left="2100" w:leftChars="1000"/>
    </w:p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2"/>
    <w:next w:val="12"/>
    <w:link w:val="77"/>
    <w:autoRedefine/>
    <w:qFormat/>
    <w:uiPriority w:val="0"/>
    <w:rPr>
      <w:b/>
      <w:bCs/>
    </w:rPr>
  </w:style>
  <w:style w:type="paragraph" w:styleId="24">
    <w:name w:val="Body Text First Indent"/>
    <w:basedOn w:val="13"/>
    <w:autoRedefine/>
    <w:qFormat/>
    <w:uiPriority w:val="0"/>
    <w:pPr>
      <w:ind w:firstLine="420"/>
    </w:pPr>
    <w:rPr>
      <w:rFonts w:hAnsi="Times New Roman" w:cs="Times New Roman"/>
      <w:snapToGrid/>
      <w:szCs w:val="20"/>
    </w:rPr>
  </w:style>
  <w:style w:type="table" w:styleId="26">
    <w:name w:val="Table Grid"/>
    <w:basedOn w:val="2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197AFF"/>
      <w:u w:val="none"/>
    </w:rPr>
  </w:style>
  <w:style w:type="character" w:styleId="31">
    <w:name w:val="HTML Definition"/>
    <w:basedOn w:val="27"/>
    <w:autoRedefine/>
    <w:qFormat/>
    <w:uiPriority w:val="0"/>
    <w:rPr>
      <w:i/>
      <w:iCs/>
    </w:rPr>
  </w:style>
  <w:style w:type="character" w:styleId="32">
    <w:name w:val="Hyperlink"/>
    <w:basedOn w:val="27"/>
    <w:autoRedefine/>
    <w:qFormat/>
    <w:uiPriority w:val="0"/>
    <w:rPr>
      <w:color w:val="0000FF"/>
      <w:u w:val="single"/>
    </w:rPr>
  </w:style>
  <w:style w:type="character" w:styleId="33">
    <w:name w:val="HTML Code"/>
    <w:basedOn w:val="27"/>
    <w:autoRedefine/>
    <w:qFormat/>
    <w:uiPriority w:val="0"/>
    <w:rPr>
      <w:rFonts w:ascii="Segoe UI" w:hAnsi="Segoe UI" w:eastAsia="Segoe UI" w:cs="Segoe UI"/>
      <w:sz w:val="21"/>
      <w:szCs w:val="21"/>
    </w:rPr>
  </w:style>
  <w:style w:type="character" w:styleId="34">
    <w:name w:val="annotation reference"/>
    <w:basedOn w:val="27"/>
    <w:autoRedefine/>
    <w:qFormat/>
    <w:uiPriority w:val="99"/>
    <w:rPr>
      <w:sz w:val="21"/>
      <w:szCs w:val="21"/>
    </w:rPr>
  </w:style>
  <w:style w:type="character" w:styleId="35">
    <w:name w:val="HTML Keyboard"/>
    <w:basedOn w:val="27"/>
    <w:autoRedefine/>
    <w:qFormat/>
    <w:uiPriority w:val="0"/>
    <w:rPr>
      <w:rFonts w:hint="default" w:ascii="Segoe UI" w:hAnsi="Segoe UI" w:eastAsia="Segoe UI" w:cs="Segoe UI"/>
      <w:sz w:val="21"/>
      <w:szCs w:val="21"/>
    </w:rPr>
  </w:style>
  <w:style w:type="character" w:styleId="36">
    <w:name w:val="HTML Sample"/>
    <w:basedOn w:val="27"/>
    <w:autoRedefine/>
    <w:qFormat/>
    <w:uiPriority w:val="0"/>
    <w:rPr>
      <w:rFonts w:hint="default" w:ascii="Segoe UI" w:hAnsi="Segoe UI" w:eastAsia="Segoe UI" w:cs="Segoe UI"/>
      <w:sz w:val="21"/>
      <w:szCs w:val="21"/>
    </w:rPr>
  </w:style>
  <w:style w:type="paragraph" w:customStyle="1" w:styleId="37">
    <w:name w:val="BodyText"/>
    <w:basedOn w:val="1"/>
    <w:autoRedefine/>
    <w:qFormat/>
    <w:uiPriority w:val="0"/>
    <w:pPr>
      <w:ind w:left="218"/>
      <w:textAlignment w:val="baseline"/>
    </w:pPr>
    <w:rPr>
      <w:rFonts w:ascii="仿宋" w:hAnsi="仿宋" w:eastAsia="仿宋"/>
      <w:sz w:val="24"/>
    </w:rPr>
  </w:style>
  <w:style w:type="paragraph" w:styleId="38">
    <w:name w:val="List Paragraph"/>
    <w:basedOn w:val="1"/>
    <w:autoRedefine/>
    <w:qFormat/>
    <w:uiPriority w:val="99"/>
    <w:pPr>
      <w:ind w:firstLine="420" w:firstLineChars="200"/>
    </w:pPr>
  </w:style>
  <w:style w:type="paragraph" w:customStyle="1" w:styleId="39">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2"/>
    <w:basedOn w:val="1"/>
    <w:autoRedefine/>
    <w:qFormat/>
    <w:uiPriority w:val="0"/>
    <w:pPr>
      <w:spacing w:before="156" w:line="360" w:lineRule="auto"/>
      <w:ind w:firstLine="510" w:firstLineChars="200"/>
    </w:pPr>
    <w:rPr>
      <w:sz w:val="24"/>
      <w:szCs w:val="20"/>
    </w:rPr>
  </w:style>
  <w:style w:type="paragraph" w:customStyle="1" w:styleId="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3">
    <w:name w:val="索引 11"/>
    <w:basedOn w:val="1"/>
    <w:next w:val="1"/>
    <w:autoRedefine/>
    <w:qFormat/>
    <w:uiPriority w:val="0"/>
    <w:pPr>
      <w:spacing w:line="360" w:lineRule="auto"/>
    </w:pPr>
    <w:rPr>
      <w:rFonts w:ascii="仿宋_GB2312" w:eastAsia="仿宋_GB2312"/>
      <w:sz w:val="24"/>
      <w:szCs w:val="20"/>
    </w:rPr>
  </w:style>
  <w:style w:type="paragraph" w:customStyle="1" w:styleId="44">
    <w:name w:val="纯文本_0_0"/>
    <w:basedOn w:val="45"/>
    <w:autoRedefine/>
    <w:qFormat/>
    <w:uiPriority w:val="0"/>
    <w:rPr>
      <w:rFonts w:ascii="宋体" w:hAnsi="Courier New"/>
      <w:szCs w:val="21"/>
    </w:rPr>
  </w:style>
  <w:style w:type="paragraph" w:customStyle="1" w:styleId="4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
    <w:name w:val="列出段落1"/>
    <w:basedOn w:val="1"/>
    <w:autoRedefine/>
    <w:qFormat/>
    <w:uiPriority w:val="34"/>
    <w:pPr>
      <w:spacing w:line="360" w:lineRule="auto"/>
      <w:ind w:firstLine="420" w:firstLineChars="200"/>
    </w:pPr>
    <w:rPr>
      <w:rFonts w:ascii="Calibri" w:hAnsi="Calibri"/>
      <w:sz w:val="24"/>
      <w:szCs w:val="22"/>
    </w:rPr>
  </w:style>
  <w:style w:type="paragraph" w:customStyle="1" w:styleId="4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9">
    <w:name w:val="纯文本1"/>
    <w:basedOn w:val="1"/>
    <w:autoRedefine/>
    <w:qFormat/>
    <w:uiPriority w:val="0"/>
    <w:rPr>
      <w:rFonts w:ascii="宋体" w:hAnsi="Courier New"/>
      <w:kern w:val="0"/>
      <w:sz w:val="20"/>
      <w:szCs w:val="20"/>
    </w:rPr>
  </w:style>
  <w:style w:type="paragraph" w:customStyle="1" w:styleId="50">
    <w:name w:val="_Style 3"/>
    <w:basedOn w:val="1"/>
    <w:autoRedefine/>
    <w:qFormat/>
    <w:uiPriority w:val="0"/>
    <w:pPr>
      <w:ind w:firstLine="420" w:firstLineChars="200"/>
    </w:pPr>
    <w:rPr>
      <w:rFonts w:ascii="Calibri" w:hAnsi="Calibri" w:cs="宋体"/>
    </w:rPr>
  </w:style>
  <w:style w:type="paragraph" w:customStyle="1" w:styleId="51">
    <w:name w:val="正文 A"/>
    <w:basedOn w:val="1"/>
    <w:autoRedefine/>
    <w:qFormat/>
    <w:uiPriority w:val="0"/>
    <w:rPr>
      <w:rFonts w:ascii="Arial Unicode MS" w:hAnsi="Arial Unicode MS" w:eastAsia="Arial Unicode MS" w:cs="Arial Unicode MS"/>
      <w:color w:val="000000"/>
      <w:u w:color="000000"/>
    </w:rPr>
  </w:style>
  <w:style w:type="character" w:customStyle="1" w:styleId="52">
    <w:name w:val="批注框文本 Char"/>
    <w:basedOn w:val="27"/>
    <w:link w:val="8"/>
    <w:autoRedefine/>
    <w:qFormat/>
    <w:uiPriority w:val="0"/>
    <w:rPr>
      <w:rFonts w:asciiTheme="minorHAnsi" w:hAnsiTheme="minorHAnsi" w:eastAsiaTheme="minorEastAsia" w:cstheme="minorBidi"/>
      <w:kern w:val="2"/>
      <w:sz w:val="18"/>
      <w:szCs w:val="18"/>
    </w:rPr>
  </w:style>
  <w:style w:type="character" w:customStyle="1" w:styleId="53">
    <w:name w:val="font51"/>
    <w:basedOn w:val="27"/>
    <w:autoRedefine/>
    <w:qFormat/>
    <w:uiPriority w:val="0"/>
    <w:rPr>
      <w:rFonts w:hint="eastAsia" w:ascii="宋体" w:hAnsi="宋体" w:eastAsia="宋体" w:cs="宋体"/>
      <w:color w:val="000000"/>
      <w:sz w:val="20"/>
      <w:szCs w:val="20"/>
      <w:u w:val="none"/>
    </w:rPr>
  </w:style>
  <w:style w:type="paragraph" w:customStyle="1" w:styleId="54">
    <w:name w:val="正文段"/>
    <w:basedOn w:val="1"/>
    <w:autoRedefine/>
    <w:qFormat/>
    <w:uiPriority w:val="0"/>
    <w:pPr>
      <w:widowControl/>
      <w:snapToGrid w:val="0"/>
      <w:spacing w:afterLines="50"/>
      <w:ind w:firstLine="200" w:firstLineChars="200"/>
    </w:pPr>
    <w:rPr>
      <w:kern w:val="0"/>
      <w:sz w:val="24"/>
    </w:rPr>
  </w:style>
  <w:style w:type="character" w:customStyle="1" w:styleId="55">
    <w:name w:val="font11"/>
    <w:autoRedefine/>
    <w:qFormat/>
    <w:uiPriority w:val="0"/>
    <w:rPr>
      <w:rFonts w:ascii="宋体" w:hAnsi="宋体" w:eastAsia="宋体"/>
      <w:color w:val="000000"/>
      <w:sz w:val="22"/>
      <w:u w:val="none"/>
    </w:rPr>
  </w:style>
  <w:style w:type="character" w:customStyle="1" w:styleId="56">
    <w:name w:val="font161"/>
    <w:basedOn w:val="27"/>
    <w:autoRedefine/>
    <w:qFormat/>
    <w:uiPriority w:val="0"/>
    <w:rPr>
      <w:rFonts w:hint="eastAsia" w:ascii="等线" w:hAnsi="等线" w:eastAsia="等线" w:cs="等线"/>
      <w:color w:val="FF0000"/>
      <w:sz w:val="18"/>
      <w:szCs w:val="18"/>
      <w:u w:val="none"/>
    </w:rPr>
  </w:style>
  <w:style w:type="character" w:customStyle="1" w:styleId="57">
    <w:name w:val="font131"/>
    <w:basedOn w:val="27"/>
    <w:autoRedefine/>
    <w:qFormat/>
    <w:uiPriority w:val="0"/>
    <w:rPr>
      <w:rFonts w:hint="eastAsia" w:ascii="等线" w:hAnsi="等线" w:eastAsia="等线" w:cs="等线"/>
      <w:b/>
      <w:color w:val="FF0000"/>
      <w:sz w:val="18"/>
      <w:szCs w:val="18"/>
      <w:u w:val="none"/>
    </w:rPr>
  </w:style>
  <w:style w:type="character" w:customStyle="1" w:styleId="58">
    <w:name w:val="font141"/>
    <w:basedOn w:val="27"/>
    <w:autoRedefine/>
    <w:qFormat/>
    <w:uiPriority w:val="0"/>
    <w:rPr>
      <w:rFonts w:hint="eastAsia" w:ascii="等线" w:hAnsi="等线" w:eastAsia="等线" w:cs="等线"/>
      <w:color w:val="000000"/>
      <w:sz w:val="18"/>
      <w:szCs w:val="18"/>
      <w:u w:val="none"/>
    </w:rPr>
  </w:style>
  <w:style w:type="character" w:customStyle="1" w:styleId="59">
    <w:name w:val="font31"/>
    <w:basedOn w:val="27"/>
    <w:autoRedefine/>
    <w:qFormat/>
    <w:uiPriority w:val="0"/>
    <w:rPr>
      <w:rFonts w:hint="eastAsia" w:ascii="等线" w:hAnsi="等线" w:eastAsia="等线" w:cs="等线"/>
      <w:color w:val="000000"/>
      <w:sz w:val="18"/>
      <w:szCs w:val="18"/>
      <w:u w:val="none"/>
    </w:rPr>
  </w:style>
  <w:style w:type="character" w:customStyle="1" w:styleId="60">
    <w:name w:val="font01"/>
    <w:basedOn w:val="27"/>
    <w:autoRedefine/>
    <w:qFormat/>
    <w:uiPriority w:val="0"/>
    <w:rPr>
      <w:rFonts w:hint="eastAsia" w:ascii="等线" w:hAnsi="等线" w:eastAsia="等线" w:cs="等线"/>
      <w:b/>
      <w:color w:val="FF0000"/>
      <w:sz w:val="18"/>
      <w:szCs w:val="18"/>
      <w:u w:val="none"/>
    </w:rPr>
  </w:style>
  <w:style w:type="character" w:customStyle="1" w:styleId="61">
    <w:name w:val="font122"/>
    <w:basedOn w:val="27"/>
    <w:autoRedefine/>
    <w:qFormat/>
    <w:uiPriority w:val="0"/>
    <w:rPr>
      <w:rFonts w:hint="eastAsia" w:ascii="等线" w:hAnsi="等线" w:eastAsia="等线" w:cs="等线"/>
      <w:color w:val="FF0000"/>
      <w:sz w:val="18"/>
      <w:szCs w:val="18"/>
      <w:u w:val="none"/>
    </w:rPr>
  </w:style>
  <w:style w:type="paragraph" w:customStyle="1" w:styleId="62">
    <w:name w:val="Table Paragraph"/>
    <w:basedOn w:val="1"/>
    <w:autoRedefine/>
    <w:qFormat/>
    <w:uiPriority w:val="1"/>
    <w:rPr>
      <w:rFonts w:ascii="宋体" w:hAnsi="宋体" w:eastAsia="宋体" w:cs="宋体"/>
      <w:lang w:val="zh-CN" w:bidi="zh-CN"/>
    </w:rPr>
  </w:style>
  <w:style w:type="character" w:customStyle="1" w:styleId="63">
    <w:name w:val="font61"/>
    <w:basedOn w:val="27"/>
    <w:autoRedefine/>
    <w:qFormat/>
    <w:uiPriority w:val="0"/>
    <w:rPr>
      <w:rFonts w:hint="eastAsia" w:ascii="宋体" w:hAnsi="宋体" w:eastAsia="宋体" w:cs="宋体"/>
      <w:b/>
      <w:color w:val="000000"/>
      <w:sz w:val="32"/>
      <w:szCs w:val="32"/>
      <w:u w:val="none"/>
    </w:rPr>
  </w:style>
  <w:style w:type="character" w:customStyle="1" w:styleId="64">
    <w:name w:val="font13"/>
    <w:basedOn w:val="27"/>
    <w:autoRedefine/>
    <w:qFormat/>
    <w:uiPriority w:val="0"/>
    <w:rPr>
      <w:rFonts w:hint="eastAsia" w:ascii="宋体" w:hAnsi="宋体" w:eastAsia="宋体" w:cs="宋体"/>
      <w:color w:val="000000"/>
      <w:sz w:val="24"/>
      <w:szCs w:val="24"/>
      <w:u w:val="none"/>
    </w:rPr>
  </w:style>
  <w:style w:type="character" w:customStyle="1" w:styleId="65">
    <w:name w:val="font101"/>
    <w:basedOn w:val="27"/>
    <w:autoRedefine/>
    <w:qFormat/>
    <w:uiPriority w:val="0"/>
    <w:rPr>
      <w:rFonts w:ascii="Calibri" w:hAnsi="Calibri" w:cs="Calibri"/>
      <w:color w:val="000000"/>
      <w:sz w:val="24"/>
      <w:szCs w:val="24"/>
      <w:u w:val="none"/>
    </w:rPr>
  </w:style>
  <w:style w:type="character" w:customStyle="1" w:styleId="66">
    <w:name w:val="font121"/>
    <w:basedOn w:val="27"/>
    <w:autoRedefine/>
    <w:qFormat/>
    <w:uiPriority w:val="0"/>
    <w:rPr>
      <w:rFonts w:hint="eastAsia" w:ascii="宋体" w:hAnsi="宋体" w:eastAsia="宋体" w:cs="宋体"/>
      <w:color w:val="000000"/>
      <w:sz w:val="24"/>
      <w:szCs w:val="24"/>
      <w:u w:val="none"/>
    </w:rPr>
  </w:style>
  <w:style w:type="character" w:customStyle="1" w:styleId="67">
    <w:name w:val="font71"/>
    <w:basedOn w:val="27"/>
    <w:autoRedefine/>
    <w:qFormat/>
    <w:uiPriority w:val="0"/>
    <w:rPr>
      <w:rFonts w:ascii="Calibri" w:hAnsi="Calibri" w:cs="Calibri"/>
      <w:color w:val="000000"/>
      <w:sz w:val="24"/>
      <w:szCs w:val="24"/>
      <w:u w:val="none"/>
    </w:rPr>
  </w:style>
  <w:style w:type="paragraph" w:customStyle="1" w:styleId="68">
    <w:name w:val="样式1"/>
    <w:basedOn w:val="19"/>
    <w:autoRedefine/>
    <w:qFormat/>
    <w:uiPriority w:val="0"/>
    <w:pPr>
      <w:spacing w:line="360" w:lineRule="exact"/>
      <w:ind w:firstLine="200" w:firstLineChars="200"/>
    </w:pPr>
    <w:rPr>
      <w:rFonts w:ascii="Arial" w:hAnsi="Arial"/>
    </w:rPr>
  </w:style>
  <w:style w:type="character" w:customStyle="1" w:styleId="69">
    <w:name w:val="font21"/>
    <w:basedOn w:val="27"/>
    <w:autoRedefine/>
    <w:qFormat/>
    <w:uiPriority w:val="0"/>
    <w:rPr>
      <w:rFonts w:hint="eastAsia" w:ascii="宋体" w:hAnsi="宋体" w:eastAsia="宋体" w:cs="宋体"/>
      <w:color w:val="000000"/>
      <w:sz w:val="22"/>
      <w:szCs w:val="22"/>
      <w:u w:val="none"/>
    </w:rPr>
  </w:style>
  <w:style w:type="paragraph" w:customStyle="1" w:styleId="7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2">
    <w:name w:val="p0"/>
    <w:basedOn w:val="1"/>
    <w:autoRedefine/>
    <w:qFormat/>
    <w:uiPriority w:val="0"/>
    <w:pPr>
      <w:widowControl/>
      <w:spacing w:before="100" w:beforeAutospacing="1" w:after="100" w:afterAutospacing="1"/>
      <w:jc w:val="left"/>
    </w:pPr>
    <w:rPr>
      <w:rFonts w:ascii="宋体" w:hAnsi="宋体"/>
      <w:kern w:val="0"/>
      <w:szCs w:val="20"/>
    </w:rPr>
  </w:style>
  <w:style w:type="character" w:customStyle="1" w:styleId="73">
    <w:name w:val="NormalCharacter"/>
    <w:autoRedefine/>
    <w:qFormat/>
    <w:uiPriority w:val="0"/>
    <w:rPr>
      <w:rFonts w:ascii="Calibri" w:hAnsi="Calibri" w:eastAsia="宋体" w:cs="Times New Roman"/>
      <w:kern w:val="2"/>
      <w:sz w:val="21"/>
      <w:szCs w:val="22"/>
      <w:lang w:val="en-US" w:eastAsia="zh-CN" w:bidi="ar-SA"/>
    </w:rPr>
  </w:style>
  <w:style w:type="paragraph" w:customStyle="1" w:styleId="74">
    <w:name w:val="Heading5"/>
    <w:basedOn w:val="1"/>
    <w:next w:val="1"/>
    <w:autoRedefine/>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5">
    <w:name w:val="默认段落字体 Para Char Char Char Char Char Char Char Char Char1 Char Char Char Char"/>
    <w:basedOn w:val="1"/>
    <w:autoRedefine/>
    <w:qFormat/>
    <w:uiPriority w:val="0"/>
    <w:rPr>
      <w:rFonts w:ascii="Tahoma" w:hAnsi="Tahoma"/>
      <w:szCs w:val="20"/>
    </w:rPr>
  </w:style>
  <w:style w:type="character" w:customStyle="1" w:styleId="76">
    <w:name w:val="批注文字 Char"/>
    <w:basedOn w:val="27"/>
    <w:link w:val="12"/>
    <w:autoRedefine/>
    <w:qFormat/>
    <w:uiPriority w:val="0"/>
    <w:rPr>
      <w:kern w:val="2"/>
      <w:sz w:val="21"/>
      <w:szCs w:val="24"/>
    </w:rPr>
  </w:style>
  <w:style w:type="character" w:customStyle="1" w:styleId="77">
    <w:name w:val="批注主题 Char"/>
    <w:basedOn w:val="76"/>
    <w:link w:val="23"/>
    <w:autoRedefine/>
    <w:qFormat/>
    <w:uiPriority w:val="0"/>
    <w:rPr>
      <w:kern w:val="2"/>
      <w:sz w:val="21"/>
      <w:szCs w:val="24"/>
    </w:rPr>
  </w:style>
  <w:style w:type="character" w:customStyle="1" w:styleId="78">
    <w:name w:val="正文缩进 Char"/>
    <w:link w:val="10"/>
    <w:autoRedefine/>
    <w:qFormat/>
    <w:uiPriority w:val="0"/>
    <w:rPr>
      <w:rFonts w:ascii="宋体" w:hAnsiTheme="minorHAnsi" w:eastAsiaTheme="minorEastAsia" w:cstheme="minorBidi"/>
      <w:snapToGrid w:val="0"/>
      <w:color w:val="000000"/>
      <w:kern w:val="28"/>
      <w:sz w:val="28"/>
    </w:rPr>
  </w:style>
  <w:style w:type="paragraph" w:customStyle="1" w:styleId="7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81">
    <w:name w:val="hour_pm"/>
    <w:basedOn w:val="27"/>
    <w:autoRedefine/>
    <w:qFormat/>
    <w:uiPriority w:val="0"/>
  </w:style>
  <w:style w:type="character" w:customStyle="1" w:styleId="82">
    <w:name w:val="hover9"/>
    <w:basedOn w:val="27"/>
    <w:autoRedefine/>
    <w:qFormat/>
    <w:uiPriority w:val="0"/>
    <w:rPr>
      <w:shd w:val="clear" w:color="auto" w:fill="EEEEEE"/>
    </w:rPr>
  </w:style>
  <w:style w:type="character" w:customStyle="1" w:styleId="83">
    <w:name w:val="old"/>
    <w:basedOn w:val="27"/>
    <w:autoRedefine/>
    <w:qFormat/>
    <w:uiPriority w:val="0"/>
    <w:rPr>
      <w:color w:val="999999"/>
    </w:rPr>
  </w:style>
  <w:style w:type="character" w:customStyle="1" w:styleId="84">
    <w:name w:val="hour_am"/>
    <w:basedOn w:val="27"/>
    <w:autoRedefine/>
    <w:qFormat/>
    <w:uiPriority w:val="0"/>
  </w:style>
  <w:style w:type="character" w:customStyle="1" w:styleId="85">
    <w:name w:val="hover"/>
    <w:basedOn w:val="27"/>
    <w:autoRedefine/>
    <w:qFormat/>
    <w:uiPriority w:val="0"/>
    <w:rPr>
      <w:shd w:val="clear" w:color="auto" w:fill="EEEEEE"/>
    </w:rPr>
  </w:style>
  <w:style w:type="character" w:customStyle="1" w:styleId="86">
    <w:name w:val="页眉 Char"/>
    <w:basedOn w:val="27"/>
    <w:link w:val="19"/>
    <w:autoRedefine/>
    <w:qFormat/>
    <w:uiPriority w:val="99"/>
    <w:rPr>
      <w:rFonts w:asciiTheme="minorHAnsi" w:hAnsiTheme="minorHAnsi" w:eastAsiaTheme="minorEastAsia" w:cstheme="minorBidi"/>
      <w:kern w:val="2"/>
      <w:sz w:val="18"/>
      <w:szCs w:val="24"/>
    </w:rPr>
  </w:style>
  <w:style w:type="character" w:customStyle="1" w:styleId="87">
    <w:name w:val="批注文字 Char1"/>
    <w:autoRedefine/>
    <w:qFormat/>
    <w:uiPriority w:val="99"/>
    <w:rPr>
      <w:kern w:val="2"/>
      <w:sz w:val="21"/>
      <w:szCs w:val="24"/>
    </w:rPr>
  </w:style>
  <w:style w:type="paragraph" w:customStyle="1" w:styleId="88">
    <w:name w:val="表格文字"/>
    <w:basedOn w:val="1"/>
    <w:autoRedefine/>
    <w:qFormat/>
    <w:uiPriority w:val="0"/>
    <w:pPr>
      <w:jc w:val="left"/>
    </w:pPr>
    <w:rPr>
      <w:kern w:val="21"/>
      <w:szCs w:val="21"/>
    </w:rPr>
  </w:style>
  <w:style w:type="character" w:customStyle="1" w:styleId="89">
    <w:name w:val="font4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3" Type="http://schemas.microsoft.com/office/2011/relationships/people" Target="people.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2.xml"/><Relationship Id="rId69" Type="http://schemas.openxmlformats.org/officeDocument/2006/relationships/image" Target="media/image39.jpeg"/><Relationship Id="rId68" Type="http://schemas.openxmlformats.org/officeDocument/2006/relationships/image" Target="media/image38.jpeg"/><Relationship Id="rId67" Type="http://schemas.openxmlformats.org/officeDocument/2006/relationships/image" Target="media/image37.png"/><Relationship Id="rId66" Type="http://schemas.openxmlformats.org/officeDocument/2006/relationships/image" Target="media/image36.jpeg"/><Relationship Id="rId65" Type="http://schemas.openxmlformats.org/officeDocument/2006/relationships/image" Target="media/image35.jpeg"/><Relationship Id="rId64" Type="http://schemas.openxmlformats.org/officeDocument/2006/relationships/image" Target="media/image34.jpe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1.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jpeg"/><Relationship Id="rId55" Type="http://schemas.openxmlformats.org/officeDocument/2006/relationships/image" Target="media/image25.jpeg"/><Relationship Id="rId54" Type="http://schemas.openxmlformats.org/officeDocument/2006/relationships/image" Target="media/image24.png"/><Relationship Id="rId53" Type="http://schemas.openxmlformats.org/officeDocument/2006/relationships/image" Target="media/image23.jpeg"/><Relationship Id="rId52" Type="http://schemas.openxmlformats.org/officeDocument/2006/relationships/image" Target="media/image22.png"/><Relationship Id="rId51" Type="http://schemas.openxmlformats.org/officeDocument/2006/relationships/image" Target="media/image21.jpeg"/><Relationship Id="rId50" Type="http://schemas.openxmlformats.org/officeDocument/2006/relationships/image" Target="media/image20.png"/><Relationship Id="rId5" Type="http://schemas.openxmlformats.org/officeDocument/2006/relationships/header" Target="header3.xml"/><Relationship Id="rId49" Type="http://schemas.openxmlformats.org/officeDocument/2006/relationships/image" Target="media/image19.png"/><Relationship Id="rId48" Type="http://schemas.openxmlformats.org/officeDocument/2006/relationships/image" Target="media/image18.jpe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jpe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jpeg"/><Relationship Id="rId4" Type="http://schemas.openxmlformats.org/officeDocument/2006/relationships/header" Target="header2.xml"/><Relationship Id="rId39" Type="http://schemas.openxmlformats.org/officeDocument/2006/relationships/image" Target="media/image9.png"/><Relationship Id="rId38" Type="http://schemas.openxmlformats.org/officeDocument/2006/relationships/image" Target="media/image8.jpeg"/><Relationship Id="rId37" Type="http://schemas.openxmlformats.org/officeDocument/2006/relationships/image" Target="media/image7.png"/><Relationship Id="rId36" Type="http://schemas.openxmlformats.org/officeDocument/2006/relationships/image" Target="media/image6.jpeg"/><Relationship Id="rId35" Type="http://schemas.openxmlformats.org/officeDocument/2006/relationships/image" Target="media/image5.png"/><Relationship Id="rId34" Type="http://schemas.openxmlformats.org/officeDocument/2006/relationships/image" Target="media/image4.png"/><Relationship Id="rId33" Type="http://schemas.openxmlformats.org/officeDocument/2006/relationships/image" Target="media/image3.jpe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3698</Words>
  <Characters>4210</Characters>
  <Lines>268</Lines>
  <Paragraphs>75</Paragraphs>
  <TotalTime>2</TotalTime>
  <ScaleCrop>false</ScaleCrop>
  <LinksUpToDate>false</LinksUpToDate>
  <CharactersWithSpaces>4317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張 倲 澔</cp:lastModifiedBy>
  <cp:lastPrinted>2023-05-11T03:20:00Z</cp:lastPrinted>
  <dcterms:modified xsi:type="dcterms:W3CDTF">2025-08-08T13:49:35Z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DEDE70C031944CF78FAC7B659D79225A_13</vt:lpwstr>
  </property>
  <property fmtid="{D5CDD505-2E9C-101B-9397-08002B2CF9AE}" pid="4" name="commondata">
    <vt:lpwstr>eyJoZGlkIjoiODcxOTViM2NkMzNjZGZjODM1NDMwODhlMDU4NmYxZjEifQ==</vt:lpwstr>
  </property>
  <property fmtid="{D5CDD505-2E9C-101B-9397-08002B2CF9AE}" pid="5" name="KSOTemplateDocerSaveRecord">
    <vt:lpwstr>eyJoZGlkIjoiY2JkNTVjMzNmMjE4NmRlMGI1OTAyY2M3NDVmMmI1YmYiLCJ1c2VySWQiOiI0MjMwNjkzODEifQ==</vt:lpwstr>
  </property>
</Properties>
</file>